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4126"/>
        <w:gridCol w:w="7"/>
        <w:gridCol w:w="3665"/>
        <w:gridCol w:w="99"/>
      </w:tblGrid>
      <w:tr w:rsidR="00D8516C" w:rsidRPr="00C156BF" w14:paraId="1DD2F5C3" w14:textId="77777777" w:rsidTr="00C156BF">
        <w:trPr>
          <w:gridAfter w:val="1"/>
          <w:wAfter w:w="99" w:type="dxa"/>
          <w:trHeight w:hRule="exact" w:val="418"/>
          <w:jc w:val="center"/>
        </w:trPr>
        <w:tc>
          <w:tcPr>
            <w:tcW w:w="8721" w:type="dxa"/>
            <w:gridSpan w:val="4"/>
          </w:tcPr>
          <w:p w14:paraId="086B7778" w14:textId="77777777" w:rsidR="00D8516C" w:rsidRPr="00C156BF" w:rsidRDefault="00D8516C" w:rsidP="001226E4">
            <w:pPr>
              <w:pStyle w:val="a3"/>
              <w:jc w:val="center"/>
              <w:rPr>
                <w:rFonts w:ascii="Tahoma" w:hAnsi="Tahoma"/>
                <w:color w:val="000080"/>
                <w:rtl/>
              </w:rPr>
            </w:pPr>
            <w:r w:rsidRPr="00C156BF">
              <w:rPr>
                <w:rFonts w:ascii="Tahoma" w:hAnsi="Tahoma"/>
                <w:b/>
                <w:bCs/>
                <w:color w:val="000080"/>
                <w:rtl/>
              </w:rPr>
              <w:t>בית משפט השלום בקריות</w:t>
            </w:r>
          </w:p>
        </w:tc>
      </w:tr>
      <w:tr w:rsidR="00D8516C" w:rsidRPr="00C156BF" w14:paraId="5AF5E2F5" w14:textId="77777777" w:rsidTr="00C156BF">
        <w:trPr>
          <w:gridAfter w:val="1"/>
          <w:wAfter w:w="99" w:type="dxa"/>
          <w:trHeight w:val="337"/>
          <w:jc w:val="center"/>
        </w:trPr>
        <w:tc>
          <w:tcPr>
            <w:tcW w:w="5056" w:type="dxa"/>
            <w:gridSpan w:val="3"/>
          </w:tcPr>
          <w:p w14:paraId="412AF209" w14:textId="77777777" w:rsidR="00D8516C" w:rsidRPr="00C156BF" w:rsidRDefault="00D8516C" w:rsidP="001226E4">
            <w:pPr>
              <w:rPr>
                <w:sz w:val="28"/>
                <w:szCs w:val="28"/>
                <w:rtl/>
              </w:rPr>
            </w:pPr>
            <w:r w:rsidRPr="00C156BF">
              <w:rPr>
                <w:sz w:val="28"/>
                <w:szCs w:val="28"/>
                <w:rtl/>
              </w:rPr>
              <w:t>ת"פ</w:t>
            </w:r>
            <w:r w:rsidRPr="00C156BF">
              <w:rPr>
                <w:rFonts w:hint="cs"/>
                <w:sz w:val="28"/>
                <w:szCs w:val="28"/>
                <w:rtl/>
              </w:rPr>
              <w:t xml:space="preserve"> </w:t>
            </w:r>
            <w:r w:rsidRPr="00C156BF">
              <w:rPr>
                <w:sz w:val="28"/>
                <w:szCs w:val="28"/>
                <w:rtl/>
              </w:rPr>
              <w:t>46722-01-23</w:t>
            </w:r>
            <w:r w:rsidRPr="00C156BF">
              <w:rPr>
                <w:rFonts w:hint="cs"/>
                <w:sz w:val="28"/>
                <w:szCs w:val="28"/>
                <w:rtl/>
              </w:rPr>
              <w:t xml:space="preserve"> </w:t>
            </w:r>
            <w:r w:rsidRPr="00C156BF">
              <w:rPr>
                <w:sz w:val="28"/>
                <w:szCs w:val="28"/>
                <w:rtl/>
              </w:rPr>
              <w:t>מדינת ישראל נ' כהן(עציר)</w:t>
            </w:r>
          </w:p>
          <w:p w14:paraId="279425F4" w14:textId="77777777" w:rsidR="00D8516C" w:rsidRPr="00C156BF" w:rsidRDefault="00D8516C" w:rsidP="001226E4">
            <w:pPr>
              <w:pStyle w:val="a3"/>
              <w:rPr>
                <w:sz w:val="28"/>
                <w:szCs w:val="28"/>
                <w:rtl/>
              </w:rPr>
            </w:pPr>
          </w:p>
        </w:tc>
        <w:tc>
          <w:tcPr>
            <w:tcW w:w="3665" w:type="dxa"/>
          </w:tcPr>
          <w:p w14:paraId="7980BD94" w14:textId="77777777" w:rsidR="00D8516C" w:rsidRPr="00C156BF" w:rsidRDefault="00D8516C" w:rsidP="001226E4">
            <w:pPr>
              <w:pStyle w:val="a3"/>
              <w:jc w:val="right"/>
              <w:rPr>
                <w:sz w:val="28"/>
                <w:szCs w:val="28"/>
                <w:rtl/>
              </w:rPr>
            </w:pPr>
          </w:p>
        </w:tc>
      </w:tr>
      <w:tr w:rsidR="00D8516C" w:rsidRPr="00C156BF" w14:paraId="794CB8C6" w14:textId="77777777" w:rsidTr="00C15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2610A526" w14:textId="77777777" w:rsidR="00D8516C" w:rsidRPr="00C156BF" w:rsidRDefault="00D8516C" w:rsidP="00D8516C">
            <w:pPr>
              <w:jc w:val="both"/>
              <w:rPr>
                <w:rFonts w:ascii="David" w:hAnsi="David"/>
                <w:b/>
                <w:bCs/>
              </w:rPr>
            </w:pPr>
            <w:r w:rsidRPr="00C156BF">
              <w:rPr>
                <w:rFonts w:hint="cs"/>
                <w:rtl/>
              </w:rPr>
              <w:t xml:space="preserve"> </w:t>
            </w:r>
            <w:r w:rsidRPr="00C156BF">
              <w:rPr>
                <w:rFonts w:ascii="David" w:hAnsi="David"/>
                <w:b/>
                <w:bCs/>
                <w:rtl/>
              </w:rPr>
              <w:t xml:space="preserve">בפני </w:t>
            </w:r>
          </w:p>
        </w:tc>
        <w:tc>
          <w:tcPr>
            <w:tcW w:w="7897" w:type="dxa"/>
            <w:gridSpan w:val="4"/>
            <w:tcBorders>
              <w:top w:val="nil"/>
              <w:left w:val="nil"/>
              <w:bottom w:val="nil"/>
              <w:right w:val="nil"/>
            </w:tcBorders>
            <w:shd w:val="clear" w:color="auto" w:fill="auto"/>
          </w:tcPr>
          <w:p w14:paraId="679C7BF8" w14:textId="77777777" w:rsidR="00D8516C" w:rsidRPr="00C156BF" w:rsidRDefault="00D8516C" w:rsidP="001226E4">
            <w:pPr>
              <w:rPr>
                <w:rFonts w:ascii="David" w:hAnsi="David"/>
                <w:b/>
                <w:bCs/>
              </w:rPr>
            </w:pPr>
            <w:r w:rsidRPr="00C156BF">
              <w:rPr>
                <w:rFonts w:ascii="Arial" w:hAnsi="Arial"/>
                <w:b/>
                <w:bCs/>
                <w:rtl/>
              </w:rPr>
              <w:t>כב' השופט יוסי טורס , סגן הנשיאה</w:t>
            </w:r>
          </w:p>
        </w:tc>
      </w:tr>
      <w:tr w:rsidR="00D8516C" w:rsidRPr="00C156BF" w14:paraId="46522BC0" w14:textId="77777777" w:rsidTr="00C15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F598269" w14:textId="77777777" w:rsidR="00D8516C" w:rsidRPr="00C156BF" w:rsidRDefault="00D8516C" w:rsidP="00D8516C">
            <w:pPr>
              <w:jc w:val="both"/>
              <w:rPr>
                <w:rFonts w:ascii="David" w:hAnsi="David"/>
                <w:b/>
                <w:bCs/>
              </w:rPr>
            </w:pPr>
            <w:bookmarkStart w:id="0" w:name="LastJudge"/>
            <w:bookmarkEnd w:id="0"/>
          </w:p>
        </w:tc>
        <w:tc>
          <w:tcPr>
            <w:tcW w:w="4126" w:type="dxa"/>
            <w:tcBorders>
              <w:top w:val="nil"/>
              <w:left w:val="nil"/>
              <w:bottom w:val="nil"/>
              <w:right w:val="nil"/>
            </w:tcBorders>
            <w:shd w:val="clear" w:color="auto" w:fill="auto"/>
          </w:tcPr>
          <w:p w14:paraId="77ECC0FF" w14:textId="77777777" w:rsidR="00D8516C" w:rsidRPr="00C156BF" w:rsidRDefault="00D8516C" w:rsidP="001226E4">
            <w:pPr>
              <w:rPr>
                <w:rFonts w:ascii="David" w:hAnsi="David"/>
                <w:b/>
                <w:bCs/>
              </w:rPr>
            </w:pPr>
          </w:p>
        </w:tc>
        <w:tc>
          <w:tcPr>
            <w:tcW w:w="3771" w:type="dxa"/>
            <w:gridSpan w:val="3"/>
            <w:tcBorders>
              <w:top w:val="nil"/>
              <w:left w:val="nil"/>
              <w:bottom w:val="nil"/>
              <w:right w:val="nil"/>
            </w:tcBorders>
            <w:shd w:val="clear" w:color="auto" w:fill="auto"/>
          </w:tcPr>
          <w:p w14:paraId="50B4E215" w14:textId="77777777" w:rsidR="00D8516C" w:rsidRPr="00C156BF" w:rsidRDefault="00D8516C" w:rsidP="00D8516C">
            <w:pPr>
              <w:jc w:val="both"/>
              <w:rPr>
                <w:rFonts w:ascii="David" w:hAnsi="David"/>
                <w:b/>
                <w:bCs/>
              </w:rPr>
            </w:pPr>
          </w:p>
        </w:tc>
      </w:tr>
      <w:tr w:rsidR="00D8516C" w:rsidRPr="00C156BF" w14:paraId="0DE7A7B4" w14:textId="77777777" w:rsidTr="00C15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96542B5" w14:textId="77777777" w:rsidR="00D8516C" w:rsidRPr="00C156BF" w:rsidRDefault="00D8516C" w:rsidP="00D8516C">
            <w:pPr>
              <w:jc w:val="both"/>
              <w:rPr>
                <w:rFonts w:ascii="David" w:hAnsi="David"/>
                <w:b/>
                <w:bCs/>
              </w:rPr>
            </w:pPr>
            <w:bookmarkStart w:id="1" w:name="FirstAppellant"/>
            <w:r w:rsidRPr="00C156BF">
              <w:rPr>
                <w:rFonts w:ascii="David" w:hAnsi="David"/>
                <w:b/>
                <w:bCs/>
                <w:rtl/>
              </w:rPr>
              <w:t>בעניין:</w:t>
            </w:r>
          </w:p>
        </w:tc>
        <w:tc>
          <w:tcPr>
            <w:tcW w:w="4126" w:type="dxa"/>
            <w:tcBorders>
              <w:top w:val="nil"/>
              <w:left w:val="nil"/>
              <w:bottom w:val="nil"/>
              <w:right w:val="nil"/>
            </w:tcBorders>
            <w:shd w:val="clear" w:color="auto" w:fill="auto"/>
          </w:tcPr>
          <w:p w14:paraId="1CBD116B" w14:textId="77777777" w:rsidR="00D8516C" w:rsidRPr="00C156BF" w:rsidRDefault="00D8516C" w:rsidP="001226E4">
            <w:pPr>
              <w:rPr>
                <w:rFonts w:ascii="David" w:hAnsi="David"/>
                <w:b/>
                <w:bCs/>
              </w:rPr>
            </w:pPr>
            <w:r w:rsidRPr="00C156BF">
              <w:rPr>
                <w:rFonts w:ascii="David" w:hAnsi="David"/>
                <w:b/>
                <w:bCs/>
                <w:rtl/>
              </w:rPr>
              <w:t>מדינת ישראל</w:t>
            </w:r>
          </w:p>
        </w:tc>
        <w:tc>
          <w:tcPr>
            <w:tcW w:w="3771" w:type="dxa"/>
            <w:gridSpan w:val="3"/>
            <w:tcBorders>
              <w:top w:val="nil"/>
              <w:left w:val="nil"/>
              <w:bottom w:val="nil"/>
              <w:right w:val="nil"/>
            </w:tcBorders>
            <w:shd w:val="clear" w:color="auto" w:fill="auto"/>
          </w:tcPr>
          <w:p w14:paraId="1C51EC6C" w14:textId="77777777" w:rsidR="00D8516C" w:rsidRPr="00C156BF" w:rsidRDefault="00D8516C" w:rsidP="00D8516C">
            <w:pPr>
              <w:jc w:val="right"/>
              <w:rPr>
                <w:rFonts w:ascii="David" w:hAnsi="David"/>
                <w:b/>
                <w:bCs/>
                <w:rtl/>
              </w:rPr>
            </w:pPr>
            <w:r w:rsidRPr="00C156BF">
              <w:rPr>
                <w:rFonts w:ascii="David" w:hAnsi="David"/>
                <w:b/>
                <w:bCs/>
                <w:rtl/>
              </w:rPr>
              <w:t>המאשימה</w:t>
            </w:r>
          </w:p>
        </w:tc>
      </w:tr>
      <w:bookmarkEnd w:id="1"/>
      <w:tr w:rsidR="00D8516C" w:rsidRPr="00C156BF" w14:paraId="5AFAE858" w14:textId="77777777" w:rsidTr="00C15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B196E46" w14:textId="77777777" w:rsidR="00D8516C" w:rsidRPr="00C156BF" w:rsidRDefault="00D8516C" w:rsidP="00D8516C">
            <w:pPr>
              <w:jc w:val="both"/>
              <w:rPr>
                <w:rFonts w:ascii="David" w:hAnsi="David"/>
                <w:b/>
                <w:bCs/>
                <w:rtl/>
              </w:rPr>
            </w:pPr>
          </w:p>
        </w:tc>
        <w:tc>
          <w:tcPr>
            <w:tcW w:w="7897" w:type="dxa"/>
            <w:gridSpan w:val="4"/>
            <w:tcBorders>
              <w:top w:val="nil"/>
              <w:left w:val="nil"/>
              <w:bottom w:val="nil"/>
              <w:right w:val="nil"/>
            </w:tcBorders>
            <w:shd w:val="clear" w:color="auto" w:fill="auto"/>
          </w:tcPr>
          <w:p w14:paraId="69A82AA6" w14:textId="77777777" w:rsidR="00D8516C" w:rsidRPr="00C156BF" w:rsidRDefault="00D8516C" w:rsidP="00D8516C">
            <w:pPr>
              <w:jc w:val="center"/>
              <w:rPr>
                <w:rFonts w:ascii="David" w:hAnsi="David"/>
                <w:b/>
                <w:bCs/>
                <w:rtl/>
              </w:rPr>
            </w:pPr>
          </w:p>
          <w:p w14:paraId="73791D7C" w14:textId="77777777" w:rsidR="00D8516C" w:rsidRPr="00C156BF" w:rsidRDefault="00D8516C" w:rsidP="00D8516C">
            <w:pPr>
              <w:jc w:val="center"/>
              <w:rPr>
                <w:rFonts w:ascii="David" w:hAnsi="David"/>
                <w:b/>
                <w:bCs/>
                <w:rtl/>
              </w:rPr>
            </w:pPr>
            <w:r w:rsidRPr="00C156BF">
              <w:rPr>
                <w:rFonts w:ascii="David" w:hAnsi="David"/>
                <w:b/>
                <w:bCs/>
                <w:rtl/>
              </w:rPr>
              <w:t>נגד</w:t>
            </w:r>
          </w:p>
          <w:p w14:paraId="086D0F91" w14:textId="77777777" w:rsidR="00D8516C" w:rsidRPr="00C156BF" w:rsidRDefault="00D8516C" w:rsidP="00D8516C">
            <w:pPr>
              <w:jc w:val="both"/>
              <w:rPr>
                <w:rFonts w:ascii="David" w:hAnsi="David"/>
                <w:b/>
                <w:bCs/>
              </w:rPr>
            </w:pPr>
          </w:p>
        </w:tc>
      </w:tr>
      <w:tr w:rsidR="00D8516C" w:rsidRPr="00C156BF" w14:paraId="346D93F6" w14:textId="77777777" w:rsidTr="00C15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6B05A6C" w14:textId="77777777" w:rsidR="00D8516C" w:rsidRPr="00C156BF" w:rsidRDefault="00D8516C" w:rsidP="001226E4">
            <w:pPr>
              <w:rPr>
                <w:rFonts w:ascii="David" w:hAnsi="David"/>
                <w:b/>
                <w:bCs/>
                <w:rtl/>
              </w:rPr>
            </w:pPr>
          </w:p>
        </w:tc>
        <w:tc>
          <w:tcPr>
            <w:tcW w:w="4126" w:type="dxa"/>
            <w:tcBorders>
              <w:top w:val="nil"/>
              <w:left w:val="nil"/>
              <w:bottom w:val="nil"/>
              <w:right w:val="nil"/>
            </w:tcBorders>
            <w:shd w:val="clear" w:color="auto" w:fill="auto"/>
          </w:tcPr>
          <w:p w14:paraId="1689D500" w14:textId="77777777" w:rsidR="00D8516C" w:rsidRPr="00C156BF" w:rsidRDefault="00D8516C" w:rsidP="001226E4">
            <w:pPr>
              <w:rPr>
                <w:rFonts w:ascii="David" w:hAnsi="David"/>
                <w:b/>
                <w:bCs/>
                <w:rtl/>
              </w:rPr>
            </w:pPr>
          </w:p>
        </w:tc>
        <w:tc>
          <w:tcPr>
            <w:tcW w:w="3771" w:type="dxa"/>
            <w:gridSpan w:val="3"/>
            <w:tcBorders>
              <w:top w:val="nil"/>
              <w:left w:val="nil"/>
              <w:bottom w:val="nil"/>
              <w:right w:val="nil"/>
            </w:tcBorders>
            <w:shd w:val="clear" w:color="auto" w:fill="auto"/>
          </w:tcPr>
          <w:p w14:paraId="40BD2CD4" w14:textId="77777777" w:rsidR="00D8516C" w:rsidRPr="00C156BF" w:rsidRDefault="00D8516C" w:rsidP="00D8516C">
            <w:pPr>
              <w:jc w:val="right"/>
              <w:rPr>
                <w:rFonts w:ascii="David" w:hAnsi="David"/>
                <w:b/>
                <w:bCs/>
              </w:rPr>
            </w:pPr>
          </w:p>
        </w:tc>
      </w:tr>
      <w:tr w:rsidR="00D8516C" w:rsidRPr="00C156BF" w14:paraId="76335269" w14:textId="77777777" w:rsidTr="00C156B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6AD22120" w14:textId="77777777" w:rsidR="00D8516C" w:rsidRPr="00C156BF" w:rsidRDefault="00D8516C" w:rsidP="00D8516C">
            <w:pPr>
              <w:jc w:val="both"/>
              <w:rPr>
                <w:rFonts w:ascii="David" w:hAnsi="David"/>
                <w:b/>
                <w:bCs/>
                <w:rtl/>
              </w:rPr>
            </w:pPr>
          </w:p>
        </w:tc>
        <w:tc>
          <w:tcPr>
            <w:tcW w:w="4126" w:type="dxa"/>
            <w:tcBorders>
              <w:top w:val="nil"/>
              <w:left w:val="nil"/>
              <w:bottom w:val="nil"/>
              <w:right w:val="nil"/>
            </w:tcBorders>
            <w:shd w:val="clear" w:color="auto" w:fill="auto"/>
          </w:tcPr>
          <w:p w14:paraId="1A4DC3E2" w14:textId="77777777" w:rsidR="00D8516C" w:rsidRPr="00C156BF" w:rsidRDefault="00D8516C" w:rsidP="00D8516C">
            <w:pPr>
              <w:jc w:val="both"/>
              <w:rPr>
                <w:rFonts w:ascii="David" w:hAnsi="David"/>
                <w:b/>
                <w:bCs/>
                <w:rtl/>
              </w:rPr>
            </w:pPr>
            <w:r w:rsidRPr="00C156BF">
              <w:rPr>
                <w:rFonts w:ascii="David" w:hAnsi="David"/>
                <w:b/>
                <w:bCs/>
                <w:rtl/>
              </w:rPr>
              <w:t xml:space="preserve">יצחק כהן </w:t>
            </w:r>
          </w:p>
        </w:tc>
        <w:tc>
          <w:tcPr>
            <w:tcW w:w="3771" w:type="dxa"/>
            <w:gridSpan w:val="3"/>
            <w:tcBorders>
              <w:top w:val="nil"/>
              <w:left w:val="nil"/>
              <w:bottom w:val="nil"/>
              <w:right w:val="nil"/>
            </w:tcBorders>
            <w:shd w:val="clear" w:color="auto" w:fill="auto"/>
          </w:tcPr>
          <w:p w14:paraId="3460874D" w14:textId="77777777" w:rsidR="00D8516C" w:rsidRPr="00C156BF" w:rsidRDefault="00D8516C" w:rsidP="00D8516C">
            <w:pPr>
              <w:jc w:val="right"/>
              <w:rPr>
                <w:rFonts w:ascii="David" w:hAnsi="David"/>
                <w:b/>
                <w:bCs/>
              </w:rPr>
            </w:pPr>
            <w:r w:rsidRPr="00C156BF">
              <w:rPr>
                <w:rFonts w:ascii="David" w:hAnsi="David"/>
                <w:b/>
                <w:bCs/>
                <w:rtl/>
              </w:rPr>
              <w:t>הנאש</w:t>
            </w:r>
            <w:r w:rsidRPr="00C156BF">
              <w:rPr>
                <w:rFonts w:ascii="David" w:hAnsi="David" w:hint="cs"/>
                <w:b/>
                <w:bCs/>
                <w:rtl/>
              </w:rPr>
              <w:t>ם</w:t>
            </w:r>
          </w:p>
        </w:tc>
      </w:tr>
    </w:tbl>
    <w:p w14:paraId="29ED8440" w14:textId="77777777" w:rsidR="00C156BF" w:rsidRDefault="00C156BF" w:rsidP="004B2F3A">
      <w:pPr>
        <w:rPr>
          <w:rFonts w:ascii="David" w:hAnsi="David"/>
          <w:rtl/>
        </w:rPr>
      </w:pPr>
    </w:p>
    <w:p w14:paraId="17F759B4" w14:textId="77777777" w:rsidR="00C156BF" w:rsidRPr="00C156BF" w:rsidRDefault="00C156BF" w:rsidP="00C156BF">
      <w:pPr>
        <w:spacing w:after="120" w:line="240" w:lineRule="exact"/>
        <w:ind w:left="283" w:hanging="283"/>
        <w:jc w:val="both"/>
        <w:rPr>
          <w:rFonts w:ascii="FrankRuehl" w:hAnsi="FrankRuehl" w:cs="FrankRuehl"/>
          <w:rtl/>
        </w:rPr>
      </w:pPr>
    </w:p>
    <w:p w14:paraId="073908B0" w14:textId="77777777" w:rsidR="00BF7320" w:rsidRPr="00BF7320" w:rsidRDefault="00BF7320" w:rsidP="00BF7320">
      <w:pPr>
        <w:spacing w:before="120" w:after="120" w:line="240" w:lineRule="exact"/>
        <w:ind w:left="283" w:hanging="283"/>
        <w:jc w:val="both"/>
        <w:rPr>
          <w:rFonts w:ascii="FrankRuehl" w:hAnsi="FrankRuehl" w:cs="FrankRuehl"/>
          <w:rtl/>
        </w:rPr>
      </w:pPr>
    </w:p>
    <w:p w14:paraId="320F078E" w14:textId="77777777" w:rsidR="006B2255" w:rsidRDefault="006B2255" w:rsidP="006B2255">
      <w:pPr>
        <w:rPr>
          <w:rFonts w:ascii="David" w:hAnsi="David"/>
          <w:rtl/>
        </w:rPr>
      </w:pPr>
      <w:bookmarkStart w:id="2" w:name="LawTable"/>
      <w:bookmarkEnd w:id="2"/>
    </w:p>
    <w:p w14:paraId="05A18E3C" w14:textId="77777777" w:rsidR="006B2255" w:rsidRPr="006B2255" w:rsidRDefault="006B2255" w:rsidP="006B2255">
      <w:pPr>
        <w:spacing w:before="120" w:after="120" w:line="240" w:lineRule="exact"/>
        <w:ind w:left="283" w:hanging="283"/>
        <w:jc w:val="both"/>
        <w:rPr>
          <w:rFonts w:ascii="FrankRuehl" w:hAnsi="FrankRuehl" w:cs="FrankRuehl"/>
          <w:rtl/>
        </w:rPr>
      </w:pPr>
    </w:p>
    <w:p w14:paraId="21DA3764" w14:textId="77777777" w:rsidR="006B2255" w:rsidRPr="006B2255" w:rsidRDefault="006B2255" w:rsidP="006B2255">
      <w:pPr>
        <w:spacing w:before="120" w:after="120" w:line="240" w:lineRule="exact"/>
        <w:ind w:left="283" w:hanging="283"/>
        <w:jc w:val="both"/>
        <w:rPr>
          <w:rFonts w:ascii="FrankRuehl" w:hAnsi="FrankRuehl" w:cs="FrankRuehl"/>
          <w:rtl/>
        </w:rPr>
      </w:pPr>
    </w:p>
    <w:p w14:paraId="4B8BB585" w14:textId="77777777" w:rsidR="006B2255" w:rsidRPr="006B2255" w:rsidRDefault="006B2255" w:rsidP="006B2255">
      <w:pPr>
        <w:spacing w:before="120" w:after="120" w:line="240" w:lineRule="exact"/>
        <w:ind w:left="283" w:hanging="283"/>
        <w:jc w:val="both"/>
        <w:rPr>
          <w:rFonts w:ascii="FrankRuehl" w:hAnsi="FrankRuehl" w:cs="FrankRuehl"/>
          <w:rtl/>
        </w:rPr>
      </w:pPr>
      <w:r w:rsidRPr="006B2255">
        <w:rPr>
          <w:rFonts w:ascii="FrankRuehl" w:hAnsi="FrankRuehl" w:cs="FrankRuehl"/>
          <w:rtl/>
        </w:rPr>
        <w:t xml:space="preserve">חקיקה שאוזכרה: </w:t>
      </w:r>
    </w:p>
    <w:p w14:paraId="49BF8004" w14:textId="77777777" w:rsidR="006B2255" w:rsidRPr="006B2255" w:rsidRDefault="006B2255" w:rsidP="006B2255">
      <w:pPr>
        <w:spacing w:before="120" w:after="120" w:line="240" w:lineRule="exact"/>
        <w:ind w:left="283" w:hanging="283"/>
        <w:jc w:val="both"/>
        <w:rPr>
          <w:rFonts w:ascii="FrankRuehl" w:hAnsi="FrankRuehl" w:cs="FrankRuehl"/>
          <w:rtl/>
        </w:rPr>
      </w:pPr>
      <w:hyperlink r:id="rId7" w:history="1">
        <w:r w:rsidRPr="006B2255">
          <w:rPr>
            <w:rFonts w:ascii="FrankRuehl" w:hAnsi="FrankRuehl" w:cs="FrankRuehl"/>
            <w:color w:val="0000FF"/>
            <w:rtl/>
          </w:rPr>
          <w:t>פקודת הסמים המסוכנים [נוסח חדש], תשל"ג-1973</w:t>
        </w:r>
      </w:hyperlink>
      <w:r w:rsidRPr="006B2255">
        <w:rPr>
          <w:rFonts w:ascii="FrankRuehl" w:hAnsi="FrankRuehl" w:cs="FrankRuehl"/>
          <w:rtl/>
        </w:rPr>
        <w:t xml:space="preserve">: סע'  </w:t>
      </w:r>
      <w:hyperlink r:id="rId8" w:history="1">
        <w:r w:rsidRPr="006B2255">
          <w:rPr>
            <w:rFonts w:ascii="FrankRuehl" w:hAnsi="FrankRuehl" w:cs="FrankRuehl"/>
            <w:color w:val="0000FF"/>
            <w:rtl/>
          </w:rPr>
          <w:t>13.א</w:t>
        </w:r>
      </w:hyperlink>
      <w:r w:rsidRPr="006B2255">
        <w:rPr>
          <w:rFonts w:ascii="FrankRuehl" w:hAnsi="FrankRuehl" w:cs="FrankRuehl"/>
          <w:rtl/>
        </w:rPr>
        <w:t xml:space="preserve">, </w:t>
      </w:r>
      <w:hyperlink r:id="rId9" w:history="1">
        <w:r w:rsidRPr="006B2255">
          <w:rPr>
            <w:rFonts w:ascii="FrankRuehl" w:hAnsi="FrankRuehl" w:cs="FrankRuehl"/>
            <w:color w:val="0000FF"/>
            <w:rtl/>
          </w:rPr>
          <w:t>19</w:t>
        </w:r>
      </w:hyperlink>
    </w:p>
    <w:p w14:paraId="529EE4FB" w14:textId="77777777" w:rsidR="006B2255" w:rsidRPr="006B2255" w:rsidRDefault="006B2255" w:rsidP="006B2255">
      <w:pPr>
        <w:spacing w:before="120" w:after="120" w:line="240" w:lineRule="exact"/>
        <w:ind w:left="283" w:hanging="283"/>
        <w:jc w:val="both"/>
        <w:rPr>
          <w:rFonts w:ascii="FrankRuehl" w:hAnsi="FrankRuehl" w:cs="FrankRuehl"/>
          <w:rtl/>
        </w:rPr>
      </w:pPr>
      <w:hyperlink r:id="rId10" w:history="1">
        <w:r w:rsidRPr="006B2255">
          <w:rPr>
            <w:rFonts w:ascii="FrankRuehl" w:hAnsi="FrankRuehl" w:cs="FrankRuehl"/>
            <w:color w:val="0000FF"/>
            <w:rtl/>
          </w:rPr>
          <w:t>חוק העונשין, תשל"ז-1977</w:t>
        </w:r>
      </w:hyperlink>
      <w:r w:rsidRPr="006B2255">
        <w:rPr>
          <w:rFonts w:ascii="FrankRuehl" w:hAnsi="FrankRuehl" w:cs="FrankRuehl"/>
          <w:rtl/>
        </w:rPr>
        <w:t xml:space="preserve">: סע'  </w:t>
      </w:r>
      <w:hyperlink r:id="rId11" w:history="1">
        <w:r w:rsidRPr="006B2255">
          <w:rPr>
            <w:rFonts w:ascii="FrankRuehl" w:hAnsi="FrankRuehl" w:cs="FrankRuehl"/>
            <w:color w:val="0000FF"/>
            <w:rtl/>
          </w:rPr>
          <w:t>45(ב)</w:t>
        </w:r>
      </w:hyperlink>
      <w:r w:rsidRPr="006B2255">
        <w:rPr>
          <w:rFonts w:ascii="FrankRuehl" w:hAnsi="FrankRuehl" w:cs="FrankRuehl"/>
          <w:rtl/>
        </w:rPr>
        <w:t xml:space="preserve">, </w:t>
      </w:r>
      <w:hyperlink r:id="rId12" w:history="1">
        <w:r w:rsidRPr="006B2255">
          <w:rPr>
            <w:rFonts w:ascii="FrankRuehl" w:hAnsi="FrankRuehl" w:cs="FrankRuehl"/>
            <w:color w:val="0000FF"/>
            <w:rtl/>
          </w:rPr>
          <w:t>40יג(ב)</w:t>
        </w:r>
      </w:hyperlink>
    </w:p>
    <w:p w14:paraId="34C34E9F" w14:textId="77777777" w:rsidR="006B2255" w:rsidRPr="006B2255" w:rsidRDefault="006B2255" w:rsidP="006B2255">
      <w:pPr>
        <w:spacing w:before="120" w:after="120" w:line="240" w:lineRule="exact"/>
        <w:ind w:left="283" w:hanging="283"/>
        <w:jc w:val="both"/>
        <w:rPr>
          <w:rFonts w:ascii="FrankRuehl" w:hAnsi="FrankRuehl" w:cs="FrankRuehl"/>
          <w:rtl/>
        </w:rPr>
      </w:pPr>
      <w:hyperlink r:id="rId13" w:history="1">
        <w:r w:rsidRPr="006B2255">
          <w:rPr>
            <w:rFonts w:ascii="FrankRuehl" w:hAnsi="FrankRuehl" w:cs="FrankRuehl"/>
            <w:color w:val="0000FF"/>
            <w:rtl/>
          </w:rPr>
          <w:t>חוק סדר הדין הפלילי [נוסח משולב], תשמ"ב-1982</w:t>
        </w:r>
      </w:hyperlink>
      <w:r w:rsidRPr="006B2255">
        <w:rPr>
          <w:rFonts w:ascii="FrankRuehl" w:hAnsi="FrankRuehl" w:cs="FrankRuehl"/>
          <w:rtl/>
        </w:rPr>
        <w:t xml:space="preserve">: סע'  </w:t>
      </w:r>
      <w:hyperlink r:id="rId14" w:history="1">
        <w:r w:rsidRPr="006B2255">
          <w:rPr>
            <w:rFonts w:ascii="FrankRuehl" w:hAnsi="FrankRuehl" w:cs="FrankRuehl"/>
            <w:color w:val="0000FF"/>
            <w:rtl/>
          </w:rPr>
          <w:t>149(10)</w:t>
        </w:r>
      </w:hyperlink>
    </w:p>
    <w:p w14:paraId="43ABF0A5" w14:textId="77777777" w:rsidR="006B2255" w:rsidRPr="006B2255" w:rsidRDefault="006B2255" w:rsidP="006B2255">
      <w:pPr>
        <w:rPr>
          <w:rFonts w:ascii="David" w:hAnsi="David"/>
          <w:rtl/>
        </w:rPr>
      </w:pPr>
      <w:bookmarkStart w:id="3" w:name="LawTable_End"/>
      <w:bookmarkEnd w:id="3"/>
    </w:p>
    <w:p w14:paraId="363BBD56" w14:textId="77777777" w:rsidR="00D8516C" w:rsidRPr="00BF7320" w:rsidRDefault="00D8516C" w:rsidP="00BF7320">
      <w:pPr>
        <w:rPr>
          <w:rFonts w:ascii="David" w:hAnsi="David"/>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8516C" w:rsidRPr="00C156BF" w14:paraId="38815D12" w14:textId="77777777" w:rsidTr="00D8516C">
        <w:trPr>
          <w:trHeight w:val="355"/>
          <w:jc w:val="center"/>
        </w:trPr>
        <w:tc>
          <w:tcPr>
            <w:tcW w:w="8820" w:type="dxa"/>
            <w:tcBorders>
              <w:top w:val="nil"/>
              <w:left w:val="nil"/>
              <w:bottom w:val="nil"/>
              <w:right w:val="nil"/>
            </w:tcBorders>
            <w:shd w:val="clear" w:color="auto" w:fill="auto"/>
          </w:tcPr>
          <w:p w14:paraId="2CDB6C74" w14:textId="77777777" w:rsidR="004B2F3A" w:rsidRPr="00C156BF" w:rsidRDefault="004B2F3A" w:rsidP="004B2F3A">
            <w:pPr>
              <w:jc w:val="center"/>
              <w:rPr>
                <w:rFonts w:ascii="David" w:hAnsi="David"/>
                <w:b/>
                <w:bCs/>
                <w:sz w:val="28"/>
                <w:szCs w:val="28"/>
                <w:u w:val="single"/>
                <w:rtl/>
              </w:rPr>
            </w:pPr>
            <w:bookmarkStart w:id="4" w:name="PsakDin" w:colFirst="0" w:colLast="0"/>
            <w:r w:rsidRPr="00C156BF">
              <w:rPr>
                <w:rFonts w:ascii="David" w:hAnsi="David"/>
                <w:b/>
                <w:bCs/>
                <w:sz w:val="28"/>
                <w:szCs w:val="28"/>
                <w:u w:val="single"/>
                <w:rtl/>
              </w:rPr>
              <w:t>גזר דין</w:t>
            </w:r>
          </w:p>
          <w:p w14:paraId="78DC5A4E" w14:textId="77777777" w:rsidR="00D8516C" w:rsidRPr="00C156BF" w:rsidRDefault="00D8516C" w:rsidP="004B2F3A">
            <w:pPr>
              <w:jc w:val="center"/>
              <w:rPr>
                <w:rFonts w:ascii="David" w:hAnsi="David"/>
                <w:b/>
                <w:bCs/>
                <w:sz w:val="28"/>
                <w:szCs w:val="28"/>
                <w:u w:val="single"/>
                <w:rtl/>
              </w:rPr>
            </w:pPr>
          </w:p>
        </w:tc>
      </w:tr>
      <w:bookmarkEnd w:id="4"/>
    </w:tbl>
    <w:p w14:paraId="55DC4365" w14:textId="77777777" w:rsidR="00D8516C" w:rsidRPr="00C156BF" w:rsidRDefault="00D8516C" w:rsidP="00D8516C">
      <w:pPr>
        <w:rPr>
          <w:rFonts w:ascii="David" w:hAnsi="David"/>
          <w:rtl/>
        </w:rPr>
      </w:pPr>
    </w:p>
    <w:p w14:paraId="7E125AF2" w14:textId="77777777" w:rsidR="00D8516C" w:rsidRPr="00C156BF" w:rsidRDefault="00D8516C" w:rsidP="00D8516C">
      <w:pPr>
        <w:spacing w:line="360" w:lineRule="auto"/>
        <w:jc w:val="both"/>
        <w:rPr>
          <w:rFonts w:ascii="David" w:hAnsi="David"/>
          <w:rtl/>
        </w:rPr>
      </w:pPr>
      <w:r w:rsidRPr="00C156BF">
        <w:rPr>
          <w:rFonts w:ascii="David" w:hAnsi="David" w:hint="cs"/>
          <w:b/>
          <w:bCs/>
          <w:u w:val="single"/>
          <w:rtl/>
        </w:rPr>
        <w:t>כתב האישום וההליכים</w:t>
      </w:r>
    </w:p>
    <w:p w14:paraId="2137ED47" w14:textId="77777777" w:rsidR="00D8516C" w:rsidRPr="00C156BF" w:rsidRDefault="00D8516C" w:rsidP="00D8516C">
      <w:pPr>
        <w:jc w:val="both"/>
        <w:rPr>
          <w:rFonts w:ascii="David" w:hAnsi="David"/>
          <w:rtl/>
        </w:rPr>
      </w:pPr>
    </w:p>
    <w:p w14:paraId="79967DE7" w14:textId="77777777" w:rsidR="00D8516C" w:rsidRPr="00C156BF" w:rsidRDefault="00D8516C" w:rsidP="00D8516C">
      <w:pPr>
        <w:pStyle w:val="a9"/>
        <w:numPr>
          <w:ilvl w:val="0"/>
          <w:numId w:val="1"/>
        </w:numPr>
        <w:spacing w:line="360" w:lineRule="auto"/>
        <w:jc w:val="both"/>
        <w:rPr>
          <w:rFonts w:ascii="David" w:hAnsi="David"/>
        </w:rPr>
      </w:pPr>
      <w:bookmarkStart w:id="5" w:name="ABSTRACT_START"/>
      <w:bookmarkEnd w:id="5"/>
      <w:r w:rsidRPr="00C156BF">
        <w:rPr>
          <w:rFonts w:ascii="David" w:hAnsi="David" w:hint="cs"/>
          <w:rtl/>
        </w:rPr>
        <w:t xml:space="preserve">הנאשם הורשע על פי הודאתו בעבירת סחר בסם מסוכן, לפי </w:t>
      </w:r>
      <w:hyperlink r:id="rId15" w:history="1">
        <w:r w:rsidR="00C156BF" w:rsidRPr="00C156BF">
          <w:rPr>
            <w:rStyle w:val="Hyperlink"/>
            <w:rFonts w:ascii="David" w:hAnsi="David" w:hint="eastAsia"/>
            <w:rtl/>
          </w:rPr>
          <w:t>סעיף</w:t>
        </w:r>
        <w:r w:rsidR="00C156BF" w:rsidRPr="00C156BF">
          <w:rPr>
            <w:rStyle w:val="Hyperlink"/>
            <w:rFonts w:ascii="David" w:hAnsi="David"/>
            <w:rtl/>
          </w:rPr>
          <w:t xml:space="preserve"> 13+19א</w:t>
        </w:r>
      </w:hyperlink>
      <w:r w:rsidRPr="00C156BF">
        <w:rPr>
          <w:rFonts w:ascii="David" w:hAnsi="David" w:hint="cs"/>
          <w:rtl/>
        </w:rPr>
        <w:t xml:space="preserve"> לפקודת הסמים, [נוסח חדש], תשל"ג- 1973 (להלן </w:t>
      </w:r>
      <w:r w:rsidRPr="00C156BF">
        <w:rPr>
          <w:rFonts w:ascii="David" w:hAnsi="David"/>
          <w:rtl/>
        </w:rPr>
        <w:t>–</w:t>
      </w:r>
      <w:r w:rsidRPr="00C156BF">
        <w:rPr>
          <w:rFonts w:ascii="David" w:hAnsi="David" w:hint="cs"/>
          <w:rtl/>
        </w:rPr>
        <w:t xml:space="preserve"> </w:t>
      </w:r>
      <w:r w:rsidRPr="00C156BF">
        <w:rPr>
          <w:rFonts w:ascii="Miriam" w:hAnsi="Miriam"/>
          <w:rtl/>
        </w:rPr>
        <w:t>פקודת הסמים</w:t>
      </w:r>
      <w:r w:rsidRPr="00C156BF">
        <w:rPr>
          <w:rFonts w:ascii="David" w:hAnsi="David" w:hint="cs"/>
          <w:rtl/>
        </w:rPr>
        <w:t xml:space="preserve">). על פי עובדות כתב האישום, במהלך החודשים 1/22 ועד 1/23 הפעילה משטרת ישראל סוכן סמוי כנגד פעילות עבריינית בתחום הסמים והנשק, עימו הייתה לנאשם היכרות מוקדמת (להלן </w:t>
      </w:r>
      <w:r w:rsidRPr="00C156BF">
        <w:rPr>
          <w:rFonts w:ascii="David" w:hAnsi="David"/>
          <w:rtl/>
        </w:rPr>
        <w:t>–</w:t>
      </w:r>
      <w:r w:rsidRPr="00C156BF">
        <w:rPr>
          <w:rFonts w:ascii="David" w:hAnsi="David" w:hint="cs"/>
          <w:rtl/>
        </w:rPr>
        <w:t xml:space="preserve"> </w:t>
      </w:r>
      <w:r w:rsidRPr="00C156BF">
        <w:rPr>
          <w:rFonts w:ascii="Miriam" w:hAnsi="Miriam"/>
          <w:rtl/>
        </w:rPr>
        <w:t>הסוכן</w:t>
      </w:r>
      <w:r w:rsidRPr="00C156BF">
        <w:rPr>
          <w:rFonts w:ascii="David" w:hAnsi="David" w:hint="cs"/>
          <w:rtl/>
        </w:rPr>
        <w:t xml:space="preserve">). כשבועיים עובר ליום 26.1.22 יצר הנאשם קשר טלפוני עם הסוכן והשניים שוחחו על אודות חוב של הנאשם לסוכן בסך 7,500 ₪. במהלך השיחה הציע הנאשם למכור לסוכן סם מסוכן מסוג דוסה </w:t>
      </w:r>
      <w:bookmarkStart w:id="6" w:name="ABSTRACT_END"/>
      <w:bookmarkEnd w:id="6"/>
      <w:r w:rsidRPr="00C156BF">
        <w:rPr>
          <w:rFonts w:ascii="David" w:hAnsi="David" w:hint="cs"/>
          <w:rtl/>
        </w:rPr>
        <w:t xml:space="preserve">(המורכב משני סוגי סמים מסוכנים: </w:t>
      </w:r>
      <w:r w:rsidRPr="00C156BF">
        <w:rPr>
          <w:rFonts w:ascii="David" w:hAnsi="David" w:hint="cs"/>
        </w:rPr>
        <w:t>MDM</w:t>
      </w:r>
      <w:r w:rsidRPr="00C156BF">
        <w:rPr>
          <w:rFonts w:ascii="David" w:hAnsi="David"/>
        </w:rPr>
        <w:t>A</w:t>
      </w:r>
      <w:r w:rsidRPr="00C156BF">
        <w:rPr>
          <w:rFonts w:ascii="David" w:hAnsi="David" w:hint="cs"/>
          <w:rtl/>
        </w:rPr>
        <w:t xml:space="preserve"> ו-</w:t>
      </w:r>
      <w:r w:rsidRPr="00C156BF">
        <w:rPr>
          <w:rFonts w:ascii="David" w:hAnsi="David"/>
        </w:rPr>
        <w:t xml:space="preserve"> KATAMINE</w:t>
      </w:r>
      <w:r w:rsidRPr="00C156BF">
        <w:rPr>
          <w:rFonts w:ascii="David" w:hAnsi="David" w:hint="cs"/>
          <w:rtl/>
        </w:rPr>
        <w:t xml:space="preserve">) במחיר זול ממחיר השוק וזאת במטרה להסדיר את החוב, אך הסוכן סירב להצעה.  ביום 26.1.22 נוצר קשר טלפוני בין הנאשם לבין הסוכן, במהלכו ביקש הסוכן לרכוש מהנאשם את הסם שהציע בכמות של 30 גרם. הנאשם הסכים והשניים סיכמו על מחיר של 175 ₪ לגרם וכן שהסוכן ישלם סך של 4,500 ₪ בלבד, כך שיופחת מהחוב סך של 750 ₪. בהמשך הגיע </w:t>
      </w:r>
      <w:r w:rsidRPr="00C156BF">
        <w:rPr>
          <w:rFonts w:ascii="David" w:hAnsi="David" w:hint="cs"/>
          <w:rtl/>
        </w:rPr>
        <w:lastRenderedPageBreak/>
        <w:t xml:space="preserve">הסוכן למקום מגורי הנאשם, הנאשם יצא לעברו ומסר לו שקית שקופה ובה הסם במשקל 29.12 גרם נטו ובתמורה מסר לו הסוכן 4,500 ₪. </w:t>
      </w:r>
    </w:p>
    <w:p w14:paraId="1D690134" w14:textId="77777777" w:rsidR="00D8516C" w:rsidRPr="00C156BF" w:rsidRDefault="00D8516C" w:rsidP="00D8516C">
      <w:pPr>
        <w:pStyle w:val="a9"/>
        <w:rPr>
          <w:rFonts w:ascii="David" w:hAnsi="David"/>
          <w:rtl/>
        </w:rPr>
      </w:pPr>
    </w:p>
    <w:p w14:paraId="605FEC26"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לצורך הבנת התמונה כבר עתה, יצוין כי במהלך חודש 2/22 הוגש נגד הנאשם כתב אישום בגין עבירה של החזקת סם מסוג זהה לסם שנמכר לסוכן (תרכובת של </w:t>
      </w:r>
      <w:r w:rsidRPr="00C156BF">
        <w:rPr>
          <w:rFonts w:ascii="David" w:hAnsi="David" w:hint="cs"/>
        </w:rPr>
        <w:t>MDM</w:t>
      </w:r>
      <w:r w:rsidRPr="00C156BF">
        <w:rPr>
          <w:rFonts w:ascii="David" w:hAnsi="David"/>
        </w:rPr>
        <w:t>A</w:t>
      </w:r>
      <w:r w:rsidRPr="00C156BF">
        <w:rPr>
          <w:rFonts w:ascii="David" w:hAnsi="David" w:hint="cs"/>
          <w:rtl/>
        </w:rPr>
        <w:t xml:space="preserve"> ו-</w:t>
      </w:r>
      <w:r w:rsidRPr="00C156BF">
        <w:rPr>
          <w:rFonts w:ascii="David" w:hAnsi="David"/>
        </w:rPr>
        <w:t xml:space="preserve"> KATAMINE</w:t>
      </w:r>
      <w:r w:rsidRPr="00C156BF">
        <w:rPr>
          <w:rFonts w:ascii="David" w:hAnsi="David" w:hint="cs"/>
          <w:rtl/>
        </w:rPr>
        <w:t xml:space="preserve">) וזאת בעקבות צו חיפוש שהוצא ביום 26.1.22 </w:t>
      </w:r>
      <w:r w:rsidRPr="00C156BF">
        <w:rPr>
          <w:rFonts w:ascii="David" w:hAnsi="David"/>
          <w:rtl/>
        </w:rPr>
        <w:t>–</w:t>
      </w:r>
      <w:r w:rsidRPr="00C156BF">
        <w:rPr>
          <w:rFonts w:ascii="David" w:hAnsi="David" w:hint="cs"/>
          <w:rtl/>
        </w:rPr>
        <w:t xml:space="preserve"> הוא היום בו התקיימה השיחה בין הסוכן לבין הנאשם באישום הנוכחי ובהמשך גם העסקה (להלן </w:t>
      </w:r>
      <w:r w:rsidRPr="00C156BF">
        <w:rPr>
          <w:rFonts w:ascii="David" w:hAnsi="David"/>
          <w:rtl/>
        </w:rPr>
        <w:t>–</w:t>
      </w:r>
      <w:r w:rsidRPr="00C156BF">
        <w:rPr>
          <w:rFonts w:ascii="David" w:hAnsi="David" w:hint="cs"/>
          <w:rtl/>
        </w:rPr>
        <w:t xml:space="preserve"> </w:t>
      </w:r>
      <w:r w:rsidRPr="00C156BF">
        <w:rPr>
          <w:rFonts w:ascii="Miriam" w:hAnsi="Miriam"/>
          <w:rtl/>
        </w:rPr>
        <w:t>כתב האישום הראשון</w:t>
      </w:r>
      <w:r w:rsidRPr="00C156BF">
        <w:rPr>
          <w:rFonts w:ascii="David" w:hAnsi="David" w:hint="cs"/>
          <w:rtl/>
        </w:rPr>
        <w:t xml:space="preserve">). כתב האישום הראשון הוגש אגב מעצר והנאשם נידון לעונש מאסר בן 10 חודשים. מספר חודשים לאחר שחרורו הוגש כתב אישום זה (כאמור על עבירה שבוצעה כשנה קודם לכן) ושוב נעצר הנאשם ומעצרו הוארך עד תום ההליכים. לנאשם טענות רבות בדבר האופן בו נהגה המאשימה והדברים יפורטו בהמשך. </w:t>
      </w:r>
    </w:p>
    <w:p w14:paraId="5AF359DA" w14:textId="77777777" w:rsidR="00D8516C" w:rsidRPr="00C156BF" w:rsidRDefault="00D8516C" w:rsidP="00D8516C">
      <w:pPr>
        <w:pStyle w:val="a9"/>
        <w:spacing w:line="360" w:lineRule="auto"/>
        <w:ind w:left="0"/>
        <w:jc w:val="both"/>
        <w:rPr>
          <w:rFonts w:ascii="David" w:hAnsi="David"/>
          <w:rtl/>
        </w:rPr>
      </w:pPr>
    </w:p>
    <w:p w14:paraId="44CAD730" w14:textId="77777777" w:rsidR="00D8516C" w:rsidRPr="00C156BF" w:rsidRDefault="00D8516C" w:rsidP="00D8516C">
      <w:pPr>
        <w:pStyle w:val="a9"/>
        <w:spacing w:line="360" w:lineRule="auto"/>
        <w:ind w:left="0"/>
        <w:jc w:val="both"/>
        <w:rPr>
          <w:rFonts w:ascii="David" w:hAnsi="David"/>
          <w:rtl/>
        </w:rPr>
      </w:pPr>
    </w:p>
    <w:p w14:paraId="34AE21DB" w14:textId="77777777" w:rsidR="00D8516C" w:rsidRPr="00C156BF" w:rsidRDefault="00D8516C" w:rsidP="00D8516C">
      <w:pPr>
        <w:pStyle w:val="a9"/>
        <w:spacing w:line="360" w:lineRule="auto"/>
        <w:ind w:left="0"/>
        <w:jc w:val="both"/>
        <w:rPr>
          <w:rFonts w:ascii="David" w:hAnsi="David"/>
          <w:rtl/>
        </w:rPr>
      </w:pPr>
    </w:p>
    <w:p w14:paraId="1755AB19" w14:textId="77777777" w:rsidR="00D8516C" w:rsidRPr="00C156BF" w:rsidRDefault="00D8516C" w:rsidP="00D8516C">
      <w:pPr>
        <w:pStyle w:val="a9"/>
        <w:spacing w:line="360" w:lineRule="auto"/>
        <w:ind w:left="0"/>
        <w:jc w:val="both"/>
        <w:rPr>
          <w:rFonts w:ascii="David" w:hAnsi="David"/>
          <w:b/>
          <w:bCs/>
          <w:u w:val="single"/>
          <w:rtl/>
        </w:rPr>
      </w:pPr>
      <w:r w:rsidRPr="00C156BF">
        <w:rPr>
          <w:rFonts w:ascii="David" w:hAnsi="David" w:hint="cs"/>
          <w:b/>
          <w:bCs/>
          <w:u w:val="single"/>
          <w:rtl/>
        </w:rPr>
        <w:t xml:space="preserve">טיעוני הצדדים לעונש והראיות </w:t>
      </w:r>
    </w:p>
    <w:p w14:paraId="4C919E12" w14:textId="77777777" w:rsidR="00D8516C" w:rsidRPr="00C156BF" w:rsidRDefault="00D8516C" w:rsidP="00D8516C">
      <w:pPr>
        <w:pStyle w:val="a9"/>
        <w:ind w:left="0"/>
        <w:jc w:val="both"/>
        <w:rPr>
          <w:rFonts w:ascii="David" w:hAnsi="David"/>
          <w:b/>
          <w:bCs/>
          <w:u w:val="single"/>
        </w:rPr>
      </w:pPr>
    </w:p>
    <w:p w14:paraId="0969F707"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ב"כ המאשימה הגישה טיעון בכתב והשלימה טיעון בעל פה. נטען כי הערכים המוגנים שנפגעו הם שלום הציבור ובטחונו וכי מדובר בעבירה חמורה המחייבת ענישה ממשית והעדפת שיקולי הרתעה וגמול. נטען כי הנאשם היווה גורם משמעותי בשרשרת הפצת הסם והנזק שעשוי היה להיגרם משמעותי. ביחס למתחם הענישה הפנתה המאשימה לפסיקה ועתרה למתחם הנע בין 18 חודשי מאסר בפועל ועד 36 חודשי מאסר. ביחס לעונש שיש להטיל על הנאשם, נטען כי מדובר במי שלחובתו הרשעות קודמות ויש למקם לכן את עונשו בחלקו האמצעי תחתון של המתחם, לצד מאסר מותנה וקנס. </w:t>
      </w:r>
    </w:p>
    <w:p w14:paraId="41367CE4" w14:textId="77777777" w:rsidR="00D8516C" w:rsidRPr="00C156BF" w:rsidRDefault="00D8516C" w:rsidP="00D8516C">
      <w:pPr>
        <w:pStyle w:val="a9"/>
        <w:spacing w:line="360" w:lineRule="auto"/>
        <w:ind w:left="0"/>
        <w:jc w:val="both"/>
        <w:rPr>
          <w:rFonts w:ascii="David" w:hAnsi="David"/>
        </w:rPr>
      </w:pPr>
    </w:p>
    <w:p w14:paraId="62621D41"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ב"כ הנאשם ציין כי הנאשם נידון במסגרת כתב האישום הראשון לעונש מאסר בגין עבירת החזקת סמים שהיא חלק בלתי נפרד מעבירת הסחר בתיק זה. לשיטת ההגנה, עבירת החזקת הסמים ועבירת הסחר כרוכות זו בזו ומשכך, אם כתב האישום היה מוגש כשהוא כולל את שתי העבירות, היה נקבע מתחם ענישה אחד הנע בין 12 חודשי מאסר בפועל ועד 24 חודשי מאסר בפועל ועונשו של הנאשם היה נגזר לעונש קל יותר מאשר לו עותרת המאשימה כעת (בשילוב העונש שכבר נשא). לאור כך נטען שפיצול העבירות לשני כתבי אישום נפרדים גרם עיוות דין לנאשם ומשכך קיימת הצדקה לחריגה מהמתחם בשל הגנה מן הצדק.</w:t>
      </w:r>
    </w:p>
    <w:p w14:paraId="69092C10" w14:textId="77777777" w:rsidR="00D8516C" w:rsidRPr="00C156BF" w:rsidRDefault="00D8516C" w:rsidP="00D8516C">
      <w:pPr>
        <w:pStyle w:val="a9"/>
        <w:rPr>
          <w:rFonts w:ascii="David" w:hAnsi="David"/>
          <w:rtl/>
        </w:rPr>
      </w:pPr>
    </w:p>
    <w:p w14:paraId="1FEC5FC5"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הנאשם בדברו האחרון ציין שקיבל אחריות למעשיו, ריצה את העונש שהוטל עליו במסגרת כתב האישום הראשון וכיום הוא מבקש לשקם את חייו, להינשא ולעבוד לפרנסתו. </w:t>
      </w:r>
    </w:p>
    <w:p w14:paraId="4A22C901" w14:textId="77777777" w:rsidR="00D8516C" w:rsidRPr="00C156BF" w:rsidRDefault="00D8516C" w:rsidP="00D8516C">
      <w:pPr>
        <w:pStyle w:val="a9"/>
        <w:ind w:left="0"/>
        <w:jc w:val="both"/>
        <w:rPr>
          <w:rFonts w:ascii="David" w:hAnsi="David"/>
          <w:b/>
          <w:bCs/>
          <w:u w:val="single"/>
          <w:rtl/>
        </w:rPr>
      </w:pPr>
    </w:p>
    <w:p w14:paraId="33860D4C" w14:textId="77777777" w:rsidR="00D8516C" w:rsidRPr="00C156BF" w:rsidRDefault="00D8516C" w:rsidP="00D8516C">
      <w:pPr>
        <w:pStyle w:val="a9"/>
        <w:spacing w:line="360" w:lineRule="auto"/>
        <w:ind w:left="0"/>
        <w:jc w:val="both"/>
        <w:rPr>
          <w:rFonts w:ascii="David" w:hAnsi="David"/>
          <w:b/>
          <w:bCs/>
          <w:u w:val="single"/>
          <w:rtl/>
        </w:rPr>
      </w:pPr>
      <w:r w:rsidRPr="00C156BF">
        <w:rPr>
          <w:rFonts w:ascii="David" w:hAnsi="David" w:hint="cs"/>
          <w:b/>
          <w:bCs/>
          <w:u w:val="single"/>
          <w:rtl/>
        </w:rPr>
        <w:t>דיון והכרעה</w:t>
      </w:r>
    </w:p>
    <w:p w14:paraId="38B8DF99" w14:textId="77777777" w:rsidR="00D8516C" w:rsidRPr="00C156BF" w:rsidRDefault="00D8516C" w:rsidP="00D8516C">
      <w:pPr>
        <w:pStyle w:val="a9"/>
        <w:spacing w:line="360" w:lineRule="auto"/>
        <w:ind w:left="0"/>
        <w:jc w:val="both"/>
        <w:rPr>
          <w:rFonts w:ascii="David" w:hAnsi="David"/>
        </w:rPr>
      </w:pPr>
      <w:r w:rsidRPr="00C156BF">
        <w:rPr>
          <w:rFonts w:ascii="David" w:hAnsi="David" w:hint="cs"/>
          <w:b/>
          <w:bCs/>
          <w:u w:val="single"/>
          <w:rtl/>
        </w:rPr>
        <w:t>קביעת מתחם הענישה</w:t>
      </w:r>
    </w:p>
    <w:p w14:paraId="2766B2E5" w14:textId="77777777" w:rsidR="00D8516C" w:rsidRPr="00C156BF" w:rsidRDefault="00D8516C" w:rsidP="00D8516C">
      <w:pPr>
        <w:pStyle w:val="a9"/>
        <w:rPr>
          <w:rFonts w:ascii="David" w:hAnsi="David"/>
          <w:rtl/>
        </w:rPr>
      </w:pPr>
    </w:p>
    <w:p w14:paraId="29E9CB84"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rtl/>
        </w:rPr>
        <w:lastRenderedPageBreak/>
        <w:t>נגע הסמים מכלה כל חלקה טובה בחברה. על נזקיו הבריאותיים, החברתיים והכלכליים, אין צורך להכביר מילים (</w:t>
      </w:r>
      <w:hyperlink r:id="rId16" w:history="1">
        <w:r w:rsidR="004B2F3A" w:rsidRPr="00C156BF">
          <w:rPr>
            <w:color w:val="0000FF"/>
            <w:u w:val="single"/>
            <w:rtl/>
          </w:rPr>
          <w:t>ע"פ 11220/03</w:t>
        </w:r>
      </w:hyperlink>
      <w:r w:rsidRPr="00C156BF">
        <w:rPr>
          <w:rFonts w:ascii="David" w:hAnsi="David"/>
          <w:rtl/>
        </w:rPr>
        <w:t xml:space="preserve"> </w:t>
      </w:r>
      <w:r w:rsidRPr="00C156BF">
        <w:rPr>
          <w:rFonts w:ascii="David" w:hAnsi="David"/>
          <w:b/>
          <w:bCs/>
          <w:rtl/>
        </w:rPr>
        <w:t>פלוני נ' מדינת ישראל</w:t>
      </w:r>
      <w:r w:rsidRPr="00C156BF">
        <w:rPr>
          <w:rFonts w:ascii="David" w:hAnsi="David"/>
          <w:rtl/>
        </w:rPr>
        <w:t xml:space="preserve"> (6.7.2005); </w:t>
      </w:r>
      <w:hyperlink r:id="rId17" w:history="1">
        <w:r w:rsidR="004B2F3A" w:rsidRPr="00C156BF">
          <w:rPr>
            <w:color w:val="0000FF"/>
            <w:u w:val="single"/>
            <w:rtl/>
          </w:rPr>
          <w:t>ע"פ 4998/95</w:t>
        </w:r>
      </w:hyperlink>
      <w:r w:rsidRPr="00C156BF">
        <w:rPr>
          <w:rtl/>
        </w:rPr>
        <w:t xml:space="preserve"> </w:t>
      </w:r>
      <w:r w:rsidRPr="00C156BF">
        <w:rPr>
          <w:b/>
          <w:bCs/>
          <w:rtl/>
        </w:rPr>
        <w:t>קרדוסו נ' מדינת ישראל</w:t>
      </w:r>
      <w:r w:rsidRPr="00C156BF">
        <w:rPr>
          <w:rtl/>
        </w:rPr>
        <w:t>, פ"ד נא</w:t>
      </w:r>
      <w:r w:rsidRPr="00C156BF">
        <w:rPr>
          <w:rFonts w:ascii="David" w:hAnsi="David"/>
          <w:rtl/>
        </w:rPr>
        <w:t xml:space="preserve">(3), 769)). הצורך בסם מוליד מספר נזקי משנה ובהם נזקים לגופו של המשתמש בסם, ובעקיפין גם לשלום הציבור, </w:t>
      </w:r>
      <w:r w:rsidRPr="00C156BF">
        <w:rPr>
          <w:rFonts w:ascii="David" w:hAnsi="David" w:hint="cs"/>
          <w:rtl/>
        </w:rPr>
        <w:t xml:space="preserve">וזאת </w:t>
      </w:r>
      <w:r w:rsidRPr="00C156BF">
        <w:rPr>
          <w:rFonts w:ascii="David" w:hAnsi="David"/>
          <w:rtl/>
        </w:rPr>
        <w:t>בשל כך שלרוב מכורי הסם מבצעים עבירות רכוש על מנת לממנו. בענייננו, שימש</w:t>
      </w:r>
      <w:r w:rsidRPr="00C156BF">
        <w:rPr>
          <w:rFonts w:ascii="David" w:hAnsi="David" w:hint="cs"/>
          <w:rtl/>
        </w:rPr>
        <w:t xml:space="preserve"> הנאשם </w:t>
      </w:r>
      <w:r w:rsidRPr="00C156BF">
        <w:rPr>
          <w:rFonts w:ascii="David" w:hAnsi="David"/>
          <w:rtl/>
        </w:rPr>
        <w:t>חלק ממשי במערך הפצת הסמים ומכאן שפגע פגיעה ממשית באינטרסים המוגנים כמפורט לעיל.</w:t>
      </w:r>
      <w:r w:rsidRPr="00C156BF">
        <w:rPr>
          <w:rFonts w:ascii="David" w:hAnsi="David" w:hint="cs"/>
          <w:rtl/>
        </w:rPr>
        <w:t xml:space="preserve"> </w:t>
      </w:r>
    </w:p>
    <w:p w14:paraId="09315602" w14:textId="77777777" w:rsidR="00D8516C" w:rsidRPr="00C156BF" w:rsidRDefault="00D8516C" w:rsidP="00D8516C">
      <w:pPr>
        <w:pStyle w:val="a9"/>
        <w:ind w:left="0"/>
        <w:jc w:val="both"/>
        <w:rPr>
          <w:rFonts w:ascii="David" w:hAnsi="David"/>
        </w:rPr>
      </w:pPr>
    </w:p>
    <w:p w14:paraId="44BD300A"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ביחס לנסיבות הקשורות לביצוע העבירה יודגש שמדובר בעבירה מתוכננת המצריכה הצטיידות בסמים. כן יש להביא בחשבון שמדובר בסם המורכב משני סוגי סמים קשים והכמות בה סחר הנאשם משמעותית </w:t>
      </w:r>
      <w:r w:rsidRPr="00C156BF">
        <w:rPr>
          <w:rFonts w:ascii="David" w:hAnsi="David"/>
          <w:rtl/>
        </w:rPr>
        <w:t>(להשפעתו הרעה של סם</w:t>
      </w:r>
      <w:r w:rsidRPr="00C156BF">
        <w:rPr>
          <w:rFonts w:ascii="David" w:hAnsi="David" w:hint="cs"/>
          <w:rtl/>
        </w:rPr>
        <w:t xml:space="preserve"> </w:t>
      </w:r>
      <w:r w:rsidRPr="00C156BF">
        <w:rPr>
          <w:rFonts w:ascii="David" w:hAnsi="David"/>
          <w:rtl/>
        </w:rPr>
        <w:t xml:space="preserve">ה- </w:t>
      </w:r>
      <w:r w:rsidRPr="00C156BF">
        <w:rPr>
          <w:rFonts w:ascii="Arial" w:hAnsi="Arial"/>
          <w:sz w:val="22"/>
          <w:szCs w:val="22"/>
        </w:rPr>
        <w:t>MDMA</w:t>
      </w:r>
      <w:r w:rsidRPr="00C156BF">
        <w:rPr>
          <w:rFonts w:ascii="David" w:hAnsi="David"/>
          <w:rtl/>
        </w:rPr>
        <w:t xml:space="preserve"> ראו </w:t>
      </w:r>
      <w:r w:rsidRPr="00C156BF">
        <w:rPr>
          <w:rFonts w:ascii="David" w:hAnsi="David" w:hint="cs"/>
          <w:rtl/>
        </w:rPr>
        <w:t xml:space="preserve">למשל </w:t>
      </w:r>
      <w:hyperlink r:id="rId18" w:history="1">
        <w:r w:rsidR="004B2F3A" w:rsidRPr="00C156BF">
          <w:rPr>
            <w:rFonts w:ascii="David" w:hAnsi="David"/>
            <w:color w:val="0000FF"/>
            <w:u w:val="single"/>
            <w:rtl/>
          </w:rPr>
          <w:t>עפ"ג 29138-07-17</w:t>
        </w:r>
      </w:hyperlink>
      <w:r w:rsidRPr="00C156BF">
        <w:rPr>
          <w:rFonts w:ascii="David" w:hAnsi="David"/>
          <w:rtl/>
        </w:rPr>
        <w:t xml:space="preserve"> </w:t>
      </w:r>
      <w:r w:rsidRPr="00C156BF">
        <w:rPr>
          <w:rFonts w:ascii="David" w:hAnsi="David"/>
          <w:b/>
          <w:bCs/>
          <w:rtl/>
        </w:rPr>
        <w:t>מדינת ישראל נ' גית</w:t>
      </w:r>
      <w:r w:rsidRPr="00C156BF">
        <w:rPr>
          <w:rFonts w:ascii="David" w:hAnsi="David"/>
          <w:rtl/>
        </w:rPr>
        <w:t xml:space="preserve"> (17.8.2017)).</w:t>
      </w:r>
      <w:r w:rsidRPr="00C156BF">
        <w:rPr>
          <w:rFonts w:ascii="David" w:hAnsi="David" w:hint="cs"/>
          <w:rtl/>
        </w:rPr>
        <w:t xml:space="preserve"> ביחס לסיבה בעטיה בוצעה העבירה, הרי שככלל עבירות סחר בסמים מבוצעות ממניעים של רווח כספי וכך הם פני הדברים גם בענייננו. ואולם, מקרה זה שונה מתיקי סוכן קלאסיים. במקרה זה מדובר בשניים שהכירו ולנאשם היה חוב כלפי הסוכן. המכירה לא בוצעה על רקע פעילות הסוכן, אלא במסגרת היחסים שבין הצדדים ובמטרה לקזז חוב כספי. כמו כן, מדובר היה באירוע חד פעמי. (עם זאת, לחומרה שבמכירת סם גם למכרים ראו: </w:t>
      </w:r>
      <w:hyperlink r:id="rId19" w:history="1">
        <w:r w:rsidR="004B2F3A" w:rsidRPr="00C156BF">
          <w:rPr>
            <w:rFonts w:ascii="David" w:hAnsi="David"/>
            <w:color w:val="0000FF"/>
            <w:u w:val="single"/>
            <w:rtl/>
          </w:rPr>
          <w:t>ע"פ 5826/19</w:t>
        </w:r>
      </w:hyperlink>
      <w:r w:rsidRPr="00C156BF">
        <w:rPr>
          <w:rFonts w:ascii="David" w:hAnsi="David" w:hint="cs"/>
          <w:rtl/>
        </w:rPr>
        <w:t xml:space="preserve"> </w:t>
      </w:r>
      <w:r w:rsidRPr="00C156BF">
        <w:rPr>
          <w:rFonts w:ascii="David" w:hAnsi="David" w:hint="cs"/>
          <w:b/>
          <w:bCs/>
          <w:rtl/>
        </w:rPr>
        <w:t>מדינת ישראל נ' דורי רפאל</w:t>
      </w:r>
      <w:r w:rsidRPr="00C156BF">
        <w:rPr>
          <w:rFonts w:ascii="David" w:hAnsi="David" w:hint="cs"/>
          <w:rtl/>
        </w:rPr>
        <w:t xml:space="preserve"> (21.1.2020)). </w:t>
      </w:r>
    </w:p>
    <w:p w14:paraId="28E8DB02" w14:textId="77777777" w:rsidR="00D8516C" w:rsidRPr="00C156BF" w:rsidRDefault="00D8516C" w:rsidP="00D8516C">
      <w:pPr>
        <w:pStyle w:val="a9"/>
        <w:rPr>
          <w:rFonts w:ascii="David" w:hAnsi="David"/>
          <w:rtl/>
        </w:rPr>
      </w:pPr>
    </w:p>
    <w:p w14:paraId="08269A5F"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b/>
          <w:bCs/>
          <w:rtl/>
        </w:rPr>
        <w:t>מדיניות הענישה</w:t>
      </w:r>
      <w:r w:rsidRPr="00C156BF">
        <w:rPr>
          <w:rFonts w:ascii="David" w:hAnsi="David"/>
          <w:rtl/>
        </w:rPr>
        <w:t>: מדיניות הענישה בעבירות סמים הקשורות לשרשרת ההפצה היא ככלל מחמירה ולנסיבות האישיות ניתן משקל מופחת. בעניין זה נקבע לא אחת כי "</w:t>
      </w:r>
      <w:r w:rsidRPr="00C156BF">
        <w:rPr>
          <w:rFonts w:ascii="Miriam" w:hAnsi="Miriam"/>
          <w:rtl/>
        </w:rPr>
        <w:t>ההלכה בעניין עבירות סמים קובעת כי נוכח חומרתן הרבה של אותן העבירות יש להתמודד מולן באמצעות ענישה משמעותית ומחמירה ... [ו]כי יש לבכר את שיקולי ההרתעה על השיקולים האישיים בעבירות מסוג זה</w:t>
      </w:r>
      <w:r w:rsidRPr="00C156BF">
        <w:rPr>
          <w:rFonts w:ascii="David" w:hAnsi="David"/>
          <w:rtl/>
        </w:rPr>
        <w:t>" (</w:t>
      </w:r>
      <w:hyperlink r:id="rId20" w:history="1">
        <w:r w:rsidR="004B2F3A" w:rsidRPr="00C156BF">
          <w:rPr>
            <w:rFonts w:ascii="David" w:hAnsi="David"/>
            <w:color w:val="0000FF"/>
            <w:u w:val="single"/>
            <w:rtl/>
          </w:rPr>
          <w:t>ע"פ 8988/16</w:t>
        </w:r>
      </w:hyperlink>
      <w:r w:rsidRPr="00C156BF">
        <w:rPr>
          <w:rFonts w:ascii="David" w:hAnsi="David"/>
          <w:rtl/>
        </w:rPr>
        <w:t xml:space="preserve"> </w:t>
      </w:r>
      <w:r w:rsidRPr="00C156BF">
        <w:rPr>
          <w:rFonts w:ascii="David" w:hAnsi="David"/>
          <w:b/>
          <w:bCs/>
          <w:rtl/>
        </w:rPr>
        <w:t>אשר בן סימון נ' מדינת ישראל</w:t>
      </w:r>
      <w:r w:rsidRPr="00C156BF">
        <w:rPr>
          <w:rFonts w:ascii="David" w:hAnsi="David"/>
          <w:rtl/>
        </w:rPr>
        <w:t xml:space="preserve"> (8.3.2017)). הענישה המחמירה נועדה להרתיע מפני ביצוען, וזאת על מנת להגן על הציבור מפני השפעותיו הקשות של הסם (</w:t>
      </w:r>
      <w:hyperlink r:id="rId21" w:history="1">
        <w:r w:rsidR="004B2F3A" w:rsidRPr="00C156BF">
          <w:rPr>
            <w:rFonts w:ascii="David" w:hAnsi="David"/>
            <w:color w:val="0000FF"/>
            <w:u w:val="single"/>
            <w:rtl/>
          </w:rPr>
          <w:t>רע"פ 4512/15</w:t>
        </w:r>
      </w:hyperlink>
      <w:r w:rsidRPr="00C156BF">
        <w:rPr>
          <w:rFonts w:ascii="David" w:hAnsi="David"/>
          <w:rtl/>
        </w:rPr>
        <w:t xml:space="preserve"> </w:t>
      </w:r>
      <w:r w:rsidRPr="00C156BF">
        <w:rPr>
          <w:rFonts w:ascii="David" w:hAnsi="David"/>
          <w:b/>
          <w:bCs/>
          <w:rtl/>
        </w:rPr>
        <w:t>הרוש נ' מדינת ישראל</w:t>
      </w:r>
      <w:r w:rsidRPr="00C156BF">
        <w:rPr>
          <w:rFonts w:ascii="David" w:hAnsi="David"/>
          <w:rtl/>
        </w:rPr>
        <w:t xml:space="preserve"> (6.7.2015); </w:t>
      </w:r>
      <w:hyperlink r:id="rId22" w:history="1">
        <w:r w:rsidR="004B2F3A" w:rsidRPr="00C156BF">
          <w:rPr>
            <w:rFonts w:ascii="David" w:hAnsi="David"/>
            <w:color w:val="0000FF"/>
            <w:u w:val="single"/>
            <w:rtl/>
          </w:rPr>
          <w:t>ע"פ 211/09</w:t>
        </w:r>
      </w:hyperlink>
      <w:r w:rsidRPr="00C156BF">
        <w:rPr>
          <w:rFonts w:ascii="David" w:hAnsi="David"/>
          <w:rtl/>
        </w:rPr>
        <w:t xml:space="preserve"> </w:t>
      </w:r>
      <w:r w:rsidRPr="00C156BF">
        <w:rPr>
          <w:rFonts w:ascii="David" w:hAnsi="David"/>
          <w:b/>
          <w:bCs/>
          <w:rtl/>
        </w:rPr>
        <w:t>אזולאי נ' מדינת ישראל</w:t>
      </w:r>
      <w:r w:rsidRPr="00C156BF">
        <w:rPr>
          <w:rFonts w:ascii="David" w:hAnsi="David"/>
          <w:rtl/>
        </w:rPr>
        <w:t xml:space="preserve"> (22.6.2010)).</w:t>
      </w:r>
      <w:r w:rsidRPr="00C156BF">
        <w:rPr>
          <w:rFonts w:ascii="David" w:hAnsi="David" w:hint="cs"/>
          <w:rtl/>
        </w:rPr>
        <w:t xml:space="preserve"> כמו כן נודעת חשיבות, מטבע הדברים, לכמות הסם וסוגו (</w:t>
      </w:r>
      <w:hyperlink r:id="rId23" w:history="1">
        <w:r w:rsidR="004B2F3A" w:rsidRPr="00C156BF">
          <w:rPr>
            <w:rFonts w:ascii="David" w:hAnsi="David"/>
            <w:color w:val="0000FF"/>
            <w:u w:val="single"/>
            <w:rtl/>
          </w:rPr>
          <w:t>ע"פ 1987/15</w:t>
        </w:r>
      </w:hyperlink>
      <w:r w:rsidRPr="00C156BF">
        <w:rPr>
          <w:rFonts w:ascii="David" w:hAnsi="David"/>
          <w:rtl/>
        </w:rPr>
        <w:t xml:space="preserve"> </w:t>
      </w:r>
      <w:r w:rsidRPr="00C156BF">
        <w:rPr>
          <w:rFonts w:ascii="David" w:hAnsi="David"/>
          <w:b/>
          <w:bCs/>
          <w:rtl/>
        </w:rPr>
        <w:t>דורי נ' מדינת ישראל, פסקה 9</w:t>
      </w:r>
      <w:r w:rsidRPr="00C156BF">
        <w:rPr>
          <w:rFonts w:ascii="David" w:hAnsi="David"/>
          <w:rtl/>
        </w:rPr>
        <w:t xml:space="preserve"> (‏17.8.2015)</w:t>
      </w:r>
      <w:r w:rsidRPr="00C156BF">
        <w:rPr>
          <w:rFonts w:ascii="David" w:hAnsi="David" w:hint="cs"/>
          <w:rtl/>
        </w:rPr>
        <w:t xml:space="preserve">; </w:t>
      </w:r>
      <w:hyperlink r:id="rId24" w:history="1">
        <w:r w:rsidR="004B2F3A" w:rsidRPr="00C156BF">
          <w:rPr>
            <w:rFonts w:ascii="David" w:hAnsi="David"/>
            <w:color w:val="0000FF"/>
            <w:u w:val="single"/>
            <w:rtl/>
          </w:rPr>
          <w:t>ע"פ 7952/15</w:t>
        </w:r>
      </w:hyperlink>
      <w:r w:rsidRPr="00C156BF">
        <w:rPr>
          <w:rFonts w:ascii="David" w:hAnsi="David" w:hint="cs"/>
          <w:rtl/>
        </w:rPr>
        <w:t xml:space="preserve"> </w:t>
      </w:r>
      <w:r w:rsidRPr="00C156BF">
        <w:rPr>
          <w:rFonts w:ascii="David" w:hAnsi="David" w:hint="cs"/>
          <w:b/>
          <w:bCs/>
          <w:rtl/>
        </w:rPr>
        <w:t>מדינת ישראל נ' אילון ישראל שץ</w:t>
      </w:r>
      <w:r w:rsidRPr="00C156BF">
        <w:rPr>
          <w:rFonts w:ascii="David" w:hAnsi="David" w:hint="cs"/>
          <w:rtl/>
        </w:rPr>
        <w:t xml:space="preserve"> (15.2.2016), פסקה 44)</w:t>
      </w:r>
      <w:r w:rsidRPr="00C156BF">
        <w:rPr>
          <w:rFonts w:hint="cs"/>
          <w:spacing w:val="10"/>
          <w:sz w:val="28"/>
          <w:szCs w:val="28"/>
          <w:rtl/>
        </w:rPr>
        <w:t>).</w:t>
      </w:r>
    </w:p>
    <w:p w14:paraId="4BFCDC4B" w14:textId="77777777" w:rsidR="00D8516C" w:rsidRPr="00C156BF" w:rsidRDefault="00D8516C" w:rsidP="00D8516C">
      <w:pPr>
        <w:pStyle w:val="a9"/>
        <w:rPr>
          <w:rFonts w:ascii="David" w:hAnsi="David"/>
          <w:rtl/>
        </w:rPr>
      </w:pPr>
    </w:p>
    <w:p w14:paraId="3E9C0269"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לצורך בחינת מדיניות הענישה אפנה לפסקי הדין הבאים: </w:t>
      </w:r>
      <w:hyperlink r:id="rId25" w:history="1">
        <w:r w:rsidR="004B2F3A" w:rsidRPr="00C156BF">
          <w:rPr>
            <w:rFonts w:ascii="David" w:hAnsi="David"/>
            <w:color w:val="0000FF"/>
            <w:u w:val="single"/>
            <w:rtl/>
          </w:rPr>
          <w:t>עפ"ג 25919-04-19</w:t>
        </w:r>
      </w:hyperlink>
      <w:r w:rsidRPr="00C156BF">
        <w:rPr>
          <w:rFonts w:ascii="David" w:hAnsi="David"/>
          <w:rtl/>
        </w:rPr>
        <w:t xml:space="preserve"> </w:t>
      </w:r>
      <w:r w:rsidRPr="00C156BF">
        <w:rPr>
          <w:rFonts w:ascii="David" w:hAnsi="David"/>
          <w:b/>
          <w:bCs/>
          <w:rtl/>
        </w:rPr>
        <w:t>אחמד גאבר נ' מדינת ישראל</w:t>
      </w:r>
      <w:r w:rsidRPr="00C156BF">
        <w:rPr>
          <w:rFonts w:ascii="David" w:hAnsi="David" w:hint="cs"/>
          <w:rtl/>
        </w:rPr>
        <w:t xml:space="preserve"> (8.1.2020), בו נידון עניינו של נאשם שניסה למכור 400 כדורי </w:t>
      </w:r>
      <w:r w:rsidRPr="00C156BF">
        <w:rPr>
          <w:rFonts w:ascii="David" w:hAnsi="David"/>
        </w:rPr>
        <w:t>MDMA</w:t>
      </w:r>
      <w:r w:rsidRPr="00C156BF">
        <w:rPr>
          <w:rFonts w:ascii="David" w:hAnsi="David" w:hint="cs"/>
          <w:rtl/>
        </w:rPr>
        <w:t xml:space="preserve">, הורשע בעבירת ניסיון סחר בסם מסוכן ונידון ל-14 חודשי מאסר בפועל ועונשים נלווים. ערעורו התקבל ועונשו הוקל ל-12 חודשי מאסר בפועל; </w:t>
      </w:r>
      <w:hyperlink r:id="rId26" w:history="1">
        <w:r w:rsidR="004B2F3A" w:rsidRPr="00C156BF">
          <w:rPr>
            <w:rFonts w:ascii="David" w:hAnsi="David"/>
            <w:color w:val="0000FF"/>
            <w:u w:val="single"/>
            <w:rtl/>
          </w:rPr>
          <w:t>עפ"ג 5894-09-21</w:t>
        </w:r>
      </w:hyperlink>
      <w:r w:rsidRPr="00C156BF">
        <w:rPr>
          <w:rFonts w:ascii="David" w:hAnsi="David"/>
          <w:rtl/>
        </w:rPr>
        <w:t xml:space="preserve"> </w:t>
      </w:r>
      <w:r w:rsidRPr="00C156BF">
        <w:rPr>
          <w:rFonts w:ascii="David" w:hAnsi="David"/>
          <w:b/>
          <w:bCs/>
          <w:rtl/>
        </w:rPr>
        <w:t>שטיינברגר נ' מדינת ישראל</w:t>
      </w:r>
      <w:r w:rsidRPr="00C156BF">
        <w:rPr>
          <w:rFonts w:ascii="David" w:hAnsi="David" w:hint="cs"/>
          <w:rtl/>
        </w:rPr>
        <w:t xml:space="preserve"> (14.2.2022), בו נידון עניינו של נאשם שהורשע בעבירת אספקת סם מסוכן ונידון ל-11 חודשי מאסר בפועל ועונשים נלווים. הנאשם, עו"ד במקצועו, סיפק לאסיר 0.94 גרם קוקאין במסגרת ביקור בכלא. ערעור הנאשם התקבל ועונשו הוקל ל-8 חודשי מאסר בפועל, מאסר מותנה וקנס; </w:t>
      </w:r>
      <w:hyperlink r:id="rId27" w:history="1">
        <w:r w:rsidR="004B2F3A" w:rsidRPr="00C156BF">
          <w:rPr>
            <w:rFonts w:ascii="David" w:hAnsi="David"/>
            <w:color w:val="0000FF"/>
            <w:u w:val="single"/>
            <w:rtl/>
          </w:rPr>
          <w:t>עפ"ג 33330-10-20</w:t>
        </w:r>
      </w:hyperlink>
      <w:r w:rsidRPr="00C156BF">
        <w:rPr>
          <w:rFonts w:ascii="David" w:hAnsi="David"/>
          <w:rtl/>
        </w:rPr>
        <w:t xml:space="preserve"> </w:t>
      </w:r>
      <w:r w:rsidRPr="00C156BF">
        <w:rPr>
          <w:rFonts w:ascii="David" w:hAnsi="David"/>
          <w:b/>
          <w:bCs/>
          <w:rtl/>
        </w:rPr>
        <w:t>יוסף סליאמן נ' מדינת ישראל</w:t>
      </w:r>
      <w:r w:rsidRPr="00C156BF">
        <w:rPr>
          <w:rFonts w:ascii="David" w:hAnsi="David" w:hint="cs"/>
          <w:rtl/>
        </w:rPr>
        <w:t xml:space="preserve"> (7.4.2021), בו הורשע הנאשם בכך שבשלוש הזדמנויות מכר  לסוכן משטרתי מעל ל-500 כדורי </w:t>
      </w:r>
      <w:r w:rsidRPr="00C156BF">
        <w:rPr>
          <w:rFonts w:ascii="David" w:hAnsi="David" w:hint="cs"/>
        </w:rPr>
        <w:t>MDMA</w:t>
      </w:r>
      <w:r w:rsidRPr="00C156BF">
        <w:rPr>
          <w:rFonts w:ascii="David" w:hAnsi="David" w:hint="cs"/>
          <w:rtl/>
        </w:rPr>
        <w:t xml:space="preserve"> ו-4 גרם קוקאין  והוטלו עליו 39 חודשי מאסר וכן הופעל מאסר מותנה; </w:t>
      </w:r>
      <w:hyperlink r:id="rId28" w:history="1">
        <w:r w:rsidR="004B2F3A" w:rsidRPr="00C156BF">
          <w:rPr>
            <w:rFonts w:ascii="David" w:hAnsi="David"/>
            <w:color w:val="0000FF"/>
            <w:u w:val="single"/>
            <w:rtl/>
          </w:rPr>
          <w:t>עפ"ג 39844-08-13</w:t>
        </w:r>
      </w:hyperlink>
      <w:r w:rsidRPr="00C156BF">
        <w:rPr>
          <w:rFonts w:ascii="David" w:hAnsi="David" w:hint="cs"/>
          <w:rtl/>
        </w:rPr>
        <w:t xml:space="preserve"> </w:t>
      </w:r>
      <w:r w:rsidRPr="00C156BF">
        <w:rPr>
          <w:rFonts w:ascii="David" w:hAnsi="David" w:hint="cs"/>
          <w:b/>
          <w:bCs/>
          <w:rtl/>
        </w:rPr>
        <w:t>מדינת ישראל נ' פאיז אבו רקק</w:t>
      </w:r>
      <w:r w:rsidRPr="00C156BF">
        <w:rPr>
          <w:rFonts w:ascii="David" w:hAnsi="David" w:hint="cs"/>
          <w:rtl/>
        </w:rPr>
        <w:t xml:space="preserve"> (26.12.2013) בו נקבע מתחם הנע בין 12 חודשים מאסר ועד 24 חודשי מאסר בגין מכירת לסוכן של כ-20 גרם קוקאין בשתי הזדמנויות; כן ראו המתחם שאושר ב</w:t>
      </w:r>
      <w:bookmarkStart w:id="7" w:name="casename_body"/>
      <w:r w:rsidR="004B2F3A" w:rsidRPr="00C156BF">
        <w:rPr>
          <w:rFonts w:ascii="David" w:hAnsi="David"/>
          <w:color w:val="0000FF"/>
          <w:u w:val="single"/>
          <w:rtl/>
        </w:rPr>
        <w:fldChar w:fldCharType="begin"/>
      </w:r>
      <w:r w:rsidR="004B2F3A" w:rsidRPr="00C156BF">
        <w:rPr>
          <w:rFonts w:ascii="David" w:hAnsi="David"/>
          <w:color w:val="0000FF"/>
          <w:u w:val="single"/>
          <w:rtl/>
        </w:rPr>
        <w:instrText xml:space="preserve"> </w:instrText>
      </w:r>
      <w:r w:rsidR="004B2F3A" w:rsidRPr="00C156BF">
        <w:rPr>
          <w:rFonts w:ascii="David" w:hAnsi="David"/>
          <w:color w:val="0000FF"/>
          <w:u w:val="single"/>
        </w:rPr>
        <w:instrText xml:space="preserve">HYPERLINK </w:instrText>
      </w:r>
      <w:r w:rsidR="004B2F3A" w:rsidRPr="00C156BF">
        <w:rPr>
          <w:rFonts w:ascii="David" w:hAnsi="David"/>
          <w:color w:val="0000FF"/>
          <w:u w:val="single"/>
          <w:rtl/>
        </w:rPr>
        <w:instrText>"</w:instrText>
      </w:r>
      <w:r w:rsidR="004B2F3A" w:rsidRPr="00C156BF">
        <w:rPr>
          <w:rFonts w:ascii="David" w:hAnsi="David"/>
          <w:color w:val="0000FF"/>
          <w:u w:val="single"/>
        </w:rPr>
        <w:instrText>http://www.nevo.co.il/case/20956295"</w:instrText>
      </w:r>
      <w:r w:rsidR="004B2F3A" w:rsidRPr="00C156BF">
        <w:rPr>
          <w:rFonts w:ascii="David" w:hAnsi="David"/>
          <w:color w:val="0000FF"/>
          <w:u w:val="single"/>
          <w:rtl/>
        </w:rPr>
        <w:instrText xml:space="preserve"> </w:instrText>
      </w:r>
      <w:r w:rsidR="004B2F3A" w:rsidRPr="00C156BF">
        <w:rPr>
          <w:rFonts w:ascii="David" w:hAnsi="David"/>
          <w:color w:val="0000FF"/>
          <w:u w:val="single"/>
          <w:rtl/>
        </w:rPr>
      </w:r>
      <w:r w:rsidR="004B2F3A" w:rsidRPr="00C156BF">
        <w:rPr>
          <w:rFonts w:ascii="David" w:hAnsi="David"/>
          <w:color w:val="0000FF"/>
          <w:u w:val="single"/>
          <w:rtl/>
        </w:rPr>
        <w:fldChar w:fldCharType="separate"/>
      </w:r>
      <w:bookmarkEnd w:id="7"/>
      <w:r w:rsidR="004B2F3A" w:rsidRPr="00C156BF">
        <w:rPr>
          <w:rFonts w:ascii="David" w:hAnsi="David"/>
          <w:color w:val="0000FF"/>
          <w:u w:val="single"/>
          <w:rtl/>
        </w:rPr>
        <w:t>רע"פ  894/16</w:t>
      </w:r>
      <w:r w:rsidR="004B2F3A" w:rsidRPr="00C156BF">
        <w:rPr>
          <w:rFonts w:ascii="David" w:hAnsi="David"/>
          <w:color w:val="0000FF"/>
          <w:u w:val="single"/>
          <w:rtl/>
        </w:rPr>
        <w:fldChar w:fldCharType="end"/>
      </w:r>
      <w:r w:rsidRPr="00C156BF">
        <w:rPr>
          <w:rFonts w:ascii="David" w:hAnsi="David" w:hint="cs"/>
          <w:rtl/>
        </w:rPr>
        <w:t xml:space="preserve"> </w:t>
      </w:r>
      <w:r w:rsidRPr="00C156BF">
        <w:rPr>
          <w:rFonts w:ascii="David" w:hAnsi="David" w:hint="cs"/>
          <w:b/>
          <w:bCs/>
          <w:rtl/>
        </w:rPr>
        <w:t>שלום פרץ נ' מדינת ישראל</w:t>
      </w:r>
      <w:r w:rsidRPr="00C156BF">
        <w:rPr>
          <w:rFonts w:ascii="David" w:hAnsi="David" w:hint="cs"/>
          <w:rtl/>
        </w:rPr>
        <w:t xml:space="preserve"> (10.2.2016) הנע בין 15 חודשי מאסר ועד 36 חודשי מאסר בגין החזקת כ-30 גרם קוקאין.</w:t>
      </w:r>
      <w:r w:rsidRPr="00C156BF">
        <w:rPr>
          <w:rFonts w:hint="cs"/>
          <w:b/>
          <w:bCs/>
          <w:sz w:val="28"/>
          <w:szCs w:val="28"/>
          <w:rtl/>
        </w:rPr>
        <w:t xml:space="preserve"> </w:t>
      </w:r>
    </w:p>
    <w:p w14:paraId="021555D5" w14:textId="77777777" w:rsidR="00D8516C" w:rsidRPr="00C156BF" w:rsidRDefault="00D8516C" w:rsidP="00D8516C">
      <w:pPr>
        <w:pStyle w:val="a9"/>
        <w:ind w:left="0"/>
        <w:jc w:val="both"/>
        <w:rPr>
          <w:rFonts w:ascii="David" w:hAnsi="David"/>
          <w:rtl/>
        </w:rPr>
      </w:pPr>
    </w:p>
    <w:p w14:paraId="078A7E23" w14:textId="77777777" w:rsidR="00D8516C" w:rsidRPr="00C156BF" w:rsidRDefault="00D8516C" w:rsidP="00D8516C">
      <w:pPr>
        <w:pStyle w:val="a9"/>
        <w:spacing w:line="360" w:lineRule="auto"/>
        <w:ind w:left="0"/>
        <w:jc w:val="both"/>
        <w:rPr>
          <w:rFonts w:ascii="David" w:hAnsi="David"/>
          <w:b/>
          <w:bCs/>
          <w:u w:val="single"/>
        </w:rPr>
      </w:pPr>
      <w:r w:rsidRPr="00C156BF">
        <w:rPr>
          <w:rFonts w:ascii="David" w:hAnsi="David" w:hint="cs"/>
          <w:b/>
          <w:bCs/>
          <w:u w:val="single"/>
          <w:rtl/>
        </w:rPr>
        <w:t>פיצול העבירות לשני כתבי אישום נפרדים</w:t>
      </w:r>
    </w:p>
    <w:p w14:paraId="6715A935" w14:textId="77777777" w:rsidR="00D8516C" w:rsidRPr="00C156BF" w:rsidRDefault="00D8516C" w:rsidP="00D8516C">
      <w:pPr>
        <w:pStyle w:val="a9"/>
        <w:rPr>
          <w:rFonts w:ascii="David" w:hAnsi="David"/>
          <w:rtl/>
        </w:rPr>
      </w:pPr>
    </w:p>
    <w:p w14:paraId="45093255"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כאן המקום להתייחס לטענת הסנגור בדבר הנזק שנגרם לנאשם בשל פיצול התיקים, שהיא למעשה טענתו המרכזית. כאמור לעיל, כתב האישום הראשון הוגש בשל צו חיפוש שהתבקש ביום 26.1.22 </w:t>
      </w:r>
      <w:r w:rsidRPr="00C156BF">
        <w:rPr>
          <w:rFonts w:ascii="David" w:hAnsi="David"/>
          <w:rtl/>
        </w:rPr>
        <w:t>–</w:t>
      </w:r>
      <w:r w:rsidRPr="00C156BF">
        <w:rPr>
          <w:rFonts w:ascii="David" w:hAnsi="David" w:hint="cs"/>
          <w:rtl/>
        </w:rPr>
        <w:t xml:space="preserve"> הוא היום בו נמכרו הסמים לסוכן בתיק מושא ענייננו ובמשך השבועיים הקודמים נערכו בין השניים שיחות בנושא. מדובר בסמיכות זמנים ממשית ובזיקה עניינית המקימות יסוד סביר (ואף מעבר לכך) למסקנה בדבר קיומו של קשר ענייני בין שני כתבי האישום ונראה שהמאשימה לא חלקה על טענה זו, לא כל שכן באופן מפורש (הגם שטענה שמדובר בשני אירועים נפרדים לצורך קביעת מתחמי ענישה). משכך, נקודת המוצא היא שאכן קיים קשר ענייני בין שני האירועים.</w:t>
      </w:r>
    </w:p>
    <w:p w14:paraId="0CDCBA81" w14:textId="77777777" w:rsidR="00D8516C" w:rsidRPr="00C156BF" w:rsidRDefault="00D8516C" w:rsidP="00D8516C">
      <w:pPr>
        <w:pStyle w:val="a9"/>
        <w:ind w:left="0"/>
        <w:jc w:val="both"/>
        <w:rPr>
          <w:rFonts w:ascii="David" w:hAnsi="David"/>
        </w:rPr>
      </w:pPr>
    </w:p>
    <w:p w14:paraId="0AEB8F41"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מכאן לשאלה מדוע חרף הקשר שבין האישומים, לא נכללה עבירת הסחר מושא ענייננו בכתב האישום הראשון. התשובה לשאלה זו ברורה מאליה. בנקודת זמן זו הסוכן עדין פעל בחשאי ומשכך לא ניתן היה בשלב זה להגיש כתב אישום בגין העסקאות שביצע ובכך לחשוף את המבצע בטרם עת. הסנגור הסכים שמדובר בשיקול ענייני, אך טען שניתן היה למנוע את הנזק שבפיצול האישומים ולא להגיש את כתב האישום הראשון אגב מעצר אלא בדרך רגילה, או אגב מעצר לאחר חשיפת הסוכן. משכך, טען הסנגור שיש לראות בפיצול זה משום פגיעה בנאשם המצדיקה סעד מן הצדק. כאן המקום להדגיש שהסנגור טוען שהפיצול גרם נזק לנאשם בשל כך שלטענתו הגשת שני האישומים יחדיו הייתה מביאה לקביעה שמדובר באירוע אחד והיה בכך להשליך על גבולות מתחם הענישה ועל העונש שהיה מוטל על הנאשם בגין שתי העבירות גם יחד. המאשימה השיבה וטענה שלדידה מדובר בכל מקרה בשני אירועים שונים וכי הפיצול (שהיה בלתי נמנע) לא גרם לנאשם נזק. </w:t>
      </w:r>
    </w:p>
    <w:p w14:paraId="09E3606C" w14:textId="77777777" w:rsidR="00D8516C" w:rsidRPr="00C156BF" w:rsidRDefault="00D8516C" w:rsidP="00D8516C">
      <w:pPr>
        <w:pStyle w:val="a9"/>
        <w:rPr>
          <w:rFonts w:ascii="David" w:hAnsi="David"/>
          <w:rtl/>
        </w:rPr>
      </w:pPr>
    </w:p>
    <w:p w14:paraId="72F6BE5D"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אני מקבל את טענת המאשימה לפיה לא היה ביכולתה להעמיד את הנאשם לדין בגין עבירת הסחר בעת הגשת כתב האישום הראשון וזאת משיקולים של עיתוי חשיפת פעולת הסוכן. כפי שצוין לעיל, אף הסנגור אינו חולק על נימוק זה. עם זאת, אפשר שניתן לראות קושי בעצם בחירתה של המאשימה לערוך חיפוש בביתו של הנאשם בעיתוי בו בוצע ולהגיש נגדו כתב אישום על ההחזקה בלבד. חזון נפרץ הוא שבתיקי סוכן לא מבוצע חיפוש בביתם של יעדי המבצע מיד לאחר ביצוע העסקאות, אלא רק לאחר שלב "הפרוץ" וככל שנמצא סם בחיפוש, כתב האישום כולל את כל עסקאות הסחר ואת ההחזקה. במקרה זה בחרה המאשימה לנהוג אחרת וזאת מטעמים שלא הובהרו, שכן לא נערך דיון ממצה בנושא. ואולם, משנערך החיפוש ונמצאה כמות סם משמעותית (מעל 60 גרם דוסה שהיה מורכב משני סוגי סמים מסוכנים: </w:t>
      </w:r>
      <w:r w:rsidRPr="00C156BF">
        <w:rPr>
          <w:rFonts w:ascii="David" w:hAnsi="David" w:hint="cs"/>
        </w:rPr>
        <w:t>MDM</w:t>
      </w:r>
      <w:r w:rsidRPr="00C156BF">
        <w:rPr>
          <w:rFonts w:ascii="David" w:hAnsi="David"/>
        </w:rPr>
        <w:t>A</w:t>
      </w:r>
      <w:r w:rsidRPr="00C156BF">
        <w:rPr>
          <w:rFonts w:ascii="David" w:hAnsi="David" w:hint="cs"/>
          <w:rtl/>
        </w:rPr>
        <w:t xml:space="preserve"> ו-</w:t>
      </w:r>
      <w:r w:rsidRPr="00C156BF">
        <w:rPr>
          <w:rFonts w:ascii="David" w:hAnsi="David"/>
        </w:rPr>
        <w:t xml:space="preserve"> KATAMINE</w:t>
      </w:r>
      <w:r w:rsidRPr="00C156BF">
        <w:rPr>
          <w:rFonts w:ascii="David" w:hAnsi="David" w:hint="cs"/>
          <w:rtl/>
        </w:rPr>
        <w:t xml:space="preserve">) אין לראות פסול בהחלטה להגיש כתב אישום בצד בקשת מעצר וזאת בשל המסוכנות הברורה הטמונה בעבירה ואשר המאשימה לא הייתה יכולה להתעלם ממנה. </w:t>
      </w:r>
    </w:p>
    <w:p w14:paraId="7EF1D949" w14:textId="77777777" w:rsidR="00D8516C" w:rsidRPr="00C156BF" w:rsidRDefault="00D8516C" w:rsidP="00D8516C">
      <w:pPr>
        <w:pStyle w:val="a9"/>
        <w:rPr>
          <w:rFonts w:ascii="David" w:hAnsi="David"/>
          <w:rtl/>
        </w:rPr>
      </w:pPr>
    </w:p>
    <w:p w14:paraId="1F29CE1E"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סיכומו של דבר, אפשר שההחלטה לערוך חיפוש בעיתוי בו נערך אינה תואמת את דפוס ההתנהלות הרגיל בתיקים מסוג זה, ואולם משנערך חיפוש ונמצאה כמות סמים משמעותית, ההחלטה להגיש כתב אישום עם בקשת מעצר הייתה מתבקשת חרף העובדה שהדבר הביא לפיצול בין כתבי האישום. </w:t>
      </w:r>
    </w:p>
    <w:p w14:paraId="21D50D79" w14:textId="77777777" w:rsidR="00D8516C" w:rsidRPr="00C156BF" w:rsidRDefault="00D8516C" w:rsidP="00D8516C">
      <w:pPr>
        <w:pStyle w:val="a9"/>
        <w:rPr>
          <w:rFonts w:ascii="David" w:hAnsi="David"/>
          <w:rtl/>
        </w:rPr>
      </w:pPr>
    </w:p>
    <w:p w14:paraId="057293C2"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עם זאת, מקובל עלי שהפיצול גרם לנאשם נזק בכך שהוא מנע ממנו אפשרות לטעון טענות מסוימות להקלה עונשית ובכך העמידו בפני סיכון לענישה מחמירה יותר מאשר לו היו מוגשים שני האישומים יחדיו. הטעם לכך הוא שלו היו מוגשים שני האישומים יחדיו הייתה בידי בית המשפט גמישות רבה יותר בעניין העונש הכולל וזאת באמצעות שני כלים עיקריים. </w:t>
      </w:r>
    </w:p>
    <w:p w14:paraId="179B20D1" w14:textId="77777777" w:rsidR="00D8516C" w:rsidRPr="00C156BF" w:rsidRDefault="00D8516C" w:rsidP="00D8516C">
      <w:pPr>
        <w:pStyle w:val="a9"/>
        <w:rPr>
          <w:rFonts w:ascii="David" w:hAnsi="David"/>
          <w:rtl/>
        </w:rPr>
      </w:pPr>
    </w:p>
    <w:p w14:paraId="3546B344" w14:textId="77777777" w:rsidR="00D8516C" w:rsidRPr="00C156BF" w:rsidRDefault="00D8516C" w:rsidP="00D8516C">
      <w:pPr>
        <w:pStyle w:val="a9"/>
        <w:spacing w:line="360" w:lineRule="auto"/>
        <w:ind w:left="0" w:firstLine="720"/>
        <w:jc w:val="both"/>
        <w:rPr>
          <w:rFonts w:ascii="David" w:hAnsi="David"/>
          <w:rtl/>
        </w:rPr>
      </w:pPr>
      <w:r w:rsidRPr="00C156BF">
        <w:rPr>
          <w:rFonts w:ascii="David" w:hAnsi="David" w:hint="cs"/>
          <w:rtl/>
        </w:rPr>
        <w:t>(-)</w:t>
      </w:r>
      <w:r w:rsidRPr="00C156BF">
        <w:rPr>
          <w:rFonts w:ascii="David" w:hAnsi="David"/>
          <w:rtl/>
        </w:rPr>
        <w:tab/>
      </w:r>
      <w:r w:rsidRPr="00C156BF">
        <w:rPr>
          <w:rFonts w:ascii="David" w:hAnsi="David" w:hint="cs"/>
          <w:rtl/>
        </w:rPr>
        <w:t>האחד הוא היכולת לקבוע שמדובר באירוע אחד ולקבוע מתחם ענישה אחד, אשר סביר להניח שגבולו התחתון היה נמוך מחיבור מתמטי של הגבולות התחתונים במקרה של קביעת שני מתחמים. אפשרות זו אינה תיאורטית שכן בהחלט יש היגיון בטיעון לפיו מדובר בעבירות המקיימות את מבחן הקשר ההדוק (</w:t>
      </w:r>
      <w:hyperlink r:id="rId29" w:history="1">
        <w:r w:rsidR="004B2F3A" w:rsidRPr="00C156BF">
          <w:rPr>
            <w:rFonts w:ascii="David" w:hAnsi="David"/>
            <w:color w:val="0000FF"/>
            <w:u w:val="single"/>
            <w:rtl/>
          </w:rPr>
          <w:t>ע"פ 4910/13</w:t>
        </w:r>
      </w:hyperlink>
      <w:r w:rsidRPr="00C156BF">
        <w:rPr>
          <w:rFonts w:ascii="David" w:hAnsi="David"/>
          <w:rtl/>
        </w:rPr>
        <w:t xml:space="preserve"> </w:t>
      </w:r>
      <w:r w:rsidRPr="00C156BF">
        <w:rPr>
          <w:rFonts w:ascii="David" w:hAnsi="David"/>
          <w:b/>
          <w:bCs/>
          <w:rtl/>
        </w:rPr>
        <w:t>ג'אבר נ' מדינת ישראל</w:t>
      </w:r>
      <w:r w:rsidRPr="00C156BF">
        <w:rPr>
          <w:rFonts w:ascii="David" w:hAnsi="David"/>
          <w:rtl/>
        </w:rPr>
        <w:t xml:space="preserve"> (29.10.2014); (</w:t>
      </w:r>
      <w:hyperlink r:id="rId30" w:history="1">
        <w:r w:rsidR="004B2F3A" w:rsidRPr="00C156BF">
          <w:rPr>
            <w:rFonts w:ascii="David" w:hAnsi="David"/>
            <w:color w:val="0000FF"/>
            <w:u w:val="single"/>
            <w:rtl/>
          </w:rPr>
          <w:t>רע"פ 4760/14</w:t>
        </w:r>
      </w:hyperlink>
      <w:r w:rsidRPr="00C156BF">
        <w:rPr>
          <w:rFonts w:ascii="David" w:hAnsi="David"/>
          <w:rtl/>
        </w:rPr>
        <w:t xml:space="preserve"> </w:t>
      </w:r>
      <w:r w:rsidRPr="00C156BF">
        <w:rPr>
          <w:rFonts w:ascii="David" w:hAnsi="David"/>
          <w:b/>
          <w:bCs/>
          <w:rtl/>
        </w:rPr>
        <w:t xml:space="preserve">קיסלמן ואח' נ' מדינת ישראל </w:t>
      </w:r>
      <w:r w:rsidRPr="00C156BF">
        <w:rPr>
          <w:rFonts w:ascii="David" w:hAnsi="David"/>
          <w:rtl/>
        </w:rPr>
        <w:t>(7.5.2015); (</w:t>
      </w:r>
      <w:hyperlink r:id="rId31" w:history="1">
        <w:r w:rsidR="004B2F3A" w:rsidRPr="00C156BF">
          <w:rPr>
            <w:rFonts w:ascii="David" w:hAnsi="David"/>
            <w:color w:val="0000FF"/>
            <w:u w:val="single"/>
            <w:rtl/>
          </w:rPr>
          <w:t>דנ"פ 2999/16</w:t>
        </w:r>
      </w:hyperlink>
      <w:r w:rsidRPr="00C156BF">
        <w:rPr>
          <w:rFonts w:ascii="David" w:hAnsi="David"/>
          <w:rtl/>
        </w:rPr>
        <w:t xml:space="preserve"> </w:t>
      </w:r>
      <w:r w:rsidRPr="00C156BF">
        <w:rPr>
          <w:rFonts w:ascii="David" w:hAnsi="David"/>
          <w:b/>
          <w:bCs/>
          <w:rtl/>
        </w:rPr>
        <w:t>מזרחי נ' מדינת ישראל</w:t>
      </w:r>
      <w:r w:rsidRPr="00C156BF">
        <w:rPr>
          <w:rFonts w:ascii="David" w:hAnsi="David"/>
          <w:rtl/>
        </w:rPr>
        <w:t xml:space="preserve"> (22.5.2016)).</w:t>
      </w:r>
      <w:r w:rsidRPr="00C156BF">
        <w:rPr>
          <w:rFonts w:ascii="David" w:hAnsi="David" w:hint="cs"/>
          <w:rtl/>
        </w:rPr>
        <w:t xml:space="preserve"> כפי שצוין לעיל, סמיכות הזמנים שבין הגשת הבקשה לחיפוש לבין יום העסקה והמשא ומתן שקדם לה, מקימה בהחלט יסוד סביר למסקנה בדבר קשר ענייני בין שני האישומים. כמו כן, החזקת סם מסוג מסוים וסחר בסם </w:t>
      </w:r>
      <w:r w:rsidRPr="00C156BF">
        <w:rPr>
          <w:rFonts w:ascii="David" w:hAnsi="David" w:hint="cs"/>
          <w:u w:val="single"/>
          <w:rtl/>
        </w:rPr>
        <w:t>זהה</w:t>
      </w:r>
      <w:r w:rsidRPr="00C156BF">
        <w:rPr>
          <w:rFonts w:ascii="David" w:hAnsi="David" w:hint="cs"/>
          <w:rtl/>
        </w:rPr>
        <w:t xml:space="preserve"> בסמיכות זמנים, עשויים לקיים את מבחן הקשר ההדוק, שכן החזקת סם שלא לשימוש עצמי היא </w:t>
      </w:r>
      <w:r w:rsidRPr="00C156BF">
        <w:rPr>
          <w:rFonts w:ascii="David" w:hAnsi="David"/>
          <w:rtl/>
        </w:rPr>
        <w:t xml:space="preserve">אינהרנטית </w:t>
      </w:r>
      <w:r w:rsidRPr="00C156BF">
        <w:rPr>
          <w:rFonts w:ascii="David" w:hAnsi="David" w:hint="cs"/>
          <w:rtl/>
        </w:rPr>
        <w:t>ל</w:t>
      </w:r>
      <w:r w:rsidRPr="00C156BF">
        <w:rPr>
          <w:rFonts w:ascii="David" w:hAnsi="David"/>
          <w:rtl/>
        </w:rPr>
        <w:t>סחר</w:t>
      </w:r>
      <w:r w:rsidRPr="00C156BF">
        <w:rPr>
          <w:rFonts w:ascii="David" w:hAnsi="David" w:hint="cs"/>
          <w:rtl/>
        </w:rPr>
        <w:t xml:space="preserve"> בסם זה</w:t>
      </w:r>
      <w:r w:rsidRPr="00C156BF">
        <w:rPr>
          <w:rFonts w:ascii="David" w:hAnsi="David"/>
          <w:rtl/>
        </w:rPr>
        <w:t xml:space="preserve">, </w:t>
      </w:r>
      <w:r w:rsidRPr="00C156BF">
        <w:rPr>
          <w:rFonts w:ascii="David" w:hAnsi="David" w:hint="cs"/>
          <w:rtl/>
        </w:rPr>
        <w:t>כמו גם ש</w:t>
      </w:r>
      <w:r w:rsidRPr="00C156BF">
        <w:rPr>
          <w:rFonts w:ascii="David" w:hAnsi="David"/>
          <w:rtl/>
        </w:rPr>
        <w:t>מטרת החזקת הסם הי</w:t>
      </w:r>
      <w:r w:rsidRPr="00C156BF">
        <w:rPr>
          <w:rFonts w:ascii="David" w:hAnsi="David" w:hint="cs"/>
          <w:rtl/>
        </w:rPr>
        <w:t>א</w:t>
      </w:r>
      <w:r w:rsidRPr="00C156BF">
        <w:rPr>
          <w:rFonts w:ascii="David" w:hAnsi="David"/>
          <w:rtl/>
        </w:rPr>
        <w:t xml:space="preserve"> </w:t>
      </w:r>
      <w:r w:rsidRPr="00C156BF">
        <w:rPr>
          <w:rFonts w:ascii="David" w:hAnsi="David" w:hint="cs"/>
          <w:rtl/>
        </w:rPr>
        <w:t xml:space="preserve">בין היתר </w:t>
      </w:r>
      <w:r w:rsidRPr="00C156BF">
        <w:rPr>
          <w:rFonts w:ascii="David" w:hAnsi="David"/>
          <w:rtl/>
        </w:rPr>
        <w:t xml:space="preserve">לאפשר את ביצוע עבירת הסחר. מכאן </w:t>
      </w:r>
      <w:r w:rsidRPr="00C156BF">
        <w:rPr>
          <w:rFonts w:ascii="David" w:hAnsi="David" w:hint="cs"/>
          <w:rtl/>
        </w:rPr>
        <w:t>שבהחלט אפשרי שהיה נקבע ש</w:t>
      </w:r>
      <w:r w:rsidRPr="00C156BF">
        <w:rPr>
          <w:rFonts w:ascii="David" w:hAnsi="David"/>
          <w:rtl/>
        </w:rPr>
        <w:t xml:space="preserve">קיים קשר הדוק בין העבירות </w:t>
      </w:r>
      <w:r w:rsidRPr="00C156BF">
        <w:rPr>
          <w:rFonts w:ascii="David" w:hAnsi="David" w:hint="cs"/>
          <w:rtl/>
        </w:rPr>
        <w:t xml:space="preserve">והיה נקבע </w:t>
      </w:r>
      <w:r w:rsidRPr="00C156BF">
        <w:rPr>
          <w:rFonts w:ascii="David" w:hAnsi="David"/>
          <w:rtl/>
        </w:rPr>
        <w:t xml:space="preserve">מתחם עונש אחד </w:t>
      </w:r>
      <w:r w:rsidRPr="00C156BF">
        <w:rPr>
          <w:rFonts w:ascii="David" w:hAnsi="David" w:hint="cs"/>
          <w:rtl/>
        </w:rPr>
        <w:t>(</w:t>
      </w:r>
      <w:r w:rsidRPr="00C156BF">
        <w:rPr>
          <w:rFonts w:ascii="David" w:hAnsi="David"/>
          <w:rtl/>
        </w:rPr>
        <w:t xml:space="preserve">המביא בחשבון כמובן שמדובר במספר עבירות </w:t>
      </w:r>
      <w:r w:rsidRPr="00C156BF">
        <w:rPr>
          <w:rFonts w:ascii="David" w:hAnsi="David" w:hint="cs"/>
          <w:rtl/>
        </w:rPr>
        <w:t xml:space="preserve">וזאת בהתאם להלכה הנוהגת בנושא). </w:t>
      </w:r>
    </w:p>
    <w:p w14:paraId="7457FA29" w14:textId="77777777" w:rsidR="00D8516C" w:rsidRPr="00C156BF" w:rsidRDefault="00D8516C" w:rsidP="00D8516C">
      <w:pPr>
        <w:pStyle w:val="a9"/>
        <w:ind w:left="0"/>
        <w:jc w:val="both"/>
        <w:rPr>
          <w:rFonts w:ascii="David" w:hAnsi="David"/>
          <w:rtl/>
        </w:rPr>
      </w:pPr>
    </w:p>
    <w:p w14:paraId="6E24FB84" w14:textId="77777777" w:rsidR="00D8516C" w:rsidRPr="00C156BF" w:rsidRDefault="00D8516C" w:rsidP="00D8516C">
      <w:pPr>
        <w:pStyle w:val="a9"/>
        <w:spacing w:line="360" w:lineRule="auto"/>
        <w:ind w:left="0" w:firstLine="720"/>
        <w:jc w:val="both"/>
        <w:rPr>
          <w:rFonts w:ascii="David" w:hAnsi="David"/>
        </w:rPr>
      </w:pPr>
      <w:r w:rsidRPr="00C156BF">
        <w:rPr>
          <w:rFonts w:ascii="David" w:hAnsi="David" w:hint="cs"/>
          <w:rtl/>
        </w:rPr>
        <w:t xml:space="preserve">לדוגמאות בהן קבעו בתי המשפט שעבירות של סחר בסם והחזקת סם זהה, מהוות אירוע אחד ראו: </w:t>
      </w:r>
      <w:hyperlink r:id="rId32" w:history="1">
        <w:r w:rsidR="004B2F3A" w:rsidRPr="00C156BF">
          <w:rPr>
            <w:rFonts w:ascii="David" w:hAnsi="David"/>
            <w:color w:val="0000FF"/>
            <w:u w:val="single"/>
            <w:rtl/>
          </w:rPr>
          <w:t>ת"פ (מחוזי חיפה) 41687-01-22</w:t>
        </w:r>
      </w:hyperlink>
      <w:r w:rsidRPr="00C156BF">
        <w:rPr>
          <w:rFonts w:ascii="David" w:hAnsi="David"/>
          <w:rtl/>
        </w:rPr>
        <w:t xml:space="preserve"> </w:t>
      </w:r>
      <w:r w:rsidRPr="00C156BF">
        <w:rPr>
          <w:rFonts w:ascii="David" w:hAnsi="David"/>
          <w:b/>
          <w:bCs/>
          <w:rtl/>
        </w:rPr>
        <w:t xml:space="preserve">מדינת ישראל נ' </w:t>
      </w:r>
      <w:r w:rsidRPr="00C156BF">
        <w:rPr>
          <w:rFonts w:ascii="David" w:hAnsi="David"/>
          <w:b/>
          <w:bCs/>
        </w:rPr>
        <w:t>SINGKHAM BUACHAI</w:t>
      </w:r>
      <w:r w:rsidRPr="00C156BF">
        <w:rPr>
          <w:rFonts w:ascii="David" w:hAnsi="David" w:hint="cs"/>
          <w:rtl/>
        </w:rPr>
        <w:t xml:space="preserve"> (21.9.2022); </w:t>
      </w:r>
      <w:hyperlink r:id="rId33" w:history="1">
        <w:r w:rsidR="004B2F3A" w:rsidRPr="00C156BF">
          <w:rPr>
            <w:rFonts w:ascii="David" w:hAnsi="David"/>
            <w:color w:val="0000FF"/>
            <w:u w:val="single"/>
            <w:rtl/>
          </w:rPr>
          <w:t>ת"פ (קריות) 62070-05-20</w:t>
        </w:r>
      </w:hyperlink>
      <w:r w:rsidR="004B2F3A" w:rsidRPr="00C156BF">
        <w:rPr>
          <w:rFonts w:ascii="David" w:hAnsi="David"/>
          <w:rtl/>
        </w:rPr>
        <w:t xml:space="preserve"> </w:t>
      </w:r>
      <w:r w:rsidRPr="00C156BF">
        <w:rPr>
          <w:rFonts w:ascii="David" w:hAnsi="David"/>
          <w:rtl/>
        </w:rPr>
        <w:t xml:space="preserve"> </w:t>
      </w:r>
      <w:r w:rsidRPr="00C156BF">
        <w:rPr>
          <w:rFonts w:ascii="David" w:hAnsi="David"/>
          <w:b/>
          <w:bCs/>
          <w:rtl/>
        </w:rPr>
        <w:t>מדינת ישראל נ' בניהו מנשירוב</w:t>
      </w:r>
      <w:r w:rsidRPr="00C156BF">
        <w:rPr>
          <w:rFonts w:ascii="David" w:hAnsi="David" w:hint="cs"/>
          <w:rtl/>
        </w:rPr>
        <w:t xml:space="preserve"> (14.6.2021). לדוגמאות בהן המאשימה עצמה טענה למתחם אחד בעבירות סחר והחזקה שלא לשימוש עצמי, ראו: </w:t>
      </w:r>
      <w:hyperlink r:id="rId34" w:history="1">
        <w:r w:rsidR="004B2F3A" w:rsidRPr="00C156BF">
          <w:rPr>
            <w:rFonts w:ascii="David" w:hAnsi="David"/>
            <w:color w:val="0000FF"/>
            <w:u w:val="single"/>
            <w:rtl/>
          </w:rPr>
          <w:t>ת"פ (קריות) 38069-12-20</w:t>
        </w:r>
      </w:hyperlink>
      <w:r w:rsidRPr="00C156BF">
        <w:rPr>
          <w:rFonts w:ascii="David" w:hAnsi="David"/>
          <w:rtl/>
        </w:rPr>
        <w:t xml:space="preserve"> </w:t>
      </w:r>
      <w:r w:rsidRPr="00C156BF">
        <w:rPr>
          <w:rFonts w:ascii="David" w:hAnsi="David"/>
          <w:b/>
          <w:bCs/>
          <w:rtl/>
        </w:rPr>
        <w:t>מדינת ישראל נ' יורי סקורוחוד שוורצבורד</w:t>
      </w:r>
      <w:r w:rsidRPr="00C156BF">
        <w:rPr>
          <w:rFonts w:ascii="David" w:hAnsi="David"/>
          <w:rtl/>
        </w:rPr>
        <w:t xml:space="preserve"> (29.12.2021)</w:t>
      </w:r>
      <w:r w:rsidRPr="00C156BF">
        <w:rPr>
          <w:rFonts w:ascii="David" w:hAnsi="David" w:hint="cs"/>
          <w:rtl/>
        </w:rPr>
        <w:t xml:space="preserve">; </w:t>
      </w:r>
      <w:hyperlink r:id="rId35" w:history="1">
        <w:r w:rsidR="004B2F3A" w:rsidRPr="00C156BF">
          <w:rPr>
            <w:rFonts w:ascii="David" w:hAnsi="David"/>
            <w:color w:val="0000FF"/>
            <w:u w:val="single"/>
            <w:rtl/>
          </w:rPr>
          <w:t>ת"פ (רחובות) 55331-06-21</w:t>
        </w:r>
      </w:hyperlink>
      <w:r w:rsidRPr="00C156BF">
        <w:rPr>
          <w:rFonts w:ascii="David" w:hAnsi="David"/>
          <w:rtl/>
        </w:rPr>
        <w:t xml:space="preserve"> </w:t>
      </w:r>
      <w:r w:rsidRPr="00C156BF">
        <w:rPr>
          <w:rFonts w:ascii="David" w:hAnsi="David"/>
          <w:b/>
          <w:bCs/>
          <w:rtl/>
        </w:rPr>
        <w:t>מדינת ישראל נ' יוסי ברוך</w:t>
      </w:r>
      <w:r w:rsidRPr="00C156BF">
        <w:rPr>
          <w:rFonts w:ascii="David" w:hAnsi="David" w:hint="cs"/>
          <w:rtl/>
        </w:rPr>
        <w:t xml:space="preserve"> (15.3.23)); </w:t>
      </w:r>
      <w:hyperlink r:id="rId36" w:history="1">
        <w:r w:rsidR="004B2F3A" w:rsidRPr="00C156BF">
          <w:rPr>
            <w:rFonts w:ascii="David" w:hAnsi="David"/>
            <w:color w:val="0000FF"/>
            <w:u w:val="single"/>
            <w:rtl/>
          </w:rPr>
          <w:t>ת"פ 21284-10-19</w:t>
        </w:r>
      </w:hyperlink>
      <w:r w:rsidRPr="00C156BF">
        <w:rPr>
          <w:rFonts w:ascii="David" w:hAnsi="David"/>
          <w:rtl/>
        </w:rPr>
        <w:t xml:space="preserve"> </w:t>
      </w:r>
      <w:r w:rsidRPr="00C156BF">
        <w:rPr>
          <w:rFonts w:ascii="David" w:hAnsi="David"/>
          <w:b/>
          <w:bCs/>
          <w:rtl/>
        </w:rPr>
        <w:t>מדינת ישראל נ' אלירן רייקוב (</w:t>
      </w:r>
      <w:r w:rsidRPr="00C156BF">
        <w:rPr>
          <w:rFonts w:ascii="David" w:hAnsi="David"/>
          <w:rtl/>
        </w:rPr>
        <w:t>8.2.2021)</w:t>
      </w:r>
      <w:r w:rsidRPr="00C156BF">
        <w:rPr>
          <w:rFonts w:ascii="David" w:hAnsi="David" w:hint="cs"/>
          <w:rtl/>
        </w:rPr>
        <w:t>.</w:t>
      </w:r>
    </w:p>
    <w:p w14:paraId="1BD1E447" w14:textId="77777777" w:rsidR="00D8516C" w:rsidRPr="00C156BF" w:rsidRDefault="00D8516C" w:rsidP="00D8516C">
      <w:pPr>
        <w:pStyle w:val="a9"/>
        <w:rPr>
          <w:rFonts w:ascii="David" w:hAnsi="David"/>
          <w:rtl/>
        </w:rPr>
      </w:pPr>
    </w:p>
    <w:p w14:paraId="5E2F2BDE" w14:textId="77777777" w:rsidR="00D8516C" w:rsidRPr="00C156BF" w:rsidRDefault="00D8516C" w:rsidP="00D8516C">
      <w:pPr>
        <w:pStyle w:val="a9"/>
        <w:spacing w:line="360" w:lineRule="auto"/>
        <w:ind w:left="0" w:firstLine="720"/>
        <w:jc w:val="both"/>
        <w:rPr>
          <w:rFonts w:ascii="David" w:hAnsi="David"/>
        </w:rPr>
      </w:pPr>
      <w:r w:rsidRPr="00C156BF">
        <w:rPr>
          <w:rFonts w:ascii="David" w:hAnsi="David" w:hint="cs"/>
          <w:rtl/>
        </w:rPr>
        <w:t>(-)</w:t>
      </w:r>
      <w:r w:rsidRPr="00C156BF">
        <w:rPr>
          <w:rFonts w:ascii="David" w:hAnsi="David"/>
          <w:rtl/>
        </w:rPr>
        <w:tab/>
      </w:r>
      <w:r w:rsidRPr="00C156BF">
        <w:rPr>
          <w:rFonts w:ascii="David" w:hAnsi="David" w:hint="cs"/>
          <w:rtl/>
        </w:rPr>
        <w:t xml:space="preserve">הכלי </w:t>
      </w:r>
      <w:r w:rsidRPr="00C156BF">
        <w:rPr>
          <w:rFonts w:ascii="David" w:hAnsi="David" w:hint="cs"/>
          <w:b/>
          <w:bCs/>
          <w:rtl/>
        </w:rPr>
        <w:t>השני</w:t>
      </w:r>
      <w:r w:rsidRPr="00C156BF">
        <w:rPr>
          <w:rFonts w:ascii="David" w:hAnsi="David" w:hint="cs"/>
          <w:rtl/>
        </w:rPr>
        <w:t xml:space="preserve"> הוא היכולת לחפוף בין שני עונשים באותו גזר הדין (</w:t>
      </w:r>
      <w:hyperlink r:id="rId37" w:history="1">
        <w:r w:rsidR="00C156BF" w:rsidRPr="00C156BF">
          <w:rPr>
            <w:rStyle w:val="Hyperlink"/>
            <w:rFonts w:ascii="David" w:hAnsi="David" w:hint="eastAsia"/>
            <w:rtl/>
          </w:rPr>
          <w:t>סעיף</w:t>
        </w:r>
        <w:r w:rsidR="00C156BF" w:rsidRPr="00C156BF">
          <w:rPr>
            <w:rStyle w:val="Hyperlink"/>
            <w:rFonts w:ascii="David" w:hAnsi="David"/>
            <w:rtl/>
          </w:rPr>
          <w:t xml:space="preserve"> 40יג(ב)</w:t>
        </w:r>
      </w:hyperlink>
      <w:r w:rsidRPr="00C156BF">
        <w:rPr>
          <w:rFonts w:ascii="David" w:hAnsi="David" w:hint="cs"/>
          <w:rtl/>
        </w:rPr>
        <w:t xml:space="preserve"> סיפא ל</w:t>
      </w:r>
      <w:hyperlink r:id="rId38" w:history="1">
        <w:r w:rsidR="004B2F3A" w:rsidRPr="00C156BF">
          <w:rPr>
            <w:rFonts w:ascii="David" w:hAnsi="David"/>
            <w:color w:val="0000FF"/>
            <w:u w:val="single"/>
            <w:rtl/>
          </w:rPr>
          <w:t>חוק העונשין</w:t>
        </w:r>
      </w:hyperlink>
      <w:r w:rsidRPr="00C156BF">
        <w:rPr>
          <w:rFonts w:ascii="David" w:hAnsi="David" w:hint="cs"/>
          <w:rtl/>
        </w:rPr>
        <w:t xml:space="preserve">), וזאת אף אם היה נקבע שבמדובר בשני אירועים נפרדים. אפשרות טיעון זו אינה עומדת כיום לרשות הנאשם בשל פיצול האישומים. ודוק: בעניין היכולת לחפיפה בין עונש המאסר שהוטל בתיק הקודם לבין זה שיוטל כעת, אציין גם שלאור כך שהנאשם סיים לשאת את עונשו בהליך הקודם עוד טרם שהוגש כתב אישום זה, לא עומדת לרשותו אף האפשרות לטעון כעת לחפיפה מכוח </w:t>
      </w:r>
      <w:hyperlink r:id="rId39" w:history="1">
        <w:r w:rsidR="00C156BF" w:rsidRPr="00C156BF">
          <w:rPr>
            <w:rStyle w:val="Hyperlink"/>
            <w:rFonts w:ascii="David" w:hAnsi="David" w:hint="eastAsia"/>
            <w:rtl/>
          </w:rPr>
          <w:t>סעיף</w:t>
        </w:r>
        <w:r w:rsidR="00C156BF" w:rsidRPr="00C156BF">
          <w:rPr>
            <w:rStyle w:val="Hyperlink"/>
            <w:rFonts w:ascii="David" w:hAnsi="David"/>
            <w:rtl/>
          </w:rPr>
          <w:t xml:space="preserve"> 45(ב)</w:t>
        </w:r>
      </w:hyperlink>
      <w:r w:rsidRPr="00C156BF">
        <w:rPr>
          <w:rFonts w:ascii="David" w:hAnsi="David" w:hint="cs"/>
          <w:rtl/>
        </w:rPr>
        <w:t xml:space="preserve"> ל</w:t>
      </w:r>
      <w:hyperlink r:id="rId40" w:history="1">
        <w:r w:rsidR="004B2F3A" w:rsidRPr="00C156BF">
          <w:rPr>
            <w:rFonts w:ascii="David" w:hAnsi="David"/>
            <w:color w:val="0000FF"/>
            <w:u w:val="single"/>
            <w:rtl/>
          </w:rPr>
          <w:t>חוק העונשין</w:t>
        </w:r>
      </w:hyperlink>
      <w:r w:rsidRPr="00C156BF">
        <w:rPr>
          <w:rFonts w:ascii="David" w:hAnsi="David" w:hint="cs"/>
          <w:rtl/>
        </w:rPr>
        <w:t xml:space="preserve">. </w:t>
      </w:r>
    </w:p>
    <w:p w14:paraId="52B2C6B4" w14:textId="77777777" w:rsidR="00D8516C" w:rsidRPr="00C156BF" w:rsidRDefault="00D8516C" w:rsidP="00D8516C">
      <w:pPr>
        <w:pStyle w:val="a9"/>
        <w:rPr>
          <w:rFonts w:ascii="David" w:hAnsi="David"/>
          <w:rtl/>
        </w:rPr>
      </w:pPr>
    </w:p>
    <w:p w14:paraId="2F7DC62D"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הפיצול בין שני האישומים, הגם שאינני מוציא מכלל אפשרות שהתחייב בשל נסיבות העניין, פגע אפוא במידה מסוימת בנאשם וביכולתו להתגונן מפני עתירתה העונשית של המאשימה. לפגיעה זו ביטוי מעשי, בין אם מדובר באירוע אחד ובין אם לאו וזאת כפי שהראיתי לעיל. השאלה מהי תרופתו האפשרית של הנאשם למצב זה. אינני סבור שהפתרון הנכון הוא לחרוג ממתחם הענישה בשל שיקולי צדק, כפי שעתר הסנגור. אכן, בית המשפט העליון הכיר באפשרות לחרוג ממתחם הענישה במקרים מיוחדים בשל שיקולי צדק (</w:t>
      </w:r>
      <w:hyperlink r:id="rId41" w:history="1">
        <w:r w:rsidR="004B2F3A" w:rsidRPr="00C156BF">
          <w:rPr>
            <w:rFonts w:ascii="David" w:hAnsi="David"/>
            <w:color w:val="0000FF"/>
            <w:u w:val="single"/>
            <w:rtl/>
          </w:rPr>
          <w:t>ע"פ 4456/14</w:t>
        </w:r>
      </w:hyperlink>
      <w:r w:rsidRPr="00C156BF">
        <w:rPr>
          <w:rFonts w:ascii="David" w:hAnsi="David" w:hint="cs"/>
          <w:rtl/>
        </w:rPr>
        <w:t xml:space="preserve"> </w:t>
      </w:r>
      <w:r w:rsidRPr="00C156BF">
        <w:rPr>
          <w:rFonts w:ascii="David" w:hAnsi="David" w:hint="cs"/>
          <w:b/>
          <w:bCs/>
          <w:rtl/>
        </w:rPr>
        <w:t>אביגדור קלנר נ' מדינת ישראל</w:t>
      </w:r>
      <w:r w:rsidRPr="00C156BF">
        <w:rPr>
          <w:rFonts w:ascii="David" w:hAnsi="David" w:hint="cs"/>
          <w:rtl/>
        </w:rPr>
        <w:t xml:space="preserve"> (29.12.2015)), ואולם מדובר יהיה במקרי קיצון חריגים ביותר, כגון מצב רפואי חריג ומסכן חיים, ואשר ענייננו אינו נמנה עליהם. </w:t>
      </w:r>
    </w:p>
    <w:p w14:paraId="07287D93" w14:textId="77777777" w:rsidR="00D8516C" w:rsidRPr="00C156BF" w:rsidRDefault="00D8516C" w:rsidP="00D8516C">
      <w:pPr>
        <w:pStyle w:val="a9"/>
        <w:ind w:left="0"/>
        <w:jc w:val="both"/>
        <w:rPr>
          <w:rFonts w:ascii="David" w:hAnsi="David"/>
        </w:rPr>
      </w:pPr>
    </w:p>
    <w:p w14:paraId="37661FFC"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שאלה נפרדת היא אם נסיבות העניין מצדיקות מסקנה לפיה עומדת לנאשם טענה להגנה מן הצדק, באופן המצדיק קביעת מתחם שונה המתחשב במצב אליו נקלע. כידוע, מקום בו קובע בית המשפט שעומדת לנאשם טענת הגנה מן הצדק, יכול הוא להעניק לו מספר סעדים וביניהם גם קביעת מתחם ענישה מקל יותר, אשר מביא בחשבון את מידת הפגיעה בו (</w:t>
      </w:r>
      <w:hyperlink r:id="rId42" w:history="1">
        <w:r w:rsidR="004B2F3A" w:rsidRPr="00C156BF">
          <w:rPr>
            <w:rFonts w:ascii="David" w:hAnsi="David"/>
            <w:color w:val="0000FF"/>
            <w:u w:val="single"/>
            <w:rtl/>
          </w:rPr>
          <w:t>ע"פ 7621/14</w:t>
        </w:r>
      </w:hyperlink>
      <w:r w:rsidRPr="00C156BF">
        <w:rPr>
          <w:rFonts w:ascii="David" w:hAnsi="David" w:hint="cs"/>
          <w:rtl/>
        </w:rPr>
        <w:t xml:space="preserve"> </w:t>
      </w:r>
      <w:r w:rsidRPr="00C156BF">
        <w:rPr>
          <w:rFonts w:ascii="David" w:hAnsi="David"/>
          <w:b/>
          <w:bCs/>
          <w:rtl/>
        </w:rPr>
        <w:t>אהרן גוטסדינר</w:t>
      </w:r>
      <w:r w:rsidRPr="00C156BF">
        <w:rPr>
          <w:rFonts w:ascii="David" w:hAnsi="David"/>
          <w:b/>
          <w:bCs/>
        </w:rPr>
        <w:t xml:space="preserve"> </w:t>
      </w:r>
      <w:r w:rsidRPr="00C156BF">
        <w:rPr>
          <w:rFonts w:ascii="David" w:hAnsi="David" w:hint="cs"/>
          <w:b/>
          <w:bCs/>
          <w:rtl/>
        </w:rPr>
        <w:t>ואח' נ' מדינת ישראל</w:t>
      </w:r>
      <w:r w:rsidRPr="00C156BF">
        <w:rPr>
          <w:rFonts w:ascii="David" w:hAnsi="David" w:hint="cs"/>
          <w:rtl/>
        </w:rPr>
        <w:t xml:space="preserve"> (1.3.2017), פסקה 50 לפסק דינו של כב' השופט הנדל; להלן </w:t>
      </w:r>
      <w:r w:rsidRPr="00C156BF">
        <w:rPr>
          <w:rFonts w:ascii="David" w:hAnsi="David"/>
          <w:rtl/>
        </w:rPr>
        <w:t>–</w:t>
      </w:r>
      <w:r w:rsidRPr="00C156BF">
        <w:rPr>
          <w:rFonts w:ascii="David" w:hAnsi="David" w:hint="cs"/>
          <w:rtl/>
        </w:rPr>
        <w:t xml:space="preserve"> </w:t>
      </w:r>
      <w:r w:rsidRPr="00C156BF">
        <w:rPr>
          <w:rFonts w:ascii="David" w:hAnsi="David" w:hint="cs"/>
          <w:b/>
          <w:bCs/>
          <w:rtl/>
        </w:rPr>
        <w:t>עניין גוטסדינר</w:t>
      </w:r>
      <w:r w:rsidRPr="00C156BF">
        <w:rPr>
          <w:rFonts w:ascii="David" w:hAnsi="David" w:hint="cs"/>
          <w:rtl/>
        </w:rPr>
        <w:t xml:space="preserve">). השאלה היא אפוא אם ענייננו מצדיק שימוש בסעד זה. </w:t>
      </w:r>
    </w:p>
    <w:p w14:paraId="63E5C722" w14:textId="77777777" w:rsidR="00D8516C" w:rsidRPr="00C156BF" w:rsidRDefault="00D8516C" w:rsidP="00D8516C">
      <w:pPr>
        <w:pStyle w:val="a9"/>
        <w:rPr>
          <w:rFonts w:ascii="David" w:hAnsi="David"/>
          <w:rtl/>
        </w:rPr>
      </w:pPr>
    </w:p>
    <w:p w14:paraId="01155339"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כידוע, בעניין </w:t>
      </w:r>
      <w:r w:rsidRPr="00C156BF">
        <w:rPr>
          <w:rFonts w:ascii="Arial" w:hAnsi="Arial" w:hint="cs"/>
          <w:rtl/>
        </w:rPr>
        <w:t xml:space="preserve">ההגנה מן הצדק נוהג </w:t>
      </w:r>
      <w:r w:rsidRPr="00C156BF">
        <w:rPr>
          <w:rFonts w:ascii="Arial" w:hAnsi="Arial"/>
          <w:rtl/>
        </w:rPr>
        <w:t xml:space="preserve">המבחן המשולש </w:t>
      </w:r>
      <w:r w:rsidRPr="00C156BF">
        <w:rPr>
          <w:rFonts w:ascii="Arial" w:hAnsi="Arial" w:hint="cs"/>
          <w:rtl/>
        </w:rPr>
        <w:t xml:space="preserve">במסגרתו </w:t>
      </w:r>
      <w:r w:rsidRPr="00C156BF">
        <w:rPr>
          <w:rFonts w:ascii="Arial" w:hAnsi="Arial"/>
          <w:rtl/>
        </w:rPr>
        <w:t>תחילה על בית המשפט לזהות את הפגמים שנפלו בהליך ואת עוצמתם וזאת במנותק משאלת אשמתו או חפותו של הנאשם. השלב השני עניינו בשאלה אם הגשת כתב האישום, או ניהול ההליך, עלולים להביא לפגיעה חריפה בתחושת הצדק. באם התשובה היא חיובית יש לשאול האם ניתן לרפא את הפגמים בדרך מתונה יותר מביטולו של כתב האישום</w:t>
      </w:r>
      <w:r w:rsidRPr="00C156BF">
        <w:rPr>
          <w:rFonts w:ascii="David" w:hAnsi="David"/>
          <w:color w:val="000000"/>
          <w:rtl/>
        </w:rPr>
        <w:t xml:space="preserve"> (</w:t>
      </w:r>
      <w:hyperlink r:id="rId43" w:history="1">
        <w:r w:rsidR="004B2F3A" w:rsidRPr="00C156BF">
          <w:rPr>
            <w:rFonts w:ascii="David" w:hAnsi="David"/>
            <w:color w:val="0000FF"/>
            <w:u w:val="single"/>
            <w:rtl/>
          </w:rPr>
          <w:t>ע"פ 5975/14</w:t>
        </w:r>
      </w:hyperlink>
      <w:r w:rsidRPr="00C156BF">
        <w:rPr>
          <w:rFonts w:ascii="David" w:hAnsi="David"/>
          <w:color w:val="000000"/>
          <w:rtl/>
        </w:rPr>
        <w:t xml:space="preserve"> </w:t>
      </w:r>
      <w:r w:rsidRPr="00C156BF">
        <w:rPr>
          <w:rFonts w:ascii="David" w:hAnsi="David"/>
          <w:b/>
          <w:bCs/>
          <w:color w:val="000000"/>
          <w:rtl/>
        </w:rPr>
        <w:t>אברהים דרוויש אגבריה נ' מדינת ישראל</w:t>
      </w:r>
      <w:r w:rsidRPr="00C156BF">
        <w:rPr>
          <w:rFonts w:ascii="David" w:hAnsi="David"/>
          <w:color w:val="000000"/>
          <w:rtl/>
        </w:rPr>
        <w:t xml:space="preserve"> (31.12.2015)).</w:t>
      </w:r>
      <w:r w:rsidRPr="00C156BF">
        <w:rPr>
          <w:rFonts w:ascii="David" w:hAnsi="David" w:hint="cs"/>
          <w:rtl/>
        </w:rPr>
        <w:t xml:space="preserve"> כפי שקבעתי לעיל, בשל אופי הדיון לא ניתן לקבוע ממצאים ברורים בדבר השאלה מדוע הוחלט על עריכת חיפוש בביתו של הנאשם בעיתוי שונה מהמקובל בעסקאות סוכן ואם בבסיס הפיצול מצויה טעות בשיקול הדעת או סטייה מנוהל כלשהו. עם זאת, כידוע, דוקטרינת ההגנה מן הצדק שמה דגש בעיקר על תחושת הפגיעה בעקרונות הצדק ועל הפגיעה בנאשם וזאת מזווית הראייה שלו. מטעמים אלו נקבע לא אחת כי </w:t>
      </w:r>
      <w:r w:rsidRPr="00C156BF">
        <w:rPr>
          <w:rFonts w:ascii="Miriam" w:hAnsi="Miriam"/>
          <w:rtl/>
        </w:rPr>
        <w:t>"דוקטרינת ההגנה מן הצדק ככלל, והטענה לאכיפה מפלה בפרט – אינן מוגבלות בקיומו של מניע פסול העומד בבסיס פעולת הרשות"</w:t>
      </w:r>
      <w:r w:rsidRPr="00C156BF">
        <w:rPr>
          <w:rFonts w:ascii="David" w:hAnsi="David" w:hint="cs"/>
          <w:rtl/>
        </w:rPr>
        <w:t xml:space="preserve"> (ע"פ </w:t>
      </w:r>
      <w:hyperlink r:id="rId44" w:history="1">
        <w:r w:rsidR="00BF7320" w:rsidRPr="00BF7320">
          <w:rPr>
            <w:rFonts w:ascii="David" w:hAnsi="David"/>
            <w:color w:val="0000FF"/>
            <w:u w:val="single"/>
            <w:rtl/>
          </w:rPr>
          <w:t xml:space="preserve">1611/16 </w:t>
        </w:r>
      </w:hyperlink>
      <w:r w:rsidRPr="00C156BF">
        <w:rPr>
          <w:rFonts w:ascii="David" w:hAnsi="David" w:hint="cs"/>
          <w:rtl/>
        </w:rPr>
        <w:t xml:space="preserve"> </w:t>
      </w:r>
      <w:r w:rsidRPr="00C156BF">
        <w:rPr>
          <w:rFonts w:ascii="David" w:hAnsi="David" w:hint="cs"/>
          <w:b/>
          <w:bCs/>
          <w:rtl/>
        </w:rPr>
        <w:t>מדינת ישראל נ' יוסף ורדי ואח'</w:t>
      </w:r>
      <w:r w:rsidRPr="00C156BF">
        <w:rPr>
          <w:rFonts w:ascii="David" w:hAnsi="David" w:hint="cs"/>
          <w:rtl/>
        </w:rPr>
        <w:t xml:space="preserve"> (31.10.2018), פסקה 79 לפסק דינו של כב' השופט מלצר) וכי הדעה המקובלת כיום היא כי </w:t>
      </w:r>
      <w:r w:rsidRPr="00C156BF">
        <w:rPr>
          <w:rFonts w:ascii="Miriam" w:hAnsi="Miriam"/>
          <w:rtl/>
        </w:rPr>
        <w:t>"גם התנהלות תמת-לב מצדה עלולה להוביל במישור התוצאה להפליה שתעורר תחושה של חוסר צדק חזרה וקיבלה ביטוי בפסיקתו העדכנית של בית משפט זה"</w:t>
      </w:r>
      <w:r w:rsidRPr="00C156BF">
        <w:rPr>
          <w:rFonts w:ascii="David" w:hAnsi="David" w:hint="cs"/>
          <w:rtl/>
        </w:rPr>
        <w:t xml:space="preserve"> (</w:t>
      </w:r>
      <w:r w:rsidRPr="00C156BF">
        <w:rPr>
          <w:rFonts w:ascii="David" w:hAnsi="David" w:hint="cs"/>
          <w:b/>
          <w:bCs/>
          <w:rtl/>
        </w:rPr>
        <w:t>עניין</w:t>
      </w:r>
      <w:r w:rsidRPr="00C156BF">
        <w:rPr>
          <w:rFonts w:ascii="David" w:hAnsi="David" w:hint="cs"/>
          <w:rtl/>
        </w:rPr>
        <w:t xml:space="preserve"> </w:t>
      </w:r>
      <w:r w:rsidRPr="00C156BF">
        <w:rPr>
          <w:rFonts w:ascii="David" w:hAnsi="David"/>
          <w:b/>
          <w:bCs/>
          <w:rtl/>
        </w:rPr>
        <w:t>גוטסדינר</w:t>
      </w:r>
      <w:r w:rsidRPr="00C156BF">
        <w:rPr>
          <w:rFonts w:ascii="David" w:hAnsi="David" w:hint="cs"/>
          <w:rtl/>
        </w:rPr>
        <w:t xml:space="preserve">, פסקה 56 לפסק דינו של כב' השופטת ברק ארז). </w:t>
      </w:r>
    </w:p>
    <w:p w14:paraId="2A266C74" w14:textId="77777777" w:rsidR="00D8516C" w:rsidRPr="00C156BF" w:rsidRDefault="00D8516C" w:rsidP="00D8516C">
      <w:pPr>
        <w:pStyle w:val="a9"/>
        <w:ind w:left="0"/>
        <w:jc w:val="both"/>
        <w:rPr>
          <w:rFonts w:ascii="David" w:hAnsi="David"/>
        </w:rPr>
      </w:pPr>
    </w:p>
    <w:p w14:paraId="1F1B6134" w14:textId="77777777" w:rsidR="00D8516C" w:rsidRPr="00C156BF" w:rsidRDefault="00D8516C" w:rsidP="00D8516C">
      <w:pPr>
        <w:pStyle w:val="a9"/>
        <w:numPr>
          <w:ilvl w:val="0"/>
          <w:numId w:val="1"/>
        </w:numPr>
        <w:spacing w:line="360" w:lineRule="auto"/>
        <w:jc w:val="both"/>
        <w:rPr>
          <w:rFonts w:ascii="David" w:hAnsi="David"/>
          <w:rtl/>
        </w:rPr>
      </w:pPr>
      <w:r w:rsidRPr="00C156BF">
        <w:rPr>
          <w:rFonts w:ascii="David" w:hAnsi="David" w:hint="cs"/>
          <w:rtl/>
        </w:rPr>
        <w:t>משכך, סבור אני כי די בעצם הפיצול בין שתי העבירות, אשר בוצעו באותו מועד ובהקשר זהה, באופן שכתבי האישום בגינן הוגשו בהפרש של שנה, ואף לאחר שהנאשם סיים לשאת בעונשו בגין אחת העבירות, על מנת לקבוע שהנאשם צלח את השלב הראשון. בעניין זה אפנה לאמור ב</w:t>
      </w:r>
      <w:hyperlink r:id="rId45" w:history="1">
        <w:r w:rsidR="004B2F3A" w:rsidRPr="00C156BF">
          <w:rPr>
            <w:rFonts w:ascii="David" w:hAnsi="David"/>
            <w:color w:val="0000FF"/>
            <w:u w:val="single"/>
            <w:rtl/>
          </w:rPr>
          <w:t>עפ"ת 18521-02-12</w:t>
        </w:r>
      </w:hyperlink>
      <w:r w:rsidRPr="00C156BF">
        <w:rPr>
          <w:rFonts w:ascii="David" w:hAnsi="David" w:hint="cs"/>
          <w:rtl/>
        </w:rPr>
        <w:t xml:space="preserve"> </w:t>
      </w:r>
      <w:r w:rsidRPr="00C156BF">
        <w:rPr>
          <w:rFonts w:ascii="David" w:hAnsi="David" w:hint="cs"/>
          <w:b/>
          <w:bCs/>
          <w:rtl/>
        </w:rPr>
        <w:t>מדינת ישראל נ' גדעון ארד בהלול</w:t>
      </w:r>
      <w:r w:rsidRPr="00C156BF">
        <w:rPr>
          <w:rFonts w:ascii="David" w:hAnsi="David" w:hint="cs"/>
          <w:rtl/>
        </w:rPr>
        <w:t xml:space="preserve"> (7.6.2012), שם ביטל בית המשפט המחוזי כתב אישום בשל פיצול אישומים תוך שציין כי </w:t>
      </w:r>
      <w:r w:rsidRPr="00C156BF">
        <w:rPr>
          <w:rFonts w:ascii="Miriam" w:hAnsi="Miriam" w:hint="cs"/>
          <w:rtl/>
        </w:rPr>
        <w:t>"</w:t>
      </w:r>
      <w:r w:rsidRPr="00C156BF">
        <w:rPr>
          <w:rFonts w:ascii="Miriam" w:hAnsi="Miriam"/>
          <w:rtl/>
        </w:rPr>
        <w:t xml:space="preserve">מוכנים אנו להניח שפעולות המאשימה נעשו בתום לב. גם פיצול אישומים נגד נאשם אחד לשני כתבי אישום, אף שאיננו רצוי, הינו לעיתים כורח המציאות, ואינו מהווה, כשלעצמו, טעם לקבלת טענת הגנה מן הצדק. אלא שבענייננו חברו מספר נסיבות המובילות למסקנה שהמשך ניהול ההליך נגד המשיבים עומד </w:t>
      </w:r>
      <w:r w:rsidRPr="00C156BF">
        <w:rPr>
          <w:rFonts w:ascii="Miriam" w:hAnsi="Miriam" w:hint="cs"/>
          <w:rtl/>
        </w:rPr>
        <w:t>'</w:t>
      </w:r>
      <w:r w:rsidRPr="00C156BF">
        <w:rPr>
          <w:rFonts w:ascii="Miriam" w:hAnsi="Miriam"/>
          <w:rtl/>
        </w:rPr>
        <w:t xml:space="preserve">בסתירה מהותית לעקרונות של צדק והגינות משפטית" כקבוע </w:t>
      </w:r>
      <w:hyperlink r:id="rId46" w:history="1">
        <w:r w:rsidR="00C156BF" w:rsidRPr="00C156BF">
          <w:rPr>
            <w:rStyle w:val="Hyperlink"/>
            <w:rFonts w:ascii="Miriam" w:hAnsi="Miriam"/>
            <w:rtl/>
          </w:rPr>
          <w:t>בס' 149(10)</w:t>
        </w:r>
      </w:hyperlink>
      <w:r w:rsidRPr="00C156BF">
        <w:rPr>
          <w:rFonts w:ascii="Miriam" w:hAnsi="Miriam"/>
          <w:rtl/>
        </w:rPr>
        <w:t xml:space="preserve"> ל</w:t>
      </w:r>
      <w:hyperlink r:id="rId47" w:history="1">
        <w:r w:rsidR="004B2F3A" w:rsidRPr="00C156BF">
          <w:rPr>
            <w:rFonts w:ascii="Miriam" w:hAnsi="Miriam"/>
            <w:color w:val="0000FF"/>
            <w:u w:val="single"/>
            <w:rtl/>
          </w:rPr>
          <w:t>חוק סדר הדין הפלילי</w:t>
        </w:r>
      </w:hyperlink>
      <w:r w:rsidRPr="00C156BF">
        <w:rPr>
          <w:rFonts w:ascii="Miriam" w:hAnsi="Miriam"/>
          <w:color w:val="000000"/>
          <w:rtl/>
        </w:rPr>
        <w:t xml:space="preserve"> [נוסח משולב]</w:t>
      </w:r>
      <w:r w:rsidRPr="00C156BF">
        <w:rPr>
          <w:rFonts w:ascii="Miriam" w:hAnsi="Miriam"/>
          <w:rtl/>
        </w:rPr>
        <w:t>, התשמ"ב-1982</w:t>
      </w:r>
      <w:r w:rsidRPr="00C156BF">
        <w:rPr>
          <w:rFonts w:ascii="Miriam" w:hAnsi="Miriam" w:hint="cs"/>
          <w:rtl/>
        </w:rPr>
        <w:t>' ".</w:t>
      </w:r>
    </w:p>
    <w:p w14:paraId="786CDCAB" w14:textId="77777777" w:rsidR="00D8516C" w:rsidRPr="00C156BF" w:rsidRDefault="00D8516C" w:rsidP="00D8516C">
      <w:pPr>
        <w:pStyle w:val="a9"/>
        <w:ind w:left="0"/>
        <w:jc w:val="both"/>
        <w:rPr>
          <w:rFonts w:ascii="David" w:hAnsi="David"/>
        </w:rPr>
      </w:pPr>
    </w:p>
    <w:p w14:paraId="035A8D57"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ביחס לשלב השני, הרי כפי שציינתי לעיל, פיצול זה פגע במידה מסוימת ביכולתו של הנאשם להתגונן מבחינה עונשית עם כתב האישום השני וזאת באופן הפוגע לדעתי בתחושת הצדק וההגינות. מידת הפגיעה אינה רבה, אך קיימת, ומשכך הסעד הראוי הוא מתון יחסית ומובן שאינו ביטול האישום והסנגור אף לא עתר לסעד זה. הסעד ההולם פגיעה זו לדעתי הוא קביעת מתחם ענישה מקל במקצת המביא בחשבון את חוסר יכולתו של הנאשם לטעון כיום לקביעת מתחם ענישה אחד או לחפיפה בין שני העונשים, במקרה שהיו נקבעים שני מתחמים. קביעת המתחם (ובעיקר גבולו התחתון) תעשה כך שיתאפשר להטיל על הנאשם עונש כולל (היינו סיכום של שני העונשים) אשר לא יהיה שונה באופן ממשי מזה שסביר שהיה מוטל עליו לו הוגשו שני האישומים יחדיו. </w:t>
      </w:r>
    </w:p>
    <w:p w14:paraId="43ECEC31" w14:textId="77777777" w:rsidR="00D8516C" w:rsidRPr="00C156BF" w:rsidRDefault="00D8516C" w:rsidP="00D8516C">
      <w:pPr>
        <w:pStyle w:val="a9"/>
        <w:rPr>
          <w:rFonts w:ascii="David" w:hAnsi="David"/>
          <w:rtl/>
        </w:rPr>
      </w:pPr>
    </w:p>
    <w:p w14:paraId="732DE65E"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לאור כל זאת, מתחם הענישה ההולם עבירה זו בנסיבות ביצועה המיוחדות (היינו הנסיבות העובדתיות, קרי: מכירה חד פעמית בנסיבות המכירה המיוחדות לתיק זה והנסיבות המשפטיות, קרי: טענת הגנה מן הצדק בשל פיצול האישומים), נע בין 8 חודשי מאסר ועד 18 חודשי מאסר בצירוף ענישה נלווית. </w:t>
      </w:r>
    </w:p>
    <w:p w14:paraId="42EBAACB" w14:textId="77777777" w:rsidR="00D8516C" w:rsidRPr="00C156BF" w:rsidRDefault="00D8516C" w:rsidP="00D8516C">
      <w:pPr>
        <w:pStyle w:val="a9"/>
        <w:ind w:left="0"/>
        <w:jc w:val="both"/>
        <w:rPr>
          <w:rFonts w:ascii="David" w:hAnsi="David"/>
          <w:rtl/>
        </w:rPr>
      </w:pPr>
    </w:p>
    <w:p w14:paraId="66041751" w14:textId="77777777" w:rsidR="00D8516C" w:rsidRPr="00C156BF" w:rsidRDefault="00D8516C" w:rsidP="00D8516C">
      <w:pPr>
        <w:pStyle w:val="a9"/>
        <w:spacing w:line="360" w:lineRule="auto"/>
        <w:ind w:left="0"/>
        <w:jc w:val="both"/>
        <w:rPr>
          <w:rFonts w:ascii="David" w:hAnsi="David"/>
          <w:b/>
          <w:bCs/>
          <w:u w:val="single"/>
        </w:rPr>
      </w:pPr>
      <w:r w:rsidRPr="00C156BF">
        <w:rPr>
          <w:rFonts w:ascii="David" w:hAnsi="David" w:hint="cs"/>
          <w:b/>
          <w:bCs/>
          <w:u w:val="single"/>
          <w:rtl/>
        </w:rPr>
        <w:t>קביעת עונשו של הנאשם</w:t>
      </w:r>
    </w:p>
    <w:p w14:paraId="45FF7C01" w14:textId="77777777" w:rsidR="00D8516C" w:rsidRPr="00C156BF" w:rsidRDefault="00D8516C" w:rsidP="00D8516C">
      <w:pPr>
        <w:pStyle w:val="a9"/>
        <w:rPr>
          <w:rFonts w:ascii="David" w:hAnsi="David"/>
          <w:rtl/>
        </w:rPr>
      </w:pPr>
    </w:p>
    <w:p w14:paraId="75451CAF"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ההגנה לא חלקה על כך שאין מקום לחריגה מטעמים של שיקום ואכן לא מצאתי טעמים לעשות כך. לכן, על העונש להיגזר בגדרי המתחם שקבעתי. </w:t>
      </w:r>
    </w:p>
    <w:p w14:paraId="776A5C1C" w14:textId="77777777" w:rsidR="00D8516C" w:rsidRPr="00C156BF" w:rsidRDefault="00D8516C" w:rsidP="00D8516C">
      <w:pPr>
        <w:pStyle w:val="a9"/>
        <w:spacing w:line="360" w:lineRule="auto"/>
        <w:ind w:left="0"/>
        <w:jc w:val="both"/>
        <w:rPr>
          <w:rFonts w:ascii="David" w:hAnsi="David"/>
        </w:rPr>
      </w:pPr>
    </w:p>
    <w:p w14:paraId="465C85CC"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לצורך קביעת עונשו של הנאשם הבאתי בחשבון את הודאתו בהזדמנות הראשונה אשר ביטאה קבלת אחריות והפנמת הפסול. הבאתי עוד בחשבון את גילו הצעיר. מנגד, הבאתי בחשבון את עברו הפלילי הכולל אף עבירת סמים (הקשורה כאמור לתיק זה). כן הבאתי בחשבון את תקופת המעצר בה  שוהה הנאשם אשר תנאיו קשים ממאסר. בצד דברים אלו אדגיש שגם בתוך המתחם בכוונתי להביא בחשבון את העובדה שמדובר בשני כתבי אישום אשר ככלל היה מקום שלא ידונו בנפרד ועובדה זו יש לשקול לקולה. כן הבאתי  בחשבון שהנאשם שוחרר ממאסר בגין עבירה הקשורה כאמור לזו עליה הוא נותן את הדין כעת, והוא צפוי לשוב למאסר על כל הקושי הטמון בכך. לאור כך, דעתי היא שיש למקם את עונשו של הנאשם בתחתית המתחם והכל תוך שאני מביא בחשבון את העונש שהוטל עליו בהליך הקודם. </w:t>
      </w:r>
    </w:p>
    <w:p w14:paraId="6685C50A" w14:textId="77777777" w:rsidR="00D8516C" w:rsidRPr="00C156BF" w:rsidRDefault="00D8516C" w:rsidP="00D8516C">
      <w:pPr>
        <w:pStyle w:val="a9"/>
        <w:rPr>
          <w:rFonts w:ascii="David" w:hAnsi="David"/>
          <w:rtl/>
        </w:rPr>
      </w:pPr>
    </w:p>
    <w:p w14:paraId="34E4F9FC" w14:textId="77777777" w:rsidR="00D8516C" w:rsidRPr="00C156BF" w:rsidRDefault="00D8516C" w:rsidP="00D8516C">
      <w:pPr>
        <w:pStyle w:val="a9"/>
        <w:rPr>
          <w:rFonts w:ascii="David" w:hAnsi="David"/>
          <w:rtl/>
        </w:rPr>
      </w:pPr>
    </w:p>
    <w:p w14:paraId="4F56FADC" w14:textId="77777777" w:rsidR="00D8516C" w:rsidRPr="00C156BF" w:rsidRDefault="00D8516C" w:rsidP="00D8516C">
      <w:pPr>
        <w:pStyle w:val="a9"/>
        <w:rPr>
          <w:rFonts w:ascii="David" w:hAnsi="David"/>
          <w:rtl/>
        </w:rPr>
      </w:pPr>
    </w:p>
    <w:p w14:paraId="56E29A3E" w14:textId="77777777" w:rsidR="00D8516C" w:rsidRPr="00C156BF" w:rsidRDefault="00D8516C" w:rsidP="00D8516C">
      <w:pPr>
        <w:pStyle w:val="a9"/>
        <w:rPr>
          <w:rFonts w:ascii="David" w:hAnsi="David"/>
          <w:rtl/>
        </w:rPr>
      </w:pPr>
    </w:p>
    <w:p w14:paraId="4E4431EF" w14:textId="77777777" w:rsidR="00D8516C" w:rsidRPr="00C156BF" w:rsidRDefault="00D8516C" w:rsidP="00D8516C">
      <w:pPr>
        <w:pStyle w:val="a9"/>
        <w:rPr>
          <w:rFonts w:ascii="David" w:hAnsi="David"/>
          <w:rtl/>
        </w:rPr>
      </w:pPr>
    </w:p>
    <w:p w14:paraId="293C8FDE" w14:textId="77777777" w:rsidR="00D8516C" w:rsidRPr="00C156BF" w:rsidRDefault="00D8516C" w:rsidP="00D8516C">
      <w:pPr>
        <w:pStyle w:val="a9"/>
        <w:rPr>
          <w:rFonts w:ascii="David" w:hAnsi="David"/>
          <w:rtl/>
        </w:rPr>
      </w:pPr>
    </w:p>
    <w:p w14:paraId="1367FCA9" w14:textId="77777777" w:rsidR="00D8516C" w:rsidRPr="00C156BF" w:rsidRDefault="00D8516C" w:rsidP="00D8516C">
      <w:pPr>
        <w:pStyle w:val="a9"/>
        <w:rPr>
          <w:rFonts w:ascii="David" w:hAnsi="David"/>
          <w:rtl/>
        </w:rPr>
      </w:pPr>
    </w:p>
    <w:p w14:paraId="17549E0A" w14:textId="77777777" w:rsidR="00D8516C" w:rsidRPr="00C156BF" w:rsidRDefault="00D8516C" w:rsidP="00D8516C">
      <w:pPr>
        <w:pStyle w:val="a9"/>
        <w:numPr>
          <w:ilvl w:val="0"/>
          <w:numId w:val="1"/>
        </w:numPr>
        <w:spacing w:line="360" w:lineRule="auto"/>
        <w:jc w:val="both"/>
        <w:rPr>
          <w:rFonts w:ascii="David" w:hAnsi="David"/>
        </w:rPr>
      </w:pPr>
      <w:r w:rsidRPr="00C156BF">
        <w:rPr>
          <w:rFonts w:ascii="David" w:hAnsi="David" w:hint="cs"/>
          <w:rtl/>
        </w:rPr>
        <w:t xml:space="preserve">סיכומו של דבר שאני מטיל על הנאשם את העונשים הבאים: </w:t>
      </w:r>
    </w:p>
    <w:p w14:paraId="243F936B" w14:textId="77777777" w:rsidR="00D8516C" w:rsidRPr="00C156BF" w:rsidRDefault="00D8516C" w:rsidP="00D8516C">
      <w:pPr>
        <w:pStyle w:val="a9"/>
        <w:spacing w:line="360" w:lineRule="auto"/>
        <w:jc w:val="both"/>
        <w:rPr>
          <w:rFonts w:ascii="David" w:hAnsi="David"/>
          <w:rtl/>
        </w:rPr>
      </w:pPr>
    </w:p>
    <w:p w14:paraId="360722AC" w14:textId="77777777" w:rsidR="00D8516C" w:rsidRPr="00C156BF" w:rsidRDefault="00D8516C" w:rsidP="00D8516C">
      <w:pPr>
        <w:pStyle w:val="a9"/>
        <w:numPr>
          <w:ilvl w:val="0"/>
          <w:numId w:val="2"/>
        </w:numPr>
        <w:spacing w:line="360" w:lineRule="auto"/>
        <w:jc w:val="both"/>
        <w:rPr>
          <w:rFonts w:ascii="David" w:hAnsi="David"/>
        </w:rPr>
      </w:pPr>
      <w:r w:rsidRPr="00C156BF">
        <w:rPr>
          <w:rFonts w:ascii="David" w:hAnsi="David" w:hint="cs"/>
          <w:b/>
          <w:bCs/>
          <w:rtl/>
        </w:rPr>
        <w:t>מאסר בפועל למשך 8 חודשים</w:t>
      </w:r>
      <w:r w:rsidRPr="00C156BF">
        <w:rPr>
          <w:rFonts w:ascii="David" w:hAnsi="David" w:hint="cs"/>
          <w:rtl/>
        </w:rPr>
        <w:t xml:space="preserve"> וזאת החל מיום מעצרו </w:t>
      </w:r>
      <w:r w:rsidRPr="00C156BF">
        <w:rPr>
          <w:rFonts w:ascii="David" w:hAnsi="David"/>
          <w:rtl/>
        </w:rPr>
        <w:t>–</w:t>
      </w:r>
      <w:r w:rsidRPr="00C156BF">
        <w:rPr>
          <w:rFonts w:ascii="David" w:hAnsi="David" w:hint="cs"/>
          <w:rtl/>
        </w:rPr>
        <w:t xml:space="preserve"> 10.1.2023.</w:t>
      </w:r>
    </w:p>
    <w:p w14:paraId="4ACA002B" w14:textId="77777777" w:rsidR="00D8516C" w:rsidRPr="00C156BF" w:rsidRDefault="00D8516C" w:rsidP="00D8516C">
      <w:pPr>
        <w:pStyle w:val="a9"/>
        <w:spacing w:line="360" w:lineRule="auto"/>
        <w:ind w:left="1080"/>
        <w:jc w:val="both"/>
        <w:rPr>
          <w:rFonts w:ascii="David" w:hAnsi="David"/>
        </w:rPr>
      </w:pPr>
    </w:p>
    <w:p w14:paraId="427549BD" w14:textId="77777777" w:rsidR="00D8516C" w:rsidRPr="00C156BF" w:rsidRDefault="00D8516C" w:rsidP="00D8516C">
      <w:pPr>
        <w:pStyle w:val="a9"/>
        <w:numPr>
          <w:ilvl w:val="0"/>
          <w:numId w:val="2"/>
        </w:numPr>
        <w:spacing w:line="360" w:lineRule="auto"/>
        <w:jc w:val="both"/>
        <w:rPr>
          <w:rFonts w:ascii="David" w:hAnsi="David"/>
        </w:rPr>
      </w:pPr>
      <w:r w:rsidRPr="00C156BF">
        <w:rPr>
          <w:rFonts w:ascii="David" w:hAnsi="David" w:hint="cs"/>
          <w:rtl/>
        </w:rPr>
        <w:t xml:space="preserve">מאסר על תנאי למשך 3 חודשים והתנאי הוא שהנאשם לא יעבור בתוך שנתיים מיום שחרורו את העבירה בה הורשע. בקביעת עונש זה הבאתי בחשבון את המאסר המותנה שהוטל על הנאשם בגין כתב האישום הראשון, את משכו ואת היקף העבירות המפעילות אותו. </w:t>
      </w:r>
    </w:p>
    <w:p w14:paraId="289AA284" w14:textId="77777777" w:rsidR="00D8516C" w:rsidRPr="00C156BF" w:rsidRDefault="00D8516C" w:rsidP="00D8516C">
      <w:pPr>
        <w:pStyle w:val="a9"/>
        <w:spacing w:line="360" w:lineRule="auto"/>
        <w:jc w:val="both"/>
        <w:rPr>
          <w:rFonts w:ascii="David" w:hAnsi="David"/>
          <w:rtl/>
        </w:rPr>
      </w:pPr>
    </w:p>
    <w:p w14:paraId="4F596709" w14:textId="77777777" w:rsidR="00D8516C" w:rsidRPr="00C156BF" w:rsidRDefault="00D8516C" w:rsidP="00D8516C">
      <w:pPr>
        <w:pStyle w:val="a9"/>
        <w:numPr>
          <w:ilvl w:val="0"/>
          <w:numId w:val="2"/>
        </w:numPr>
        <w:spacing w:line="360" w:lineRule="auto"/>
        <w:jc w:val="both"/>
        <w:rPr>
          <w:rFonts w:ascii="David" w:hAnsi="David"/>
          <w:rtl/>
        </w:rPr>
      </w:pPr>
      <w:r w:rsidRPr="00C156BF">
        <w:rPr>
          <w:rFonts w:ascii="David" w:hAnsi="David" w:hint="cs"/>
          <w:rtl/>
        </w:rPr>
        <w:t xml:space="preserve">קנס בסך 3,000 ₪ או עשרה ימי מאסר תמורתו. הקנס ישולם ב-6 תשלומים שווים ורצופים החל מיום 1.7.23 ובכל 1 לחודש שלאחריו. לא ישולם אחד התשלומים במועדו תעמוד היתרה לפירעון מידי. </w:t>
      </w:r>
    </w:p>
    <w:p w14:paraId="33D2B03E" w14:textId="77777777" w:rsidR="00D8516C" w:rsidRPr="00C156BF" w:rsidRDefault="00D8516C" w:rsidP="00D8516C">
      <w:pPr>
        <w:pStyle w:val="a9"/>
        <w:spacing w:line="360" w:lineRule="auto"/>
        <w:ind w:left="0"/>
        <w:jc w:val="both"/>
        <w:rPr>
          <w:rFonts w:ascii="David" w:hAnsi="David"/>
          <w:rtl/>
        </w:rPr>
      </w:pPr>
    </w:p>
    <w:p w14:paraId="34C00A8C" w14:textId="77777777" w:rsidR="00D8516C" w:rsidRPr="00C156BF" w:rsidRDefault="004B2F3A" w:rsidP="00D8516C">
      <w:pPr>
        <w:pStyle w:val="a9"/>
        <w:spacing w:line="360" w:lineRule="auto"/>
        <w:ind w:left="0"/>
        <w:jc w:val="both"/>
        <w:rPr>
          <w:rFonts w:ascii="David" w:hAnsi="David"/>
          <w:b/>
          <w:bCs/>
          <w:u w:val="single"/>
          <w:rtl/>
        </w:rPr>
      </w:pPr>
      <w:r w:rsidRPr="00C156BF">
        <w:rPr>
          <w:rFonts w:ascii="David" w:hAnsi="David"/>
          <w:b/>
          <w:bCs/>
          <w:color w:val="FFFFFF"/>
          <w:sz w:val="2"/>
          <w:szCs w:val="2"/>
          <w:u w:val="single"/>
          <w:rtl/>
        </w:rPr>
        <w:t>5129371</w:t>
      </w:r>
      <w:r w:rsidR="00D8516C" w:rsidRPr="00C156BF">
        <w:rPr>
          <w:rFonts w:ascii="David" w:hAnsi="David" w:hint="cs"/>
          <w:b/>
          <w:bCs/>
          <w:u w:val="single"/>
          <w:rtl/>
        </w:rPr>
        <w:t>הודעה זכות ערעור בתוך 45 ימים לבית המשפט המחוזי.</w:t>
      </w:r>
    </w:p>
    <w:p w14:paraId="46617666" w14:textId="77777777" w:rsidR="00D8516C" w:rsidRPr="00C156BF" w:rsidRDefault="004B2F3A" w:rsidP="00D8516C">
      <w:pPr>
        <w:rPr>
          <w:rFonts w:ascii="David" w:hAnsi="David"/>
          <w:color w:val="FFFFFF"/>
          <w:sz w:val="2"/>
          <w:szCs w:val="2"/>
          <w:rtl/>
        </w:rPr>
      </w:pPr>
      <w:r w:rsidRPr="00C156BF">
        <w:rPr>
          <w:rFonts w:ascii="David" w:hAnsi="David"/>
          <w:color w:val="FFFFFF"/>
          <w:sz w:val="2"/>
          <w:szCs w:val="2"/>
          <w:rtl/>
        </w:rPr>
        <w:t>54678313</w:t>
      </w:r>
    </w:p>
    <w:p w14:paraId="24080338" w14:textId="77777777" w:rsidR="00D8516C" w:rsidRPr="00C156BF" w:rsidRDefault="00D8516C" w:rsidP="00D8516C">
      <w:pPr>
        <w:rPr>
          <w:rFonts w:ascii="David" w:hAnsi="David"/>
          <w:rtl/>
        </w:rPr>
      </w:pPr>
    </w:p>
    <w:p w14:paraId="62703EDA" w14:textId="77777777" w:rsidR="00D8516C" w:rsidRPr="00C156BF" w:rsidRDefault="004B2F3A" w:rsidP="00D8516C">
      <w:pPr>
        <w:rPr>
          <w:rFonts w:ascii="David" w:hAnsi="David"/>
          <w:rtl/>
        </w:rPr>
      </w:pPr>
      <w:bookmarkStart w:id="8" w:name="Nitan"/>
      <w:r w:rsidRPr="00C156BF">
        <w:rPr>
          <w:rFonts w:ascii="David" w:hAnsi="David"/>
          <w:rtl/>
        </w:rPr>
        <w:t xml:space="preserve">ניתן היום,  י"ב ניסן תשפ"ג, 03 אפריל 2023, במעמד הצדדים. </w:t>
      </w:r>
      <w:bookmarkEnd w:id="8"/>
    </w:p>
    <w:p w14:paraId="0728244A" w14:textId="77777777" w:rsidR="00D8516C" w:rsidRPr="00C156BF" w:rsidRDefault="00D8516C" w:rsidP="004B2F3A">
      <w:pPr>
        <w:jc w:val="center"/>
      </w:pPr>
      <w:r w:rsidRPr="00C156BF">
        <w:rPr>
          <w:rFonts w:ascii="David" w:hAnsi="David"/>
          <w:rtl/>
        </w:rPr>
        <w:t xml:space="preserve">   </w:t>
      </w:r>
      <w:r w:rsidRPr="00C156BF">
        <w:rPr>
          <w:rFonts w:ascii="David" w:hAnsi="David"/>
          <w:rtl/>
        </w:rPr>
        <w:tab/>
      </w:r>
      <w:r w:rsidRPr="00C156BF">
        <w:rPr>
          <w:rFonts w:ascii="David" w:hAnsi="David"/>
          <w:rtl/>
        </w:rPr>
        <w:tab/>
      </w:r>
      <w:r w:rsidRPr="00C156BF">
        <w:rPr>
          <w:rFonts w:ascii="David" w:hAnsi="David"/>
          <w:rtl/>
        </w:rPr>
        <w:tab/>
      </w:r>
      <w:r w:rsidRPr="00C156BF">
        <w:rPr>
          <w:rFonts w:ascii="David" w:hAnsi="David"/>
          <w:rtl/>
        </w:rPr>
        <w:tab/>
      </w:r>
      <w:r w:rsidRPr="00C156BF">
        <w:rPr>
          <w:rFonts w:ascii="David" w:hAnsi="David"/>
          <w:rtl/>
        </w:rPr>
        <w:tab/>
      </w:r>
    </w:p>
    <w:p w14:paraId="2A04DE5C" w14:textId="77777777" w:rsidR="00D8516C" w:rsidRPr="00C156BF" w:rsidRDefault="00D8516C" w:rsidP="00D8516C">
      <w:pPr>
        <w:jc w:val="center"/>
        <w:rPr>
          <w:rFonts w:ascii="David" w:hAnsi="David"/>
          <w:rtl/>
        </w:rPr>
      </w:pPr>
    </w:p>
    <w:p w14:paraId="17D34119" w14:textId="77777777" w:rsidR="001F028C" w:rsidRPr="00C156BF" w:rsidRDefault="001F028C" w:rsidP="004B2F3A">
      <w:pPr>
        <w:keepNext/>
        <w:rPr>
          <w:rFonts w:ascii="David" w:hAnsi="David"/>
          <w:color w:val="000000"/>
          <w:sz w:val="22"/>
          <w:szCs w:val="22"/>
          <w:rtl/>
        </w:rPr>
      </w:pPr>
    </w:p>
    <w:p w14:paraId="1E750F1C" w14:textId="77777777" w:rsidR="004B2F3A" w:rsidRPr="00C156BF" w:rsidRDefault="004B2F3A" w:rsidP="004B2F3A">
      <w:pPr>
        <w:keepNext/>
        <w:rPr>
          <w:rFonts w:ascii="David" w:hAnsi="David"/>
          <w:color w:val="000000"/>
          <w:sz w:val="22"/>
          <w:szCs w:val="22"/>
          <w:rtl/>
        </w:rPr>
      </w:pPr>
      <w:r w:rsidRPr="00C156BF">
        <w:rPr>
          <w:rFonts w:ascii="David" w:hAnsi="David"/>
          <w:color w:val="000000"/>
          <w:sz w:val="22"/>
          <w:szCs w:val="22"/>
          <w:rtl/>
        </w:rPr>
        <w:t>יוסי טורס 54678313</w:t>
      </w:r>
    </w:p>
    <w:p w14:paraId="0BD17367" w14:textId="77777777" w:rsidR="004B2F3A" w:rsidRPr="00C156BF" w:rsidRDefault="004B2F3A" w:rsidP="004B2F3A">
      <w:r w:rsidRPr="00C156BF">
        <w:rPr>
          <w:color w:val="000000"/>
          <w:rtl/>
        </w:rPr>
        <w:t>נוסח מסמך זה כפוף לשינויי ניסוח ועריכה</w:t>
      </w:r>
    </w:p>
    <w:p w14:paraId="7D44DBCE" w14:textId="77777777" w:rsidR="004B2F3A" w:rsidRPr="00C156BF" w:rsidRDefault="004B2F3A" w:rsidP="004B2F3A">
      <w:pPr>
        <w:rPr>
          <w:rtl/>
        </w:rPr>
      </w:pPr>
    </w:p>
    <w:p w14:paraId="55B1602D" w14:textId="77777777" w:rsidR="004B2F3A" w:rsidRPr="00C156BF" w:rsidRDefault="004B2F3A" w:rsidP="004B2F3A">
      <w:pPr>
        <w:jc w:val="center"/>
        <w:rPr>
          <w:color w:val="0000FF"/>
          <w:u w:val="single"/>
        </w:rPr>
      </w:pPr>
      <w:hyperlink r:id="rId48" w:history="1">
        <w:r w:rsidRPr="00C156BF">
          <w:rPr>
            <w:color w:val="0000FF"/>
            <w:u w:val="single"/>
            <w:rtl/>
          </w:rPr>
          <w:t>בעניין עריכה ושינויים במסמכי פסיקה, חקיקה ועוד באתר נבו – הקש כאן</w:t>
        </w:r>
      </w:hyperlink>
    </w:p>
    <w:p w14:paraId="10C37F62" w14:textId="77777777" w:rsidR="004B2F3A" w:rsidRPr="00C156BF" w:rsidRDefault="004B2F3A" w:rsidP="004B2F3A">
      <w:pPr>
        <w:jc w:val="center"/>
        <w:rPr>
          <w:color w:val="0000FF"/>
          <w:u w:val="single"/>
        </w:rPr>
      </w:pPr>
    </w:p>
    <w:sectPr w:rsidR="004B2F3A" w:rsidRPr="00C156BF" w:rsidSect="004B2F3A">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4BB3A1" w14:textId="77777777" w:rsidR="005D38F2" w:rsidRDefault="005D38F2" w:rsidP="00BD532C">
      <w:r>
        <w:separator/>
      </w:r>
    </w:p>
  </w:endnote>
  <w:endnote w:type="continuationSeparator" w:id="0">
    <w:p w14:paraId="253A1739" w14:textId="77777777" w:rsidR="005D38F2" w:rsidRDefault="005D38F2" w:rsidP="00BD5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D6E13" w14:textId="77777777" w:rsidR="004B2F3A" w:rsidRDefault="004B2F3A" w:rsidP="004B2F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034B734" w14:textId="77777777" w:rsidR="001226E4" w:rsidRPr="004B2F3A" w:rsidRDefault="004B2F3A" w:rsidP="004B2F3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924F3" w14:textId="77777777" w:rsidR="004B2F3A" w:rsidRDefault="004B2F3A" w:rsidP="004B2F3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35F2">
      <w:rPr>
        <w:rFonts w:ascii="FrankRuehl" w:hAnsi="FrankRuehl" w:cs="FrankRuehl"/>
        <w:noProof/>
        <w:rtl/>
      </w:rPr>
      <w:t>1</w:t>
    </w:r>
    <w:r>
      <w:rPr>
        <w:rFonts w:ascii="FrankRuehl" w:hAnsi="FrankRuehl" w:cs="FrankRuehl"/>
        <w:rtl/>
      </w:rPr>
      <w:fldChar w:fldCharType="end"/>
    </w:r>
  </w:p>
  <w:p w14:paraId="642B6E98" w14:textId="77777777" w:rsidR="001226E4" w:rsidRPr="004B2F3A" w:rsidRDefault="004B2F3A" w:rsidP="004B2F3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E056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411011" w14:textId="77777777" w:rsidR="005D38F2" w:rsidRDefault="005D38F2" w:rsidP="00BD532C">
      <w:r>
        <w:separator/>
      </w:r>
    </w:p>
  </w:footnote>
  <w:footnote w:type="continuationSeparator" w:id="0">
    <w:p w14:paraId="0F958150" w14:textId="77777777" w:rsidR="005D38F2" w:rsidRDefault="005D38F2" w:rsidP="00BD5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BD450" w14:textId="77777777" w:rsidR="004B2F3A" w:rsidRPr="004B2F3A" w:rsidRDefault="004B2F3A" w:rsidP="004B2F3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46722-01-23</w:t>
    </w:r>
    <w:r>
      <w:rPr>
        <w:rFonts w:ascii="David" w:hAnsi="David"/>
        <w:color w:val="000000"/>
        <w:sz w:val="22"/>
        <w:szCs w:val="22"/>
        <w:rtl/>
      </w:rPr>
      <w:tab/>
      <w:t xml:space="preserve"> מדינת ישראל נ' יצחק כהן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2FC1D5" w14:textId="77777777" w:rsidR="004B2F3A" w:rsidRPr="004B2F3A" w:rsidRDefault="004B2F3A" w:rsidP="004B2F3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(קריות) 46722-01-23</w:t>
    </w:r>
    <w:r>
      <w:rPr>
        <w:rFonts w:ascii="David" w:hAnsi="David"/>
        <w:color w:val="000000"/>
        <w:sz w:val="22"/>
        <w:szCs w:val="22"/>
        <w:rtl/>
      </w:rPr>
      <w:tab/>
      <w:t xml:space="preserve"> מדינת ישראל נ' יצחק כהן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F69A1"/>
    <w:multiLevelType w:val="hybridMultilevel"/>
    <w:tmpl w:val="BFD2684E"/>
    <w:lvl w:ilvl="0" w:tplc="D20A471E">
      <w:start w:val="1"/>
      <w:numFmt w:val="decimal"/>
      <w:lvlText w:val="%1."/>
      <w:lvlJc w:val="left"/>
      <w:pPr>
        <w:tabs>
          <w:tab w:val="num" w:pos="567"/>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C36DB"/>
    <w:multiLevelType w:val="hybridMultilevel"/>
    <w:tmpl w:val="C8448B2E"/>
    <w:lvl w:ilvl="0" w:tplc="97D07A06">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9911846">
    <w:abstractNumId w:val="0"/>
  </w:num>
  <w:num w:numId="2" w16cid:durableId="2139227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8516C"/>
    <w:rsid w:val="001226E4"/>
    <w:rsid w:val="001B5A3B"/>
    <w:rsid w:val="001F028C"/>
    <w:rsid w:val="0020362A"/>
    <w:rsid w:val="004B2F3A"/>
    <w:rsid w:val="005D38F2"/>
    <w:rsid w:val="006635F2"/>
    <w:rsid w:val="006B2255"/>
    <w:rsid w:val="006F590E"/>
    <w:rsid w:val="007157F8"/>
    <w:rsid w:val="00A54B75"/>
    <w:rsid w:val="00BD532C"/>
    <w:rsid w:val="00BF7320"/>
    <w:rsid w:val="00C156BF"/>
    <w:rsid w:val="00C35EDE"/>
    <w:rsid w:val="00D851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B3629A"/>
  <w15:chartTrackingRefBased/>
  <w15:docId w15:val="{19AF642F-C467-4EF3-AC44-31854EE4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851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8516C"/>
    <w:pPr>
      <w:tabs>
        <w:tab w:val="center" w:pos="4153"/>
        <w:tab w:val="right" w:pos="8306"/>
      </w:tabs>
    </w:pPr>
  </w:style>
  <w:style w:type="character" w:customStyle="1" w:styleId="a4">
    <w:name w:val="כותרת עליונה תו"/>
    <w:link w:val="a3"/>
    <w:rsid w:val="00D8516C"/>
    <w:rPr>
      <w:rFonts w:ascii="Times New Roman" w:eastAsia="Times New Roman" w:hAnsi="Times New Roman" w:cs="David"/>
      <w:sz w:val="24"/>
      <w:szCs w:val="24"/>
    </w:rPr>
  </w:style>
  <w:style w:type="paragraph" w:styleId="a5">
    <w:name w:val="footer"/>
    <w:basedOn w:val="a"/>
    <w:link w:val="a6"/>
    <w:rsid w:val="00D8516C"/>
    <w:pPr>
      <w:tabs>
        <w:tab w:val="center" w:pos="4153"/>
        <w:tab w:val="right" w:pos="8306"/>
      </w:tabs>
    </w:pPr>
  </w:style>
  <w:style w:type="character" w:customStyle="1" w:styleId="a6">
    <w:name w:val="כותרת תחתונה תו"/>
    <w:link w:val="a5"/>
    <w:rsid w:val="00D8516C"/>
    <w:rPr>
      <w:rFonts w:ascii="Times New Roman" w:eastAsia="Times New Roman" w:hAnsi="Times New Roman" w:cs="David"/>
      <w:sz w:val="24"/>
      <w:szCs w:val="24"/>
    </w:rPr>
  </w:style>
  <w:style w:type="table" w:styleId="a7">
    <w:name w:val="Table Grid"/>
    <w:basedOn w:val="a1"/>
    <w:rsid w:val="00D851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8516C"/>
  </w:style>
  <w:style w:type="paragraph" w:styleId="a9">
    <w:name w:val="List Paragraph"/>
    <w:basedOn w:val="a"/>
    <w:qFormat/>
    <w:rsid w:val="00D8516C"/>
    <w:pPr>
      <w:ind w:left="720"/>
      <w:contextualSpacing/>
    </w:pPr>
  </w:style>
  <w:style w:type="character" w:styleId="Hyperlink">
    <w:name w:val="Hyperlink"/>
    <w:rsid w:val="004B2F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03" TargetMode="External"/><Relationship Id="rId18" Type="http://schemas.openxmlformats.org/officeDocument/2006/relationships/hyperlink" Target="http://www.nevo.co.il/case/22828581" TargetMode="External"/><Relationship Id="rId26" Type="http://schemas.openxmlformats.org/officeDocument/2006/relationships/hyperlink" Target="http://www.nevo.co.il/case/27913645" TargetMode="External"/><Relationship Id="rId39" Type="http://schemas.openxmlformats.org/officeDocument/2006/relationships/hyperlink" Target="http://www.nevo.co.il/law/70301/45.b" TargetMode="External"/><Relationship Id="rId21" Type="http://schemas.openxmlformats.org/officeDocument/2006/relationships/hyperlink" Target="http://www.nevo.co.il/case/20402486" TargetMode="External"/><Relationship Id="rId34" Type="http://schemas.openxmlformats.org/officeDocument/2006/relationships/hyperlink" Target="http://www.nevo.co.il/case/27245910" TargetMode="External"/><Relationship Id="rId42" Type="http://schemas.openxmlformats.org/officeDocument/2006/relationships/hyperlink" Target="http://www.nevo.co.il/case/18653868" TargetMode="External"/><Relationship Id="rId47" Type="http://schemas.openxmlformats.org/officeDocument/2006/relationships/hyperlink" Target="http://www.nevo.co.il/law/74903"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6241434" TargetMode="External"/><Relationship Id="rId29" Type="http://schemas.openxmlformats.org/officeDocument/2006/relationships/hyperlink" Target="http://www.nevo.co.il/case/13093721" TargetMode="External"/><Relationship Id="rId11" Type="http://schemas.openxmlformats.org/officeDocument/2006/relationships/hyperlink" Target="http://www.nevo.co.il/law/70301/45.b" TargetMode="External"/><Relationship Id="rId24" Type="http://schemas.openxmlformats.org/officeDocument/2006/relationships/hyperlink" Target="http://www.nevo.co.il/case/20683594" TargetMode="External"/><Relationship Id="rId32" Type="http://schemas.openxmlformats.org/officeDocument/2006/relationships/hyperlink" Target="http://www.nevo.co.il/case/28257016" TargetMode="External"/><Relationship Id="rId37" Type="http://schemas.openxmlformats.org/officeDocument/2006/relationships/hyperlink" Target="http://www.nevo.co.il/law/70301/40jc.b"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4139946"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70301" TargetMode="External"/><Relationship Id="rId19" Type="http://schemas.openxmlformats.org/officeDocument/2006/relationships/hyperlink" Target="http://www.nevo.co.il/case/26019135" TargetMode="External"/><Relationship Id="rId31" Type="http://schemas.openxmlformats.org/officeDocument/2006/relationships/hyperlink" Target="http://www.nevo.co.il/case/21473042" TargetMode="External"/><Relationship Id="rId44" Type="http://schemas.openxmlformats.org/officeDocument/2006/relationships/hyperlink" Target="http://www.nevo.co.il/case/21024461"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74903/149.10"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27079865" TargetMode="External"/><Relationship Id="rId30" Type="http://schemas.openxmlformats.org/officeDocument/2006/relationships/hyperlink" Target="http://www.nevo.co.il/case/17023776" TargetMode="External"/><Relationship Id="rId35" Type="http://schemas.openxmlformats.org/officeDocument/2006/relationships/hyperlink" Target="http://www.nevo.co.il/case/27733172" TargetMode="External"/><Relationship Id="rId43" Type="http://schemas.openxmlformats.org/officeDocument/2006/relationships/hyperlink" Target="http://www.nevo.co.il/case/17947940"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13.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40jc.b" TargetMode="External"/><Relationship Id="rId17" Type="http://schemas.openxmlformats.org/officeDocument/2006/relationships/hyperlink" Target="http://www.nevo.co.il/case/5988308" TargetMode="External"/><Relationship Id="rId25" Type="http://schemas.openxmlformats.org/officeDocument/2006/relationships/hyperlink" Target="http://www.nevo.co.il/case/25615069" TargetMode="External"/><Relationship Id="rId33" Type="http://schemas.openxmlformats.org/officeDocument/2006/relationships/hyperlink" Target="http://www.nevo.co.il/case/26708615"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4903/149.10" TargetMode="External"/><Relationship Id="rId20" Type="http://schemas.openxmlformats.org/officeDocument/2006/relationships/hyperlink" Target="http://www.nevo.co.il/case/21644133" TargetMode="External"/><Relationship Id="rId41" Type="http://schemas.openxmlformats.org/officeDocument/2006/relationships/hyperlink" Target="http://www.nevo.co.il/case/17015235"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9;13.a" TargetMode="External"/><Relationship Id="rId23" Type="http://schemas.openxmlformats.org/officeDocument/2006/relationships/hyperlink" Target="http://www.nevo.co.il/case/20131420" TargetMode="External"/><Relationship Id="rId28" Type="http://schemas.openxmlformats.org/officeDocument/2006/relationships/hyperlink" Target="http://www.nevo.co.il/case/7971983" TargetMode="External"/><Relationship Id="rId36" Type="http://schemas.openxmlformats.org/officeDocument/2006/relationships/hyperlink" Target="http://www.nevo.co.il/case/26103776"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3105</Words>
  <Characters>15528</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18596</CharactersWithSpaces>
  <SharedDoc>false</SharedDoc>
  <HLinks>
    <vt:vector size="258" baseType="variant">
      <vt:variant>
        <vt:i4>393283</vt:i4>
      </vt:variant>
      <vt:variant>
        <vt:i4>126</vt:i4>
      </vt:variant>
      <vt:variant>
        <vt:i4>0</vt:i4>
      </vt:variant>
      <vt:variant>
        <vt:i4>5</vt:i4>
      </vt:variant>
      <vt:variant>
        <vt:lpwstr>http://www.nevo.co.il/advertisements/nevo-100.doc</vt:lpwstr>
      </vt:variant>
      <vt:variant>
        <vt:lpwstr/>
      </vt:variant>
      <vt:variant>
        <vt:i4>8257646</vt:i4>
      </vt:variant>
      <vt:variant>
        <vt:i4>123</vt:i4>
      </vt:variant>
      <vt:variant>
        <vt:i4>0</vt:i4>
      </vt:variant>
      <vt:variant>
        <vt:i4>5</vt:i4>
      </vt:variant>
      <vt:variant>
        <vt:lpwstr>http://www.nevo.co.il/law/74903</vt:lpwstr>
      </vt:variant>
      <vt:variant>
        <vt:lpwstr/>
      </vt:variant>
      <vt:variant>
        <vt:i4>8061028</vt:i4>
      </vt:variant>
      <vt:variant>
        <vt:i4>120</vt:i4>
      </vt:variant>
      <vt:variant>
        <vt:i4>0</vt:i4>
      </vt:variant>
      <vt:variant>
        <vt:i4>5</vt:i4>
      </vt:variant>
      <vt:variant>
        <vt:lpwstr>http://www.nevo.co.il/law/74903/149.10</vt:lpwstr>
      </vt:variant>
      <vt:variant>
        <vt:lpwstr/>
      </vt:variant>
      <vt:variant>
        <vt:i4>3670136</vt:i4>
      </vt:variant>
      <vt:variant>
        <vt:i4>117</vt:i4>
      </vt:variant>
      <vt:variant>
        <vt:i4>0</vt:i4>
      </vt:variant>
      <vt:variant>
        <vt:i4>5</vt:i4>
      </vt:variant>
      <vt:variant>
        <vt:lpwstr>http://www.nevo.co.il/case/4139946</vt:lpwstr>
      </vt:variant>
      <vt:variant>
        <vt:lpwstr/>
      </vt:variant>
      <vt:variant>
        <vt:i4>3145843</vt:i4>
      </vt:variant>
      <vt:variant>
        <vt:i4>114</vt:i4>
      </vt:variant>
      <vt:variant>
        <vt:i4>0</vt:i4>
      </vt:variant>
      <vt:variant>
        <vt:i4>5</vt:i4>
      </vt:variant>
      <vt:variant>
        <vt:lpwstr>http://www.nevo.co.il/case/21024461</vt:lpwstr>
      </vt:variant>
      <vt:variant>
        <vt:lpwstr/>
      </vt:variant>
      <vt:variant>
        <vt:i4>3866750</vt:i4>
      </vt:variant>
      <vt:variant>
        <vt:i4>111</vt:i4>
      </vt:variant>
      <vt:variant>
        <vt:i4>0</vt:i4>
      </vt:variant>
      <vt:variant>
        <vt:i4>5</vt:i4>
      </vt:variant>
      <vt:variant>
        <vt:lpwstr>http://www.nevo.co.il/case/17947940</vt:lpwstr>
      </vt:variant>
      <vt:variant>
        <vt:lpwstr/>
      </vt:variant>
      <vt:variant>
        <vt:i4>3276913</vt:i4>
      </vt:variant>
      <vt:variant>
        <vt:i4>108</vt:i4>
      </vt:variant>
      <vt:variant>
        <vt:i4>0</vt:i4>
      </vt:variant>
      <vt:variant>
        <vt:i4>5</vt:i4>
      </vt:variant>
      <vt:variant>
        <vt:lpwstr>http://www.nevo.co.il/case/18653868</vt:lpwstr>
      </vt:variant>
      <vt:variant>
        <vt:lpwstr/>
      </vt:variant>
      <vt:variant>
        <vt:i4>3604592</vt:i4>
      </vt:variant>
      <vt:variant>
        <vt:i4>105</vt:i4>
      </vt:variant>
      <vt:variant>
        <vt:i4>0</vt:i4>
      </vt:variant>
      <vt:variant>
        <vt:i4>5</vt:i4>
      </vt:variant>
      <vt:variant>
        <vt:lpwstr>http://www.nevo.co.il/case/17015235</vt:lpwstr>
      </vt:variant>
      <vt:variant>
        <vt:lpwstr/>
      </vt:variant>
      <vt:variant>
        <vt:i4>7995492</vt:i4>
      </vt:variant>
      <vt:variant>
        <vt:i4>102</vt:i4>
      </vt:variant>
      <vt:variant>
        <vt:i4>0</vt:i4>
      </vt:variant>
      <vt:variant>
        <vt:i4>5</vt:i4>
      </vt:variant>
      <vt:variant>
        <vt:lpwstr>http://www.nevo.co.il/law/70301</vt:lpwstr>
      </vt:variant>
      <vt:variant>
        <vt:lpwstr/>
      </vt:variant>
      <vt:variant>
        <vt:i4>131151</vt:i4>
      </vt:variant>
      <vt:variant>
        <vt:i4>99</vt:i4>
      </vt:variant>
      <vt:variant>
        <vt:i4>0</vt:i4>
      </vt:variant>
      <vt:variant>
        <vt:i4>5</vt:i4>
      </vt:variant>
      <vt:variant>
        <vt:lpwstr>http://www.nevo.co.il/law/70301/45.b</vt:lpwstr>
      </vt:variant>
      <vt:variant>
        <vt:lpwstr/>
      </vt:variant>
      <vt:variant>
        <vt:i4>7995492</vt:i4>
      </vt:variant>
      <vt:variant>
        <vt:i4>96</vt:i4>
      </vt:variant>
      <vt:variant>
        <vt:i4>0</vt:i4>
      </vt:variant>
      <vt:variant>
        <vt:i4>5</vt:i4>
      </vt:variant>
      <vt:variant>
        <vt:lpwstr>http://www.nevo.co.il/law/70301</vt:lpwstr>
      </vt:variant>
      <vt:variant>
        <vt:lpwstr/>
      </vt:variant>
      <vt:variant>
        <vt:i4>6553637</vt:i4>
      </vt:variant>
      <vt:variant>
        <vt:i4>93</vt:i4>
      </vt:variant>
      <vt:variant>
        <vt:i4>0</vt:i4>
      </vt:variant>
      <vt:variant>
        <vt:i4>5</vt:i4>
      </vt:variant>
      <vt:variant>
        <vt:lpwstr>http://www.nevo.co.il/law/70301/40jc.b</vt:lpwstr>
      </vt:variant>
      <vt:variant>
        <vt:lpwstr/>
      </vt:variant>
      <vt:variant>
        <vt:i4>3604597</vt:i4>
      </vt:variant>
      <vt:variant>
        <vt:i4>90</vt:i4>
      </vt:variant>
      <vt:variant>
        <vt:i4>0</vt:i4>
      </vt:variant>
      <vt:variant>
        <vt:i4>5</vt:i4>
      </vt:variant>
      <vt:variant>
        <vt:lpwstr>http://www.nevo.co.il/case/26103776</vt:lpwstr>
      </vt:variant>
      <vt:variant>
        <vt:lpwstr/>
      </vt:variant>
      <vt:variant>
        <vt:i4>3211377</vt:i4>
      </vt:variant>
      <vt:variant>
        <vt:i4>87</vt:i4>
      </vt:variant>
      <vt:variant>
        <vt:i4>0</vt:i4>
      </vt:variant>
      <vt:variant>
        <vt:i4>5</vt:i4>
      </vt:variant>
      <vt:variant>
        <vt:lpwstr>http://www.nevo.co.il/case/27733172</vt:lpwstr>
      </vt:variant>
      <vt:variant>
        <vt:lpwstr/>
      </vt:variant>
      <vt:variant>
        <vt:i4>3407998</vt:i4>
      </vt:variant>
      <vt:variant>
        <vt:i4>84</vt:i4>
      </vt:variant>
      <vt:variant>
        <vt:i4>0</vt:i4>
      </vt:variant>
      <vt:variant>
        <vt:i4>5</vt:i4>
      </vt:variant>
      <vt:variant>
        <vt:lpwstr>http://www.nevo.co.il/case/27245910</vt:lpwstr>
      </vt:variant>
      <vt:variant>
        <vt:lpwstr/>
      </vt:variant>
      <vt:variant>
        <vt:i4>3932276</vt:i4>
      </vt:variant>
      <vt:variant>
        <vt:i4>81</vt:i4>
      </vt:variant>
      <vt:variant>
        <vt:i4>0</vt:i4>
      </vt:variant>
      <vt:variant>
        <vt:i4>5</vt:i4>
      </vt:variant>
      <vt:variant>
        <vt:lpwstr>http://www.nevo.co.il/case/26708615</vt:lpwstr>
      </vt:variant>
      <vt:variant>
        <vt:lpwstr/>
      </vt:variant>
      <vt:variant>
        <vt:i4>3539065</vt:i4>
      </vt:variant>
      <vt:variant>
        <vt:i4>78</vt:i4>
      </vt:variant>
      <vt:variant>
        <vt:i4>0</vt:i4>
      </vt:variant>
      <vt:variant>
        <vt:i4>5</vt:i4>
      </vt:variant>
      <vt:variant>
        <vt:lpwstr>http://www.nevo.co.il/case/28257016</vt:lpwstr>
      </vt:variant>
      <vt:variant>
        <vt:lpwstr/>
      </vt:variant>
      <vt:variant>
        <vt:i4>3211378</vt:i4>
      </vt:variant>
      <vt:variant>
        <vt:i4>75</vt:i4>
      </vt:variant>
      <vt:variant>
        <vt:i4>0</vt:i4>
      </vt:variant>
      <vt:variant>
        <vt:i4>5</vt:i4>
      </vt:variant>
      <vt:variant>
        <vt:lpwstr>http://www.nevo.co.il/case/21473042</vt:lpwstr>
      </vt:variant>
      <vt:variant>
        <vt:lpwstr/>
      </vt:variant>
      <vt:variant>
        <vt:i4>3473526</vt:i4>
      </vt:variant>
      <vt:variant>
        <vt:i4>72</vt:i4>
      </vt:variant>
      <vt:variant>
        <vt:i4>0</vt:i4>
      </vt:variant>
      <vt:variant>
        <vt:i4>5</vt:i4>
      </vt:variant>
      <vt:variant>
        <vt:lpwstr>http://www.nevo.co.il/case/17023776</vt:lpwstr>
      </vt:variant>
      <vt:variant>
        <vt:lpwstr/>
      </vt:variant>
      <vt:variant>
        <vt:i4>3145849</vt:i4>
      </vt:variant>
      <vt:variant>
        <vt:i4>69</vt:i4>
      </vt:variant>
      <vt:variant>
        <vt:i4>0</vt:i4>
      </vt:variant>
      <vt:variant>
        <vt:i4>5</vt:i4>
      </vt:variant>
      <vt:variant>
        <vt:lpwstr>http://www.nevo.co.il/case/13093721</vt:lpwstr>
      </vt:variant>
      <vt:variant>
        <vt:lpwstr/>
      </vt:variant>
      <vt:variant>
        <vt:i4>3407987</vt:i4>
      </vt:variant>
      <vt:variant>
        <vt:i4>66</vt:i4>
      </vt:variant>
      <vt:variant>
        <vt:i4>0</vt:i4>
      </vt:variant>
      <vt:variant>
        <vt:i4>5</vt:i4>
      </vt:variant>
      <vt:variant>
        <vt:lpwstr>http://www.nevo.co.il/case/20956295</vt:lpwstr>
      </vt:variant>
      <vt:variant>
        <vt:lpwstr/>
      </vt:variant>
      <vt:variant>
        <vt:i4>3801204</vt:i4>
      </vt:variant>
      <vt:variant>
        <vt:i4>63</vt:i4>
      </vt:variant>
      <vt:variant>
        <vt:i4>0</vt:i4>
      </vt:variant>
      <vt:variant>
        <vt:i4>5</vt:i4>
      </vt:variant>
      <vt:variant>
        <vt:lpwstr>http://www.nevo.co.il/case/7971983</vt:lpwstr>
      </vt:variant>
      <vt:variant>
        <vt:lpwstr/>
      </vt:variant>
      <vt:variant>
        <vt:i4>3997820</vt:i4>
      </vt:variant>
      <vt:variant>
        <vt:i4>60</vt:i4>
      </vt:variant>
      <vt:variant>
        <vt:i4>0</vt:i4>
      </vt:variant>
      <vt:variant>
        <vt:i4>5</vt:i4>
      </vt:variant>
      <vt:variant>
        <vt:lpwstr>http://www.nevo.co.il/case/27079865</vt:lpwstr>
      </vt:variant>
      <vt:variant>
        <vt:lpwstr/>
      </vt:variant>
      <vt:variant>
        <vt:i4>3932276</vt:i4>
      </vt:variant>
      <vt:variant>
        <vt:i4>57</vt:i4>
      </vt:variant>
      <vt:variant>
        <vt:i4>0</vt:i4>
      </vt:variant>
      <vt:variant>
        <vt:i4>5</vt:i4>
      </vt:variant>
      <vt:variant>
        <vt:lpwstr>http://www.nevo.co.il/case/27913645</vt:lpwstr>
      </vt:variant>
      <vt:variant>
        <vt:lpwstr/>
      </vt:variant>
      <vt:variant>
        <vt:i4>3604592</vt:i4>
      </vt:variant>
      <vt:variant>
        <vt:i4>54</vt:i4>
      </vt:variant>
      <vt:variant>
        <vt:i4>0</vt:i4>
      </vt:variant>
      <vt:variant>
        <vt:i4>5</vt:i4>
      </vt:variant>
      <vt:variant>
        <vt:lpwstr>http://www.nevo.co.il/case/25615069</vt:lpwstr>
      </vt:variant>
      <vt:variant>
        <vt:lpwstr/>
      </vt:variant>
      <vt:variant>
        <vt:i4>4063353</vt:i4>
      </vt:variant>
      <vt:variant>
        <vt:i4>51</vt:i4>
      </vt:variant>
      <vt:variant>
        <vt:i4>0</vt:i4>
      </vt:variant>
      <vt:variant>
        <vt:i4>5</vt:i4>
      </vt:variant>
      <vt:variant>
        <vt:lpwstr>http://www.nevo.co.il/case/20683594</vt:lpwstr>
      </vt:variant>
      <vt:variant>
        <vt:lpwstr/>
      </vt:variant>
      <vt:variant>
        <vt:i4>3145843</vt:i4>
      </vt:variant>
      <vt:variant>
        <vt:i4>48</vt:i4>
      </vt:variant>
      <vt:variant>
        <vt:i4>0</vt:i4>
      </vt:variant>
      <vt:variant>
        <vt:i4>5</vt:i4>
      </vt:variant>
      <vt:variant>
        <vt:lpwstr>http://www.nevo.co.il/case/20131420</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3932272</vt:i4>
      </vt:variant>
      <vt:variant>
        <vt:i4>42</vt:i4>
      </vt:variant>
      <vt:variant>
        <vt:i4>0</vt:i4>
      </vt:variant>
      <vt:variant>
        <vt:i4>5</vt:i4>
      </vt:variant>
      <vt:variant>
        <vt:lpwstr>http://www.nevo.co.il/case/20402486</vt:lpwstr>
      </vt:variant>
      <vt:variant>
        <vt:lpwstr/>
      </vt:variant>
      <vt:variant>
        <vt:i4>3342448</vt:i4>
      </vt:variant>
      <vt:variant>
        <vt:i4>39</vt:i4>
      </vt:variant>
      <vt:variant>
        <vt:i4>0</vt:i4>
      </vt:variant>
      <vt:variant>
        <vt:i4>5</vt:i4>
      </vt:variant>
      <vt:variant>
        <vt:lpwstr>http://www.nevo.co.il/case/21644133</vt:lpwstr>
      </vt:variant>
      <vt:variant>
        <vt:lpwstr/>
      </vt:variant>
      <vt:variant>
        <vt:i4>3670130</vt:i4>
      </vt:variant>
      <vt:variant>
        <vt:i4>36</vt:i4>
      </vt:variant>
      <vt:variant>
        <vt:i4>0</vt:i4>
      </vt:variant>
      <vt:variant>
        <vt:i4>5</vt:i4>
      </vt:variant>
      <vt:variant>
        <vt:lpwstr>http://www.nevo.co.il/case/26019135</vt:lpwstr>
      </vt:variant>
      <vt:variant>
        <vt:lpwstr/>
      </vt:variant>
      <vt:variant>
        <vt:i4>3801201</vt:i4>
      </vt:variant>
      <vt:variant>
        <vt:i4>33</vt:i4>
      </vt:variant>
      <vt:variant>
        <vt:i4>0</vt:i4>
      </vt:variant>
      <vt:variant>
        <vt:i4>5</vt:i4>
      </vt:variant>
      <vt:variant>
        <vt:lpwstr>http://www.nevo.co.il/case/22828581</vt:lpwstr>
      </vt:variant>
      <vt:variant>
        <vt:lpwstr/>
      </vt:variant>
      <vt:variant>
        <vt:i4>3539061</vt:i4>
      </vt:variant>
      <vt:variant>
        <vt:i4>30</vt:i4>
      </vt:variant>
      <vt:variant>
        <vt:i4>0</vt:i4>
      </vt:variant>
      <vt:variant>
        <vt:i4>5</vt:i4>
      </vt:variant>
      <vt:variant>
        <vt:lpwstr>http://www.nevo.co.il/case/5988308</vt:lpwstr>
      </vt:variant>
      <vt:variant>
        <vt:lpwstr/>
      </vt:variant>
      <vt:variant>
        <vt:i4>3276916</vt:i4>
      </vt:variant>
      <vt:variant>
        <vt:i4>27</vt:i4>
      </vt:variant>
      <vt:variant>
        <vt:i4>0</vt:i4>
      </vt:variant>
      <vt:variant>
        <vt:i4>5</vt:i4>
      </vt:variant>
      <vt:variant>
        <vt:lpwstr>http://www.nevo.co.il/case/6241434</vt:lpwstr>
      </vt:variant>
      <vt:variant>
        <vt:lpwstr/>
      </vt:variant>
      <vt:variant>
        <vt:i4>2490476</vt:i4>
      </vt:variant>
      <vt:variant>
        <vt:i4>24</vt:i4>
      </vt:variant>
      <vt:variant>
        <vt:i4>0</vt:i4>
      </vt:variant>
      <vt:variant>
        <vt:i4>5</vt:i4>
      </vt:variant>
      <vt:variant>
        <vt:lpwstr>http://www.nevo.co.il/law/4216/19;13.a</vt:lpwstr>
      </vt:variant>
      <vt:variant>
        <vt:lpwstr/>
      </vt:variant>
      <vt:variant>
        <vt:i4>8061028</vt:i4>
      </vt:variant>
      <vt:variant>
        <vt:i4>21</vt:i4>
      </vt:variant>
      <vt:variant>
        <vt:i4>0</vt:i4>
      </vt:variant>
      <vt:variant>
        <vt:i4>5</vt:i4>
      </vt:variant>
      <vt:variant>
        <vt:lpwstr>http://www.nevo.co.il/law/74903/149.10</vt:lpwstr>
      </vt:variant>
      <vt:variant>
        <vt:lpwstr/>
      </vt:variant>
      <vt:variant>
        <vt:i4>8257646</vt:i4>
      </vt:variant>
      <vt:variant>
        <vt:i4>18</vt:i4>
      </vt:variant>
      <vt:variant>
        <vt:i4>0</vt:i4>
      </vt:variant>
      <vt:variant>
        <vt:i4>5</vt:i4>
      </vt:variant>
      <vt:variant>
        <vt:lpwstr>http://www.nevo.co.il/law/74903</vt:lpwstr>
      </vt:variant>
      <vt:variant>
        <vt:lpwstr/>
      </vt:variant>
      <vt:variant>
        <vt:i4>6553637</vt:i4>
      </vt:variant>
      <vt:variant>
        <vt:i4>15</vt:i4>
      </vt:variant>
      <vt:variant>
        <vt:i4>0</vt:i4>
      </vt:variant>
      <vt:variant>
        <vt:i4>5</vt:i4>
      </vt:variant>
      <vt:variant>
        <vt:lpwstr>http://www.nevo.co.il/law/70301/40jc.b</vt:lpwstr>
      </vt:variant>
      <vt:variant>
        <vt:lpwstr/>
      </vt:variant>
      <vt:variant>
        <vt:i4>131151</vt:i4>
      </vt:variant>
      <vt:variant>
        <vt:i4>12</vt:i4>
      </vt:variant>
      <vt:variant>
        <vt:i4>0</vt:i4>
      </vt:variant>
      <vt:variant>
        <vt:i4>5</vt:i4>
      </vt:variant>
      <vt:variant>
        <vt:lpwstr>http://www.nevo.co.il/law/70301/45.b</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http://www.nevo.co.il/law/4216/19</vt:lpwstr>
      </vt:variant>
      <vt:variant>
        <vt:lpwstr/>
      </vt:variant>
      <vt:variant>
        <vt:i4>6357113</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2025-04-23T01:41:00Z</dcterms:created>
  <dcterms:modified xsi:type="dcterms:W3CDTF">2025-04-23T01:41:00Z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46722</vt:lpwstr>
  </property>
  <property fmtid="{D5CDD505-2E9C-101B-9397-08002B2CF9AE}" pid="6" name="NEWPARTB">
    <vt:lpwstr>01</vt:lpwstr>
  </property>
  <property fmtid="{D5CDD505-2E9C-101B-9397-08002B2CF9AE}" pid="7" name="NEWPARTC">
    <vt:lpwstr>23</vt:lpwstr>
  </property>
  <property fmtid="{D5CDD505-2E9C-101B-9397-08002B2CF9AE}" pid="8" name="APPELLANT">
    <vt:lpwstr>מדינת ישראל</vt:lpwstr>
  </property>
  <property fmtid="{D5CDD505-2E9C-101B-9397-08002B2CF9AE}" pid="9" name="APPELLEE">
    <vt:lpwstr>יצחק כהן</vt:lpwstr>
  </property>
  <property fmtid="{D5CDD505-2E9C-101B-9397-08002B2CF9AE}" pid="10" name="JUDGE">
    <vt:lpwstr>יוסי טורס</vt:lpwstr>
  </property>
  <property fmtid="{D5CDD505-2E9C-101B-9397-08002B2CF9AE}" pid="11" name="CITY">
    <vt:lpwstr>קריות</vt:lpwstr>
  </property>
  <property fmtid="{D5CDD505-2E9C-101B-9397-08002B2CF9AE}" pid="12" name="DATE">
    <vt:lpwstr>20230403</vt:lpwstr>
  </property>
  <property fmtid="{D5CDD505-2E9C-101B-9397-08002B2CF9AE}" pid="13" name="TYPE_N_DATE">
    <vt:lpwstr>38020230403</vt:lpwstr>
  </property>
  <property fmtid="{D5CDD505-2E9C-101B-9397-08002B2CF9AE}" pid="14" name="WORDNUMPAGES">
    <vt:lpwstr>8</vt:lpwstr>
  </property>
  <property fmtid="{D5CDD505-2E9C-101B-9397-08002B2CF9AE}" pid="15" name="TYPE_ABS_DATE">
    <vt:lpwstr>380020230403</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6241434;5988308;22828581;26019135;21644133;20402486;5698919;20131420;20683594;25615069;27913645;27079865;7971983;20956295;13093721;17023776;21473042;28257016;26708615;27245910;27733172;26103776;17015235;18653868;17947940;21024461;4139946</vt:lpwstr>
  </property>
  <property fmtid="{D5CDD505-2E9C-101B-9397-08002B2CF9AE}" pid="36" name="LAWLISTTMP1">
    <vt:lpwstr>4216/019;013.a</vt:lpwstr>
  </property>
  <property fmtid="{D5CDD505-2E9C-101B-9397-08002B2CF9AE}" pid="37" name="LAWLISTTMP2">
    <vt:lpwstr>70301/40jc.b;045.b</vt:lpwstr>
  </property>
  <property fmtid="{D5CDD505-2E9C-101B-9397-08002B2CF9AE}" pid="38" name="LAWLISTTMP3">
    <vt:lpwstr>74903/149.10</vt:lpwstr>
  </property>
</Properties>
</file>