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84725" w:rsidRPr="00ED7439" w14:paraId="305A1ED4" w14:textId="77777777" w:rsidTr="00586502">
        <w:trPr>
          <w:trHeight w:hRule="exact" w:val="418"/>
          <w:jc w:val="center"/>
        </w:trPr>
        <w:tc>
          <w:tcPr>
            <w:tcW w:w="8721" w:type="dxa"/>
            <w:gridSpan w:val="2"/>
          </w:tcPr>
          <w:p w14:paraId="7EF8F84A" w14:textId="77777777" w:rsidR="00484725" w:rsidRPr="00ED7439" w:rsidRDefault="00484725" w:rsidP="00B81292">
            <w:pPr>
              <w:pStyle w:val="a5"/>
              <w:jc w:val="center"/>
              <w:rPr>
                <w:rFonts w:ascii="Tahoma" w:hAnsi="Tahoma" w:cs="Tahoma"/>
                <w:color w:val="000080"/>
                <w:rtl/>
              </w:rPr>
            </w:pPr>
            <w:bookmarkStart w:id="0" w:name="LastJudge"/>
            <w:r w:rsidRPr="00ED7439">
              <w:rPr>
                <w:rFonts w:ascii="Tahoma" w:hAnsi="Tahoma" w:cs="Tahoma"/>
                <w:b/>
                <w:bCs/>
                <w:color w:val="000080"/>
                <w:rtl/>
              </w:rPr>
              <w:t>בית משפט השלום בבאר שבע</w:t>
            </w:r>
          </w:p>
        </w:tc>
      </w:tr>
      <w:tr w:rsidR="00484725" w:rsidRPr="00ED7439" w14:paraId="3E3849E3" w14:textId="77777777" w:rsidTr="00586502">
        <w:trPr>
          <w:trHeight w:val="337"/>
          <w:jc w:val="center"/>
        </w:trPr>
        <w:tc>
          <w:tcPr>
            <w:tcW w:w="5054" w:type="dxa"/>
          </w:tcPr>
          <w:p w14:paraId="0C5D7845" w14:textId="77777777" w:rsidR="00484725" w:rsidRPr="00ED7439" w:rsidRDefault="00484725" w:rsidP="00B81292">
            <w:pPr>
              <w:rPr>
                <w:rFonts w:cs="FrankRuehl"/>
                <w:sz w:val="28"/>
                <w:szCs w:val="28"/>
                <w:rtl/>
              </w:rPr>
            </w:pPr>
            <w:r w:rsidRPr="00ED7439">
              <w:rPr>
                <w:rFonts w:cs="FrankRuehl"/>
                <w:sz w:val="28"/>
                <w:szCs w:val="28"/>
                <w:rtl/>
              </w:rPr>
              <w:t>ת"פ</w:t>
            </w:r>
            <w:r w:rsidRPr="00ED7439">
              <w:rPr>
                <w:rFonts w:cs="FrankRuehl" w:hint="cs"/>
                <w:sz w:val="28"/>
                <w:szCs w:val="28"/>
                <w:rtl/>
              </w:rPr>
              <w:t xml:space="preserve"> </w:t>
            </w:r>
            <w:r w:rsidRPr="00ED7439">
              <w:rPr>
                <w:rFonts w:cs="FrankRuehl"/>
                <w:sz w:val="28"/>
                <w:szCs w:val="28"/>
                <w:rtl/>
              </w:rPr>
              <w:t>48071-01-23</w:t>
            </w:r>
            <w:r w:rsidRPr="00ED7439">
              <w:rPr>
                <w:rFonts w:cs="FrankRuehl" w:hint="cs"/>
                <w:sz w:val="28"/>
                <w:szCs w:val="28"/>
                <w:rtl/>
              </w:rPr>
              <w:t xml:space="preserve"> </w:t>
            </w:r>
            <w:r w:rsidRPr="00ED7439">
              <w:rPr>
                <w:rFonts w:cs="FrankRuehl"/>
                <w:sz w:val="28"/>
                <w:szCs w:val="28"/>
                <w:rtl/>
              </w:rPr>
              <w:t>מדינת ישראל נ' דיל</w:t>
            </w:r>
          </w:p>
          <w:p w14:paraId="78DBACF4" w14:textId="77777777" w:rsidR="00484725" w:rsidRPr="00ED7439" w:rsidRDefault="00484725" w:rsidP="00B81292">
            <w:pPr>
              <w:pStyle w:val="a5"/>
              <w:rPr>
                <w:rFonts w:cs="FrankRuehl"/>
                <w:sz w:val="28"/>
                <w:szCs w:val="28"/>
                <w:rtl/>
              </w:rPr>
            </w:pPr>
          </w:p>
        </w:tc>
        <w:tc>
          <w:tcPr>
            <w:tcW w:w="3667" w:type="dxa"/>
          </w:tcPr>
          <w:p w14:paraId="1E870E32" w14:textId="77777777" w:rsidR="00484725" w:rsidRPr="00ED7439" w:rsidRDefault="00484725" w:rsidP="00B81292">
            <w:pPr>
              <w:pStyle w:val="a5"/>
              <w:jc w:val="right"/>
              <w:rPr>
                <w:rFonts w:cs="FrankRuehl"/>
                <w:sz w:val="28"/>
                <w:szCs w:val="28"/>
                <w:rtl/>
              </w:rPr>
            </w:pPr>
          </w:p>
        </w:tc>
      </w:tr>
    </w:tbl>
    <w:p w14:paraId="10776C60" w14:textId="77777777" w:rsidR="00484725" w:rsidRPr="00ED7439" w:rsidRDefault="00484725" w:rsidP="00484725">
      <w:pPr>
        <w:pStyle w:val="a5"/>
        <w:rPr>
          <w:rtl/>
        </w:rPr>
      </w:pPr>
      <w:r w:rsidRPr="00ED7439">
        <w:rPr>
          <w:rFonts w:hint="cs"/>
          <w:rtl/>
        </w:rPr>
        <w:t xml:space="preserve"> </w:t>
      </w:r>
    </w:p>
    <w:p w14:paraId="5085495C" w14:textId="77777777" w:rsidR="00484725" w:rsidRPr="00ED7439" w:rsidRDefault="00484725" w:rsidP="00484725">
      <w:pPr>
        <w:rPr>
          <w:sz w:val="26"/>
          <w:szCs w:val="26"/>
          <w:rtl/>
        </w:rPr>
      </w:pPr>
    </w:p>
    <w:p w14:paraId="245C27E3" w14:textId="77777777" w:rsidR="00484725" w:rsidRPr="00ED7439" w:rsidRDefault="00484725" w:rsidP="00484725">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484725" w:rsidRPr="00ED7439" w14:paraId="2AC92080" w14:textId="77777777" w:rsidTr="00484725">
        <w:trPr>
          <w:trHeight w:val="295"/>
          <w:jc w:val="center"/>
        </w:trPr>
        <w:tc>
          <w:tcPr>
            <w:tcW w:w="923" w:type="dxa"/>
            <w:tcBorders>
              <w:top w:val="nil"/>
              <w:left w:val="nil"/>
              <w:bottom w:val="nil"/>
              <w:right w:val="nil"/>
            </w:tcBorders>
            <w:shd w:val="clear" w:color="auto" w:fill="auto"/>
          </w:tcPr>
          <w:p w14:paraId="7E7304A8" w14:textId="77777777" w:rsidR="00484725" w:rsidRPr="00ED7439" w:rsidRDefault="00484725" w:rsidP="00484725">
            <w:pPr>
              <w:jc w:val="both"/>
              <w:rPr>
                <w:rFonts w:ascii="David" w:hAnsi="David"/>
                <w:sz w:val="26"/>
                <w:szCs w:val="26"/>
              </w:rPr>
            </w:pPr>
            <w:r w:rsidRPr="00ED7439">
              <w:rPr>
                <w:rFonts w:ascii="David" w:hAnsi="David" w:hint="cs"/>
                <w:sz w:val="26"/>
                <w:szCs w:val="26"/>
                <w:rtl/>
              </w:rPr>
              <w:t>ל</w:t>
            </w:r>
            <w:r w:rsidRPr="00ED7439">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1D868F07" w14:textId="77777777" w:rsidR="00484725" w:rsidRPr="00ED7439" w:rsidRDefault="00484725" w:rsidP="00B81292">
            <w:pPr>
              <w:rPr>
                <w:rFonts w:ascii="David" w:hAnsi="David"/>
                <w:b/>
                <w:bCs/>
                <w:sz w:val="26"/>
                <w:szCs w:val="26"/>
                <w:rtl/>
              </w:rPr>
            </w:pPr>
            <w:r w:rsidRPr="00ED7439">
              <w:rPr>
                <w:rFonts w:ascii="David" w:hAnsi="David"/>
                <w:b/>
                <w:bCs/>
                <w:sz w:val="26"/>
                <w:szCs w:val="26"/>
                <w:rtl/>
              </w:rPr>
              <w:t>כבוד השופט  יריב בן דוד</w:t>
            </w:r>
          </w:p>
          <w:p w14:paraId="4E29CBE5" w14:textId="77777777" w:rsidR="00484725" w:rsidRPr="00ED7439" w:rsidRDefault="00484725" w:rsidP="00B81292">
            <w:pPr>
              <w:rPr>
                <w:rFonts w:ascii="David" w:hAnsi="David"/>
                <w:sz w:val="26"/>
                <w:szCs w:val="26"/>
                <w:rtl/>
              </w:rPr>
            </w:pPr>
          </w:p>
          <w:p w14:paraId="347FED8E" w14:textId="77777777" w:rsidR="00484725" w:rsidRPr="00ED7439" w:rsidRDefault="00484725" w:rsidP="00484725">
            <w:pPr>
              <w:jc w:val="both"/>
              <w:rPr>
                <w:rFonts w:ascii="David" w:hAnsi="David"/>
                <w:sz w:val="26"/>
                <w:szCs w:val="26"/>
              </w:rPr>
            </w:pPr>
          </w:p>
        </w:tc>
      </w:tr>
      <w:tr w:rsidR="00484725" w:rsidRPr="00ED7439" w14:paraId="54C015A0" w14:textId="77777777" w:rsidTr="00484725">
        <w:trPr>
          <w:trHeight w:val="355"/>
          <w:jc w:val="center"/>
        </w:trPr>
        <w:tc>
          <w:tcPr>
            <w:tcW w:w="923" w:type="dxa"/>
            <w:tcBorders>
              <w:top w:val="nil"/>
              <w:left w:val="nil"/>
              <w:bottom w:val="nil"/>
              <w:right w:val="nil"/>
            </w:tcBorders>
            <w:shd w:val="clear" w:color="auto" w:fill="auto"/>
          </w:tcPr>
          <w:p w14:paraId="00F0A605" w14:textId="77777777" w:rsidR="00484725" w:rsidRPr="00ED7439" w:rsidRDefault="00484725" w:rsidP="00484725">
            <w:pPr>
              <w:jc w:val="both"/>
              <w:rPr>
                <w:rFonts w:ascii="David" w:hAnsi="David"/>
                <w:sz w:val="26"/>
                <w:szCs w:val="26"/>
              </w:rPr>
            </w:pPr>
            <w:bookmarkStart w:id="1" w:name="FirstAppellant"/>
            <w:bookmarkStart w:id="2" w:name="FirstLawyer"/>
            <w:r w:rsidRPr="00ED7439">
              <w:rPr>
                <w:rFonts w:ascii="David" w:hAnsi="David"/>
                <w:sz w:val="26"/>
                <w:szCs w:val="26"/>
                <w:rtl/>
              </w:rPr>
              <w:t>בעניין:</w:t>
            </w:r>
          </w:p>
        </w:tc>
        <w:tc>
          <w:tcPr>
            <w:tcW w:w="3219" w:type="dxa"/>
            <w:tcBorders>
              <w:top w:val="nil"/>
              <w:left w:val="nil"/>
              <w:bottom w:val="nil"/>
              <w:right w:val="nil"/>
            </w:tcBorders>
            <w:shd w:val="clear" w:color="auto" w:fill="auto"/>
          </w:tcPr>
          <w:p w14:paraId="2B1DC74A" w14:textId="77777777" w:rsidR="00484725" w:rsidRPr="00ED7439" w:rsidRDefault="00484725" w:rsidP="00484725">
            <w:pPr>
              <w:suppressLineNumbers/>
            </w:pPr>
            <w:r w:rsidRPr="00ED7439">
              <w:rPr>
                <w:rFonts w:ascii="Arial" w:hAnsi="Arial" w:hint="cs"/>
                <w:b/>
                <w:bCs/>
                <w:sz w:val="26"/>
                <w:szCs w:val="26"/>
                <w:rtl/>
              </w:rPr>
              <w:t>ה</w:t>
            </w:r>
            <w:r w:rsidRPr="00ED7439">
              <w:rPr>
                <w:rFonts w:ascii="Arial" w:hAnsi="Arial"/>
                <w:b/>
                <w:bCs/>
                <w:sz w:val="26"/>
                <w:szCs w:val="26"/>
                <w:rtl/>
              </w:rPr>
              <w:t>מאשימה</w:t>
            </w:r>
          </w:p>
          <w:p w14:paraId="30732193" w14:textId="77777777" w:rsidR="00484725" w:rsidRPr="00ED7439" w:rsidRDefault="00484725" w:rsidP="00B81292">
            <w:pPr>
              <w:rPr>
                <w:rFonts w:ascii="David" w:hAnsi="David"/>
                <w:sz w:val="26"/>
                <w:szCs w:val="26"/>
              </w:rPr>
            </w:pPr>
          </w:p>
        </w:tc>
        <w:tc>
          <w:tcPr>
            <w:tcW w:w="4678" w:type="dxa"/>
            <w:tcBorders>
              <w:top w:val="nil"/>
              <w:left w:val="nil"/>
              <w:bottom w:val="nil"/>
              <w:right w:val="nil"/>
            </w:tcBorders>
            <w:shd w:val="clear" w:color="auto" w:fill="auto"/>
            <w:vAlign w:val="center"/>
          </w:tcPr>
          <w:p w14:paraId="4BDBD284" w14:textId="77777777" w:rsidR="00484725" w:rsidRPr="00ED7439" w:rsidRDefault="00484725" w:rsidP="00484725">
            <w:pPr>
              <w:suppressLineNumbers/>
              <w:rPr>
                <w:rFonts w:ascii="Arial" w:hAnsi="Arial"/>
                <w:b/>
                <w:bCs/>
                <w:sz w:val="26"/>
                <w:szCs w:val="26"/>
                <w:rtl/>
              </w:rPr>
            </w:pPr>
            <w:r w:rsidRPr="00ED7439">
              <w:rPr>
                <w:rFonts w:ascii="Arial" w:hAnsi="Arial"/>
                <w:b/>
                <w:bCs/>
                <w:sz w:val="26"/>
                <w:szCs w:val="26"/>
                <w:rtl/>
              </w:rPr>
              <w:t>מדינת ישראל</w:t>
            </w:r>
            <w:r w:rsidRPr="00ED7439">
              <w:rPr>
                <w:rFonts w:ascii="Arial" w:hAnsi="Arial" w:hint="cs"/>
                <w:b/>
                <w:bCs/>
                <w:sz w:val="26"/>
                <w:szCs w:val="26"/>
                <w:rtl/>
              </w:rPr>
              <w:t xml:space="preserve"> </w:t>
            </w:r>
          </w:p>
          <w:p w14:paraId="4B27E66F" w14:textId="77777777" w:rsidR="00484725" w:rsidRPr="00ED7439" w:rsidRDefault="00484725" w:rsidP="00484725">
            <w:pPr>
              <w:suppressLineNumbers/>
            </w:pPr>
            <w:r w:rsidRPr="00ED7439">
              <w:rPr>
                <w:rFonts w:ascii="Arial" w:hAnsi="Arial"/>
                <w:b/>
                <w:bCs/>
                <w:sz w:val="26"/>
                <w:szCs w:val="26"/>
                <w:rtl/>
              </w:rPr>
              <w:t xml:space="preserve">ע"י ב"כ </w:t>
            </w:r>
            <w:r w:rsidRPr="00ED7439">
              <w:rPr>
                <w:b/>
                <w:bCs/>
                <w:sz w:val="26"/>
                <w:szCs w:val="26"/>
                <w:rtl/>
              </w:rPr>
              <w:t>מתמחה יגאל קלנטרוב</w:t>
            </w:r>
          </w:p>
        </w:tc>
      </w:tr>
      <w:bookmarkEnd w:id="1"/>
      <w:bookmarkEnd w:id="2"/>
      <w:tr w:rsidR="00484725" w:rsidRPr="00ED7439" w14:paraId="32491272" w14:textId="77777777" w:rsidTr="00484725">
        <w:trPr>
          <w:trHeight w:val="355"/>
          <w:jc w:val="center"/>
        </w:trPr>
        <w:tc>
          <w:tcPr>
            <w:tcW w:w="923" w:type="dxa"/>
            <w:tcBorders>
              <w:top w:val="nil"/>
              <w:left w:val="nil"/>
              <w:bottom w:val="nil"/>
              <w:right w:val="nil"/>
            </w:tcBorders>
            <w:shd w:val="clear" w:color="auto" w:fill="auto"/>
          </w:tcPr>
          <w:p w14:paraId="680A8B24" w14:textId="77777777" w:rsidR="00484725" w:rsidRPr="00ED7439" w:rsidRDefault="00484725" w:rsidP="00484725">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7788D31E" w14:textId="77777777" w:rsidR="00484725" w:rsidRPr="00ED7439" w:rsidRDefault="00484725" w:rsidP="00484725">
            <w:pPr>
              <w:jc w:val="center"/>
              <w:rPr>
                <w:rFonts w:ascii="David" w:hAnsi="David"/>
                <w:b/>
                <w:bCs/>
                <w:sz w:val="26"/>
                <w:szCs w:val="26"/>
                <w:rtl/>
              </w:rPr>
            </w:pPr>
          </w:p>
          <w:p w14:paraId="57182D71" w14:textId="77777777" w:rsidR="00484725" w:rsidRPr="00ED7439" w:rsidRDefault="00484725" w:rsidP="00484725">
            <w:pPr>
              <w:jc w:val="center"/>
              <w:rPr>
                <w:rFonts w:ascii="David" w:hAnsi="David"/>
                <w:b/>
                <w:bCs/>
                <w:sz w:val="26"/>
                <w:szCs w:val="26"/>
                <w:rtl/>
              </w:rPr>
            </w:pPr>
            <w:r w:rsidRPr="00ED7439">
              <w:rPr>
                <w:rFonts w:ascii="David" w:hAnsi="David"/>
                <w:b/>
                <w:bCs/>
                <w:sz w:val="26"/>
                <w:szCs w:val="26"/>
                <w:rtl/>
              </w:rPr>
              <w:t>נגד</w:t>
            </w:r>
          </w:p>
          <w:p w14:paraId="55943884" w14:textId="77777777" w:rsidR="00484725" w:rsidRPr="00ED7439" w:rsidRDefault="00484725" w:rsidP="00484725">
            <w:pPr>
              <w:jc w:val="both"/>
              <w:rPr>
                <w:rFonts w:ascii="David" w:hAnsi="David"/>
                <w:sz w:val="26"/>
                <w:szCs w:val="26"/>
              </w:rPr>
            </w:pPr>
          </w:p>
        </w:tc>
      </w:tr>
      <w:tr w:rsidR="00484725" w:rsidRPr="00ED7439" w14:paraId="60C24628" w14:textId="77777777" w:rsidTr="00484725">
        <w:trPr>
          <w:trHeight w:val="355"/>
          <w:jc w:val="center"/>
        </w:trPr>
        <w:tc>
          <w:tcPr>
            <w:tcW w:w="923" w:type="dxa"/>
            <w:tcBorders>
              <w:top w:val="nil"/>
              <w:left w:val="nil"/>
              <w:bottom w:val="nil"/>
              <w:right w:val="nil"/>
            </w:tcBorders>
            <w:shd w:val="clear" w:color="auto" w:fill="auto"/>
          </w:tcPr>
          <w:p w14:paraId="385567DF" w14:textId="77777777" w:rsidR="00484725" w:rsidRPr="00ED7439" w:rsidRDefault="00484725" w:rsidP="00B81292">
            <w:pPr>
              <w:rPr>
                <w:rFonts w:ascii="David" w:hAnsi="David"/>
                <w:sz w:val="26"/>
                <w:szCs w:val="26"/>
                <w:rtl/>
              </w:rPr>
            </w:pPr>
          </w:p>
        </w:tc>
        <w:tc>
          <w:tcPr>
            <w:tcW w:w="3219" w:type="dxa"/>
            <w:tcBorders>
              <w:top w:val="nil"/>
              <w:left w:val="nil"/>
              <w:bottom w:val="nil"/>
              <w:right w:val="nil"/>
            </w:tcBorders>
            <w:shd w:val="clear" w:color="auto" w:fill="auto"/>
          </w:tcPr>
          <w:p w14:paraId="3F7EA24A" w14:textId="77777777" w:rsidR="00484725" w:rsidRPr="00ED7439" w:rsidRDefault="00484725" w:rsidP="00B81292">
            <w:pPr>
              <w:rPr>
                <w:rFonts w:ascii="Arial" w:hAnsi="Arial"/>
                <w:b/>
                <w:bCs/>
                <w:sz w:val="26"/>
                <w:szCs w:val="26"/>
                <w:rtl/>
              </w:rPr>
            </w:pPr>
            <w:r w:rsidRPr="00ED7439">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7824C746" w14:textId="77777777" w:rsidR="00484725" w:rsidRPr="00ED7439" w:rsidRDefault="00484725" w:rsidP="00484725">
            <w:pPr>
              <w:suppressLineNumbers/>
              <w:rPr>
                <w:rFonts w:ascii="Arial" w:hAnsi="Arial"/>
                <w:b/>
                <w:bCs/>
                <w:sz w:val="26"/>
                <w:szCs w:val="26"/>
                <w:rtl/>
              </w:rPr>
            </w:pPr>
            <w:r w:rsidRPr="00ED7439">
              <w:rPr>
                <w:rFonts w:ascii="Arial" w:hAnsi="Arial"/>
                <w:b/>
                <w:bCs/>
                <w:sz w:val="26"/>
                <w:szCs w:val="26"/>
                <w:rtl/>
              </w:rPr>
              <w:t>שלום דיל</w:t>
            </w:r>
            <w:r w:rsidRPr="00ED7439">
              <w:rPr>
                <w:rFonts w:ascii="Arial" w:hAnsi="Arial" w:hint="cs"/>
                <w:b/>
                <w:bCs/>
                <w:sz w:val="26"/>
                <w:szCs w:val="26"/>
                <w:rtl/>
              </w:rPr>
              <w:t xml:space="preserve"> </w:t>
            </w:r>
          </w:p>
          <w:p w14:paraId="35FDB2D4" w14:textId="77777777" w:rsidR="00484725" w:rsidRPr="00ED7439" w:rsidRDefault="00484725" w:rsidP="00484725">
            <w:pPr>
              <w:suppressLineNumbers/>
            </w:pPr>
            <w:r w:rsidRPr="00ED7439">
              <w:rPr>
                <w:rFonts w:ascii="Arial" w:hAnsi="Arial"/>
                <w:b/>
                <w:bCs/>
                <w:sz w:val="26"/>
                <w:szCs w:val="26"/>
                <w:rtl/>
              </w:rPr>
              <w:t>ע"י ב"כ עוה"ד</w:t>
            </w:r>
            <w:r w:rsidRPr="00ED7439">
              <w:rPr>
                <w:rFonts w:hint="cs"/>
                <w:rtl/>
              </w:rPr>
              <w:t xml:space="preserve"> </w:t>
            </w:r>
            <w:r w:rsidRPr="00ED7439">
              <w:rPr>
                <w:rFonts w:hint="cs"/>
                <w:b/>
                <w:bCs/>
                <w:rtl/>
              </w:rPr>
              <w:t>אדיר בן לולו</w:t>
            </w:r>
          </w:p>
        </w:tc>
      </w:tr>
    </w:tbl>
    <w:p w14:paraId="180A4FE4" w14:textId="77777777" w:rsidR="00ED7439" w:rsidRPr="00ED7439" w:rsidRDefault="00ED7439" w:rsidP="00ED7439">
      <w:pPr>
        <w:spacing w:before="120" w:after="120" w:line="240" w:lineRule="exact"/>
        <w:ind w:left="283" w:hanging="283"/>
        <w:jc w:val="both"/>
        <w:rPr>
          <w:rFonts w:ascii="FrankRuehl" w:hAnsi="FrankRuehl" w:cs="FrankRuehl"/>
          <w:rtl/>
        </w:rPr>
      </w:pPr>
    </w:p>
    <w:p w14:paraId="5EA78BC2" w14:textId="77777777" w:rsidR="00586502" w:rsidRPr="00586502" w:rsidRDefault="00586502" w:rsidP="00586502">
      <w:pPr>
        <w:spacing w:before="120" w:after="120" w:line="240" w:lineRule="exact"/>
        <w:ind w:left="283" w:hanging="283"/>
        <w:jc w:val="both"/>
        <w:rPr>
          <w:rFonts w:ascii="FrankRuehl" w:hAnsi="FrankRuehl" w:cs="FrankRuehl"/>
          <w:rtl/>
        </w:rPr>
      </w:pPr>
      <w:bookmarkStart w:id="3" w:name="LawTable"/>
      <w:bookmarkEnd w:id="3"/>
      <w:r w:rsidRPr="00586502">
        <w:rPr>
          <w:rFonts w:ascii="FrankRuehl" w:hAnsi="FrankRuehl" w:cs="FrankRuehl"/>
          <w:rtl/>
        </w:rPr>
        <w:t xml:space="preserve">חקיקה שאוזכרה: </w:t>
      </w:r>
    </w:p>
    <w:p w14:paraId="5CA97894" w14:textId="77777777" w:rsidR="00586502" w:rsidRPr="00586502" w:rsidRDefault="00586502" w:rsidP="00586502">
      <w:pPr>
        <w:spacing w:before="120" w:after="120" w:line="240" w:lineRule="exact"/>
        <w:ind w:left="283" w:hanging="283"/>
        <w:jc w:val="both"/>
        <w:rPr>
          <w:rFonts w:ascii="FrankRuehl" w:hAnsi="FrankRuehl" w:cs="FrankRuehl"/>
          <w:color w:val="0000FF"/>
          <w:rtl/>
        </w:rPr>
      </w:pPr>
      <w:hyperlink r:id="rId7" w:history="1">
        <w:r w:rsidRPr="00586502">
          <w:rPr>
            <w:rStyle w:val="Hyperlink"/>
            <w:rFonts w:ascii="FrankRuehl" w:hAnsi="FrankRuehl" w:cs="FrankRuehl"/>
            <w:u w:val="none"/>
            <w:rtl/>
          </w:rPr>
          <w:t>פקודת הסמים המסוכנים [נוסח חדש], תשל"ג-1973</w:t>
        </w:r>
      </w:hyperlink>
      <w:r w:rsidRPr="00586502">
        <w:rPr>
          <w:rFonts w:ascii="FrankRuehl" w:hAnsi="FrankRuehl" w:cs="FrankRuehl"/>
          <w:color w:val="0000FF"/>
          <w:rtl/>
        </w:rPr>
        <w:t xml:space="preserve">: סע'  </w:t>
      </w:r>
      <w:hyperlink r:id="rId8" w:history="1">
        <w:r w:rsidRPr="00586502">
          <w:rPr>
            <w:rStyle w:val="Hyperlink"/>
            <w:rFonts w:ascii="FrankRuehl" w:hAnsi="FrankRuehl" w:cs="FrankRuehl"/>
            <w:u w:val="none"/>
          </w:rPr>
          <w:t>7</w:t>
        </w:r>
      </w:hyperlink>
      <w:r w:rsidRPr="00586502">
        <w:rPr>
          <w:rFonts w:ascii="FrankRuehl" w:hAnsi="FrankRuehl" w:cs="FrankRuehl"/>
          <w:color w:val="0000FF"/>
          <w:rtl/>
        </w:rPr>
        <w:t xml:space="preserve">(א), </w:t>
      </w:r>
      <w:hyperlink r:id="rId9" w:history="1">
        <w:r w:rsidRPr="00586502">
          <w:rPr>
            <w:rStyle w:val="Hyperlink"/>
            <w:rFonts w:ascii="FrankRuehl" w:hAnsi="FrankRuehl" w:cs="FrankRuehl"/>
            <w:u w:val="none"/>
          </w:rPr>
          <w:t>7</w:t>
        </w:r>
      </w:hyperlink>
      <w:r w:rsidRPr="00586502">
        <w:rPr>
          <w:rFonts w:ascii="FrankRuehl" w:hAnsi="FrankRuehl" w:cs="FrankRuehl"/>
          <w:color w:val="0000FF"/>
          <w:rtl/>
        </w:rPr>
        <w:t>(ג)</w:t>
      </w:r>
    </w:p>
    <w:p w14:paraId="6C839D34" w14:textId="77777777" w:rsidR="00586502" w:rsidRPr="00586502" w:rsidRDefault="00586502" w:rsidP="00586502">
      <w:pPr>
        <w:spacing w:before="120" w:after="120" w:line="240" w:lineRule="exact"/>
        <w:ind w:left="283" w:hanging="283"/>
        <w:jc w:val="both"/>
        <w:rPr>
          <w:rFonts w:ascii="FrankRuehl" w:hAnsi="FrankRuehl" w:cs="FrankRuehl"/>
          <w:color w:val="0000FF"/>
          <w:rtl/>
        </w:rPr>
      </w:pPr>
      <w:hyperlink r:id="rId10" w:history="1">
        <w:r w:rsidRPr="00586502">
          <w:rPr>
            <w:rStyle w:val="Hyperlink"/>
            <w:rFonts w:ascii="FrankRuehl" w:hAnsi="FrankRuehl" w:cs="FrankRuehl"/>
            <w:u w:val="none"/>
            <w:rtl/>
          </w:rPr>
          <w:t>חוק העונשין, תשל"ז-1977</w:t>
        </w:r>
      </w:hyperlink>
      <w:r w:rsidRPr="00586502">
        <w:rPr>
          <w:rFonts w:ascii="FrankRuehl" w:hAnsi="FrankRuehl" w:cs="FrankRuehl"/>
          <w:color w:val="0000FF"/>
          <w:rtl/>
        </w:rPr>
        <w:t xml:space="preserve">: סע'  </w:t>
      </w:r>
      <w:hyperlink r:id="rId11" w:history="1">
        <w:r w:rsidRPr="00586502">
          <w:rPr>
            <w:rStyle w:val="Hyperlink"/>
            <w:rFonts w:ascii="FrankRuehl" w:hAnsi="FrankRuehl" w:cs="FrankRuehl"/>
            <w:u w:val="none"/>
          </w:rPr>
          <w:t>40</w:t>
        </w:r>
        <w:r w:rsidRPr="00586502">
          <w:rPr>
            <w:rStyle w:val="Hyperlink"/>
            <w:rFonts w:ascii="FrankRuehl" w:hAnsi="FrankRuehl" w:cs="FrankRuehl"/>
            <w:u w:val="none"/>
            <w:rtl/>
          </w:rPr>
          <w:t>ג</w:t>
        </w:r>
      </w:hyperlink>
      <w:r w:rsidRPr="00586502">
        <w:rPr>
          <w:rFonts w:ascii="FrankRuehl" w:hAnsi="FrankRuehl" w:cs="FrankRuehl"/>
          <w:color w:val="0000FF"/>
          <w:rtl/>
        </w:rPr>
        <w:t xml:space="preserve">(א), </w:t>
      </w:r>
      <w:hyperlink r:id="rId12" w:history="1">
        <w:r w:rsidRPr="00586502">
          <w:rPr>
            <w:rStyle w:val="Hyperlink"/>
            <w:rFonts w:ascii="FrankRuehl" w:hAnsi="FrankRuehl" w:cs="FrankRuehl"/>
            <w:u w:val="none"/>
          </w:rPr>
          <w:t xml:space="preserve">40 </w:t>
        </w:r>
        <w:r w:rsidRPr="00586502">
          <w:rPr>
            <w:rStyle w:val="Hyperlink"/>
            <w:rFonts w:ascii="FrankRuehl" w:hAnsi="FrankRuehl" w:cs="FrankRuehl"/>
            <w:u w:val="none"/>
            <w:rtl/>
          </w:rPr>
          <w:t>ג</w:t>
        </w:r>
      </w:hyperlink>
      <w:r w:rsidRPr="00586502">
        <w:rPr>
          <w:rFonts w:ascii="FrankRuehl" w:hAnsi="FrankRuehl" w:cs="FrankRuehl"/>
          <w:color w:val="0000FF"/>
          <w:rtl/>
        </w:rPr>
        <w:t xml:space="preserve">(ב), </w:t>
      </w:r>
      <w:hyperlink r:id="rId13" w:history="1">
        <w:r w:rsidRPr="00586502">
          <w:rPr>
            <w:rStyle w:val="Hyperlink"/>
            <w:rFonts w:ascii="FrankRuehl" w:hAnsi="FrankRuehl" w:cs="FrankRuehl"/>
            <w:u w:val="none"/>
          </w:rPr>
          <w:t>40</w:t>
        </w:r>
        <w:r w:rsidRPr="00586502">
          <w:rPr>
            <w:rStyle w:val="Hyperlink"/>
            <w:rFonts w:ascii="FrankRuehl" w:hAnsi="FrankRuehl" w:cs="FrankRuehl"/>
            <w:u w:val="none"/>
            <w:rtl/>
          </w:rPr>
          <w:t>ד</w:t>
        </w:r>
      </w:hyperlink>
      <w:r w:rsidRPr="00586502">
        <w:rPr>
          <w:rFonts w:ascii="FrankRuehl" w:hAnsi="FrankRuehl" w:cs="FrankRuehl"/>
          <w:color w:val="0000FF"/>
          <w:rtl/>
        </w:rPr>
        <w:t xml:space="preserve">, </w:t>
      </w:r>
      <w:hyperlink r:id="rId14" w:history="1">
        <w:r w:rsidRPr="00586502">
          <w:rPr>
            <w:rStyle w:val="Hyperlink"/>
            <w:rFonts w:ascii="FrankRuehl" w:hAnsi="FrankRuehl" w:cs="FrankRuehl"/>
            <w:u w:val="none"/>
          </w:rPr>
          <w:t>40</w:t>
        </w:r>
        <w:r w:rsidRPr="00586502">
          <w:rPr>
            <w:rStyle w:val="Hyperlink"/>
            <w:rFonts w:ascii="FrankRuehl" w:hAnsi="FrankRuehl" w:cs="FrankRuehl"/>
            <w:u w:val="none"/>
            <w:rtl/>
          </w:rPr>
          <w:t>ד</w:t>
        </w:r>
      </w:hyperlink>
      <w:r w:rsidRPr="00586502">
        <w:rPr>
          <w:rFonts w:ascii="FrankRuehl" w:hAnsi="FrankRuehl" w:cs="FrankRuehl"/>
          <w:color w:val="0000FF"/>
          <w:rtl/>
        </w:rPr>
        <w:t xml:space="preserve">(א), </w:t>
      </w:r>
      <w:hyperlink r:id="rId15" w:history="1">
        <w:r w:rsidRPr="00586502">
          <w:rPr>
            <w:rStyle w:val="Hyperlink"/>
            <w:rFonts w:ascii="FrankRuehl" w:hAnsi="FrankRuehl" w:cs="FrankRuehl"/>
            <w:u w:val="none"/>
          </w:rPr>
          <w:t>40</w:t>
        </w:r>
        <w:r w:rsidRPr="00586502">
          <w:rPr>
            <w:rStyle w:val="Hyperlink"/>
            <w:rFonts w:ascii="FrankRuehl" w:hAnsi="FrankRuehl" w:cs="FrankRuehl"/>
            <w:u w:val="none"/>
            <w:rtl/>
          </w:rPr>
          <w:t>ט</w:t>
        </w:r>
      </w:hyperlink>
      <w:r w:rsidRPr="00586502">
        <w:rPr>
          <w:rFonts w:ascii="FrankRuehl" w:hAnsi="FrankRuehl" w:cs="FrankRuehl"/>
          <w:color w:val="0000FF"/>
          <w:rtl/>
        </w:rPr>
        <w:t xml:space="preserve">, </w:t>
      </w:r>
      <w:hyperlink r:id="rId16" w:history="1">
        <w:r w:rsidRPr="00586502">
          <w:rPr>
            <w:rStyle w:val="Hyperlink"/>
            <w:rFonts w:ascii="FrankRuehl" w:hAnsi="FrankRuehl" w:cs="FrankRuehl"/>
            <w:u w:val="none"/>
          </w:rPr>
          <w:t>40</w:t>
        </w:r>
        <w:r w:rsidRPr="00586502">
          <w:rPr>
            <w:rStyle w:val="Hyperlink"/>
            <w:rFonts w:ascii="FrankRuehl" w:hAnsi="FrankRuehl" w:cs="FrankRuehl"/>
            <w:u w:val="none"/>
            <w:rtl/>
          </w:rPr>
          <w:t>יא</w:t>
        </w:r>
      </w:hyperlink>
    </w:p>
    <w:p w14:paraId="1032D31F" w14:textId="77777777" w:rsidR="00484725" w:rsidRPr="00586502" w:rsidRDefault="00484725" w:rsidP="00586502">
      <w:pPr>
        <w:rPr>
          <w:rFonts w:ascii="Arial" w:hAnsi="Arial"/>
          <w:sz w:val="26"/>
          <w:szCs w:val="26"/>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84725" w14:paraId="7E52E136" w14:textId="77777777" w:rsidTr="00484725">
        <w:trPr>
          <w:trHeight w:val="355"/>
          <w:jc w:val="center"/>
        </w:trPr>
        <w:tc>
          <w:tcPr>
            <w:tcW w:w="8820" w:type="dxa"/>
            <w:tcBorders>
              <w:top w:val="nil"/>
              <w:left w:val="nil"/>
              <w:bottom w:val="nil"/>
              <w:right w:val="nil"/>
            </w:tcBorders>
            <w:shd w:val="clear" w:color="auto" w:fill="auto"/>
          </w:tcPr>
          <w:p w14:paraId="08DA103A" w14:textId="77777777" w:rsidR="00ED7439" w:rsidRPr="00ED7439" w:rsidRDefault="00ED7439" w:rsidP="00ED7439">
            <w:pPr>
              <w:jc w:val="center"/>
              <w:rPr>
                <w:rFonts w:ascii="David" w:hAnsi="David"/>
                <w:b/>
                <w:bCs/>
                <w:sz w:val="32"/>
                <w:szCs w:val="32"/>
                <w:u w:val="single"/>
                <w:rtl/>
              </w:rPr>
            </w:pPr>
            <w:bookmarkStart w:id="5" w:name="PsakDin" w:colFirst="0" w:colLast="0"/>
            <w:bookmarkEnd w:id="0"/>
            <w:r w:rsidRPr="00ED7439">
              <w:rPr>
                <w:rFonts w:ascii="David" w:hAnsi="David"/>
                <w:b/>
                <w:bCs/>
                <w:sz w:val="32"/>
                <w:szCs w:val="32"/>
                <w:u w:val="single"/>
                <w:rtl/>
              </w:rPr>
              <w:t>גזר דין</w:t>
            </w:r>
          </w:p>
          <w:p w14:paraId="30AD2AE2" w14:textId="77777777" w:rsidR="00484725" w:rsidRPr="00ED7439" w:rsidRDefault="00484725" w:rsidP="00ED7439">
            <w:pPr>
              <w:jc w:val="center"/>
              <w:rPr>
                <w:rFonts w:ascii="David" w:hAnsi="David"/>
                <w:bCs/>
                <w:sz w:val="32"/>
                <w:szCs w:val="32"/>
                <w:u w:val="single"/>
                <w:rtl/>
              </w:rPr>
            </w:pPr>
          </w:p>
        </w:tc>
      </w:tr>
      <w:bookmarkEnd w:id="5"/>
    </w:tbl>
    <w:p w14:paraId="4C96CEE6" w14:textId="77777777" w:rsidR="00484725" w:rsidRPr="000F2247" w:rsidRDefault="00484725" w:rsidP="00484725">
      <w:pPr>
        <w:rPr>
          <w:rFonts w:ascii="Arial" w:hAnsi="Arial"/>
          <w:b/>
          <w:bCs/>
          <w:sz w:val="26"/>
          <w:szCs w:val="26"/>
          <w:rtl/>
        </w:rPr>
      </w:pPr>
    </w:p>
    <w:p w14:paraId="508C382D" w14:textId="77777777" w:rsidR="00484725" w:rsidRDefault="00484725" w:rsidP="00484725">
      <w:pPr>
        <w:pStyle w:val="11"/>
        <w:jc w:val="both"/>
        <w:rPr>
          <w:rtl/>
        </w:rPr>
      </w:pPr>
      <w:r>
        <w:rPr>
          <w:rtl/>
        </w:rPr>
        <w:t>רקע</w:t>
      </w:r>
    </w:p>
    <w:p w14:paraId="2E540265" w14:textId="77777777" w:rsidR="00484725" w:rsidRDefault="00484725" w:rsidP="00484725">
      <w:pPr>
        <w:pStyle w:val="a"/>
        <w:tabs>
          <w:tab w:val="clear" w:pos="360"/>
          <w:tab w:val="clear" w:pos="1440"/>
          <w:tab w:val="num" w:pos="643"/>
          <w:tab w:val="num" w:pos="2911"/>
        </w:tabs>
        <w:ind w:left="643" w:hanging="360"/>
      </w:pPr>
      <w:bookmarkStart w:id="6" w:name="ABSTRACT_START"/>
      <w:bookmarkEnd w:id="6"/>
      <w:r>
        <w:rPr>
          <w:rFonts w:hint="cs"/>
          <w:rtl/>
        </w:rPr>
        <w:t xml:space="preserve">הנאשם הודה והורשע בעבירת החזקת סמים שלא לצריכה עצמית בניגוד </w:t>
      </w:r>
      <w:hyperlink r:id="rId17" w:history="1">
        <w:r w:rsidR="00586502" w:rsidRPr="00586502">
          <w:rPr>
            <w:rStyle w:val="Hyperlink"/>
            <w:rFonts w:hint="eastAsia"/>
            <w:color w:val="0000FF"/>
            <w:rtl/>
          </w:rPr>
          <w:t>לסעיפים</w:t>
        </w:r>
        <w:r w:rsidR="00586502" w:rsidRPr="00586502">
          <w:rPr>
            <w:rStyle w:val="Hyperlink"/>
            <w:color w:val="0000FF"/>
            <w:rtl/>
          </w:rPr>
          <w:t xml:space="preserve"> 7(א)</w:t>
        </w:r>
      </w:hyperlink>
      <w:r>
        <w:rPr>
          <w:rFonts w:hint="cs"/>
          <w:rtl/>
        </w:rPr>
        <w:t xml:space="preserve"> ו-</w:t>
      </w:r>
      <w:hyperlink r:id="rId18" w:history="1">
        <w:r w:rsidR="00586502" w:rsidRPr="00586502">
          <w:rPr>
            <w:rStyle w:val="Hyperlink"/>
            <w:color w:val="0000FF"/>
            <w:rtl/>
          </w:rPr>
          <w:t>7(ג)</w:t>
        </w:r>
      </w:hyperlink>
      <w:r>
        <w:rPr>
          <w:rFonts w:hint="cs"/>
          <w:rtl/>
        </w:rPr>
        <w:t xml:space="preserve"> רישא ל</w:t>
      </w:r>
      <w:hyperlink r:id="rId19" w:history="1">
        <w:r w:rsidR="00ED7439" w:rsidRPr="00ED7439">
          <w:rPr>
            <w:color w:val="0000FF"/>
            <w:u w:val="single"/>
            <w:rtl/>
          </w:rPr>
          <w:t>פקודת הסמים המסוכנים</w:t>
        </w:r>
      </w:hyperlink>
      <w:r>
        <w:rPr>
          <w:rFonts w:hint="cs"/>
          <w:rtl/>
        </w:rPr>
        <w:t xml:space="preserve"> [נוסח חדש] תשל"ג-1973 </w:t>
      </w:r>
      <w:bookmarkStart w:id="7" w:name="ABSTRACT_END"/>
      <w:bookmarkEnd w:id="7"/>
      <w:r>
        <w:rPr>
          <w:rFonts w:hint="cs"/>
          <w:rtl/>
        </w:rPr>
        <w:t>(להלן: "</w:t>
      </w:r>
      <w:r>
        <w:rPr>
          <w:rFonts w:hint="cs"/>
          <w:b/>
          <w:bCs/>
          <w:rtl/>
        </w:rPr>
        <w:t>פקודת הסמים</w:t>
      </w:r>
      <w:r>
        <w:rPr>
          <w:rFonts w:hint="cs"/>
          <w:rtl/>
        </w:rPr>
        <w:t>").</w:t>
      </w:r>
    </w:p>
    <w:p w14:paraId="67ECB3AE" w14:textId="77777777" w:rsidR="00484725" w:rsidRDefault="00484725" w:rsidP="00484725">
      <w:pPr>
        <w:pStyle w:val="ab"/>
        <w:rPr>
          <w:rtl/>
        </w:rPr>
      </w:pPr>
      <w:r>
        <w:rPr>
          <w:rFonts w:hint="cs"/>
          <w:rtl/>
        </w:rPr>
        <w:t>על פי עובדות כתב האישום המתוקן, ביום 12.1.23 החזיק הנאשם בחדר השינה שבביתו בבאר-שבע (להלן: ""</w:t>
      </w:r>
      <w:r>
        <w:rPr>
          <w:rFonts w:hint="cs"/>
          <w:b/>
          <w:bCs/>
          <w:rtl/>
        </w:rPr>
        <w:t>הבית</w:t>
      </w:r>
      <w:r>
        <w:rPr>
          <w:rFonts w:hint="cs"/>
          <w:rtl/>
        </w:rPr>
        <w:t>"), בסמים המסוכנים הבאים:</w:t>
      </w:r>
    </w:p>
    <w:p w14:paraId="7EB615FD" w14:textId="77777777" w:rsidR="00484725" w:rsidRDefault="00484725" w:rsidP="00484725">
      <w:pPr>
        <w:pStyle w:val="a0"/>
        <w:numPr>
          <w:ilvl w:val="0"/>
          <w:numId w:val="3"/>
        </w:numPr>
        <w:ind w:left="1218"/>
        <w:rPr>
          <w:rtl/>
        </w:rPr>
      </w:pPr>
      <w:r>
        <w:t>MDMA KETAMINE</w:t>
      </w:r>
      <w:r>
        <w:rPr>
          <w:rFonts w:hint="cs"/>
          <w:rtl/>
        </w:rPr>
        <w:t xml:space="preserve"> במשקל 20 גרם נטו.</w:t>
      </w:r>
    </w:p>
    <w:p w14:paraId="2A768DD0" w14:textId="77777777" w:rsidR="00484725" w:rsidRDefault="00484725" w:rsidP="00484725">
      <w:pPr>
        <w:pStyle w:val="a0"/>
        <w:numPr>
          <w:ilvl w:val="0"/>
          <w:numId w:val="3"/>
        </w:numPr>
        <w:ind w:left="1218"/>
      </w:pPr>
      <w:r>
        <w:t>METHYLMETHCATHINONE</w:t>
      </w:r>
      <w:r>
        <w:rPr>
          <w:rtl/>
        </w:rPr>
        <w:t xml:space="preserve"> </w:t>
      </w:r>
      <w:r>
        <w:rPr>
          <w:rFonts w:hint="cs"/>
          <w:rtl/>
        </w:rPr>
        <w:t>(להלן: "</w:t>
      </w:r>
      <w:r>
        <w:t>MMC</w:t>
      </w:r>
      <w:r>
        <w:rPr>
          <w:rFonts w:hint="cs"/>
          <w:rtl/>
        </w:rPr>
        <w:t>") במשקל 11 גרם נטו.</w:t>
      </w:r>
    </w:p>
    <w:p w14:paraId="212B24A1" w14:textId="77777777" w:rsidR="00484725" w:rsidRDefault="00484725" w:rsidP="00484725">
      <w:pPr>
        <w:pStyle w:val="a0"/>
        <w:numPr>
          <w:ilvl w:val="0"/>
          <w:numId w:val="3"/>
        </w:numPr>
        <w:ind w:left="1218"/>
      </w:pPr>
      <w:r>
        <w:rPr>
          <w:rFonts w:hint="cs"/>
          <w:rtl/>
        </w:rPr>
        <w:t>קנביס במשקל 50 גרם נטו.</w:t>
      </w:r>
    </w:p>
    <w:p w14:paraId="0F28F395" w14:textId="77777777" w:rsidR="00484725" w:rsidRDefault="00484725" w:rsidP="00484725">
      <w:pPr>
        <w:pStyle w:val="ab"/>
      </w:pPr>
      <w:r>
        <w:rPr>
          <w:rFonts w:hint="cs"/>
          <w:rtl/>
        </w:rPr>
        <w:t>בנוסף, החזיק הנאשם בשני משקלים אלקטרוניים ושקיות שקופות לחלוקת סמים.</w:t>
      </w:r>
    </w:p>
    <w:p w14:paraId="31154C5C" w14:textId="77777777" w:rsidR="00484725" w:rsidRDefault="00484725" w:rsidP="00484725">
      <w:pPr>
        <w:pStyle w:val="11"/>
        <w:rPr>
          <w:rtl/>
        </w:rPr>
      </w:pPr>
      <w:r>
        <w:rPr>
          <w:rtl/>
        </w:rPr>
        <w:lastRenderedPageBreak/>
        <w:t>תסקירי שירות המבחן</w:t>
      </w:r>
    </w:p>
    <w:p w14:paraId="191F25DD" w14:textId="77777777" w:rsidR="00484725" w:rsidRDefault="00484725" w:rsidP="00484725">
      <w:pPr>
        <w:pStyle w:val="a"/>
        <w:tabs>
          <w:tab w:val="clear" w:pos="360"/>
          <w:tab w:val="clear" w:pos="1440"/>
          <w:tab w:val="num" w:pos="643"/>
          <w:tab w:val="num" w:pos="2911"/>
        </w:tabs>
        <w:ind w:left="643" w:hanging="360"/>
        <w:rPr>
          <w:rtl/>
        </w:rPr>
      </w:pPr>
      <w:r>
        <w:rPr>
          <w:rFonts w:hint="cs"/>
          <w:rtl/>
        </w:rPr>
        <w:t>ביום 8.1.24, התקבל תסקיר שירות המבחן.</w:t>
      </w:r>
    </w:p>
    <w:p w14:paraId="5AFC4ADA" w14:textId="77777777" w:rsidR="00484725" w:rsidRDefault="00484725" w:rsidP="00484725">
      <w:pPr>
        <w:pStyle w:val="ab"/>
        <w:rPr>
          <w:rtl/>
        </w:rPr>
      </w:pPr>
      <w:r>
        <w:rPr>
          <w:rFonts w:hint="cs"/>
          <w:rtl/>
        </w:rPr>
        <w:t>בהתאם לנתוני התסקיר, הנאשם רווק בן 23 המתגורר בבית אמו בבאר-שבע.</w:t>
      </w:r>
    </w:p>
    <w:p w14:paraId="1BD0768C" w14:textId="77777777" w:rsidR="00484725" w:rsidRDefault="00484725" w:rsidP="00484725">
      <w:pPr>
        <w:pStyle w:val="ab"/>
        <w:rPr>
          <w:rtl/>
        </w:rPr>
      </w:pPr>
      <w:r>
        <w:rPr>
          <w:rFonts w:hint="cs"/>
          <w:rtl/>
        </w:rPr>
        <w:t>הנאשם השלים 12 שנות לימוד ובעל תעודת בגרות מלאה. בתום לימודיו, התגייס הנאשם לצבא. לדבריו, במהלך שירותו הצבאי נשפט כעשרים פעמים וריצה חמישה מאסרים.</w:t>
      </w:r>
    </w:p>
    <w:p w14:paraId="27609B2C" w14:textId="77777777" w:rsidR="00484725" w:rsidRDefault="00484725" w:rsidP="00484725">
      <w:pPr>
        <w:pStyle w:val="ab"/>
        <w:rPr>
          <w:rtl/>
        </w:rPr>
      </w:pPr>
      <w:r>
        <w:rPr>
          <w:rFonts w:hint="cs"/>
          <w:rtl/>
        </w:rPr>
        <w:t>עובר לעריכת התסקיר, עבד הנאשם כמנהל סניף בבית קפה.</w:t>
      </w:r>
    </w:p>
    <w:p w14:paraId="402DB74F" w14:textId="77777777" w:rsidR="00484725" w:rsidRDefault="00484725" w:rsidP="00484725">
      <w:pPr>
        <w:pStyle w:val="ab"/>
        <w:rPr>
          <w:rtl/>
        </w:rPr>
      </w:pPr>
      <w:r>
        <w:rPr>
          <w:rFonts w:hint="cs"/>
          <w:rtl/>
        </w:rPr>
        <w:t>הנאשם התנסה בשימוש בסם מסוג קנביס בגיל 18 ובהמשך בקוקאין. לדבריו, לא פיתח תלות בסמים אלה ולאחר מספר ניסיונות שימוש מטעמי סקרנות, חדל מכך. שירות המבחן ערך לנאשם 3 בדיקות סמים אשר נמצאו נקיות משרידי סמים.</w:t>
      </w:r>
    </w:p>
    <w:p w14:paraId="34DE20C0" w14:textId="77777777" w:rsidR="00484725" w:rsidRDefault="00484725" w:rsidP="00484725">
      <w:pPr>
        <w:pStyle w:val="ab"/>
        <w:rPr>
          <w:rtl/>
        </w:rPr>
      </w:pPr>
      <w:r>
        <w:rPr>
          <w:rFonts w:hint="cs"/>
          <w:rtl/>
        </w:rPr>
        <w:t xml:space="preserve">הנאשם הודה בביצוע העבירה מסר כי נוטל אחריות מלאה על מעשיו, מבין את חומרתם ומתחרט על כך. </w:t>
      </w:r>
    </w:p>
    <w:p w14:paraId="489B316D" w14:textId="77777777" w:rsidR="00484725" w:rsidRDefault="00484725" w:rsidP="00484725">
      <w:pPr>
        <w:pStyle w:val="ab"/>
        <w:rPr>
          <w:rtl/>
        </w:rPr>
      </w:pPr>
      <w:r>
        <w:rPr>
          <w:rFonts w:hint="cs"/>
          <w:rtl/>
        </w:rPr>
        <w:t>הנאשם מסר כי בסמוך לביצוע העבירה, חבר לגורמים עבריינים ובעקבות זאת החזיק בביתו את מכלול הסמים. לדבריו, מאז העבירה התנתק מהגורמים העבריינים.</w:t>
      </w:r>
    </w:p>
    <w:p w14:paraId="04C40DF9" w14:textId="77777777" w:rsidR="00484725" w:rsidRDefault="00484725" w:rsidP="00484725">
      <w:pPr>
        <w:pStyle w:val="ab"/>
        <w:rPr>
          <w:rtl/>
        </w:rPr>
      </w:pPr>
      <w:r>
        <w:rPr>
          <w:rFonts w:hint="cs"/>
          <w:b/>
          <w:bCs/>
          <w:rtl/>
        </w:rPr>
        <w:t>גורמי סיכון</w:t>
      </w:r>
      <w:r>
        <w:rPr>
          <w:rFonts w:hint="cs"/>
          <w:rtl/>
        </w:rPr>
        <w:t>: הנאשם גדל בסביבה מורכבת ובשלב מוקדם נטל על עצמו את תפקיד אבי המשפחה; הנאשם נוטה לבחון ולקרוא תיגר על גבולות המוצבים לו; הנאשם עלול לפעול באימפולסיביות ובפזיזות מבלי לבחון השלכות מעשיו; היעדר יציבות, כפי שבא לידי ביטוי בשינוי תכוף של מסגרות חינוכיות, מסגרות תעסוקה, והקשיים עמם התמודד הנאשם בצבא.</w:t>
      </w:r>
    </w:p>
    <w:p w14:paraId="7058C818" w14:textId="77777777" w:rsidR="00484725" w:rsidRDefault="00484725" w:rsidP="00484725">
      <w:pPr>
        <w:pStyle w:val="ab"/>
        <w:rPr>
          <w:rtl/>
        </w:rPr>
      </w:pPr>
      <w:r>
        <w:rPr>
          <w:rFonts w:hint="cs"/>
          <w:b/>
          <w:bCs/>
          <w:rtl/>
        </w:rPr>
        <w:t>סיכויי השיקום</w:t>
      </w:r>
      <w:r>
        <w:rPr>
          <w:rFonts w:hint="cs"/>
          <w:rtl/>
        </w:rPr>
        <w:t>: היעדרו של עבר פלילי, נטילת אחריות והבעת חרטה; הנאשם פיתח עצמאות מגיל צעיר אשר באה לידי ביטוי בשילובו במסגרות תעסוקה והבעת מחויבות כלפי משפחתו; הנאשם מביע שאיפות נורמטיביות לעתיד ומביע מוטיבציה לערוך שינוי בחייו; הנאשם מסוגל לשלוט בדחפיו.</w:t>
      </w:r>
    </w:p>
    <w:p w14:paraId="19013B3B" w14:textId="77777777" w:rsidR="00484725" w:rsidRDefault="00484725" w:rsidP="00484725">
      <w:pPr>
        <w:pStyle w:val="ab"/>
        <w:rPr>
          <w:rtl/>
        </w:rPr>
      </w:pPr>
      <w:r>
        <w:rPr>
          <w:rFonts w:hint="cs"/>
          <w:rtl/>
        </w:rPr>
        <w:t>בשל המוטיבציה הראשונית אותה הביע הנאשם ביחס להליך טיפולי, המליץ שירות המבחן לבחון את נכונותו זו, ולבחון התאמתו לקבוצה טיפולית  במסגרת השירות.</w:t>
      </w:r>
    </w:p>
    <w:p w14:paraId="5F49F94F" w14:textId="77777777" w:rsidR="00484725" w:rsidRDefault="00484725" w:rsidP="00484725">
      <w:pPr>
        <w:pStyle w:val="a"/>
        <w:tabs>
          <w:tab w:val="clear" w:pos="360"/>
          <w:tab w:val="clear" w:pos="1440"/>
          <w:tab w:val="num" w:pos="643"/>
          <w:tab w:val="num" w:pos="2911"/>
        </w:tabs>
        <w:ind w:left="643" w:hanging="360"/>
        <w:rPr>
          <w:rtl/>
        </w:rPr>
      </w:pPr>
      <w:r>
        <w:rPr>
          <w:rFonts w:hint="cs"/>
          <w:rtl/>
        </w:rPr>
        <w:t>ביום 26.2.24 הוגש תסקיר עדכון מטעם שירות המבחן.</w:t>
      </w:r>
    </w:p>
    <w:p w14:paraId="33EE325A" w14:textId="77777777" w:rsidR="00484725" w:rsidRDefault="00484725" w:rsidP="00484725">
      <w:pPr>
        <w:pStyle w:val="ab"/>
        <w:rPr>
          <w:rtl/>
        </w:rPr>
      </w:pPr>
      <w:r>
        <w:rPr>
          <w:rFonts w:hint="cs"/>
          <w:rtl/>
        </w:rPr>
        <w:lastRenderedPageBreak/>
        <w:t>הנאשם שולב ביום 31.1.24 בקבוצה טיפולית של שירות המבחן ונכח בשלושת המפגשים אשר התקיימו עד לעריכת התסקיר. נמסר כי הנאשם משתף פעולה עם ההליך ומביע מוטיבציה להמשך השתתפות בו.</w:t>
      </w:r>
    </w:p>
    <w:p w14:paraId="540E7AB0" w14:textId="77777777" w:rsidR="00484725" w:rsidRDefault="00484725" w:rsidP="00484725">
      <w:pPr>
        <w:pStyle w:val="ab"/>
        <w:rPr>
          <w:rtl/>
        </w:rPr>
      </w:pPr>
      <w:r>
        <w:rPr>
          <w:rFonts w:hint="cs"/>
          <w:rtl/>
        </w:rPr>
        <w:t>שירות המבחן המליץ על ענישה בדמות צו מבחן וצו של"צ בהיקף של 300 שעות.</w:t>
      </w:r>
    </w:p>
    <w:p w14:paraId="4A85A387" w14:textId="77777777" w:rsidR="00484725" w:rsidRDefault="00484725" w:rsidP="00484725">
      <w:pPr>
        <w:pStyle w:val="a"/>
        <w:tabs>
          <w:tab w:val="clear" w:pos="360"/>
          <w:tab w:val="clear" w:pos="1440"/>
          <w:tab w:val="num" w:pos="643"/>
          <w:tab w:val="num" w:pos="2911"/>
        </w:tabs>
        <w:ind w:left="643" w:hanging="360"/>
        <w:rPr>
          <w:rtl/>
        </w:rPr>
      </w:pPr>
      <w:r>
        <w:rPr>
          <w:rFonts w:hint="cs"/>
          <w:rtl/>
        </w:rPr>
        <w:t>ביום 10.7.24 הוגש תסקיר משלים מטעם שירות המבחן.</w:t>
      </w:r>
    </w:p>
    <w:p w14:paraId="03DF59F9" w14:textId="77777777" w:rsidR="00484725" w:rsidRDefault="00484725" w:rsidP="00484725">
      <w:pPr>
        <w:pStyle w:val="ab"/>
        <w:rPr>
          <w:rtl/>
        </w:rPr>
      </w:pPr>
      <w:r>
        <w:rPr>
          <w:rFonts w:hint="cs"/>
          <w:rtl/>
        </w:rPr>
        <w:t>בתסקיר זה שב שירות המבחן על המלצתו העונשית. נמסר כי הנאשם המשיך בהשתתפותו הפעילה במסגרת המפגשים הקבוצתיים, אליהם הקפיד להתייצב בקביעות ובאופן סדיר. שירות המבחן התרשם כי הנאשם עובר תהליך של הפקת לקחים תוך הבעת שאיפות נורמטיביות בדבר עתידו האישי והתעסוקתי.</w:t>
      </w:r>
    </w:p>
    <w:p w14:paraId="2A8B5676" w14:textId="77777777" w:rsidR="00484725" w:rsidRDefault="00484725" w:rsidP="00484725">
      <w:pPr>
        <w:pStyle w:val="a"/>
        <w:tabs>
          <w:tab w:val="clear" w:pos="360"/>
          <w:tab w:val="clear" w:pos="1440"/>
          <w:tab w:val="num" w:pos="643"/>
          <w:tab w:val="num" w:pos="2911"/>
        </w:tabs>
        <w:ind w:left="643" w:hanging="360"/>
        <w:rPr>
          <w:rtl/>
        </w:rPr>
      </w:pPr>
      <w:r>
        <w:rPr>
          <w:rFonts w:hint="cs"/>
          <w:rtl/>
        </w:rPr>
        <w:t>ביום 17.9.24 הוגש תסקיר אחרון מטעם שירות המבחן.</w:t>
      </w:r>
    </w:p>
    <w:p w14:paraId="3E80BEC4" w14:textId="77777777" w:rsidR="00484725" w:rsidRDefault="00484725" w:rsidP="00484725">
      <w:pPr>
        <w:pStyle w:val="ab"/>
        <w:rPr>
          <w:rtl/>
        </w:rPr>
      </w:pPr>
      <w:r>
        <w:rPr>
          <w:rFonts w:hint="cs"/>
          <w:rtl/>
        </w:rPr>
        <w:t>שירות המבחן חזר על המלצתו העונשית בשל הטעמים שהובאו בתסקירים הקודמים המבוססים על המשך שיתוף פעולה חיובי של הנאשם עם ההליך הטיפולי, לרבות בדיקות שתן נקיות.</w:t>
      </w:r>
    </w:p>
    <w:p w14:paraId="6C232D22" w14:textId="77777777" w:rsidR="00484725" w:rsidRDefault="00484725" w:rsidP="00484725">
      <w:pPr>
        <w:pStyle w:val="11"/>
        <w:rPr>
          <w:rtl/>
        </w:rPr>
      </w:pPr>
      <w:r>
        <w:rPr>
          <w:rtl/>
        </w:rPr>
        <w:t>טיעונים לעונש</w:t>
      </w:r>
    </w:p>
    <w:p w14:paraId="1C875994" w14:textId="77777777" w:rsidR="00484725" w:rsidRDefault="00484725" w:rsidP="00484725">
      <w:pPr>
        <w:pStyle w:val="a"/>
        <w:tabs>
          <w:tab w:val="clear" w:pos="360"/>
          <w:tab w:val="clear" w:pos="1440"/>
          <w:tab w:val="num" w:pos="-58"/>
          <w:tab w:val="num" w:pos="2911"/>
        </w:tabs>
        <w:ind w:left="651" w:hanging="425"/>
        <w:rPr>
          <w:rtl/>
        </w:rPr>
      </w:pPr>
      <w:r>
        <w:rPr>
          <w:rFonts w:hint="cs"/>
          <w:rtl/>
        </w:rPr>
        <w:t>בדיון שנערך ביום 25.9.24, הגישה המאשימה חוות דעת מטעם משרד הבריאות ביחס לסם ה-</w:t>
      </w:r>
      <w:r>
        <w:t>MMC</w:t>
      </w:r>
      <w:r>
        <w:rPr>
          <w:rtl/>
        </w:rPr>
        <w:t xml:space="preserve"> </w:t>
      </w:r>
      <w:r>
        <w:rPr>
          <w:rFonts w:hint="cs"/>
          <w:rtl/>
        </w:rPr>
        <w:t>(</w:t>
      </w:r>
      <w:r>
        <w:rPr>
          <w:rFonts w:hint="cs"/>
          <w:b/>
          <w:bCs/>
          <w:rtl/>
        </w:rPr>
        <w:t>ת/1</w:t>
      </w:r>
      <w:r>
        <w:rPr>
          <w:rFonts w:hint="cs"/>
          <w:rtl/>
        </w:rPr>
        <w:t>) וטיעונים בכתב (</w:t>
      </w:r>
      <w:r>
        <w:rPr>
          <w:rFonts w:hint="cs"/>
          <w:b/>
          <w:bCs/>
          <w:rtl/>
        </w:rPr>
        <w:t>ת/2</w:t>
      </w:r>
      <w:r>
        <w:rPr>
          <w:rFonts w:hint="cs"/>
          <w:rtl/>
        </w:rPr>
        <w:t xml:space="preserve">). </w:t>
      </w:r>
    </w:p>
    <w:p w14:paraId="0F844FB8" w14:textId="77777777" w:rsidR="00484725" w:rsidRDefault="00484725" w:rsidP="00484725">
      <w:pPr>
        <w:pStyle w:val="a"/>
        <w:tabs>
          <w:tab w:val="clear" w:pos="360"/>
          <w:tab w:val="num" w:pos="-58"/>
          <w:tab w:val="num" w:pos="643"/>
        </w:tabs>
        <w:ind w:left="643" w:hanging="360"/>
      </w:pPr>
      <w:r w:rsidRPr="009D37DD">
        <w:rPr>
          <w:rFonts w:hint="cs"/>
          <w:b/>
          <w:bCs/>
          <w:rtl/>
        </w:rPr>
        <w:t>ב"כ המאשימה</w:t>
      </w:r>
      <w:r>
        <w:rPr>
          <w:rFonts w:hint="cs"/>
          <w:rtl/>
        </w:rPr>
        <w:t xml:space="preserve"> הפנתה לערכים המוגנים שנפגעו, וביניהם – הגנה על שלום ובריאות הציבור מפני פגיעתם הקשה של סמים מסוכנים ומניעת נזקים כלכליים וחברתיים עקיפים. לשיטת המאשימה, הפגיעה בערכים אלה משמעותית.</w:t>
      </w:r>
    </w:p>
    <w:p w14:paraId="61F30E39" w14:textId="77777777" w:rsidR="00484725" w:rsidRDefault="00484725" w:rsidP="00484725">
      <w:pPr>
        <w:pStyle w:val="ab"/>
      </w:pPr>
      <w:r>
        <w:rPr>
          <w:rFonts w:hint="cs"/>
          <w:rtl/>
        </w:rPr>
        <w:t>ב"כ המאשימה טענה כי מדובר בהחזקה מגוונת של 3 סוגי סמים לרבות סמים קשים, ועתרה לקביעת</w:t>
      </w:r>
      <w:r>
        <w:rPr>
          <w:rFonts w:hint="cs"/>
          <w:b/>
          <w:bCs/>
          <w:rtl/>
        </w:rPr>
        <w:t xml:space="preserve"> מתחם עונש הולם אשר נע</w:t>
      </w:r>
      <w:r>
        <w:rPr>
          <w:rFonts w:hint="cs"/>
          <w:rtl/>
        </w:rPr>
        <w:t xml:space="preserve"> </w:t>
      </w:r>
      <w:r>
        <w:rPr>
          <w:rFonts w:hint="cs"/>
          <w:b/>
          <w:bCs/>
          <w:rtl/>
        </w:rPr>
        <w:t>בין 18 ל-36 חודשי</w:t>
      </w:r>
      <w:r>
        <w:rPr>
          <w:rFonts w:hint="cs"/>
          <w:rtl/>
        </w:rPr>
        <w:t xml:space="preserve"> </w:t>
      </w:r>
      <w:r>
        <w:rPr>
          <w:rFonts w:hint="cs"/>
          <w:b/>
          <w:bCs/>
          <w:rtl/>
        </w:rPr>
        <w:t>מאסר בפועל</w:t>
      </w:r>
      <w:r>
        <w:rPr>
          <w:rFonts w:hint="cs"/>
          <w:rtl/>
        </w:rPr>
        <w:t xml:space="preserve">. </w:t>
      </w:r>
    </w:p>
    <w:p w14:paraId="44758C61" w14:textId="77777777" w:rsidR="00484725" w:rsidRDefault="00484725" w:rsidP="00484725">
      <w:pPr>
        <w:pStyle w:val="ab"/>
        <w:rPr>
          <w:rtl/>
        </w:rPr>
      </w:pPr>
      <w:r>
        <w:rPr>
          <w:rFonts w:hint="cs"/>
          <w:rtl/>
        </w:rPr>
        <w:t xml:space="preserve"> בתוך המתחם העונשי, עתרה ב"כ המאשימה לענישה </w:t>
      </w:r>
      <w:r>
        <w:rPr>
          <w:rFonts w:hint="cs"/>
          <w:u w:val="single"/>
          <w:rtl/>
        </w:rPr>
        <w:t>בשליש התחתון</w:t>
      </w:r>
      <w:r>
        <w:rPr>
          <w:rFonts w:hint="cs"/>
          <w:rtl/>
        </w:rPr>
        <w:t xml:space="preserve"> של המתחם  בשים לב להיעדר הרשעות פליליות קודמות והודאת הנאשם בביצוע העבירה. כן עתרה ב"כ המאשימה להטלת מאסר מותנה ארוך ומרתיע, פסילת רישיון נהיגה בפועל ועל תנאי לתקופות משמעותיות, קנס משמעותי והתחייבות להימנע מביצוע עבירה.</w:t>
      </w:r>
    </w:p>
    <w:p w14:paraId="6C973FC0" w14:textId="77777777" w:rsidR="00484725" w:rsidRDefault="00484725" w:rsidP="00484725">
      <w:pPr>
        <w:pStyle w:val="a"/>
        <w:tabs>
          <w:tab w:val="clear" w:pos="360"/>
          <w:tab w:val="num" w:pos="643"/>
        </w:tabs>
        <w:ind w:left="651" w:hanging="425"/>
      </w:pPr>
      <w:r>
        <w:rPr>
          <w:rFonts w:hint="cs"/>
          <w:b/>
          <w:bCs/>
          <w:rtl/>
        </w:rPr>
        <w:t>ב"כ הנאשם</w:t>
      </w:r>
      <w:r>
        <w:rPr>
          <w:rFonts w:hint="cs"/>
          <w:rtl/>
        </w:rPr>
        <w:t xml:space="preserve"> טען כי הנאשם צעיר בן 24, נעדר עבר פלילי ונטל אחריות על מעשיו בהזדמנות הראשונה.</w:t>
      </w:r>
    </w:p>
    <w:p w14:paraId="017592C7" w14:textId="77777777" w:rsidR="00484725" w:rsidRDefault="00484725" w:rsidP="00484725">
      <w:pPr>
        <w:pStyle w:val="ab"/>
        <w:rPr>
          <w:rtl/>
        </w:rPr>
      </w:pPr>
      <w:r>
        <w:rPr>
          <w:rFonts w:eastAsia="David" w:hint="cs"/>
          <w:rtl/>
        </w:rPr>
        <w:t xml:space="preserve">ב"כ הנאשם </w:t>
      </w:r>
      <w:r>
        <w:rPr>
          <w:rFonts w:hint="cs"/>
          <w:rtl/>
        </w:rPr>
        <w:t>הפנה לתסקירי שירות המבחן וטען כי הנאשם ניצל עד תום את ההזדמנות אשר ניתנה לו ונרתם להליך טיפולי משמעותי בעקבותיו המליץ שירות המבחן על ענישה שיקומית.</w:t>
      </w:r>
    </w:p>
    <w:p w14:paraId="168C90AC" w14:textId="77777777" w:rsidR="00484725" w:rsidRDefault="00484725" w:rsidP="00484725">
      <w:pPr>
        <w:pStyle w:val="ab"/>
        <w:rPr>
          <w:rtl/>
        </w:rPr>
      </w:pPr>
      <w:r>
        <w:rPr>
          <w:rFonts w:hint="cs"/>
          <w:rtl/>
        </w:rPr>
        <w:t>ב"כ הנאשם טען כי הנאשם התרחק מחברה שולית ועתיד להינשא בקרוב.</w:t>
      </w:r>
    </w:p>
    <w:p w14:paraId="2996C8B0" w14:textId="77777777" w:rsidR="00484725" w:rsidRDefault="00484725" w:rsidP="00484725">
      <w:pPr>
        <w:pStyle w:val="ab"/>
        <w:rPr>
          <w:rtl/>
        </w:rPr>
      </w:pPr>
      <w:r>
        <w:rPr>
          <w:rFonts w:hint="cs"/>
          <w:rtl/>
        </w:rPr>
        <w:t>ב"כ הנאשם טען כי עתירתה העונשית של המאשימה מחמירה אף ביחס לפסיקה אותה הציגה, וכי מכל מקום מוצדק יהיה לסטות ממתחם העונש בשל שיקולי שיקום.</w:t>
      </w:r>
    </w:p>
    <w:p w14:paraId="189DE1BE" w14:textId="77777777" w:rsidR="00484725" w:rsidRDefault="00484725" w:rsidP="00484725">
      <w:pPr>
        <w:pStyle w:val="ab"/>
        <w:rPr>
          <w:rtl/>
        </w:rPr>
      </w:pPr>
      <w:r>
        <w:rPr>
          <w:rFonts w:hint="cs"/>
          <w:rtl/>
        </w:rPr>
        <w:t>ב"כ הנאשם עתר לאמץ את המלצת שירות המבחן.</w:t>
      </w:r>
    </w:p>
    <w:p w14:paraId="7BE9F107" w14:textId="77777777" w:rsidR="00484725" w:rsidRDefault="00484725" w:rsidP="00484725">
      <w:pPr>
        <w:pStyle w:val="ab"/>
        <w:rPr>
          <w:rtl/>
        </w:rPr>
      </w:pPr>
    </w:p>
    <w:p w14:paraId="58D0882C" w14:textId="77777777" w:rsidR="00484725" w:rsidRDefault="00484725" w:rsidP="00484725">
      <w:pPr>
        <w:pStyle w:val="a"/>
        <w:tabs>
          <w:tab w:val="clear" w:pos="360"/>
          <w:tab w:val="num" w:pos="643"/>
        </w:tabs>
        <w:ind w:left="651" w:hanging="425"/>
        <w:rPr>
          <w:rtl/>
        </w:rPr>
      </w:pPr>
      <w:r>
        <w:rPr>
          <w:rFonts w:hint="cs"/>
          <w:rtl/>
        </w:rPr>
        <w:t xml:space="preserve">ב"כ המאשימה הפנתה לפסיקה התומכת לשיטתה בעתירתה העונשית. </w:t>
      </w:r>
    </w:p>
    <w:p w14:paraId="5304F47F" w14:textId="77777777" w:rsidR="00484725" w:rsidRDefault="00484725" w:rsidP="00484725">
      <w:pPr>
        <w:pStyle w:val="a"/>
        <w:tabs>
          <w:tab w:val="clear" w:pos="360"/>
          <w:tab w:val="num" w:pos="643"/>
        </w:tabs>
        <w:ind w:left="651" w:hanging="425"/>
        <w:rPr>
          <w:rtl/>
        </w:rPr>
      </w:pPr>
      <w:r>
        <w:rPr>
          <w:rFonts w:hint="cs"/>
          <w:rtl/>
        </w:rPr>
        <w:t xml:space="preserve">בדבריו האחרונים, מסר </w:t>
      </w:r>
      <w:r>
        <w:rPr>
          <w:rFonts w:hint="cs"/>
          <w:b/>
          <w:bCs/>
          <w:rtl/>
        </w:rPr>
        <w:t xml:space="preserve">הנאשם: </w:t>
      </w:r>
    </w:p>
    <w:p w14:paraId="0024974A" w14:textId="77777777" w:rsidR="00484725" w:rsidRDefault="00484725" w:rsidP="00484725">
      <w:pPr>
        <w:pStyle w:val="ad"/>
        <w:rPr>
          <w:rtl/>
        </w:rPr>
      </w:pPr>
      <w:r>
        <w:rPr>
          <w:rFonts w:hint="cs"/>
          <w:rtl/>
        </w:rPr>
        <w:t>"זה תיק שכמעט שנתיים אנחנו עליו וההליך הוא התארך מאוד גם בגלל המלחמה וכל מיני דברים שקרו. מאז ששירות המבחן נתן לי את האופציה בהתחלה לא כ"כ הבנתי במה מדובר ומאז שהתחלנו את ההליך לא החסרתי כלום ועשיתי מה שצריך. כמעט עשרה חודשים אני בקבוצה והתחלנו בסוף דצמבר או תחילת ינואר וכל דגימת שתן שנתנו לי לעשות נתתי וחלק פספסתי בגלל עבודה וכולן יצאו נקיות. אני לא קשור לכל הדברים האלה ואני מודע למה שעשיתי ואני יודע שעליי לקבל עונש אבל כן התחלתי דרך ואני עובד רצוף ויש לי שגרה והצעתי נישואים בעקבות כל התיק מחכים כי הכל יסתיים ולקיים את החתונה ואני יודע שעונש כמו שמבקשים יכול לגרום לי נזק גם במקום העבודה שלי וגם בחיים שלי וזה יחזיר אותי אחורה. זה לא משהו שאני באמת רוצה ואני מודע למה שהיה ולוקח אחריות וכל הזמן עם הפנים קדימה ומבקש שבית המשפט יתחשב בי."</w:t>
      </w:r>
    </w:p>
    <w:p w14:paraId="16CC9B9F" w14:textId="77777777" w:rsidR="00484725" w:rsidRDefault="00484725" w:rsidP="00484725">
      <w:pPr>
        <w:pStyle w:val="11"/>
        <w:rPr>
          <w:rtl/>
        </w:rPr>
      </w:pPr>
      <w:r>
        <w:rPr>
          <w:rtl/>
        </w:rPr>
        <w:t>מתחם העונש ההולם</w:t>
      </w:r>
    </w:p>
    <w:p w14:paraId="427ADCE8" w14:textId="77777777" w:rsidR="00484725" w:rsidRDefault="00484725" w:rsidP="00484725">
      <w:pPr>
        <w:pStyle w:val="a"/>
        <w:tabs>
          <w:tab w:val="clear" w:pos="360"/>
          <w:tab w:val="num" w:pos="643"/>
        </w:tabs>
        <w:ind w:left="651" w:hanging="425"/>
      </w:pPr>
      <w:r>
        <w:rPr>
          <w:rFonts w:hint="cs"/>
          <w:rtl/>
        </w:rPr>
        <w:t>מתחם העונש ייקבע בהתאם לעקרון ההלימה (</w:t>
      </w:r>
      <w:hyperlink r:id="rId20" w:history="1">
        <w:r w:rsidR="00586502" w:rsidRPr="00586502">
          <w:rPr>
            <w:rStyle w:val="Hyperlink"/>
            <w:rFonts w:hint="eastAsia"/>
            <w:color w:val="0000FF"/>
            <w:rtl/>
          </w:rPr>
          <w:t>סעיף</w:t>
        </w:r>
        <w:r w:rsidR="00586502" w:rsidRPr="00586502">
          <w:rPr>
            <w:rStyle w:val="Hyperlink"/>
            <w:color w:val="0000FF"/>
            <w:rtl/>
          </w:rPr>
          <w:t xml:space="preserve"> 40ג(א)</w:t>
        </w:r>
      </w:hyperlink>
      <w:r>
        <w:rPr>
          <w:rFonts w:hint="cs"/>
          <w:rtl/>
        </w:rPr>
        <w:t xml:space="preserve"> ל</w:t>
      </w:r>
      <w:hyperlink r:id="rId21" w:history="1">
        <w:r w:rsidR="00ED7439" w:rsidRPr="00ED7439">
          <w:rPr>
            <w:color w:val="0000FF"/>
            <w:u w:val="single"/>
            <w:rtl/>
          </w:rPr>
          <w:t>חוק העונשין</w:t>
        </w:r>
      </w:hyperlink>
      <w:r>
        <w:rPr>
          <w:rFonts w:hint="cs"/>
          <w:rtl/>
        </w:rPr>
        <w:t>) תוך מתן משקל לערכים החברתיים שנפגעו מביצוע העבירות, למידת הפגיעה בהם ולמדיניות הענישה הנהוגה, והכל בנסיבות הקשורות בביצוע העבירה.</w:t>
      </w:r>
    </w:p>
    <w:p w14:paraId="7E7996B0" w14:textId="77777777" w:rsidR="00484725" w:rsidRDefault="00484725" w:rsidP="00484725">
      <w:pPr>
        <w:pStyle w:val="a"/>
        <w:tabs>
          <w:tab w:val="clear" w:pos="360"/>
          <w:tab w:val="num" w:pos="643"/>
        </w:tabs>
        <w:ind w:left="651" w:hanging="425"/>
        <w:rPr>
          <w:rtl/>
        </w:rPr>
      </w:pPr>
      <w:r>
        <w:rPr>
          <w:rFonts w:hint="cs"/>
          <w:rtl/>
        </w:rPr>
        <w:t xml:space="preserve">הערכים החברתיים שפקודת הסמים מבקשת להגן עליהם הם שמירה על בריאות הציבור ובטחונו מפני נגע הסמים והנזקים החברתיים, כלכליים וגופניים אשר נגרמים בעטיו. זאת, גם בבחינת נזקים ישירים למשתמשים עצמם וגם נזקים עקיפים אשר נגרמים לציבור בכללותו, למשל בדמות עבירות רכוש אותן עוברים חלק לא מבוטל מהמכורים לסמים. </w:t>
      </w:r>
    </w:p>
    <w:p w14:paraId="1996CB43" w14:textId="77777777" w:rsidR="00484725" w:rsidRDefault="00484725" w:rsidP="00484725">
      <w:pPr>
        <w:pStyle w:val="ab"/>
        <w:rPr>
          <w:rtl/>
        </w:rPr>
      </w:pPr>
      <w:r>
        <w:rPr>
          <w:rFonts w:hint="cs"/>
          <w:rtl/>
        </w:rPr>
        <w:t>העבירה שבגינה נותן הנאשם את הדין היא עבירת החזקת סם שלא לצריכה עצמית ולגבי חומרתה, ר' האמור ב</w:t>
      </w:r>
      <w:hyperlink r:id="rId22" w:history="1">
        <w:r w:rsidR="00ED7439" w:rsidRPr="00ED7439">
          <w:rPr>
            <w:color w:val="0000FF"/>
            <w:u w:val="single"/>
            <w:rtl/>
          </w:rPr>
          <w:t>ע"פ 1345/08</w:t>
        </w:r>
      </w:hyperlink>
      <w:r>
        <w:rPr>
          <w:rFonts w:hint="cs"/>
          <w:rtl/>
        </w:rPr>
        <w:t xml:space="preserve"> </w:t>
      </w:r>
      <w:r>
        <w:rPr>
          <w:rFonts w:hint="cs"/>
          <w:b/>
          <w:bCs/>
          <w:rtl/>
        </w:rPr>
        <w:t>ארקדי איסטחרוב נ' מדינת ישראל</w:t>
      </w:r>
      <w:r>
        <w:rPr>
          <w:rFonts w:hint="cs"/>
          <w:rtl/>
        </w:rPr>
        <w:t xml:space="preserve"> (נבו 18.05.2009)‏‏</w:t>
      </w:r>
    </w:p>
    <w:p w14:paraId="49007D6A" w14:textId="77777777" w:rsidR="00484725" w:rsidRDefault="00484725" w:rsidP="00484725">
      <w:pPr>
        <w:pStyle w:val="ad"/>
        <w:rPr>
          <w:rtl/>
        </w:rPr>
      </w:pPr>
      <w:r>
        <w:rPr>
          <w:rFonts w:hint="cs"/>
          <w:rtl/>
        </w:rPr>
        <w:t xml:space="preserve">"אין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עבירה זו היא </w:t>
      </w:r>
      <w:r>
        <w:rPr>
          <w:rFonts w:hint="cs"/>
          <w:b/>
          <w:bCs/>
          <w:rtl/>
        </w:rPr>
        <w:t>תאומתה הסטטוטורית של עבירת הסחר בסמים</w:t>
      </w:r>
      <w:r>
        <w:rPr>
          <w:rFonts w:hint="cs"/>
          <w:rtl/>
        </w:rPr>
        <w:t>, אלא שלא ניתן להוכיח לגביה את הסחר עצמו, ונקבע לשתיהן עונשה זהה, עונש מירבי של עשרים שנות מאסר וקנס פי עשרים וחמישה מזה הקבוע בסעיף 61(א)(4) ל</w:t>
      </w:r>
      <w:hyperlink r:id="rId23" w:history="1">
        <w:r w:rsidR="00ED7439" w:rsidRPr="00ED7439">
          <w:rPr>
            <w:color w:val="0000FF"/>
            <w:u w:val="single"/>
            <w:rtl/>
          </w:rPr>
          <w:t>חוק העונשין</w:t>
        </w:r>
      </w:hyperlink>
      <w:r>
        <w:rPr>
          <w:rFonts w:hint="cs"/>
          <w:rtl/>
        </w:rPr>
        <w:t>"</w:t>
      </w:r>
    </w:p>
    <w:p w14:paraId="32D82E90" w14:textId="77777777" w:rsidR="00484725" w:rsidRDefault="00484725" w:rsidP="00484725">
      <w:pPr>
        <w:pStyle w:val="ab"/>
        <w:rPr>
          <w:b/>
          <w:bCs/>
          <w:rtl/>
        </w:rPr>
      </w:pPr>
      <w:r>
        <w:rPr>
          <w:rFonts w:hint="cs"/>
          <w:b/>
          <w:bCs/>
          <w:rtl/>
        </w:rPr>
        <w:t>דברים אלה מקבלים משנה תוקף במקרה הנדון נוכח החזקת מספר סוגי סמים, לרבות סמים 'קשים' בכמויות בלתי מבוטלות, לצד משקלים אלקטרונים ושקיות חלוקה.</w:t>
      </w:r>
    </w:p>
    <w:p w14:paraId="2A7F2919" w14:textId="77777777" w:rsidR="00484725" w:rsidRDefault="00484725" w:rsidP="00484725">
      <w:pPr>
        <w:pStyle w:val="a"/>
        <w:tabs>
          <w:tab w:val="clear" w:pos="360"/>
          <w:tab w:val="clear" w:pos="1440"/>
          <w:tab w:val="num" w:pos="643"/>
          <w:tab w:val="num" w:pos="2911"/>
        </w:tabs>
        <w:ind w:left="643" w:hanging="360"/>
        <w:rPr>
          <w:rtl/>
        </w:rPr>
      </w:pPr>
      <w:r>
        <w:rPr>
          <w:rFonts w:hint="cs"/>
          <w:rtl/>
        </w:rPr>
        <w:t>אשר למדיניות ענישה בהחזקת של סמים מגוונים, ברי כי מטבע הדברים קיים קושי במציאת מקרים דומים עם אותם סוגי סמים, כפי שבאו לידי ביטוי במקרה שבפניי ומשכך יש צורך לבצע מלאכת הקשה גם מסוגי סמים אחרים.</w:t>
      </w:r>
    </w:p>
    <w:p w14:paraId="6B58754D" w14:textId="77777777" w:rsidR="00484725" w:rsidRDefault="00ED7439" w:rsidP="00484725">
      <w:pPr>
        <w:pStyle w:val="a0"/>
        <w:numPr>
          <w:ilvl w:val="0"/>
          <w:numId w:val="5"/>
        </w:numPr>
      </w:pPr>
      <w:hyperlink r:id="rId24" w:history="1">
        <w:r w:rsidRPr="00ED7439">
          <w:rPr>
            <w:color w:val="0000FF"/>
            <w:u w:val="single"/>
            <w:rtl/>
          </w:rPr>
          <w:t>ע"פ 9910/17</w:t>
        </w:r>
      </w:hyperlink>
      <w:r w:rsidR="00484725">
        <w:rPr>
          <w:rFonts w:hint="cs"/>
          <w:rtl/>
        </w:rPr>
        <w:t xml:space="preserve"> אלבטינה גריפולינה נ' מדינת ישראל (נבו 3.5.2018)</w:t>
      </w:r>
    </w:p>
    <w:p w14:paraId="3B990747" w14:textId="77777777" w:rsidR="00484725" w:rsidRDefault="00484725" w:rsidP="00484725">
      <w:pPr>
        <w:pStyle w:val="-"/>
        <w:rPr>
          <w:rtl/>
        </w:rPr>
      </w:pPr>
      <w:r>
        <w:rPr>
          <w:rFonts w:hint="cs"/>
          <w:rtl/>
        </w:rPr>
        <w:t xml:space="preserve">הנאשם הורשע על פי הודאתו בהחזקת 21 גרם קוקאין ו-3 גרם חשיש בביתו. </w:t>
      </w:r>
      <w:r>
        <w:rPr>
          <w:rFonts w:hint="cs"/>
          <w:b/>
          <w:bCs/>
          <w:rtl/>
        </w:rPr>
        <w:t>המתחם שנקבע נע בין 15 ל-36 חודשי מאסר</w:t>
      </w:r>
      <w:r>
        <w:rPr>
          <w:rFonts w:hint="cs"/>
          <w:rtl/>
        </w:rPr>
        <w:t>. נוכח עבר פלילי מכביד, נדון הנאשם ל-24 חודשי מאסר. בדחותו את הערעור, קבע בית-המשפט העליון:</w:t>
      </w:r>
    </w:p>
    <w:p w14:paraId="78B915D1" w14:textId="77777777" w:rsidR="00484725" w:rsidRDefault="00484725" w:rsidP="00484725">
      <w:pPr>
        <w:pStyle w:val="ad"/>
        <w:rPr>
          <w:rtl/>
        </w:rPr>
      </w:pPr>
      <w:r>
        <w:rPr>
          <w:rFonts w:hint="cs"/>
          <w:rtl/>
        </w:rPr>
        <w:t>"בתי המשפט נקראים תדיר להחמרת הענישה בעבירות סמים, במיוחד בעבירות של החזקת סמים קשים שלא לצריכה עצמית. אנו שותפים לדברי בית המשפט כי מנעד הענישה הוא רחב והוא תלוי נסיבות במקרה הספציפי סוג הסם, כמות הסם, נסיבות ההחזקה ועוד. בהינתן כמויות הסמים וסוגם בענייננו – איננו סבורים כי מתחם הענישה שנקבע חמור יתר על המידה</w:t>
      </w:r>
      <w:r>
        <w:t>."</w:t>
      </w:r>
    </w:p>
    <w:p w14:paraId="6F86E9C2" w14:textId="77777777" w:rsidR="00484725" w:rsidRDefault="00ED7439" w:rsidP="00484725">
      <w:pPr>
        <w:pStyle w:val="a0"/>
        <w:numPr>
          <w:ilvl w:val="0"/>
          <w:numId w:val="3"/>
        </w:numPr>
        <w:ind w:left="1218"/>
        <w:rPr>
          <w:rtl/>
        </w:rPr>
      </w:pPr>
      <w:hyperlink r:id="rId25" w:history="1">
        <w:r w:rsidRPr="00ED7439">
          <w:rPr>
            <w:color w:val="0000FF"/>
            <w:u w:val="single"/>
            <w:rtl/>
          </w:rPr>
          <w:t>רע"פ 7572/12</w:t>
        </w:r>
      </w:hyperlink>
      <w:r w:rsidR="00484725">
        <w:rPr>
          <w:rFonts w:hint="cs"/>
          <w:rtl/>
        </w:rPr>
        <w:t xml:space="preserve"> </w:t>
      </w:r>
      <w:r w:rsidR="00484725">
        <w:rPr>
          <w:rFonts w:hint="cs"/>
          <w:b/>
          <w:bCs/>
          <w:rtl/>
        </w:rPr>
        <w:t>קמאל הזייל נ' מדינת ישראל</w:t>
      </w:r>
      <w:r w:rsidR="00484725">
        <w:rPr>
          <w:rFonts w:hint="cs"/>
          <w:rtl/>
        </w:rPr>
        <w:t xml:space="preserve"> (נבו 23.10.2012)</w:t>
      </w:r>
    </w:p>
    <w:p w14:paraId="25C2BAFA" w14:textId="77777777" w:rsidR="00484725" w:rsidRDefault="00484725" w:rsidP="00484725">
      <w:pPr>
        <w:pStyle w:val="-"/>
        <w:rPr>
          <w:rtl/>
        </w:rPr>
      </w:pPr>
      <w:r>
        <w:rPr>
          <w:rFonts w:hint="cs"/>
          <w:rtl/>
        </w:rPr>
        <w:t xml:space="preserve">הנאשם הורשע לאחר ניהול הוכחות בעבירת החזקת סם שלא לצריכה עצמית והפרעה לשוטר, בכך שהחזיק בסם מסוג הרואין במשקל כולל של כ-5.3 גרם ומשהבחין בשוטר, השליך הסם ופתח במנוסה. </w:t>
      </w:r>
      <w:r>
        <w:rPr>
          <w:rFonts w:hint="cs"/>
          <w:b/>
          <w:bCs/>
          <w:rtl/>
        </w:rPr>
        <w:t>נוכח עבר פלילי, נגזרו על הנאשם 12 חודשי מאסר</w:t>
      </w:r>
      <w:r>
        <w:rPr>
          <w:rFonts w:hint="cs"/>
          <w:rtl/>
        </w:rPr>
        <w:t>. גזר הדין בערכאה הדיונית ניתן עובר לכניסת תיקון 113 לתוקף. הן הערעור והן בקשת הרשות נדחו.</w:t>
      </w:r>
    </w:p>
    <w:p w14:paraId="3A8BDA45" w14:textId="77777777" w:rsidR="00484725" w:rsidRDefault="00ED7439" w:rsidP="00484725">
      <w:pPr>
        <w:pStyle w:val="a0"/>
        <w:numPr>
          <w:ilvl w:val="0"/>
          <w:numId w:val="3"/>
        </w:numPr>
        <w:ind w:left="1218"/>
        <w:rPr>
          <w:rtl/>
        </w:rPr>
      </w:pPr>
      <w:hyperlink r:id="rId26" w:history="1">
        <w:r w:rsidRPr="00ED7439">
          <w:rPr>
            <w:color w:val="0000FF"/>
            <w:u w:val="single"/>
            <w:rtl/>
          </w:rPr>
          <w:t>רע"פ 1122/17</w:t>
        </w:r>
      </w:hyperlink>
      <w:r w:rsidR="00484725">
        <w:rPr>
          <w:rFonts w:hint="cs"/>
          <w:rtl/>
        </w:rPr>
        <w:t xml:space="preserve"> </w:t>
      </w:r>
      <w:r w:rsidR="00484725">
        <w:rPr>
          <w:rFonts w:hint="cs"/>
          <w:b/>
          <w:bCs/>
          <w:rtl/>
        </w:rPr>
        <w:t>אלון גולדשטיין נ' מדינת ישראל</w:t>
      </w:r>
      <w:r w:rsidR="00484725">
        <w:rPr>
          <w:rFonts w:hint="cs"/>
          <w:rtl/>
        </w:rPr>
        <w:t xml:space="preserve"> (נבו)</w:t>
      </w:r>
    </w:p>
    <w:p w14:paraId="22414D8E" w14:textId="77777777" w:rsidR="00484725" w:rsidRDefault="00484725" w:rsidP="00484725">
      <w:pPr>
        <w:pStyle w:val="-"/>
        <w:rPr>
          <w:rtl/>
        </w:rPr>
      </w:pPr>
      <w:r>
        <w:rPr>
          <w:rFonts w:hint="cs"/>
          <w:rtl/>
        </w:rPr>
        <w:t xml:space="preserve">הנאשם הורשע בעבירות של החזקת סמים שלא לצריכה עצמית , 5.5 ג' </w:t>
      </w:r>
      <w:r>
        <w:t>MDMA</w:t>
      </w:r>
      <w:r>
        <w:rPr>
          <w:rFonts w:hint="cs"/>
          <w:rtl/>
        </w:rPr>
        <w:t xml:space="preserve"> ו – 13.3. ג' קוקאין, ושל נהיגה תחת השפעה (לפי הסעיף שבתקנות – יב"ד). ביהמ"ש המחוזי , בקבלו את ערעור המדינה קבע בית המשפט המחוזי </w:t>
      </w:r>
      <w:r>
        <w:rPr>
          <w:rFonts w:hint="cs"/>
          <w:b/>
          <w:bCs/>
          <w:rtl/>
        </w:rPr>
        <w:t>מתחם הנע בין 10 חודשים לבין 24 חודשי מאסר בפועל</w:t>
      </w:r>
      <w:r>
        <w:rPr>
          <w:rFonts w:hint="cs"/>
          <w:rtl/>
        </w:rPr>
        <w:t>. הנאשם נדון ל -10 חודשי מאסר בפועל.</w:t>
      </w:r>
    </w:p>
    <w:p w14:paraId="3E48F4D0" w14:textId="77777777" w:rsidR="00484725" w:rsidRDefault="00ED7439" w:rsidP="00484725">
      <w:pPr>
        <w:pStyle w:val="a0"/>
        <w:numPr>
          <w:ilvl w:val="0"/>
          <w:numId w:val="3"/>
        </w:numPr>
        <w:ind w:left="1218"/>
        <w:rPr>
          <w:rtl/>
        </w:rPr>
      </w:pPr>
      <w:hyperlink r:id="rId27" w:history="1">
        <w:r w:rsidRPr="00ED7439">
          <w:rPr>
            <w:color w:val="0000FF"/>
            <w:u w:val="single"/>
            <w:rtl/>
          </w:rPr>
          <w:t>עפ"ג (מחוזי ת"א) 6761-02-15</w:t>
        </w:r>
      </w:hyperlink>
      <w:r w:rsidR="00484725">
        <w:rPr>
          <w:rFonts w:hint="cs"/>
          <w:rtl/>
        </w:rPr>
        <w:t xml:space="preserve"> </w:t>
      </w:r>
      <w:r w:rsidR="00484725">
        <w:rPr>
          <w:rFonts w:hint="cs"/>
          <w:b/>
          <w:bCs/>
          <w:rtl/>
        </w:rPr>
        <w:t>יאיר כהן נ' מדינת ישראל</w:t>
      </w:r>
      <w:r w:rsidR="00484725">
        <w:rPr>
          <w:rFonts w:hint="cs"/>
          <w:rtl/>
        </w:rPr>
        <w:t xml:space="preserve"> (לא פורסם 29.04.2015)</w:t>
      </w:r>
    </w:p>
    <w:p w14:paraId="0FE49A32" w14:textId="77777777" w:rsidR="00484725" w:rsidRDefault="00484725" w:rsidP="00484725">
      <w:pPr>
        <w:pStyle w:val="-"/>
        <w:rPr>
          <w:rtl/>
        </w:rPr>
      </w:pPr>
      <w:r>
        <w:rPr>
          <w:rFonts w:hint="cs"/>
          <w:rtl/>
        </w:rPr>
        <w:t xml:space="preserve">הנאשם הורשע על פי הודאתו בעבירת החזקת סמים וכלים שלא לצריכה עצמית שלא לצריכה עצמית בכך שהחזיק 4.9 גרם קוקאין ומשקל אלקטרוני. </w:t>
      </w:r>
      <w:r>
        <w:rPr>
          <w:rFonts w:hint="cs"/>
          <w:b/>
          <w:bCs/>
          <w:rtl/>
        </w:rPr>
        <w:t>בית-משפט השלום אימץ את מתחם התביעה: בין 8 ל-18 חודשי מאסר</w:t>
      </w:r>
      <w:r>
        <w:rPr>
          <w:rFonts w:hint="cs"/>
          <w:rtl/>
        </w:rPr>
        <w:t>. בשל עבר פלילי מכביד נגזרו על הנאשם 14 חודשי מאסר לצד רכיבי ענישה נוספים. הערעור לבית-המשפט נדחה בהמלצת בית-המשפט, למעט התערבות בתקופת הפסילה.</w:t>
      </w:r>
    </w:p>
    <w:p w14:paraId="4FFC2058" w14:textId="77777777" w:rsidR="00484725" w:rsidRDefault="00ED7439" w:rsidP="00484725">
      <w:pPr>
        <w:pStyle w:val="a0"/>
        <w:numPr>
          <w:ilvl w:val="0"/>
          <w:numId w:val="3"/>
        </w:numPr>
        <w:ind w:left="1218"/>
        <w:rPr>
          <w:rtl/>
        </w:rPr>
      </w:pPr>
      <w:hyperlink r:id="rId28" w:history="1">
        <w:r w:rsidRPr="00ED7439">
          <w:rPr>
            <w:color w:val="0000FF"/>
            <w:u w:val="single"/>
            <w:rtl/>
          </w:rPr>
          <w:t>ת"פ (שלום ב"ש) 12194-06-23</w:t>
        </w:r>
      </w:hyperlink>
      <w:r w:rsidR="00484725">
        <w:rPr>
          <w:rFonts w:hint="cs"/>
          <w:rtl/>
        </w:rPr>
        <w:t xml:space="preserve"> </w:t>
      </w:r>
      <w:r w:rsidR="00484725">
        <w:rPr>
          <w:rFonts w:hint="cs"/>
          <w:b/>
          <w:bCs/>
          <w:rtl/>
        </w:rPr>
        <w:t>מדינת ישראל נ' אליעזר מלסה</w:t>
      </w:r>
      <w:r w:rsidR="00484725">
        <w:rPr>
          <w:rFonts w:hint="cs"/>
          <w:rtl/>
        </w:rPr>
        <w:t xml:space="preserve"> (נבו 4.4.2024)</w:t>
      </w:r>
    </w:p>
    <w:p w14:paraId="1671A1F1" w14:textId="77777777" w:rsidR="00484725" w:rsidRDefault="00484725" w:rsidP="00484725">
      <w:pPr>
        <w:pStyle w:val="-"/>
        <w:rPr>
          <w:rtl/>
        </w:rPr>
      </w:pPr>
      <w:r>
        <w:rPr>
          <w:rFonts w:hint="cs"/>
          <w:rtl/>
        </w:rPr>
        <w:t xml:space="preserve">הנאשם הורשע על פי הודאתו בעבירות של הפרעה לשוטר, החזקת כלים וסמים שלא לצריכה עצמית לפי הפירוט הבא: </w:t>
      </w:r>
      <w:r>
        <w:t>MMC</w:t>
      </w:r>
      <w:r>
        <w:rPr>
          <w:rFonts w:hint="cs"/>
          <w:rtl/>
        </w:rPr>
        <w:t xml:space="preserve"> במשקל 24 גרם, </w:t>
      </w:r>
      <w:r>
        <w:t>MDMA KETAMINE</w:t>
      </w:r>
      <w:r>
        <w:rPr>
          <w:rFonts w:hint="cs"/>
          <w:rtl/>
        </w:rPr>
        <w:t xml:space="preserve"> במשקל 5 גרם, </w:t>
      </w:r>
      <w:r>
        <w:t>KETAMINE</w:t>
      </w:r>
      <w:r>
        <w:rPr>
          <w:rFonts w:hint="cs"/>
          <w:rtl/>
        </w:rPr>
        <w:t xml:space="preserve"> במשקל 9 גרם, קוקאין במשקל 1.8 גרם, עשרות כלי אידוי של סם </w:t>
      </w:r>
      <w:r>
        <w:t>DELTA</w:t>
      </w:r>
      <w:r>
        <w:rPr>
          <w:rFonts w:hint="cs"/>
          <w:rtl/>
        </w:rPr>
        <w:t xml:space="preserve">9 וקנביס במשקל 1.8 גרם. </w:t>
      </w:r>
      <w:r>
        <w:rPr>
          <w:rFonts w:hint="cs"/>
          <w:b/>
          <w:bCs/>
          <w:rtl/>
        </w:rPr>
        <w:t>המתחם שנקבע נע בין 28 ל-60 חודשי מאסר</w:t>
      </w:r>
      <w:r>
        <w:rPr>
          <w:rFonts w:hint="cs"/>
          <w:rtl/>
        </w:rPr>
        <w:t xml:space="preserve">. בשל מכלול נסיבות מקלות, נדון הנאשם ל-28 חודשי מאסר. </w:t>
      </w:r>
    </w:p>
    <w:p w14:paraId="205E6974" w14:textId="77777777" w:rsidR="00484725" w:rsidRDefault="00ED7439" w:rsidP="00484725">
      <w:pPr>
        <w:pStyle w:val="a0"/>
        <w:numPr>
          <w:ilvl w:val="0"/>
          <w:numId w:val="3"/>
        </w:numPr>
        <w:ind w:left="1218"/>
        <w:rPr>
          <w:rtl/>
        </w:rPr>
      </w:pPr>
      <w:hyperlink r:id="rId29" w:history="1">
        <w:r w:rsidRPr="00ED7439">
          <w:rPr>
            <w:color w:val="0000FF"/>
            <w:u w:val="single"/>
            <w:rtl/>
          </w:rPr>
          <w:t>ת"פ (שלום ב"ש) 51953-01-23</w:t>
        </w:r>
      </w:hyperlink>
      <w:r w:rsidR="00484725">
        <w:rPr>
          <w:rFonts w:hint="cs"/>
          <w:rtl/>
        </w:rPr>
        <w:t xml:space="preserve"> </w:t>
      </w:r>
      <w:r w:rsidR="00484725">
        <w:rPr>
          <w:rFonts w:hint="cs"/>
          <w:b/>
          <w:bCs/>
          <w:rtl/>
        </w:rPr>
        <w:t>מדינת ישראל נ' יפרח</w:t>
      </w:r>
      <w:r w:rsidR="00484725">
        <w:rPr>
          <w:rFonts w:hint="cs"/>
          <w:rtl/>
        </w:rPr>
        <w:t xml:space="preserve"> (נבו 18.7.2023) </w:t>
      </w:r>
    </w:p>
    <w:p w14:paraId="610044E1" w14:textId="77777777" w:rsidR="00484725" w:rsidRDefault="00484725" w:rsidP="00484725">
      <w:pPr>
        <w:pStyle w:val="-"/>
      </w:pPr>
      <w:r>
        <w:rPr>
          <w:rFonts w:hint="cs"/>
          <w:rtl/>
        </w:rPr>
        <w:t xml:space="preserve">הנאשם הורשע על פי הודאתו בעבירות של החזקת סם מסוג קוקאין במשקל של  9.89 גרם שלא לצריכה עצמית והסתייעות ברכב לביצוע פשע. </w:t>
      </w:r>
      <w:r>
        <w:rPr>
          <w:rFonts w:hint="cs"/>
          <w:b/>
          <w:bCs/>
          <w:rtl/>
        </w:rPr>
        <w:t>המתחם שנקבע נע בין 12 ל-24 חודשי מאסר</w:t>
      </w:r>
      <w:r>
        <w:rPr>
          <w:rFonts w:hint="cs"/>
          <w:rtl/>
        </w:rPr>
        <w:t>. בשל נסיבות מקלות, לרבות עבר פלילי אשר התיישן, נדון הנאשם ל-12 חודשי מאסר.</w:t>
      </w:r>
    </w:p>
    <w:p w14:paraId="625F5F5A" w14:textId="77777777" w:rsidR="00484725" w:rsidRDefault="00ED7439" w:rsidP="00484725">
      <w:pPr>
        <w:pStyle w:val="a0"/>
        <w:numPr>
          <w:ilvl w:val="0"/>
          <w:numId w:val="3"/>
        </w:numPr>
        <w:ind w:left="1218"/>
        <w:rPr>
          <w:rtl/>
        </w:rPr>
      </w:pPr>
      <w:hyperlink r:id="rId30" w:history="1">
        <w:r w:rsidRPr="00ED7439">
          <w:rPr>
            <w:color w:val="0000FF"/>
            <w:u w:val="single"/>
            <w:rtl/>
          </w:rPr>
          <w:t>ת"פ (שלום ב"ש) 44503-01-23</w:t>
        </w:r>
      </w:hyperlink>
      <w:r w:rsidR="00484725">
        <w:rPr>
          <w:rFonts w:hint="cs"/>
          <w:rtl/>
        </w:rPr>
        <w:t xml:space="preserve"> </w:t>
      </w:r>
      <w:r w:rsidR="00484725">
        <w:rPr>
          <w:rFonts w:hint="cs"/>
          <w:b/>
          <w:bCs/>
          <w:rtl/>
        </w:rPr>
        <w:t>מדינת ישראל נ' רוני שומוב</w:t>
      </w:r>
      <w:r w:rsidR="00484725">
        <w:rPr>
          <w:rFonts w:hint="cs"/>
          <w:rtl/>
        </w:rPr>
        <w:t xml:space="preserve"> (נבו 31.5.2023)</w:t>
      </w:r>
    </w:p>
    <w:p w14:paraId="7FD9E3F2" w14:textId="77777777" w:rsidR="00484725" w:rsidRDefault="00484725" w:rsidP="00484725">
      <w:pPr>
        <w:pStyle w:val="-"/>
        <w:rPr>
          <w:rtl/>
        </w:rPr>
      </w:pPr>
      <w:r>
        <w:rPr>
          <w:rFonts w:hint="cs"/>
          <w:rtl/>
        </w:rPr>
        <w:t xml:space="preserve">הנאשם הורשע על פי הודאתו בהחזקת 4.2 גרם סם מסוג </w:t>
      </w:r>
      <w:r>
        <w:t>MMC</w:t>
      </w:r>
      <w:r>
        <w:rPr>
          <w:rtl/>
        </w:rPr>
        <w:t xml:space="preserve"> </w:t>
      </w:r>
      <w:r>
        <w:rPr>
          <w:rFonts w:hint="cs"/>
          <w:rtl/>
        </w:rPr>
        <w:t>שלא לצריכה עצמית.</w:t>
      </w:r>
      <w:r>
        <w:rPr>
          <w:rFonts w:hint="cs"/>
          <w:b/>
          <w:bCs/>
          <w:rtl/>
        </w:rPr>
        <w:t xml:space="preserve"> המתחם שנקבע נע בין 8 ל-16 חודשי מאסר</w:t>
      </w:r>
      <w:r>
        <w:rPr>
          <w:rFonts w:hint="cs"/>
          <w:rtl/>
        </w:rPr>
        <w:t>. הנאשם, בעל עבר פלילי, נדון ל-9 חודשי מאסר בפועל.</w:t>
      </w:r>
    </w:p>
    <w:p w14:paraId="650ABC77" w14:textId="77777777" w:rsidR="00484725" w:rsidRDefault="00484725" w:rsidP="00484725">
      <w:pPr>
        <w:pStyle w:val="a"/>
        <w:tabs>
          <w:tab w:val="clear" w:pos="360"/>
          <w:tab w:val="num" w:pos="643"/>
        </w:tabs>
        <w:ind w:left="651" w:hanging="425"/>
        <w:rPr>
          <w:rtl/>
        </w:rPr>
      </w:pPr>
      <w:r>
        <w:rPr>
          <w:rFonts w:hint="cs"/>
          <w:rtl/>
        </w:rPr>
        <w:t xml:space="preserve">יש לזכור כי מדיניות הענישה הנהוגה הינה אך חלק ממכלול השיקולים הנשקלים בבואו של בית-המשפט לקבוע את מתחם העונש ההולם, זאת לצד </w:t>
      </w:r>
      <w:r w:rsidRPr="003D400E">
        <w:rPr>
          <w:rFonts w:hint="cs"/>
          <w:b/>
          <w:bCs/>
          <w:rtl/>
        </w:rPr>
        <w:t>מידת</w:t>
      </w:r>
      <w:r>
        <w:rPr>
          <w:rFonts w:hint="cs"/>
          <w:rtl/>
        </w:rPr>
        <w:t xml:space="preserve"> הפגיעה בערכים החברתיים המוגנים </w:t>
      </w:r>
      <w:r>
        <w:rPr>
          <w:rFonts w:hint="cs"/>
          <w:b/>
          <w:bCs/>
          <w:rtl/>
        </w:rPr>
        <w:t xml:space="preserve">ונסיבות </w:t>
      </w:r>
      <w:r>
        <w:rPr>
          <w:rFonts w:hint="cs"/>
          <w:rtl/>
        </w:rPr>
        <w:t>הקשורות בביצוע העבירה.</w:t>
      </w:r>
    </w:p>
    <w:p w14:paraId="67ECFD51" w14:textId="77777777" w:rsidR="00484725" w:rsidRDefault="00484725" w:rsidP="00484725">
      <w:pPr>
        <w:pStyle w:val="a"/>
        <w:tabs>
          <w:tab w:val="clear" w:pos="360"/>
          <w:tab w:val="num" w:pos="643"/>
        </w:tabs>
        <w:ind w:left="651" w:hanging="425"/>
        <w:rPr>
          <w:rtl/>
        </w:rPr>
      </w:pPr>
      <w:r>
        <w:rPr>
          <w:rFonts w:hint="cs"/>
          <w:rtl/>
        </w:rPr>
        <w:t>בבחינת נסיבות הקשורות בביצוע העבירה (</w:t>
      </w:r>
      <w:hyperlink r:id="rId31" w:history="1">
        <w:r w:rsidR="00586502" w:rsidRPr="00586502">
          <w:rPr>
            <w:rStyle w:val="Hyperlink"/>
            <w:rFonts w:hint="eastAsia"/>
            <w:color w:val="0000FF"/>
            <w:rtl/>
          </w:rPr>
          <w:t>סעיף</w:t>
        </w:r>
        <w:r w:rsidR="00586502" w:rsidRPr="00586502">
          <w:rPr>
            <w:rStyle w:val="Hyperlink"/>
            <w:color w:val="0000FF"/>
            <w:rtl/>
          </w:rPr>
          <w:t xml:space="preserve"> 40ט</w:t>
        </w:r>
      </w:hyperlink>
      <w:r>
        <w:rPr>
          <w:rFonts w:hint="cs"/>
          <w:rtl/>
        </w:rPr>
        <w:t xml:space="preserve"> ל</w:t>
      </w:r>
      <w:hyperlink r:id="rId32" w:history="1">
        <w:r w:rsidR="00ED7439" w:rsidRPr="00ED7439">
          <w:rPr>
            <w:color w:val="0000FF"/>
            <w:u w:val="single"/>
            <w:rtl/>
          </w:rPr>
          <w:t>חוק העונשין</w:t>
        </w:r>
      </w:hyperlink>
      <w:r>
        <w:rPr>
          <w:rFonts w:hint="cs"/>
          <w:rtl/>
        </w:rPr>
        <w:t>) נשקלו הבאים:</w:t>
      </w:r>
    </w:p>
    <w:p w14:paraId="09BEEF56" w14:textId="77777777" w:rsidR="00484725" w:rsidRDefault="00484725" w:rsidP="00484725">
      <w:pPr>
        <w:pStyle w:val="ab"/>
        <w:rPr>
          <w:rtl/>
        </w:rPr>
      </w:pPr>
      <w:r>
        <w:rPr>
          <w:rFonts w:hint="cs"/>
          <w:u w:val="single"/>
          <w:rtl/>
        </w:rPr>
        <w:t>הנזק ופוטנציאל הנזק מביצוע העבירה</w:t>
      </w:r>
      <w:r>
        <w:rPr>
          <w:rFonts w:hint="cs"/>
          <w:rtl/>
        </w:rPr>
        <w:t>: רכיבים אלו נגזרים בראש ובראשונה מסוג וכמות הסם אותם החזיק הנאשם שלא לצריכתו העצמית. עסקינן בהחזקת כמות גדולה יחסית של סמים הנחשבים ל'קשים', אשר היו עלולים היו להגיע לעשרות צרכנים, לרבות לצרכנים "חדשים" וצעירים. החזקת שקיות חלוקה שקופות ומשקלים אלקטרוניים לצד הסמים מלמדת אף היא על "מגמת הפצה" ופוטנציאל נזק ממשי.</w:t>
      </w:r>
    </w:p>
    <w:p w14:paraId="7CF060B9" w14:textId="77777777" w:rsidR="00484725" w:rsidRDefault="00484725" w:rsidP="00484725">
      <w:pPr>
        <w:pStyle w:val="ab"/>
        <w:rPr>
          <w:rtl/>
        </w:rPr>
      </w:pPr>
    </w:p>
    <w:p w14:paraId="2CBB9909" w14:textId="77777777" w:rsidR="00484725" w:rsidRDefault="00484725" w:rsidP="00484725">
      <w:pPr>
        <w:pStyle w:val="ab"/>
        <w:rPr>
          <w:rtl/>
        </w:rPr>
      </w:pPr>
    </w:p>
    <w:p w14:paraId="33EAC39D" w14:textId="77777777" w:rsidR="00484725" w:rsidRDefault="00484725" w:rsidP="00484725">
      <w:pPr>
        <w:pStyle w:val="ab"/>
        <w:rPr>
          <w:rtl/>
        </w:rPr>
      </w:pPr>
      <w:r>
        <w:rPr>
          <w:rFonts w:hint="cs"/>
          <w:rtl/>
        </w:rPr>
        <w:t>הנאשם החזיק ב-11 גרם של סם מסוג -</w:t>
      </w:r>
      <w:r>
        <w:t xml:space="preserve">MMC </w:t>
      </w:r>
      <w:r>
        <w:rPr>
          <w:b/>
          <w:bCs/>
          <w:rtl/>
        </w:rPr>
        <w:t xml:space="preserve"> </w:t>
      </w:r>
      <w:r>
        <w:rPr>
          <w:rFonts w:hint="cs"/>
          <w:rtl/>
        </w:rPr>
        <w:t>:</w:t>
      </w:r>
    </w:p>
    <w:p w14:paraId="505F339A" w14:textId="77777777" w:rsidR="00484725" w:rsidRDefault="00484725" w:rsidP="00484725">
      <w:pPr>
        <w:pStyle w:val="ab"/>
        <w:rPr>
          <w:rtl/>
        </w:rPr>
      </w:pPr>
      <w:r>
        <w:rPr>
          <w:rFonts w:hint="cs"/>
          <w:rtl/>
        </w:rPr>
        <w:t xml:space="preserve"> על פי מסמך </w:t>
      </w:r>
      <w:r>
        <w:rPr>
          <w:rFonts w:hint="cs"/>
          <w:b/>
          <w:bCs/>
          <w:rtl/>
        </w:rPr>
        <w:t>ת/1</w:t>
      </w:r>
      <w:r>
        <w:rPr>
          <w:rFonts w:hint="cs"/>
          <w:rtl/>
        </w:rPr>
        <w:t xml:space="preserve"> מינון הסם נע בין 75 מ"ג ל-250 מ"ג למנה – כך שמתוך 11 גרם </w:t>
      </w:r>
      <w:r>
        <w:t>MMC</w:t>
      </w:r>
      <w:r>
        <w:rPr>
          <w:rFonts w:hint="cs"/>
          <w:rtl/>
        </w:rPr>
        <w:t xml:space="preserve"> ניתן ליצור עשרות רבות של מנות סם. סם זה מושווה בהשפעותיו לסם ה-</w:t>
      </w:r>
      <w:r>
        <w:t>MDMA</w:t>
      </w:r>
      <w:r>
        <w:rPr>
          <w:rFonts w:hint="cs"/>
          <w:rtl/>
        </w:rPr>
        <w:t xml:space="preserve"> וסמים ממריצים אחרים. ודוק: </w:t>
      </w:r>
    </w:p>
    <w:p w14:paraId="6F4B856A" w14:textId="77777777" w:rsidR="00484725" w:rsidRDefault="00484725" w:rsidP="00484725">
      <w:pPr>
        <w:pStyle w:val="ad"/>
        <w:rPr>
          <w:rtl/>
        </w:rPr>
      </w:pPr>
      <w:r>
        <w:rPr>
          <w:rFonts w:hint="cs"/>
          <w:rtl/>
        </w:rPr>
        <w:t>"בדומה לסמים ממריצים ממכרים אחרים ידועים, סכנתו של מתילמתקאתינון לבריאות הציבור ברורה לאור הפרופיל הפרמקולוגי שלו, הכולל תופעות לוואי רבות ומסכנות חיים, ביניהם הזעה, דפיקות לב, בחילה, הקאה, יתר לחץ דם, טכיקרדיה, אגיטציה, פרכוסים, רפלקסים מוגברים, תלות, שינויים בתפיסת המציאות, הזיות, איבוד תיאבון, רעד, יובש בפה, ראיה מטושטשת, חרדה, בלבול, מניה קצרת טווח, דלוזיות פרנואידיות, נדודי שינה, עייפות מנטלית, סיוטי לילה, בעיות נשימה, התכווצות כלי דם היקפיים, הפרע בתפיסת הזמן ופסיכוזה"</w:t>
      </w:r>
      <w:r>
        <w:rPr>
          <w:rFonts w:hint="cs"/>
          <w:i w:val="0"/>
          <w:iCs w:val="0"/>
          <w:rtl/>
        </w:rPr>
        <w:t xml:space="preserve"> (</w:t>
      </w:r>
      <w:r>
        <w:rPr>
          <w:rFonts w:hint="cs"/>
          <w:b/>
          <w:bCs/>
          <w:i w:val="0"/>
          <w:iCs w:val="0"/>
          <w:rtl/>
        </w:rPr>
        <w:t>ת/1</w:t>
      </w:r>
      <w:r>
        <w:rPr>
          <w:rFonts w:hint="cs"/>
          <w:i w:val="0"/>
          <w:iCs w:val="0"/>
          <w:rtl/>
        </w:rPr>
        <w:t xml:space="preserve">). </w:t>
      </w:r>
    </w:p>
    <w:p w14:paraId="3F4A37FB" w14:textId="77777777" w:rsidR="00484725" w:rsidRDefault="00484725" w:rsidP="00484725">
      <w:pPr>
        <w:pStyle w:val="ab"/>
        <w:rPr>
          <w:rtl/>
        </w:rPr>
      </w:pPr>
      <w:r>
        <w:rPr>
          <w:rFonts w:hint="cs"/>
          <w:rtl/>
        </w:rPr>
        <w:t xml:space="preserve">הנאשם החזיק ב- 20 ג' של סם מסוג </w:t>
      </w:r>
      <w:r>
        <w:t>MDMA KETAMINE</w:t>
      </w:r>
      <w:r>
        <w:rPr>
          <w:rFonts w:hint="cs"/>
          <w:rtl/>
        </w:rPr>
        <w:t xml:space="preserve"> :</w:t>
      </w:r>
    </w:p>
    <w:p w14:paraId="1D52776B" w14:textId="77777777" w:rsidR="00484725" w:rsidRDefault="00484725" w:rsidP="00484725">
      <w:pPr>
        <w:pStyle w:val="ab"/>
        <w:rPr>
          <w:rtl/>
        </w:rPr>
      </w:pPr>
      <w:r>
        <w:rPr>
          <w:rFonts w:hint="cs"/>
          <w:rtl/>
        </w:rPr>
        <w:t xml:space="preserve"> מדובר בתערובת של הסם </w:t>
      </w:r>
      <w:r>
        <w:t>MDMA</w:t>
      </w:r>
      <w:r>
        <w:rPr>
          <w:rFonts w:hint="cs"/>
          <w:rtl/>
        </w:rPr>
        <w:t xml:space="preserve"> ביחד עם סם </w:t>
      </w:r>
      <w:r>
        <w:rPr>
          <w:rFonts w:hint="cs"/>
        </w:rPr>
        <w:t xml:space="preserve"> </w:t>
      </w:r>
      <w:r>
        <w:rPr>
          <w:rFonts w:hint="cs"/>
          <w:rtl/>
        </w:rPr>
        <w:t xml:space="preserve">מסוג </w:t>
      </w:r>
      <w:r>
        <w:t>KETAMINE</w:t>
      </w:r>
      <w:r>
        <w:rPr>
          <w:rFonts w:hint="cs"/>
          <w:rtl/>
        </w:rPr>
        <w:t xml:space="preserve"> [נראה כי מדובר בתערובת יחסית חדשה, אשר מכונה גם בשם "דוסה" ר' למשל </w:t>
      </w:r>
      <w:hyperlink r:id="rId33" w:history="1">
        <w:r w:rsidR="00ED7439" w:rsidRPr="00ED7439">
          <w:rPr>
            <w:color w:val="0000FF"/>
            <w:u w:val="single"/>
            <w:rtl/>
          </w:rPr>
          <w:t>ת"פ (חיפה) 16800-01-24</w:t>
        </w:r>
      </w:hyperlink>
      <w:r>
        <w:rPr>
          <w:rFonts w:hint="cs"/>
          <w:rtl/>
        </w:rPr>
        <w:t xml:space="preserve"> </w:t>
      </w:r>
      <w:r>
        <w:rPr>
          <w:rFonts w:hint="cs"/>
          <w:b/>
          <w:bCs/>
          <w:rtl/>
        </w:rPr>
        <w:t>מ"י נ' ארביב</w:t>
      </w:r>
      <w:r>
        <w:rPr>
          <w:rFonts w:hint="cs"/>
          <w:rtl/>
        </w:rPr>
        <w:t xml:space="preserve"> (נבו 18.6.24)]. </w:t>
      </w:r>
    </w:p>
    <w:p w14:paraId="7FBC1889" w14:textId="77777777" w:rsidR="00484725" w:rsidRDefault="00484725" w:rsidP="00484725">
      <w:pPr>
        <w:pStyle w:val="ab"/>
        <w:rPr>
          <w:rtl/>
        </w:rPr>
      </w:pPr>
      <w:r>
        <w:rPr>
          <w:rFonts w:hint="cs"/>
          <w:rtl/>
        </w:rPr>
        <w:t xml:space="preserve">במסגרת </w:t>
      </w:r>
      <w:hyperlink r:id="rId34" w:history="1">
        <w:r w:rsidR="00ED7439" w:rsidRPr="00ED7439">
          <w:rPr>
            <w:color w:val="0000FF"/>
            <w:u w:val="single"/>
            <w:rtl/>
          </w:rPr>
          <w:t>ע"פ (מח' ב"ש) 11946-01-23</w:t>
        </w:r>
      </w:hyperlink>
      <w:r>
        <w:rPr>
          <w:rFonts w:hint="cs"/>
          <w:rtl/>
        </w:rPr>
        <w:t xml:space="preserve"> </w:t>
      </w:r>
      <w:r>
        <w:rPr>
          <w:rFonts w:hint="cs"/>
          <w:b/>
          <w:bCs/>
          <w:rtl/>
        </w:rPr>
        <w:t>אדוארד זיתון נ' מדינת ישראל</w:t>
      </w:r>
      <w:r>
        <w:rPr>
          <w:rFonts w:hint="cs"/>
          <w:rtl/>
        </w:rPr>
        <w:t xml:space="preserve"> (נבו 12.7.2023) הוגדר סם ה-</w:t>
      </w:r>
      <w:r>
        <w:t>MDMA</w:t>
      </w:r>
      <w:r>
        <w:rPr>
          <w:rFonts w:hint="cs"/>
          <w:rtl/>
        </w:rPr>
        <w:t xml:space="preserve">  כ"סם קשה" בדומה לסם הקוקאין:</w:t>
      </w:r>
    </w:p>
    <w:p w14:paraId="6E0649B6" w14:textId="77777777" w:rsidR="00484725" w:rsidRDefault="00484725" w:rsidP="00484725">
      <w:pPr>
        <w:pStyle w:val="ad"/>
        <w:rPr>
          <w:rtl/>
        </w:rPr>
      </w:pPr>
      <w:r>
        <w:rPr>
          <w:rFonts w:hint="cs"/>
          <w:rtl/>
        </w:rPr>
        <w:t xml:space="preserve"> "הקוקאין נמנה על קטגוריית הסמים הקשים. צריכתו משפיעה על מערכת העצבים המרכזית וההתמכרות לו היא מהחזקות ביותר. המשתמשים בו נוטים להגדיל את מנת הצריכה שלהם, דבר הגורם לתופעות פיזיולוגיות והתנהגותיות שליליות, והפסקת השימוש בו כרוכה בתהליך קשה במיוחד, כולל מקרים רבים של דיווח על תגובות היסטריות ופסיכוטיות. ...  </w:t>
      </w:r>
      <w:r>
        <w:rPr>
          <w:rFonts w:hint="cs"/>
          <w:b/>
          <w:bCs/>
          <w:rtl/>
        </w:rPr>
        <w:t>ה-</w:t>
      </w:r>
      <w:r>
        <w:rPr>
          <w:b/>
          <w:bCs/>
        </w:rPr>
        <w:t>MDMA</w:t>
      </w:r>
      <w:r>
        <w:rPr>
          <w:rFonts w:hint="cs"/>
          <w:b/>
          <w:bCs/>
          <w:rtl/>
        </w:rPr>
        <w:t>, או בשמו הידוע "אקסטזי", נמנה גם הוא על הסמים המסוכנים הקשים. וצריכתו עלולה לגרום לתופעות חמורות, פיזיות ונפשיות</w:t>
      </w:r>
      <w:r>
        <w:rPr>
          <w:rFonts w:hint="cs"/>
          <w:rtl/>
        </w:rPr>
        <w:t>. (ראה ת"פ 5775-02-18 מדינת ישראל נ' אלי תורג'מן (01.11.18)). גם ביחס לסם זה פקודת הסמים קובעת חזקה לפיה מי שמחזיק יותר מ-3 יחידות עושה זאת שלא לצריכתו העצמית."</w:t>
      </w:r>
      <w:r>
        <w:rPr>
          <w:rFonts w:hint="cs"/>
          <w:i w:val="0"/>
          <w:iCs w:val="0"/>
          <w:rtl/>
        </w:rPr>
        <w:t xml:space="preserve"> (הדגש לא במקור – יב"ד)</w:t>
      </w:r>
    </w:p>
    <w:p w14:paraId="0246B465" w14:textId="77777777" w:rsidR="00484725" w:rsidRDefault="00484725" w:rsidP="00484725">
      <w:pPr>
        <w:pStyle w:val="ab"/>
        <w:rPr>
          <w:rtl/>
        </w:rPr>
      </w:pPr>
      <w:r>
        <w:rPr>
          <w:rFonts w:hint="cs"/>
          <w:rtl/>
        </w:rPr>
        <w:t>בנסיבות החזקת כמויות גדולות של סמים 'קשים' לצד שקיות חלוקה שקופות ומשקלים, אין להקל ראש גם בהחזקת 50 ג' סמי הקנביס אשר הוחזקו על ידי הנאשם שלא לצריכתו העצמית. אשר לסוג סם זה, אשר נתפס לעיתים כסם קל, ר' ב</w:t>
      </w:r>
      <w:hyperlink r:id="rId35" w:history="1">
        <w:r w:rsidR="00ED7439" w:rsidRPr="00ED7439">
          <w:rPr>
            <w:color w:val="0000FF"/>
            <w:u w:val="single"/>
            <w:rtl/>
          </w:rPr>
          <w:t>עפ"ג (ב"ש) 10519-09-22</w:t>
        </w:r>
      </w:hyperlink>
      <w:r>
        <w:rPr>
          <w:rFonts w:hint="cs"/>
          <w:rtl/>
        </w:rPr>
        <w:t xml:space="preserve"> </w:t>
      </w:r>
      <w:r>
        <w:rPr>
          <w:rFonts w:hint="cs"/>
          <w:b/>
          <w:bCs/>
          <w:rtl/>
        </w:rPr>
        <w:t>מדינת ישראל נ' מיכאל סוויסה</w:t>
      </w:r>
      <w:r>
        <w:rPr>
          <w:rFonts w:hint="cs"/>
          <w:rtl/>
        </w:rPr>
        <w:t xml:space="preserve"> (2.4.2023):</w:t>
      </w:r>
    </w:p>
    <w:p w14:paraId="6D83421B" w14:textId="77777777" w:rsidR="00484725" w:rsidRDefault="00484725" w:rsidP="00484725">
      <w:pPr>
        <w:pStyle w:val="ad"/>
        <w:rPr>
          <w:rtl/>
        </w:rPr>
      </w:pPr>
      <w:r>
        <w:rPr>
          <w:rFonts w:hint="cs"/>
          <w:rtl/>
        </w:rPr>
        <w:t>"אשר לסוג הסם המסוכן – נזכיר כי המאבק בנגע הסמים מתייחס לכל סוגי הסמים המסוכנים, וכי לא אחת נקבע כי הצורך בענישה מחמירה ומרתיעה הינה לכל הסוגים, תוך הדגשה כי התייחסות לסמים מסוג זה כסמים קלים הינה "</w:t>
      </w:r>
      <w:r>
        <w:rPr>
          <w:rFonts w:hint="cs"/>
          <w:b/>
          <w:bCs/>
          <w:rtl/>
        </w:rPr>
        <w:t>תפיסה שגויה</w:t>
      </w:r>
      <w:r>
        <w:rPr>
          <w:rFonts w:hint="cs"/>
          <w:rtl/>
        </w:rPr>
        <w:t xml:space="preserve">". </w:t>
      </w:r>
      <w:r>
        <w:rPr>
          <w:rFonts w:hint="cs"/>
          <w:i w:val="0"/>
          <w:iCs w:val="0"/>
          <w:rtl/>
        </w:rPr>
        <w:t>(ההדגשה במקור – יב"ד)</w:t>
      </w:r>
    </w:p>
    <w:p w14:paraId="5F8C0796" w14:textId="77777777" w:rsidR="00484725" w:rsidRDefault="00484725" w:rsidP="00484725">
      <w:pPr>
        <w:pStyle w:val="ab"/>
        <w:ind w:left="644" w:firstLine="0"/>
        <w:rPr>
          <w:rtl/>
        </w:rPr>
      </w:pPr>
      <w:r>
        <w:rPr>
          <w:rFonts w:hint="cs"/>
          <w:u w:val="single"/>
          <w:rtl/>
        </w:rPr>
        <w:t>תכנון שקדם לביצוע העבירות</w:t>
      </w:r>
      <w:r>
        <w:rPr>
          <w:rFonts w:hint="cs"/>
          <w:rtl/>
        </w:rPr>
        <w:t xml:space="preserve">: החזקת סמים </w:t>
      </w:r>
      <w:r>
        <w:rPr>
          <w:rFonts w:hint="cs"/>
          <w:u w:val="single"/>
          <w:rtl/>
        </w:rPr>
        <w:t>שלא</w:t>
      </w:r>
      <w:r>
        <w:rPr>
          <w:rFonts w:hint="cs"/>
          <w:rtl/>
        </w:rPr>
        <w:t xml:space="preserve"> לצריכה עצמית בכמות ומהסוגים שנתפסו אצל הנאשם לצד שקיות שקופות ומשקלים אלקטרוניים נעשית באופן מתוכנן יזום ומחושב. מנסיבות החזקת הסמים נלמד על כך שהנאשם היה מעורה ומצוי היטב בעולם הסמים. לדבריו שלו, העבירות בוצעו בקשר עם חבירה לגורמים עבריינים. </w:t>
      </w:r>
    </w:p>
    <w:p w14:paraId="1A0BE720" w14:textId="77777777" w:rsidR="00484725" w:rsidRDefault="00484725" w:rsidP="00484725">
      <w:pPr>
        <w:pStyle w:val="ab"/>
        <w:rPr>
          <w:rtl/>
        </w:rPr>
      </w:pPr>
      <w:r>
        <w:rPr>
          <w:rFonts w:hint="cs"/>
          <w:u w:val="single"/>
          <w:rtl/>
        </w:rPr>
        <w:t>הרקע לביצוע המעשים</w:t>
      </w:r>
      <w:r>
        <w:rPr>
          <w:rFonts w:hint="cs"/>
          <w:rtl/>
        </w:rPr>
        <w:t>: ניסיון החיים מלמד כי מדובר בעבירות המבוצעות על רקע בצע כסף ורצון להפקת רווח מהיר וקל על חשבון בריאות וביטחון הציבור (ר' בענין זה ב</w:t>
      </w:r>
      <w:hyperlink r:id="rId36" w:history="1">
        <w:r w:rsidR="00ED7439" w:rsidRPr="00ED7439">
          <w:rPr>
            <w:color w:val="0000FF"/>
            <w:u w:val="single"/>
            <w:rtl/>
          </w:rPr>
          <w:t>ע"פ 9192/07</w:t>
        </w:r>
      </w:hyperlink>
      <w:r>
        <w:rPr>
          <w:rFonts w:hint="cs"/>
          <w:rtl/>
        </w:rPr>
        <w:t xml:space="preserve"> </w:t>
      </w:r>
      <w:r>
        <w:rPr>
          <w:rFonts w:hint="cs"/>
          <w:b/>
          <w:bCs/>
          <w:rtl/>
        </w:rPr>
        <w:t>ארתור איסטרחוב</w:t>
      </w:r>
      <w:r>
        <w:rPr>
          <w:rFonts w:hint="cs"/>
          <w:rtl/>
        </w:rPr>
        <w:t xml:space="preserve"> נ' מדינת ישראל (20.03.2008)). כאמור לעיל, מהסמים 'הקשים' אותם החזיק הנאשם ניתן היה להפיק עשרות רבות של מנות סם, אשר לצידן רווח קל ומהיר על חשבון בריאות הציבור.</w:t>
      </w:r>
    </w:p>
    <w:p w14:paraId="55AE841A" w14:textId="77777777" w:rsidR="00484725" w:rsidRDefault="00484725" w:rsidP="00484725">
      <w:pPr>
        <w:pStyle w:val="a"/>
        <w:tabs>
          <w:tab w:val="clear" w:pos="360"/>
          <w:tab w:val="num" w:pos="-58"/>
          <w:tab w:val="num" w:pos="643"/>
        </w:tabs>
        <w:ind w:left="651" w:hanging="360"/>
        <w:rPr>
          <w:b/>
          <w:bCs/>
          <w:rtl/>
        </w:rPr>
      </w:pPr>
      <w:r>
        <w:rPr>
          <w:rFonts w:hint="cs"/>
          <w:rtl/>
        </w:rPr>
        <w:t xml:space="preserve">בהתאם לאלו, מצאתי לקבוע כי מידת הפגיעה בערכים המוגנים הינה משמעותית וכי </w:t>
      </w:r>
      <w:r>
        <w:rPr>
          <w:rFonts w:hint="cs"/>
          <w:b/>
          <w:bCs/>
          <w:rtl/>
        </w:rPr>
        <w:t>מתחם העונש ההולם נע בין 15 ל-30 חודשי מאסר.</w:t>
      </w:r>
    </w:p>
    <w:p w14:paraId="230EAC3E" w14:textId="77777777" w:rsidR="00484725" w:rsidRDefault="00484725" w:rsidP="00484725">
      <w:pPr>
        <w:pStyle w:val="11"/>
        <w:rPr>
          <w:rtl/>
        </w:rPr>
      </w:pPr>
      <w:r>
        <w:rPr>
          <w:rtl/>
        </w:rPr>
        <w:t>שיקולי הענישה בתוך מתחם העונש</w:t>
      </w:r>
    </w:p>
    <w:p w14:paraId="04F2955A" w14:textId="77777777" w:rsidR="00484725" w:rsidRDefault="00484725" w:rsidP="00484725">
      <w:pPr>
        <w:pStyle w:val="a"/>
        <w:tabs>
          <w:tab w:val="clear" w:pos="360"/>
          <w:tab w:val="num" w:pos="-58"/>
          <w:tab w:val="num" w:pos="643"/>
        </w:tabs>
        <w:ind w:left="651" w:hanging="360"/>
        <w:rPr>
          <w:rtl/>
        </w:rPr>
      </w:pPr>
      <w:r>
        <w:rPr>
          <w:rFonts w:hint="cs"/>
          <w:rtl/>
        </w:rPr>
        <w:t>בגזירת העונש המתאים לנאשם בתוך מתחם העונש, נשקלו הנסיבות הבאות שאינן קשורות בביצוע העבירה (</w:t>
      </w:r>
      <w:hyperlink r:id="rId37" w:history="1">
        <w:r w:rsidR="00586502" w:rsidRPr="00586502">
          <w:rPr>
            <w:rStyle w:val="Hyperlink"/>
            <w:rFonts w:hint="eastAsia"/>
            <w:color w:val="0000FF"/>
            <w:rtl/>
          </w:rPr>
          <w:t>סעיף</w:t>
        </w:r>
        <w:r w:rsidR="00586502" w:rsidRPr="00586502">
          <w:rPr>
            <w:rStyle w:val="Hyperlink"/>
            <w:color w:val="0000FF"/>
            <w:rtl/>
          </w:rPr>
          <w:t xml:space="preserve"> 40יא</w:t>
        </w:r>
      </w:hyperlink>
      <w:r>
        <w:rPr>
          <w:rFonts w:hint="cs"/>
          <w:rtl/>
        </w:rPr>
        <w:t xml:space="preserve"> ל</w:t>
      </w:r>
      <w:hyperlink r:id="rId38" w:history="1">
        <w:r w:rsidR="00ED7439" w:rsidRPr="00ED7439">
          <w:rPr>
            <w:color w:val="0000FF"/>
            <w:u w:val="single"/>
            <w:rtl/>
          </w:rPr>
          <w:t>חוק העונשין</w:t>
        </w:r>
      </w:hyperlink>
      <w:r>
        <w:rPr>
          <w:rFonts w:hint="cs"/>
          <w:rtl/>
        </w:rPr>
        <w:t>):</w:t>
      </w:r>
    </w:p>
    <w:p w14:paraId="69585477" w14:textId="77777777" w:rsidR="00484725" w:rsidRDefault="00484725" w:rsidP="00484725">
      <w:pPr>
        <w:pStyle w:val="ab"/>
        <w:rPr>
          <w:rtl/>
        </w:rPr>
      </w:pPr>
      <w:r>
        <w:rPr>
          <w:rFonts w:hint="cs"/>
          <w:u w:val="single"/>
          <w:rtl/>
        </w:rPr>
        <w:t>עבר פלילי</w:t>
      </w:r>
      <w:r>
        <w:rPr>
          <w:rFonts w:hint="cs"/>
          <w:rtl/>
        </w:rPr>
        <w:t>: הנאשם בן 25 , נעדר עבר פלילי.</w:t>
      </w:r>
    </w:p>
    <w:p w14:paraId="7CAD50F6" w14:textId="77777777" w:rsidR="00484725" w:rsidRDefault="00484725" w:rsidP="00484725">
      <w:pPr>
        <w:pStyle w:val="ab"/>
        <w:rPr>
          <w:rtl/>
        </w:rPr>
      </w:pPr>
      <w:r>
        <w:rPr>
          <w:rFonts w:hint="cs"/>
          <w:u w:val="single"/>
          <w:rtl/>
        </w:rPr>
        <w:t>נטילת האחריות של הנאשם על מעשיו</w:t>
      </w:r>
      <w:r>
        <w:rPr>
          <w:rFonts w:hint="cs"/>
          <w:rtl/>
        </w:rPr>
        <w:t xml:space="preserve"> </w:t>
      </w:r>
      <w:r>
        <w:rPr>
          <w:rFonts w:hint="cs"/>
          <w:u w:val="single"/>
          <w:rtl/>
        </w:rPr>
        <w:t>ומאמציו לחזור למוטב</w:t>
      </w:r>
      <w:r>
        <w:rPr>
          <w:rFonts w:hint="cs"/>
          <w:rtl/>
        </w:rPr>
        <w:t>: הודאת נאשם מגלמת (בדרך כלל) קבלת אחריות על ביצוע המעשים, נלווה לה חסכון משמעותי מזמנם של עדי התביעה ובהם שוטרים, ובזמן שיפוטי יקר. שירות המבחן התרשם בענייננו מנטילת אחריות מלאה של הנאשם, ודברים דומים באו לידי ביטוי במסגרת דבריו האחרונים של הנאשם. הנאשם השתתף באופן פעיל וחיובי בהליך טיפולי פרטני וקבוצתי בשירות המבחן.</w:t>
      </w:r>
    </w:p>
    <w:p w14:paraId="2007F79D" w14:textId="77777777" w:rsidR="00484725" w:rsidRPr="00484725" w:rsidRDefault="00484725" w:rsidP="00484725">
      <w:pPr>
        <w:pStyle w:val="ab"/>
        <w:rPr>
          <w:i/>
          <w:iCs/>
          <w:rtl/>
        </w:rPr>
      </w:pPr>
      <w:r>
        <w:rPr>
          <w:rFonts w:hint="cs"/>
          <w:u w:val="single"/>
          <w:rtl/>
        </w:rPr>
        <w:t>שיקולי הרתעה</w:t>
      </w:r>
      <w:r>
        <w:rPr>
          <w:rFonts w:hint="cs"/>
          <w:rtl/>
        </w:rPr>
        <w:t xml:space="preserve">: עבירות של החזקת סמים שלא לצריכה עצמית הינן עבירות נפוצות אשר רווח כספי ניכר וקל בצידן,  הן קלות לביצוע, וקשות לסיכול. נוכח אלו, רבים חוטאים בהן מתוך הנחה כי רוב הסיכויים כי לא יתפסו. דומה כי בגין עבירות אלו נדרשת ענישה אשר יהיה בה כדי לתת ביטוי גם לשיקול הרתעת הרבים. בעניין זה ר' </w:t>
      </w:r>
      <w:hyperlink r:id="rId39" w:history="1">
        <w:r w:rsidR="00ED7439" w:rsidRPr="00ED7439">
          <w:rPr>
            <w:color w:val="0000FF"/>
            <w:u w:val="single"/>
            <w:rtl/>
          </w:rPr>
          <w:t>עפ"ג 15263-06-24</w:t>
        </w:r>
      </w:hyperlink>
      <w:r>
        <w:rPr>
          <w:rFonts w:hint="cs"/>
          <w:rtl/>
        </w:rPr>
        <w:t xml:space="preserve"> </w:t>
      </w:r>
      <w:r>
        <w:rPr>
          <w:rFonts w:hint="cs"/>
          <w:b/>
          <w:bCs/>
          <w:rtl/>
        </w:rPr>
        <w:t>מדינת ישראל נ' בן משה</w:t>
      </w:r>
      <w:r>
        <w:rPr>
          <w:rFonts w:hint="cs"/>
          <w:rtl/>
        </w:rPr>
        <w:t xml:space="preserve"> (מחוזי ב"ש, 15.9.24):</w:t>
      </w:r>
    </w:p>
    <w:p w14:paraId="6CB2FA74" w14:textId="77777777" w:rsidR="00484725" w:rsidRDefault="00484725" w:rsidP="00484725">
      <w:pPr>
        <w:pStyle w:val="ad"/>
        <w:rPr>
          <w:rtl/>
        </w:rPr>
      </w:pPr>
      <w:r>
        <w:rPr>
          <w:rFonts w:hint="cs"/>
          <w:rtl/>
        </w:rPr>
        <w:t>"רבות הודגש בפסיקה הצורך להילחם בעבירות הסמים המסוכנים ובעבירות אלו שיקולי הענישה המרכזיים צריכים להיות שיקולי הרתעה, הרתעת היחיד והרתעת הרבים".</w:t>
      </w:r>
    </w:p>
    <w:p w14:paraId="293F2BBA" w14:textId="77777777" w:rsidR="00484725" w:rsidRDefault="00484725" w:rsidP="00484725">
      <w:pPr>
        <w:pStyle w:val="11"/>
        <w:jc w:val="both"/>
        <w:rPr>
          <w:rtl/>
        </w:rPr>
      </w:pPr>
      <w:r>
        <w:rPr>
          <w:rtl/>
        </w:rPr>
        <w:t xml:space="preserve">סטייה ממתחם הענישה </w:t>
      </w:r>
    </w:p>
    <w:p w14:paraId="777D5483" w14:textId="77777777" w:rsidR="00484725" w:rsidRDefault="00484725" w:rsidP="00484725">
      <w:pPr>
        <w:pStyle w:val="a"/>
        <w:tabs>
          <w:tab w:val="clear" w:pos="360"/>
          <w:tab w:val="clear" w:pos="1440"/>
          <w:tab w:val="num" w:pos="643"/>
          <w:tab w:val="num" w:pos="2911"/>
        </w:tabs>
        <w:ind w:left="643" w:hanging="360"/>
        <w:rPr>
          <w:rtl/>
        </w:rPr>
      </w:pPr>
      <w:r>
        <w:rPr>
          <w:rFonts w:hint="cs"/>
          <w:rtl/>
        </w:rPr>
        <w:t xml:space="preserve">על פי סעיף </w:t>
      </w:r>
      <w:hyperlink r:id="rId40" w:history="1">
        <w:r w:rsidR="00586502" w:rsidRPr="00586502">
          <w:rPr>
            <w:rStyle w:val="Hyperlink"/>
            <w:color w:val="0000FF"/>
            <w:rtl/>
          </w:rPr>
          <w:t>40 ג(ב)</w:t>
        </w:r>
      </w:hyperlink>
      <w:r>
        <w:rPr>
          <w:rFonts w:hint="cs"/>
          <w:rtl/>
        </w:rPr>
        <w:t xml:space="preserve"> ל</w:t>
      </w:r>
      <w:hyperlink r:id="rId41" w:history="1">
        <w:r w:rsidR="00ED7439" w:rsidRPr="00ED7439">
          <w:rPr>
            <w:color w:val="0000FF"/>
            <w:u w:val="single"/>
            <w:rtl/>
          </w:rPr>
          <w:t>חוק העונשין</w:t>
        </w:r>
      </w:hyperlink>
      <w:r>
        <w:rPr>
          <w:rFonts w:hint="cs"/>
          <w:rtl/>
        </w:rPr>
        <w:t xml:space="preserve"> רשאי בית המשפט לחרוג לקולה ממתחם העונש ההולם אשר נקבע בשל </w:t>
      </w:r>
      <w:r>
        <w:rPr>
          <w:rFonts w:hint="cs"/>
          <w:b/>
          <w:bCs/>
          <w:rtl/>
        </w:rPr>
        <w:t>שיקולי שיקום</w:t>
      </w:r>
      <w:r>
        <w:rPr>
          <w:rFonts w:hint="cs"/>
          <w:rtl/>
        </w:rPr>
        <w:t xml:space="preserve"> על פי הוראות </w:t>
      </w:r>
      <w:hyperlink r:id="rId42" w:history="1">
        <w:r w:rsidR="00586502" w:rsidRPr="00586502">
          <w:rPr>
            <w:rStyle w:val="Hyperlink"/>
            <w:rFonts w:hint="eastAsia"/>
            <w:color w:val="0000FF"/>
            <w:rtl/>
          </w:rPr>
          <w:t>סעיף</w:t>
        </w:r>
        <w:r w:rsidR="00586502" w:rsidRPr="00586502">
          <w:rPr>
            <w:rStyle w:val="Hyperlink"/>
            <w:color w:val="0000FF"/>
            <w:rtl/>
          </w:rPr>
          <w:t xml:space="preserve"> 40ד</w:t>
        </w:r>
      </w:hyperlink>
      <w:r>
        <w:rPr>
          <w:rFonts w:hint="cs"/>
          <w:rtl/>
        </w:rPr>
        <w:t xml:space="preserve"> לחוק.</w:t>
      </w:r>
    </w:p>
    <w:p w14:paraId="1E200C8B" w14:textId="77777777" w:rsidR="00484725" w:rsidRDefault="00586502" w:rsidP="00484725">
      <w:pPr>
        <w:pStyle w:val="ab"/>
        <w:ind w:left="720"/>
        <w:rPr>
          <w:rtl/>
        </w:rPr>
      </w:pPr>
      <w:hyperlink r:id="rId43" w:history="1">
        <w:r w:rsidRPr="00586502">
          <w:rPr>
            <w:rStyle w:val="Hyperlink"/>
            <w:rFonts w:hint="eastAsia"/>
            <w:color w:val="0000FF"/>
            <w:rtl/>
          </w:rPr>
          <w:t>סעיף</w:t>
        </w:r>
        <w:r w:rsidRPr="00586502">
          <w:rPr>
            <w:rStyle w:val="Hyperlink"/>
            <w:color w:val="0000FF"/>
            <w:rtl/>
          </w:rPr>
          <w:t xml:space="preserve"> 40ד(א)</w:t>
        </w:r>
      </w:hyperlink>
      <w:r w:rsidR="00484725">
        <w:rPr>
          <w:rFonts w:hint="cs"/>
          <w:rtl/>
        </w:rPr>
        <w:t xml:space="preserve"> לחוק מורה כי בית המשפט רשאי לחרוג ממתחם הענישה ולקבוע את עונשו של הנאשם לפי שיקולי שיקום ככל שמצא כי הנאשם השתקם או יש סיכוי של ממש שישתקם.</w:t>
      </w:r>
    </w:p>
    <w:p w14:paraId="4E8DFA26" w14:textId="77777777" w:rsidR="00484725" w:rsidRDefault="00484725" w:rsidP="00484725">
      <w:pPr>
        <w:pStyle w:val="ab"/>
        <w:ind w:left="713"/>
        <w:rPr>
          <w:rtl/>
        </w:rPr>
      </w:pPr>
      <w:r>
        <w:rPr>
          <w:rFonts w:hint="cs"/>
          <w:rtl/>
        </w:rPr>
        <w:t xml:space="preserve">פסיקת בית המשפט העליון אשר לחריגה ממתחם העונש בשל שיקולי שיקום מלמדת על חריגה </w:t>
      </w:r>
      <w:r>
        <w:rPr>
          <w:rFonts w:hint="cs"/>
          <w:u w:val="single"/>
          <w:rtl/>
        </w:rPr>
        <w:t>במשורה</w:t>
      </w:r>
      <w:r>
        <w:rPr>
          <w:rFonts w:hint="cs"/>
          <w:rtl/>
        </w:rPr>
        <w:t xml:space="preserve">, וזאת רק כאשר ניכרים בפועל שיקום או סיכויי שיקום מובהקים (ר' </w:t>
      </w:r>
      <w:hyperlink r:id="rId44" w:history="1">
        <w:r w:rsidR="00ED7439" w:rsidRPr="00ED7439">
          <w:rPr>
            <w:color w:val="0000FF"/>
            <w:u w:val="single"/>
            <w:rtl/>
          </w:rPr>
          <w:t>ע"פ 671/22</w:t>
        </w:r>
      </w:hyperlink>
      <w:r>
        <w:rPr>
          <w:rFonts w:hint="cs"/>
          <w:rtl/>
        </w:rPr>
        <w:t xml:space="preserve">, </w:t>
      </w:r>
      <w:r>
        <w:rPr>
          <w:rFonts w:hint="cs"/>
          <w:b/>
          <w:bCs/>
          <w:rtl/>
        </w:rPr>
        <w:t>אחמד אבו תנהא נ' מדינת ישראל,</w:t>
      </w:r>
      <w:r>
        <w:rPr>
          <w:rFonts w:hint="cs"/>
          <w:rtl/>
        </w:rPr>
        <w:t xml:space="preserve"> פסקה 19 (20.10.2022)) (ההדגשות גם בהחלטת בית המשפט העליון הנ"ל – יב"ד).</w:t>
      </w:r>
    </w:p>
    <w:p w14:paraId="37C272D9" w14:textId="77777777" w:rsidR="00484725" w:rsidRDefault="00484725" w:rsidP="00484725">
      <w:pPr>
        <w:pStyle w:val="ab"/>
        <w:ind w:left="713"/>
      </w:pPr>
      <w:r>
        <w:rPr>
          <w:rFonts w:hint="cs"/>
          <w:rtl/>
        </w:rPr>
        <w:t xml:space="preserve">בענייננו שיתף הנאשם פעולה עם שירות המבחן באופן חיובי ולאורך זמן במסגרת טיפולית קבוצתית ופרטנית. </w:t>
      </w:r>
    </w:p>
    <w:p w14:paraId="39BCD004" w14:textId="77777777" w:rsidR="00484725" w:rsidRDefault="00484725" w:rsidP="00484725">
      <w:pPr>
        <w:pStyle w:val="ab"/>
        <w:ind w:left="713"/>
        <w:rPr>
          <w:rtl/>
        </w:rPr>
      </w:pPr>
      <w:r>
        <w:rPr>
          <w:rFonts w:hint="cs"/>
          <w:rtl/>
        </w:rPr>
        <w:t xml:space="preserve">יחד עם זאת, לא בכל מקרה בו מתקיים הליך טיפולי חיובי יש לסטות ממתחם העונש ההולם, סטיה אשר תעשה כאמור במשורה. ר' בענין זה </w:t>
      </w:r>
      <w:hyperlink r:id="rId45" w:history="1">
        <w:r w:rsidR="00ED7439" w:rsidRPr="00ED7439">
          <w:rPr>
            <w:color w:val="0000FF"/>
            <w:u w:val="single"/>
            <w:rtl/>
          </w:rPr>
          <w:t>ע"פ 126/22</w:t>
        </w:r>
      </w:hyperlink>
      <w:r>
        <w:rPr>
          <w:rFonts w:hint="cs"/>
          <w:rtl/>
        </w:rPr>
        <w:t xml:space="preserve"> </w:t>
      </w:r>
      <w:r>
        <w:rPr>
          <w:rFonts w:hint="cs"/>
          <w:b/>
          <w:bCs/>
          <w:rtl/>
        </w:rPr>
        <w:t>מדינת ישראל נ' פלוני</w:t>
      </w:r>
      <w:r>
        <w:rPr>
          <w:rFonts w:hint="cs"/>
          <w:rtl/>
        </w:rPr>
        <w:t xml:space="preserve"> (נבו 27.4.2022): </w:t>
      </w:r>
    </w:p>
    <w:p w14:paraId="1B84F37C" w14:textId="77777777" w:rsidR="00484725" w:rsidRDefault="00484725" w:rsidP="00484725">
      <w:pPr>
        <w:pStyle w:val="ad"/>
        <w:rPr>
          <w:rtl/>
        </w:rPr>
      </w:pPr>
      <w:r>
        <w:rPr>
          <w:rFonts w:hint="cs"/>
          <w:rtl/>
        </w:rPr>
        <w:t>"...כפי שעולה בבירור מהוראות החוק, לא בכל מקרה שבו תהליך טיפולי מתקדם בכיוון חיובי, יש להפעיל את הסמכות הקבועה בסעיף 40ד ל</w:t>
      </w:r>
      <w:hyperlink r:id="rId46" w:history="1">
        <w:r w:rsidR="00ED7439" w:rsidRPr="00ED7439">
          <w:rPr>
            <w:color w:val="0000FF"/>
            <w:u w:val="single"/>
            <w:rtl/>
          </w:rPr>
          <w:t>חוק העונשין</w:t>
        </w:r>
      </w:hyperlink>
      <w:r>
        <w:rPr>
          <w:rFonts w:hint="cs"/>
          <w:rtl/>
        </w:rPr>
        <w:t>. אחרת, נמצא כי החריג מרוקן מתוכן את הכלל, שלפיו יש לגזור את העונש בתוך מתחם הענישה בהלימה לחומרת המעשה ולמידת האשם של העושה... לא בכדי אפוא, נקבע כי יש לנקוט זהירות רבה בהפעלת סעיף 40ד ל</w:t>
      </w:r>
      <w:hyperlink r:id="rId47" w:history="1">
        <w:r w:rsidR="00ED7439" w:rsidRPr="00ED7439">
          <w:rPr>
            <w:color w:val="0000FF"/>
            <w:u w:val="single"/>
            <w:rtl/>
          </w:rPr>
          <w:t>חוק העונשין</w:t>
        </w:r>
      </w:hyperlink>
      <w:r>
        <w:rPr>
          <w:rFonts w:hint="cs"/>
          <w:rtl/>
        </w:rPr>
        <w:t>, וכי סטייה ממתחם הענישה תיעשה רק במקרים חריגים, בבחינת יוצא מן הכלל, כאשר סיכויי שיקום מובהקים מצדיקים זאת..."</w:t>
      </w:r>
    </w:p>
    <w:p w14:paraId="567DA134" w14:textId="77777777" w:rsidR="00484725" w:rsidRDefault="00484725" w:rsidP="00484725">
      <w:pPr>
        <w:pStyle w:val="ab"/>
        <w:ind w:left="713"/>
        <w:rPr>
          <w:rtl/>
        </w:rPr>
      </w:pPr>
      <w:r>
        <w:rPr>
          <w:rFonts w:hint="cs"/>
          <w:rtl/>
        </w:rPr>
        <w:t xml:space="preserve">במקרה הנדון, אין מדובר בעבירות אשר בוצעו (למשל) על רקע התמכרות קשה אשר הליך אינטנסיבי טיפולי סגור וממושך נתן לה מענה, כי אם בביצוע עבירות על רקע רצון להפקת רווח כלכלי ניכר ומהיר על חשבון בריאות הציבור. </w:t>
      </w:r>
    </w:p>
    <w:p w14:paraId="2C9E3AD5" w14:textId="77777777" w:rsidR="00484725" w:rsidRDefault="00484725" w:rsidP="00484725">
      <w:pPr>
        <w:pStyle w:val="ab"/>
        <w:ind w:left="713"/>
        <w:rPr>
          <w:rtl/>
        </w:rPr>
      </w:pPr>
      <w:r>
        <w:rPr>
          <w:rFonts w:hint="cs"/>
          <w:rtl/>
        </w:rPr>
        <w:t>עניינו של הנאשם מעורר התלבטות שמא החלת הטיפול, אותו עבר בשירות המבחן במסגרת התפכחות אישית וחשש מפני ההליך הפלילי, כחריג המביא לסטיה ממתחם העונש, תהפוך את החריג לכלל. בתיקים רבים נרתמים נאשמים לשיח פרטני וקבוצתי עם שירות המבחן המתקיים פעם עד פעמיים בשבוע, ועולה שאלה האם מהלך זה מצדיק סטיה ממתחם העונש, או שמא יש לזקוף זאת לזכות הנאשמים בתוך המתחם עצמו.</w:t>
      </w:r>
    </w:p>
    <w:p w14:paraId="4D43C948" w14:textId="77777777" w:rsidR="00484725" w:rsidRDefault="00484725" w:rsidP="00484725">
      <w:pPr>
        <w:pStyle w:val="ab"/>
        <w:ind w:left="713"/>
        <w:rPr>
          <w:rtl/>
        </w:rPr>
      </w:pPr>
      <w:r>
        <w:rPr>
          <w:rFonts w:hint="cs"/>
          <w:rtl/>
        </w:rPr>
        <w:t xml:space="preserve">במקרה הנדון, מדובר בנאשם צעיר, נעדר עבר פלילי אשר בכל זאת עבר כברת דרך טיפולית בשירות המבחן. סבורני כי יש באלו כדי להביא לסטיה </w:t>
      </w:r>
      <w:r>
        <w:rPr>
          <w:rFonts w:hint="cs"/>
          <w:u w:val="single"/>
          <w:rtl/>
        </w:rPr>
        <w:t xml:space="preserve">מתונה </w:t>
      </w:r>
      <w:r>
        <w:rPr>
          <w:rFonts w:hint="cs"/>
          <w:rtl/>
        </w:rPr>
        <w:t>ממתחם העונש ההולם.</w:t>
      </w:r>
    </w:p>
    <w:p w14:paraId="3C8DA912" w14:textId="77777777" w:rsidR="00484725" w:rsidRDefault="00484725" w:rsidP="00484725">
      <w:pPr>
        <w:pStyle w:val="ab"/>
        <w:ind w:left="713"/>
        <w:rPr>
          <w:rtl/>
        </w:rPr>
      </w:pPr>
      <w:r>
        <w:rPr>
          <w:rFonts w:hint="cs"/>
          <w:rtl/>
        </w:rPr>
        <w:t xml:space="preserve">אשר להמלצת שירות המבחן,  יצוין הידוע, כי בית המשפט בוחן ושוקל שיקולים ואינטרסים מגוונים יותר מאלו הנשקלים ע"י שירות המבחן הממוקדים בשיקומו של הנאשם [(ר' </w:t>
      </w:r>
      <w:hyperlink r:id="rId48" w:history="1">
        <w:r w:rsidR="00ED7439" w:rsidRPr="00ED7439">
          <w:rPr>
            <w:color w:val="0000FF"/>
            <w:u w:val="single"/>
            <w:rtl/>
          </w:rPr>
          <w:t>ע"פ 1261/18</w:t>
        </w:r>
      </w:hyperlink>
      <w:r>
        <w:rPr>
          <w:rFonts w:hint="cs"/>
          <w:rtl/>
        </w:rPr>
        <w:t xml:space="preserve"> </w:t>
      </w:r>
      <w:r>
        <w:rPr>
          <w:rFonts w:hint="cs"/>
          <w:b/>
          <w:bCs/>
          <w:rtl/>
        </w:rPr>
        <w:t>פלוני נ' מדינת ישראל</w:t>
      </w:r>
      <w:r>
        <w:rPr>
          <w:rFonts w:hint="cs"/>
          <w:rtl/>
        </w:rPr>
        <w:t xml:space="preserve"> (31.5.18)], וכי המלצת שירות המבחן היא אך שיקול אחד מכלל השיקולים אותם שוקל ביהמ"ש בבואו לקבוע את העונש הראוי לנאשמים [ר' בענין זה (אחד מיני רבים) </w:t>
      </w:r>
      <w:hyperlink r:id="rId49" w:history="1">
        <w:r w:rsidR="00ED7439" w:rsidRPr="00ED7439">
          <w:rPr>
            <w:color w:val="0000FF"/>
            <w:u w:val="single"/>
            <w:rtl/>
          </w:rPr>
          <w:t>ע"פ 1167/21</w:t>
        </w:r>
      </w:hyperlink>
      <w:r>
        <w:rPr>
          <w:rFonts w:hint="cs"/>
          <w:rtl/>
        </w:rPr>
        <w:t xml:space="preserve"> </w:t>
      </w:r>
      <w:r>
        <w:rPr>
          <w:rFonts w:hint="cs"/>
          <w:b/>
          <w:bCs/>
          <w:rtl/>
        </w:rPr>
        <w:t>טארק חויג'יראת נ' מדינת ישראל</w:t>
      </w:r>
      <w:r>
        <w:rPr>
          <w:rFonts w:hint="cs"/>
          <w:rtl/>
        </w:rPr>
        <w:t xml:space="preserve"> (פורסם בנבו)]. </w:t>
      </w:r>
    </w:p>
    <w:p w14:paraId="219BF02E" w14:textId="77777777" w:rsidR="00484725" w:rsidRDefault="00484725" w:rsidP="00484725">
      <w:pPr>
        <w:pStyle w:val="a"/>
        <w:tabs>
          <w:tab w:val="clear" w:pos="360"/>
          <w:tab w:val="clear" w:pos="1440"/>
          <w:tab w:val="num" w:pos="643"/>
          <w:tab w:val="num" w:pos="2911"/>
        </w:tabs>
        <w:ind w:left="643" w:hanging="360"/>
        <w:rPr>
          <w:rtl/>
        </w:rPr>
      </w:pPr>
      <w:r>
        <w:rPr>
          <w:rFonts w:hint="cs"/>
          <w:rtl/>
        </w:rPr>
        <w:t>יצוין כי סטיה מתונה ממתחם העונש תבטא במקרה זה הקלה כפולה לנאשם נוכח שיקום: הן בהיבט של קביעת עונשו מתחת למתחם העונש אשר נקבע, והן בהיבט של הצורך (המשפטי) לקביעת עונשו מעל לתחתית מתחם העונש נוכח שיקולי הרתעת הרבים, במידה ולא היה נרתם להליך טיפולי.</w:t>
      </w:r>
    </w:p>
    <w:p w14:paraId="7659E9FA" w14:textId="77777777" w:rsidR="00484725" w:rsidRDefault="00484725" w:rsidP="00484725">
      <w:pPr>
        <w:pStyle w:val="11"/>
        <w:jc w:val="both"/>
        <w:rPr>
          <w:rtl/>
        </w:rPr>
      </w:pPr>
      <w:r>
        <w:rPr>
          <w:rtl/>
        </w:rPr>
        <w:t>סוף דבר</w:t>
      </w:r>
    </w:p>
    <w:p w14:paraId="727210C8" w14:textId="77777777" w:rsidR="00484725" w:rsidRDefault="00484725" w:rsidP="00484725">
      <w:pPr>
        <w:pStyle w:val="a"/>
        <w:tabs>
          <w:tab w:val="clear" w:pos="360"/>
          <w:tab w:val="clear" w:pos="1440"/>
          <w:tab w:val="num" w:pos="643"/>
          <w:tab w:val="num" w:pos="2911"/>
        </w:tabs>
        <w:ind w:left="643" w:hanging="360"/>
        <w:rPr>
          <w:rFonts w:ascii="Times New Roman" w:eastAsia="Times New Roman" w:hAnsi="Times New Roman" w:cs="Times New Roman"/>
          <w:rtl/>
        </w:rPr>
      </w:pPr>
      <w:r>
        <w:rPr>
          <w:rFonts w:hint="cs"/>
          <w:rtl/>
        </w:rPr>
        <w:t>נוכח האמור, אני דן את הנאשם לעונשים הבאים:</w:t>
      </w:r>
    </w:p>
    <w:p w14:paraId="1CFAB754" w14:textId="77777777" w:rsidR="00484725" w:rsidRDefault="00484725" w:rsidP="00484725">
      <w:pPr>
        <w:pStyle w:val="a0"/>
      </w:pPr>
      <w:r>
        <w:rPr>
          <w:rFonts w:hint="cs"/>
          <w:rtl/>
        </w:rPr>
        <w:t>12 חודשי מאסר בפועל בניכוי ימי מעצרו על פי רישומי שב"ס.</w:t>
      </w:r>
    </w:p>
    <w:p w14:paraId="5957CFEE" w14:textId="77777777" w:rsidR="00484725" w:rsidRDefault="00484725" w:rsidP="00484725">
      <w:pPr>
        <w:pStyle w:val="a0"/>
        <w:numPr>
          <w:ilvl w:val="0"/>
          <w:numId w:val="3"/>
        </w:numPr>
        <w:ind w:left="1218"/>
      </w:pPr>
      <w:r>
        <w:rPr>
          <w:rFonts w:hint="cs"/>
          <w:rtl/>
        </w:rPr>
        <w:t>10 חודשי מאסר על תנאי, לתקופה של 3 שנים מתום ריצוי מאסרו, שלא יעבור כל עבֵרת סמים מסוג פשע.</w:t>
      </w:r>
    </w:p>
    <w:p w14:paraId="18D0C311" w14:textId="77777777" w:rsidR="00484725" w:rsidRDefault="00484725" w:rsidP="00484725">
      <w:pPr>
        <w:pStyle w:val="a0"/>
        <w:numPr>
          <w:ilvl w:val="0"/>
          <w:numId w:val="3"/>
        </w:numPr>
        <w:ind w:left="1218"/>
        <w:rPr>
          <w:rtl/>
        </w:rPr>
      </w:pPr>
      <w:r>
        <w:rPr>
          <w:rFonts w:hint="cs"/>
          <w:rtl/>
        </w:rPr>
        <w:t>5 חודשי מאסר על תנאי, לתקופה של 3 שנים מתום ריצוי מאסרו, שלא יעבור כל עבֵרת סמים מסוג עוון.</w:t>
      </w:r>
    </w:p>
    <w:p w14:paraId="1BD82258" w14:textId="77777777" w:rsidR="00484725" w:rsidRDefault="00484725" w:rsidP="00484725">
      <w:pPr>
        <w:pStyle w:val="a0"/>
        <w:numPr>
          <w:ilvl w:val="0"/>
          <w:numId w:val="3"/>
        </w:numPr>
        <w:ind w:left="1218"/>
        <w:rPr>
          <w:rtl/>
        </w:rPr>
      </w:pPr>
      <w:r>
        <w:rPr>
          <w:rFonts w:hint="cs"/>
          <w:rtl/>
        </w:rPr>
        <w:t>קנס כספי בסך 10,000 ₪ או 75 ימי מאסר תמורתו. הקנס ישולם ב- 10  תשלומים חודשיים שווים ורצופים, החל מיום 1.2.25 ובמשך כל 01 לחודש שלאחריו. לא ישולם אחד התשלומים במועדו, תעמוד כל היתרה לפירעון מידי ויתווספו תוספות פיגור כחוק, וזאת מעבר לזכותה של המאשימה לבקש הפעלת מאסר חלף הקנס.</w:t>
      </w:r>
    </w:p>
    <w:p w14:paraId="4DAA422A" w14:textId="77777777" w:rsidR="00484725" w:rsidRDefault="00484725" w:rsidP="00484725">
      <w:pPr>
        <w:pStyle w:val="a0"/>
        <w:numPr>
          <w:ilvl w:val="0"/>
          <w:numId w:val="3"/>
        </w:numPr>
        <w:ind w:left="1218"/>
      </w:pPr>
      <w:r>
        <w:rPr>
          <w:rFonts w:hint="cs"/>
          <w:rtl/>
        </w:rPr>
        <w:t xml:space="preserve">פסילה מלקבל או מלהחזיק רישיון נהיגה על תנאי למשך 9 חודשים. </w:t>
      </w:r>
    </w:p>
    <w:p w14:paraId="17B927F1" w14:textId="77777777" w:rsidR="00484725" w:rsidRDefault="00484725" w:rsidP="00484725">
      <w:pPr>
        <w:pStyle w:val="-"/>
      </w:pPr>
      <w:r>
        <w:rPr>
          <w:rFonts w:hint="cs"/>
          <w:rtl/>
        </w:rPr>
        <w:t>הפסילה תופעל אם תוך תקופה של 3 שנים מיום שחרורו ממאסר, יעבור הנאשם כל עבֵרת סמים.</w:t>
      </w:r>
    </w:p>
    <w:p w14:paraId="353E047F" w14:textId="77777777" w:rsidR="00484725" w:rsidRDefault="00484725" w:rsidP="00484725">
      <w:pPr>
        <w:spacing w:line="360" w:lineRule="auto"/>
        <w:ind w:left="386"/>
        <w:jc w:val="both"/>
      </w:pPr>
    </w:p>
    <w:p w14:paraId="273F3B9A" w14:textId="77777777" w:rsidR="00484725" w:rsidRDefault="00484725" w:rsidP="00484725">
      <w:pPr>
        <w:spacing w:line="360" w:lineRule="auto"/>
        <w:jc w:val="both"/>
        <w:rPr>
          <w:b/>
          <w:bCs/>
        </w:rPr>
      </w:pPr>
      <w:r>
        <w:rPr>
          <w:rFonts w:hint="cs"/>
          <w:b/>
          <w:bCs/>
          <w:rtl/>
        </w:rPr>
        <w:t>את הקנס ניתן לשלם כעבור 3 ימים מהיום באחת מהדרכים הבאות:</w:t>
      </w:r>
    </w:p>
    <w:p w14:paraId="3FDE5704" w14:textId="77777777" w:rsidR="00484725" w:rsidRDefault="00484725" w:rsidP="00484725">
      <w:pPr>
        <w:numPr>
          <w:ilvl w:val="0"/>
          <w:numId w:val="4"/>
        </w:numPr>
        <w:spacing w:line="360" w:lineRule="auto"/>
        <w:jc w:val="both"/>
        <w:rPr>
          <w:b/>
          <w:bCs/>
        </w:rPr>
      </w:pPr>
      <w:r>
        <w:rPr>
          <w:rFonts w:hint="cs"/>
          <w:b/>
          <w:bCs/>
          <w:rtl/>
        </w:rPr>
        <w:t xml:space="preserve">תשלום בכרטיס אשראי באמצעות האתר המקוון של רשות האכיפה והגבייה בכתובת: </w:t>
      </w:r>
      <w:r>
        <w:rPr>
          <w:b/>
          <w:bCs/>
        </w:rPr>
        <w:t>www.eca.gov.il</w:t>
      </w:r>
      <w:r>
        <w:rPr>
          <w:rFonts w:hint="cs"/>
          <w:b/>
          <w:bCs/>
          <w:rtl/>
        </w:rPr>
        <w:t>.</w:t>
      </w:r>
    </w:p>
    <w:p w14:paraId="4FBD06A6" w14:textId="77777777" w:rsidR="00484725" w:rsidRDefault="00484725" w:rsidP="00484725">
      <w:pPr>
        <w:numPr>
          <w:ilvl w:val="0"/>
          <w:numId w:val="4"/>
        </w:numPr>
        <w:spacing w:line="360" w:lineRule="auto"/>
        <w:jc w:val="both"/>
        <w:rPr>
          <w:b/>
          <w:bCs/>
          <w:rtl/>
        </w:rPr>
      </w:pPr>
      <w:r>
        <w:rPr>
          <w:rFonts w:hint="cs"/>
          <w:b/>
          <w:bCs/>
          <w:rtl/>
        </w:rPr>
        <w:t>תשלום בשירות עצמי באמצעות מוקד שירות טלפוני של מרכז הגבייה, בטלפון שמספרו 35592* או, 073-205-5000.</w:t>
      </w:r>
    </w:p>
    <w:p w14:paraId="21B4F21D" w14:textId="77777777" w:rsidR="00484725" w:rsidRDefault="00484725" w:rsidP="00484725">
      <w:pPr>
        <w:numPr>
          <w:ilvl w:val="0"/>
          <w:numId w:val="4"/>
        </w:numPr>
        <w:spacing w:line="360" w:lineRule="auto"/>
        <w:jc w:val="both"/>
        <w:rPr>
          <w:b/>
          <w:bCs/>
        </w:rPr>
      </w:pPr>
      <w:r>
        <w:rPr>
          <w:rFonts w:hint="cs"/>
          <w:b/>
          <w:bCs/>
          <w:rtl/>
        </w:rPr>
        <w:t>תשלום במזומן בכל סניף של בנק הדואר, בהצגת תעודת זהות בלבד (אין צורך בהצגת שוברי תשלום)</w:t>
      </w:r>
    </w:p>
    <w:p w14:paraId="35B8F3EA" w14:textId="77777777" w:rsidR="00484725" w:rsidRDefault="00484725" w:rsidP="00484725">
      <w:pPr>
        <w:spacing w:line="360" w:lineRule="auto"/>
        <w:jc w:val="both"/>
      </w:pPr>
    </w:p>
    <w:p w14:paraId="13722663" w14:textId="77777777" w:rsidR="00484725" w:rsidRDefault="00484725" w:rsidP="00484725">
      <w:pPr>
        <w:spacing w:line="360" w:lineRule="auto"/>
        <w:jc w:val="both"/>
      </w:pPr>
      <w:r>
        <w:rPr>
          <w:rFonts w:hint="cs"/>
          <w:rtl/>
        </w:rPr>
        <w:t>מוצגי הסמים יושמדו.</w:t>
      </w:r>
    </w:p>
    <w:p w14:paraId="1D37574B" w14:textId="77777777" w:rsidR="00484725" w:rsidRPr="009D37DD" w:rsidRDefault="00484725" w:rsidP="00484725">
      <w:pPr>
        <w:spacing w:line="360" w:lineRule="auto"/>
        <w:jc w:val="both"/>
        <w:rPr>
          <w:rtl/>
        </w:rPr>
      </w:pPr>
      <w:r>
        <w:rPr>
          <w:rFonts w:hint="cs"/>
          <w:rtl/>
        </w:rPr>
        <w:t>המזכירות תסגור את התיק.</w:t>
      </w:r>
    </w:p>
    <w:p w14:paraId="6F1C9BFB" w14:textId="77777777" w:rsidR="00484725" w:rsidRPr="009D37DD" w:rsidRDefault="00ED7439" w:rsidP="00484725">
      <w:pPr>
        <w:spacing w:line="360" w:lineRule="auto"/>
        <w:jc w:val="both"/>
        <w:rPr>
          <w:rFonts w:ascii="David" w:hAnsi="David"/>
          <w:rtl/>
        </w:rPr>
      </w:pPr>
      <w:r w:rsidRPr="00ED7439">
        <w:rPr>
          <w:b/>
          <w:bCs/>
          <w:color w:val="FFFFFF"/>
          <w:sz w:val="2"/>
          <w:szCs w:val="2"/>
          <w:rtl/>
        </w:rPr>
        <w:t>5129371</w:t>
      </w:r>
      <w:r w:rsidR="00484725">
        <w:rPr>
          <w:rFonts w:hint="cs"/>
          <w:b/>
          <w:bCs/>
          <w:rtl/>
        </w:rPr>
        <w:t>זכות ערעור בתוך 45 יום לבית המשפט המחוזי</w:t>
      </w:r>
      <w:r w:rsidR="00484725">
        <w:rPr>
          <w:rFonts w:hint="cs"/>
          <w:rtl/>
        </w:rPr>
        <w:t>.</w:t>
      </w:r>
    </w:p>
    <w:p w14:paraId="3798CDD1" w14:textId="77777777" w:rsidR="00484725" w:rsidRPr="00ED7439" w:rsidRDefault="00ED7439" w:rsidP="00484725">
      <w:pPr>
        <w:rPr>
          <w:rFonts w:ascii="Arial" w:hAnsi="Arial"/>
          <w:b/>
          <w:bCs/>
          <w:color w:val="FFFFFF"/>
          <w:sz w:val="2"/>
          <w:szCs w:val="2"/>
          <w:rtl/>
        </w:rPr>
      </w:pPr>
      <w:r w:rsidRPr="00ED7439">
        <w:rPr>
          <w:rFonts w:ascii="Arial" w:hAnsi="Arial"/>
          <w:b/>
          <w:bCs/>
          <w:color w:val="FFFFFF"/>
          <w:sz w:val="2"/>
          <w:szCs w:val="2"/>
          <w:rtl/>
        </w:rPr>
        <w:t>54678313</w:t>
      </w:r>
    </w:p>
    <w:p w14:paraId="7C1C9879" w14:textId="77777777" w:rsidR="00484725" w:rsidRPr="000F2247" w:rsidRDefault="00484725" w:rsidP="00484725">
      <w:pPr>
        <w:rPr>
          <w:rFonts w:ascii="Arial" w:hAnsi="Arial"/>
          <w:b/>
          <w:bCs/>
          <w:sz w:val="26"/>
          <w:szCs w:val="26"/>
          <w:rtl/>
        </w:rPr>
      </w:pPr>
    </w:p>
    <w:p w14:paraId="70125A15" w14:textId="77777777" w:rsidR="00484725" w:rsidRPr="000F2247" w:rsidRDefault="00ED7439" w:rsidP="00484725">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י"ח חשוון תשפ"ה, 19 נובמבר 2024, במעמד הצדדים. </w:t>
      </w:r>
      <w:bookmarkEnd w:id="8"/>
      <w:r w:rsidR="00484725">
        <w:rPr>
          <w:rFonts w:ascii="Arial" w:hAnsi="Arial"/>
          <w:b/>
          <w:bCs/>
          <w:sz w:val="26"/>
          <w:szCs w:val="26"/>
          <w:rtl/>
        </w:rPr>
        <w:tab/>
      </w:r>
      <w:r w:rsidR="00484725">
        <w:rPr>
          <w:rFonts w:ascii="Arial" w:hAnsi="Arial"/>
          <w:b/>
          <w:bCs/>
          <w:sz w:val="26"/>
          <w:szCs w:val="26"/>
          <w:rtl/>
        </w:rPr>
        <w:tab/>
      </w:r>
      <w:r w:rsidR="00484725">
        <w:rPr>
          <w:rFonts w:ascii="Arial" w:hAnsi="Arial"/>
          <w:b/>
          <w:bCs/>
          <w:sz w:val="26"/>
          <w:szCs w:val="26"/>
          <w:rtl/>
        </w:rPr>
        <w:tab/>
      </w:r>
      <w:r w:rsidR="00484725">
        <w:rPr>
          <w:rFonts w:ascii="Arial" w:hAnsi="Arial"/>
          <w:b/>
          <w:bCs/>
          <w:sz w:val="26"/>
          <w:szCs w:val="26"/>
          <w:rtl/>
        </w:rPr>
        <w:tab/>
      </w:r>
      <w:r w:rsidR="00484725">
        <w:rPr>
          <w:rFonts w:ascii="Arial" w:hAnsi="Arial"/>
          <w:b/>
          <w:bCs/>
          <w:sz w:val="26"/>
          <w:szCs w:val="26"/>
          <w:rtl/>
        </w:rPr>
        <w:tab/>
      </w:r>
      <w:r w:rsidR="00484725">
        <w:rPr>
          <w:rFonts w:ascii="Arial" w:hAnsi="Arial"/>
          <w:b/>
          <w:bCs/>
          <w:sz w:val="26"/>
          <w:szCs w:val="26"/>
          <w:rtl/>
        </w:rPr>
        <w:tab/>
      </w:r>
      <w:r w:rsidR="00484725">
        <w:rPr>
          <w:rFonts w:ascii="Arial" w:hAnsi="Arial"/>
          <w:b/>
          <w:bCs/>
          <w:sz w:val="26"/>
          <w:szCs w:val="26"/>
          <w:rtl/>
        </w:rPr>
        <w:tab/>
      </w:r>
      <w:r w:rsidR="00484725">
        <w:rPr>
          <w:rFonts w:ascii="Arial" w:hAnsi="Arial" w:hint="cs"/>
          <w:b/>
          <w:bCs/>
          <w:sz w:val="26"/>
          <w:szCs w:val="26"/>
          <w:rtl/>
        </w:rPr>
        <w:t xml:space="preserve">         </w:t>
      </w:r>
    </w:p>
    <w:p w14:paraId="0B16C8D9" w14:textId="77777777" w:rsidR="00484725" w:rsidRPr="000F2247" w:rsidRDefault="00484725" w:rsidP="00ED7439">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423F1FF" w14:textId="77777777" w:rsidR="00484725" w:rsidRPr="000F2247" w:rsidRDefault="00484725" w:rsidP="00484725">
      <w:pPr>
        <w:jc w:val="center"/>
        <w:rPr>
          <w:rFonts w:ascii="Arial" w:hAnsi="Arial"/>
          <w:b/>
          <w:bCs/>
          <w:sz w:val="26"/>
          <w:szCs w:val="26"/>
          <w:rtl/>
        </w:rPr>
      </w:pPr>
    </w:p>
    <w:p w14:paraId="720769D9" w14:textId="77777777" w:rsidR="00DD0F3C" w:rsidRPr="00ED7439" w:rsidRDefault="00DD0F3C" w:rsidP="00ED7439">
      <w:pPr>
        <w:keepNext/>
        <w:rPr>
          <w:rFonts w:ascii="David" w:hAnsi="David"/>
          <w:color w:val="000000"/>
          <w:sz w:val="22"/>
          <w:szCs w:val="22"/>
          <w:rtl/>
        </w:rPr>
      </w:pPr>
    </w:p>
    <w:p w14:paraId="21749C1A" w14:textId="77777777" w:rsidR="00ED7439" w:rsidRPr="00ED7439" w:rsidRDefault="00ED7439" w:rsidP="00ED7439">
      <w:pPr>
        <w:keepNext/>
        <w:rPr>
          <w:rFonts w:ascii="David" w:hAnsi="David"/>
          <w:color w:val="000000"/>
          <w:sz w:val="22"/>
          <w:szCs w:val="22"/>
          <w:rtl/>
        </w:rPr>
      </w:pPr>
      <w:r w:rsidRPr="00ED7439">
        <w:rPr>
          <w:rFonts w:ascii="David" w:hAnsi="David"/>
          <w:color w:val="000000"/>
          <w:sz w:val="22"/>
          <w:szCs w:val="22"/>
          <w:rtl/>
        </w:rPr>
        <w:t>יריב בן דוד 54678313</w:t>
      </w:r>
    </w:p>
    <w:p w14:paraId="11954513" w14:textId="77777777" w:rsidR="00ED7439" w:rsidRDefault="00ED7439" w:rsidP="00ED7439">
      <w:r w:rsidRPr="00ED7439">
        <w:rPr>
          <w:color w:val="000000"/>
          <w:rtl/>
        </w:rPr>
        <w:t>נוסח מסמך זה כפוף לשינויי ניסוח ועריכה</w:t>
      </w:r>
    </w:p>
    <w:p w14:paraId="2687A326" w14:textId="77777777" w:rsidR="00ED7439" w:rsidRDefault="00ED7439" w:rsidP="00ED7439">
      <w:pPr>
        <w:rPr>
          <w:rtl/>
        </w:rPr>
      </w:pPr>
    </w:p>
    <w:p w14:paraId="3C8AB9F4" w14:textId="77777777" w:rsidR="00ED7439" w:rsidRDefault="00ED7439" w:rsidP="00ED7439">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p>
    <w:p w14:paraId="310C949E" w14:textId="77777777" w:rsidR="00ED7439" w:rsidRPr="00ED7439" w:rsidRDefault="00ED7439" w:rsidP="00ED7439">
      <w:pPr>
        <w:jc w:val="center"/>
        <w:rPr>
          <w:color w:val="0000FF"/>
          <w:u w:val="single"/>
        </w:rPr>
      </w:pPr>
    </w:p>
    <w:sectPr w:rsidR="00ED7439" w:rsidRPr="00ED7439" w:rsidSect="00ED7439">
      <w:headerReference w:type="even" r:id="rId51"/>
      <w:headerReference w:type="default" r:id="rId52"/>
      <w:footerReference w:type="even" r:id="rId53"/>
      <w:footerReference w:type="default" r:id="rId5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C8C33F" w14:textId="77777777" w:rsidR="00240F1F" w:rsidRDefault="00240F1F" w:rsidP="00A44A32">
      <w:r>
        <w:separator/>
      </w:r>
    </w:p>
  </w:endnote>
  <w:endnote w:type="continuationSeparator" w:id="0">
    <w:p w14:paraId="2C7F1B1A" w14:textId="77777777" w:rsidR="00240F1F" w:rsidRDefault="00240F1F" w:rsidP="00A44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E505B" w14:textId="77777777" w:rsidR="00ED7439" w:rsidRDefault="00ED7439" w:rsidP="00ED7439">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64DA46C" w14:textId="77777777" w:rsidR="00B81292" w:rsidRPr="00ED7439" w:rsidRDefault="00ED7439" w:rsidP="00ED7439">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B8BD13" w14:textId="77777777" w:rsidR="00ED7439" w:rsidRDefault="00ED7439" w:rsidP="00ED7439">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91050">
      <w:rPr>
        <w:rFonts w:ascii="FrankRuehl" w:hAnsi="FrankRuehl" w:cs="FrankRuehl"/>
        <w:noProof/>
        <w:rtl/>
      </w:rPr>
      <w:t>1</w:t>
    </w:r>
    <w:r>
      <w:rPr>
        <w:rFonts w:ascii="FrankRuehl" w:hAnsi="FrankRuehl" w:cs="FrankRuehl"/>
        <w:rtl/>
      </w:rPr>
      <w:fldChar w:fldCharType="end"/>
    </w:r>
  </w:p>
  <w:p w14:paraId="1F3A5586" w14:textId="77777777" w:rsidR="00B81292" w:rsidRPr="00ED7439" w:rsidRDefault="00ED7439" w:rsidP="00ED7439">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DD975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5E994E" w14:textId="77777777" w:rsidR="00240F1F" w:rsidRDefault="00240F1F" w:rsidP="00A44A32">
      <w:r>
        <w:separator/>
      </w:r>
    </w:p>
  </w:footnote>
  <w:footnote w:type="continuationSeparator" w:id="0">
    <w:p w14:paraId="3393029D" w14:textId="77777777" w:rsidR="00240F1F" w:rsidRDefault="00240F1F" w:rsidP="00A44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6923E" w14:textId="77777777" w:rsidR="00ED7439" w:rsidRPr="00ED7439" w:rsidRDefault="00ED7439" w:rsidP="00ED7439">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48071-01-23</w:t>
    </w:r>
    <w:r>
      <w:rPr>
        <w:rFonts w:ascii="David" w:hAnsi="David"/>
        <w:color w:val="000000"/>
        <w:sz w:val="22"/>
        <w:szCs w:val="22"/>
        <w:rtl/>
      </w:rPr>
      <w:tab/>
      <w:t xml:space="preserve"> מדינת ישראל נ' שלום דיל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5745A" w14:textId="77777777" w:rsidR="00ED7439" w:rsidRPr="00ED7439" w:rsidRDefault="00ED7439" w:rsidP="00ED7439">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48071-01-23</w:t>
    </w:r>
    <w:r>
      <w:rPr>
        <w:rFonts w:ascii="David" w:hAnsi="David"/>
        <w:color w:val="000000"/>
        <w:sz w:val="22"/>
        <w:szCs w:val="22"/>
        <w:rtl/>
      </w:rPr>
      <w:tab/>
      <w:t xml:space="preserve"> מדינת ישראל נ' שלום דיל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94128F"/>
    <w:multiLevelType w:val="multilevel"/>
    <w:tmpl w:val="1C6E044E"/>
    <w:lvl w:ilvl="0">
      <w:start w:val="1"/>
      <w:numFmt w:val="decimal"/>
      <w:lvlText w:val="%1."/>
      <w:lvlJc w:val="left"/>
      <w:pPr>
        <w:tabs>
          <w:tab w:val="num" w:pos="720"/>
        </w:tabs>
        <w:ind w:left="720" w:hanging="360"/>
      </w:pPr>
    </w:lvl>
    <w:lvl w:ilvl="1">
      <w:start w:val="1"/>
      <w:numFmt w:val="decimal"/>
      <w:pStyle w:val="a"/>
      <w:lvlText w:val="%2."/>
      <w:lvlJc w:val="left"/>
      <w:pPr>
        <w:tabs>
          <w:tab w:val="num" w:pos="643"/>
        </w:tabs>
        <w:ind w:left="643" w:hanging="360"/>
      </w:pPr>
    </w:lvl>
    <w:lvl w:ilvl="2">
      <w:start w:val="1"/>
      <w:numFmt w:val="decimal"/>
      <w:isLgl/>
      <w:lvlText w:val="%1.%2.%3"/>
      <w:lvlJc w:val="left"/>
      <w:pPr>
        <w:tabs>
          <w:tab w:val="num" w:pos="1800"/>
        </w:tabs>
        <w:ind w:left="180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880"/>
        </w:tabs>
        <w:ind w:left="2880" w:hanging="1080"/>
      </w:pPr>
    </w:lvl>
    <w:lvl w:ilvl="5">
      <w:start w:val="1"/>
      <w:numFmt w:val="decimal"/>
      <w:isLgl/>
      <w:lvlText w:val="%1.%2.%3.%4.%5.%6"/>
      <w:lvlJc w:val="left"/>
      <w:pPr>
        <w:tabs>
          <w:tab w:val="num" w:pos="3240"/>
        </w:tabs>
        <w:ind w:left="3240" w:hanging="1080"/>
      </w:pPr>
    </w:lvl>
    <w:lvl w:ilvl="6">
      <w:start w:val="1"/>
      <w:numFmt w:val="decimal"/>
      <w:isLgl/>
      <w:lvlText w:val="%1.%2.%3.%4.%5.%6.%7"/>
      <w:lvlJc w:val="left"/>
      <w:pPr>
        <w:tabs>
          <w:tab w:val="num" w:pos="3600"/>
        </w:tabs>
        <w:ind w:left="3600" w:hanging="1080"/>
      </w:pPr>
    </w:lvl>
    <w:lvl w:ilvl="7">
      <w:start w:val="1"/>
      <w:numFmt w:val="decimal"/>
      <w:isLgl/>
      <w:lvlText w:val="%1.%2.%3.%4.%5.%6.%7.%8"/>
      <w:lvlJc w:val="left"/>
      <w:pPr>
        <w:tabs>
          <w:tab w:val="num" w:pos="4320"/>
        </w:tabs>
        <w:ind w:left="4320" w:hanging="1440"/>
      </w:pPr>
    </w:lvl>
    <w:lvl w:ilvl="8">
      <w:start w:val="1"/>
      <w:numFmt w:val="decimal"/>
      <w:isLgl/>
      <w:lvlText w:val="%1.%2.%3.%4.%5.%6.%7.%8.%9"/>
      <w:lvlJc w:val="left"/>
      <w:pPr>
        <w:tabs>
          <w:tab w:val="num" w:pos="4680"/>
        </w:tabs>
        <w:ind w:left="4680" w:hanging="1440"/>
      </w:pPr>
    </w:lvl>
  </w:abstractNum>
  <w:abstractNum w:abstractNumId="1" w15:restartNumberingAfterBreak="0">
    <w:nsid w:val="5BFD4701"/>
    <w:multiLevelType w:val="hybridMultilevel"/>
    <w:tmpl w:val="45320168"/>
    <w:lvl w:ilvl="0" w:tplc="C1BE38A4">
      <w:start w:val="1"/>
      <w:numFmt w:val="bullet"/>
      <w:lvlText w:val=""/>
      <w:lvlJc w:val="left"/>
      <w:pPr>
        <w:ind w:left="720" w:hanging="360"/>
      </w:pPr>
      <w:rPr>
        <w:rFonts w:ascii="Symbol" w:hAnsi="Symbol" w:hint="default"/>
      </w:rPr>
    </w:lvl>
    <w:lvl w:ilvl="1" w:tplc="7EB09166">
      <w:start w:val="1"/>
      <w:numFmt w:val="bullet"/>
      <w:lvlText w:val="o"/>
      <w:lvlJc w:val="left"/>
      <w:pPr>
        <w:ind w:left="1440" w:hanging="360"/>
      </w:pPr>
      <w:rPr>
        <w:rFonts w:ascii="Courier New" w:hAnsi="Courier New" w:cs="Times New Roman" w:hint="default"/>
      </w:rPr>
    </w:lvl>
    <w:lvl w:ilvl="2" w:tplc="90E63AEA">
      <w:start w:val="1"/>
      <w:numFmt w:val="bullet"/>
      <w:lvlText w:val=""/>
      <w:lvlJc w:val="left"/>
      <w:pPr>
        <w:ind w:left="2160" w:hanging="360"/>
      </w:pPr>
      <w:rPr>
        <w:rFonts w:ascii="Wingdings" w:hAnsi="Wingdings" w:hint="default"/>
      </w:rPr>
    </w:lvl>
    <w:lvl w:ilvl="3" w:tplc="B158F42C">
      <w:start w:val="1"/>
      <w:numFmt w:val="bullet"/>
      <w:lvlText w:val=""/>
      <w:lvlJc w:val="left"/>
      <w:pPr>
        <w:ind w:left="2880" w:hanging="360"/>
      </w:pPr>
      <w:rPr>
        <w:rFonts w:ascii="Symbol" w:hAnsi="Symbol" w:hint="default"/>
      </w:rPr>
    </w:lvl>
    <w:lvl w:ilvl="4" w:tplc="C8F043C4">
      <w:start w:val="1"/>
      <w:numFmt w:val="bullet"/>
      <w:lvlText w:val="o"/>
      <w:lvlJc w:val="left"/>
      <w:pPr>
        <w:ind w:left="3600" w:hanging="360"/>
      </w:pPr>
      <w:rPr>
        <w:rFonts w:ascii="Courier New" w:hAnsi="Courier New" w:cs="Times New Roman" w:hint="default"/>
      </w:rPr>
    </w:lvl>
    <w:lvl w:ilvl="5" w:tplc="082CEAB8">
      <w:start w:val="1"/>
      <w:numFmt w:val="bullet"/>
      <w:lvlText w:val=""/>
      <w:lvlJc w:val="left"/>
      <w:pPr>
        <w:ind w:left="4320" w:hanging="360"/>
      </w:pPr>
      <w:rPr>
        <w:rFonts w:ascii="Wingdings" w:hAnsi="Wingdings" w:hint="default"/>
      </w:rPr>
    </w:lvl>
    <w:lvl w:ilvl="6" w:tplc="38883208">
      <w:start w:val="1"/>
      <w:numFmt w:val="bullet"/>
      <w:lvlText w:val=""/>
      <w:lvlJc w:val="left"/>
      <w:pPr>
        <w:ind w:left="5040" w:hanging="360"/>
      </w:pPr>
      <w:rPr>
        <w:rFonts w:ascii="Symbol" w:hAnsi="Symbol" w:hint="default"/>
      </w:rPr>
    </w:lvl>
    <w:lvl w:ilvl="7" w:tplc="DC44CEAC">
      <w:start w:val="1"/>
      <w:numFmt w:val="bullet"/>
      <w:lvlText w:val="o"/>
      <w:lvlJc w:val="left"/>
      <w:pPr>
        <w:ind w:left="5760" w:hanging="360"/>
      </w:pPr>
      <w:rPr>
        <w:rFonts w:ascii="Courier New" w:hAnsi="Courier New" w:cs="Times New Roman" w:hint="default"/>
      </w:rPr>
    </w:lvl>
    <w:lvl w:ilvl="8" w:tplc="35CC540C">
      <w:start w:val="1"/>
      <w:numFmt w:val="bullet"/>
      <w:lvlText w:val=""/>
      <w:lvlJc w:val="left"/>
      <w:pPr>
        <w:ind w:left="6480" w:hanging="360"/>
      </w:pPr>
      <w:rPr>
        <w:rFonts w:ascii="Wingdings" w:hAnsi="Wingdings" w:hint="default"/>
      </w:rPr>
    </w:lvl>
  </w:abstractNum>
  <w:abstractNum w:abstractNumId="2" w15:restartNumberingAfterBreak="0">
    <w:nsid w:val="72685967"/>
    <w:multiLevelType w:val="hybridMultilevel"/>
    <w:tmpl w:val="E8C20146"/>
    <w:lvl w:ilvl="0" w:tplc="736A06A8">
      <w:start w:val="1"/>
      <w:numFmt w:val="hebrew1"/>
      <w:pStyle w:val="a0"/>
      <w:lvlText w:val="%1."/>
      <w:lvlJc w:val="center"/>
      <w:pPr>
        <w:ind w:left="1080" w:hanging="360"/>
      </w:pPr>
      <w:rPr>
        <w:lang w:val="en-US"/>
      </w:rPr>
    </w:lvl>
    <w:lvl w:ilvl="1" w:tplc="A204F314">
      <w:start w:val="1"/>
      <w:numFmt w:val="lowerLetter"/>
      <w:lvlText w:val="%2."/>
      <w:lvlJc w:val="left"/>
      <w:pPr>
        <w:ind w:left="1800" w:hanging="360"/>
      </w:pPr>
    </w:lvl>
    <w:lvl w:ilvl="2" w:tplc="C5DAF54C">
      <w:start w:val="1"/>
      <w:numFmt w:val="lowerRoman"/>
      <w:lvlText w:val="%3."/>
      <w:lvlJc w:val="right"/>
      <w:pPr>
        <w:ind w:left="2520" w:hanging="180"/>
      </w:pPr>
    </w:lvl>
    <w:lvl w:ilvl="3" w:tplc="F716C6D0">
      <w:start w:val="1"/>
      <w:numFmt w:val="decimal"/>
      <w:lvlText w:val="%4."/>
      <w:lvlJc w:val="left"/>
      <w:pPr>
        <w:ind w:left="3240" w:hanging="360"/>
      </w:pPr>
    </w:lvl>
    <w:lvl w:ilvl="4" w:tplc="D3B2ED4E">
      <w:start w:val="1"/>
      <w:numFmt w:val="lowerLetter"/>
      <w:lvlText w:val="%5."/>
      <w:lvlJc w:val="left"/>
      <w:pPr>
        <w:ind w:left="3960" w:hanging="360"/>
      </w:pPr>
    </w:lvl>
    <w:lvl w:ilvl="5" w:tplc="50343878">
      <w:start w:val="1"/>
      <w:numFmt w:val="lowerRoman"/>
      <w:lvlText w:val="%6."/>
      <w:lvlJc w:val="right"/>
      <w:pPr>
        <w:ind w:left="4680" w:hanging="180"/>
      </w:pPr>
    </w:lvl>
    <w:lvl w:ilvl="6" w:tplc="E0CC9760">
      <w:start w:val="1"/>
      <w:numFmt w:val="decimal"/>
      <w:lvlText w:val="%7."/>
      <w:lvlJc w:val="left"/>
      <w:pPr>
        <w:ind w:left="5400" w:hanging="360"/>
      </w:pPr>
    </w:lvl>
    <w:lvl w:ilvl="7" w:tplc="B65C650E">
      <w:start w:val="1"/>
      <w:numFmt w:val="lowerLetter"/>
      <w:lvlText w:val="%8."/>
      <w:lvlJc w:val="left"/>
      <w:pPr>
        <w:ind w:left="6120" w:hanging="360"/>
      </w:pPr>
    </w:lvl>
    <w:lvl w:ilvl="8" w:tplc="378AF4AC">
      <w:start w:val="1"/>
      <w:numFmt w:val="lowerRoman"/>
      <w:lvlText w:val="%9."/>
      <w:lvlJc w:val="right"/>
      <w:pPr>
        <w:ind w:left="6840" w:hanging="180"/>
      </w:pPr>
    </w:lvl>
  </w:abstractNum>
  <w:num w:numId="1" w16cid:durableId="4820441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434243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853849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67910699">
    <w:abstractNumId w:val="1"/>
  </w:num>
  <w:num w:numId="5" w16cid:durableId="55654704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84725"/>
    <w:rsid w:val="00045D48"/>
    <w:rsid w:val="00240F1F"/>
    <w:rsid w:val="00484725"/>
    <w:rsid w:val="00586502"/>
    <w:rsid w:val="009432FE"/>
    <w:rsid w:val="00A44A32"/>
    <w:rsid w:val="00B81292"/>
    <w:rsid w:val="00B92735"/>
    <w:rsid w:val="00DD0F3C"/>
    <w:rsid w:val="00E91050"/>
    <w:rsid w:val="00ED74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BEBAAB"/>
  <w15:chartTrackingRefBased/>
  <w15:docId w15:val="{DDBE1ECE-6064-40BD-9A17-0D2D7133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484725"/>
    <w:pPr>
      <w:bidi/>
    </w:pPr>
    <w:rPr>
      <w:rFonts w:ascii="Times New Roman" w:eastAsia="Times New Roman" w:hAnsi="Times New Roman" w:cs="David"/>
      <w:sz w:val="24"/>
      <w:szCs w:val="24"/>
    </w:rPr>
  </w:style>
  <w:style w:type="paragraph" w:styleId="1">
    <w:name w:val="heading 1"/>
    <w:basedOn w:val="a1"/>
    <w:next w:val="a1"/>
    <w:link w:val="10"/>
    <w:qFormat/>
    <w:rsid w:val="00484725"/>
    <w:pPr>
      <w:keepNext/>
      <w:keepLines/>
      <w:spacing w:before="240"/>
      <w:outlineLvl w:val="0"/>
    </w:pPr>
    <w:rPr>
      <w:rFonts w:ascii="Calibri Light" w:hAnsi="Calibri Light" w:cs="Times New Roman"/>
      <w:color w:val="2E74B5"/>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484725"/>
    <w:pPr>
      <w:tabs>
        <w:tab w:val="center" w:pos="4153"/>
        <w:tab w:val="right" w:pos="8306"/>
      </w:tabs>
    </w:pPr>
  </w:style>
  <w:style w:type="character" w:customStyle="1" w:styleId="a6">
    <w:name w:val="כותרת עליונה תו"/>
    <w:link w:val="a5"/>
    <w:rsid w:val="00484725"/>
    <w:rPr>
      <w:rFonts w:ascii="Times New Roman" w:eastAsia="Times New Roman" w:hAnsi="Times New Roman" w:cs="David"/>
      <w:sz w:val="24"/>
      <w:szCs w:val="24"/>
    </w:rPr>
  </w:style>
  <w:style w:type="paragraph" w:styleId="a7">
    <w:name w:val="footer"/>
    <w:basedOn w:val="a1"/>
    <w:link w:val="a8"/>
    <w:rsid w:val="00484725"/>
    <w:pPr>
      <w:tabs>
        <w:tab w:val="center" w:pos="4153"/>
        <w:tab w:val="right" w:pos="8306"/>
      </w:tabs>
    </w:pPr>
  </w:style>
  <w:style w:type="character" w:customStyle="1" w:styleId="a8">
    <w:name w:val="כותרת תחתונה תו"/>
    <w:link w:val="a7"/>
    <w:rsid w:val="00484725"/>
    <w:rPr>
      <w:rFonts w:ascii="Times New Roman" w:eastAsia="Times New Roman" w:hAnsi="Times New Roman" w:cs="David"/>
      <w:sz w:val="24"/>
      <w:szCs w:val="24"/>
    </w:rPr>
  </w:style>
  <w:style w:type="table" w:styleId="a9">
    <w:name w:val="Table Grid"/>
    <w:basedOn w:val="a3"/>
    <w:rsid w:val="0048472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484725"/>
  </w:style>
  <w:style w:type="paragraph" w:customStyle="1" w:styleId="ab">
    <w:name w:val="ללא מספור"/>
    <w:rsid w:val="00484725"/>
    <w:pPr>
      <w:bidi/>
      <w:spacing w:after="240" w:line="360" w:lineRule="auto"/>
      <w:ind w:left="651" w:hanging="7"/>
      <w:jc w:val="both"/>
    </w:pPr>
    <w:rPr>
      <w:rFonts w:ascii="David" w:hAnsi="David" w:cs="David"/>
      <w:sz w:val="24"/>
      <w:szCs w:val="24"/>
    </w:rPr>
  </w:style>
  <w:style w:type="paragraph" w:customStyle="1" w:styleId="a">
    <w:name w:val="ממוספר"/>
    <w:basedOn w:val="ac"/>
    <w:next w:val="ab"/>
    <w:rsid w:val="00484725"/>
    <w:pPr>
      <w:numPr>
        <w:ilvl w:val="1"/>
        <w:numId w:val="1"/>
      </w:numPr>
      <w:tabs>
        <w:tab w:val="clear" w:pos="643"/>
        <w:tab w:val="num" w:pos="360"/>
        <w:tab w:val="num" w:pos="1440"/>
      </w:tabs>
      <w:spacing w:after="240" w:line="360" w:lineRule="auto"/>
      <w:ind w:left="720" w:firstLine="0"/>
      <w:contextualSpacing w:val="0"/>
      <w:jc w:val="both"/>
    </w:pPr>
    <w:rPr>
      <w:rFonts w:ascii="David" w:eastAsia="David" w:hAnsi="David"/>
    </w:rPr>
  </w:style>
  <w:style w:type="paragraph" w:customStyle="1" w:styleId="11">
    <w:name w:val="כותר 1"/>
    <w:basedOn w:val="1"/>
    <w:rsid w:val="00484725"/>
    <w:pPr>
      <w:spacing w:after="240" w:line="360" w:lineRule="auto"/>
    </w:pPr>
    <w:rPr>
      <w:rFonts w:ascii="Arial" w:eastAsia="David" w:hAnsi="Arial" w:cs="David"/>
      <w:b/>
      <w:bCs/>
      <w:color w:val="auto"/>
      <w:sz w:val="24"/>
      <w:szCs w:val="24"/>
      <w:u w:val="single"/>
    </w:rPr>
  </w:style>
  <w:style w:type="paragraph" w:customStyle="1" w:styleId="ad">
    <w:name w:val="צטוט"/>
    <w:next w:val="ab"/>
    <w:rsid w:val="00484725"/>
    <w:pPr>
      <w:bidi/>
      <w:spacing w:after="240" w:line="276" w:lineRule="auto"/>
      <w:ind w:left="1503" w:right="709"/>
      <w:jc w:val="both"/>
    </w:pPr>
    <w:rPr>
      <w:rFonts w:ascii="David" w:hAnsi="David" w:cs="David"/>
      <w:i/>
      <w:iCs/>
      <w:sz w:val="24"/>
      <w:szCs w:val="24"/>
    </w:rPr>
  </w:style>
  <w:style w:type="paragraph" w:customStyle="1" w:styleId="-">
    <w:name w:val="ללא מספור - אות"/>
    <w:rsid w:val="00484725"/>
    <w:pPr>
      <w:bidi/>
      <w:spacing w:after="120" w:line="360" w:lineRule="auto"/>
      <w:ind w:left="1218"/>
      <w:jc w:val="both"/>
    </w:pPr>
    <w:rPr>
      <w:rFonts w:ascii="David" w:hAnsi="David" w:cs="David"/>
      <w:sz w:val="24"/>
      <w:szCs w:val="24"/>
    </w:rPr>
  </w:style>
  <w:style w:type="paragraph" w:customStyle="1" w:styleId="a0">
    <w:name w:val="מספור אות"/>
    <w:next w:val="-"/>
    <w:rsid w:val="00484725"/>
    <w:pPr>
      <w:numPr>
        <w:numId w:val="2"/>
      </w:numPr>
      <w:bidi/>
      <w:spacing w:before="240" w:after="120" w:line="360" w:lineRule="auto"/>
      <w:ind w:left="1218"/>
    </w:pPr>
    <w:rPr>
      <w:rFonts w:ascii="David" w:hAnsi="David" w:cs="David"/>
      <w:sz w:val="24"/>
      <w:szCs w:val="24"/>
    </w:rPr>
  </w:style>
  <w:style w:type="paragraph" w:styleId="ac">
    <w:name w:val="List Paragraph"/>
    <w:basedOn w:val="a1"/>
    <w:qFormat/>
    <w:rsid w:val="00484725"/>
    <w:pPr>
      <w:ind w:left="720"/>
      <w:contextualSpacing/>
    </w:pPr>
  </w:style>
  <w:style w:type="character" w:customStyle="1" w:styleId="10">
    <w:name w:val="כותרת 1 תו"/>
    <w:link w:val="1"/>
    <w:rsid w:val="00484725"/>
    <w:rPr>
      <w:rFonts w:ascii="Calibri Light" w:eastAsia="Times New Roman" w:hAnsi="Calibri Light" w:cs="Times New Roman"/>
      <w:color w:val="2E74B5"/>
      <w:sz w:val="32"/>
      <w:szCs w:val="32"/>
    </w:rPr>
  </w:style>
  <w:style w:type="character" w:styleId="Hyperlink">
    <w:name w:val="Hyperlink"/>
    <w:rsid w:val="00ED743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law/4216/7.c" TargetMode="External"/><Relationship Id="rId26" Type="http://schemas.openxmlformats.org/officeDocument/2006/relationships/hyperlink" Target="http://www.nevo.co.il/case/22217955" TargetMode="External"/><Relationship Id="rId39" Type="http://schemas.openxmlformats.org/officeDocument/2006/relationships/hyperlink" Target="http://www.nevo.co.il/case/30736826"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9276847" TargetMode="External"/><Relationship Id="rId42" Type="http://schemas.openxmlformats.org/officeDocument/2006/relationships/hyperlink" Target="http://www.nevo.co.il/law/70301/40d" TargetMode="External"/><Relationship Id="rId47" Type="http://schemas.openxmlformats.org/officeDocument/2006/relationships/hyperlink" Target="http://www.nevo.co.il/law/70301"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a" TargetMode="External"/><Relationship Id="rId29" Type="http://schemas.openxmlformats.org/officeDocument/2006/relationships/hyperlink" Target="http://www.nevo.co.il/case/29328498" TargetMode="External"/><Relationship Id="rId11" Type="http://schemas.openxmlformats.org/officeDocument/2006/relationships/hyperlink" Target="http://www.nevo.co.il/law/70301/40c.a" TargetMode="External"/><Relationship Id="rId24" Type="http://schemas.openxmlformats.org/officeDocument/2006/relationships/hyperlink" Target="http://www.nevo.co.il/case/23751286"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40ja" TargetMode="External"/><Relationship Id="rId40" Type="http://schemas.openxmlformats.org/officeDocument/2006/relationships/hyperlink" Target="http://www.nevo.co.il/law/70301/40c.b" TargetMode="External"/><Relationship Id="rId45" Type="http://schemas.openxmlformats.org/officeDocument/2006/relationships/hyperlink" Target="http://www.nevo.co.il/case/28226828"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law/70301" TargetMode="External"/><Relationship Id="rId19" Type="http://schemas.openxmlformats.org/officeDocument/2006/relationships/hyperlink" Target="http://www.nevo.co.il/law/4216" TargetMode="External"/><Relationship Id="rId31" Type="http://schemas.openxmlformats.org/officeDocument/2006/relationships/hyperlink" Target="http://www.nevo.co.il/law/70301/40i" TargetMode="External"/><Relationship Id="rId44" Type="http://schemas.openxmlformats.org/officeDocument/2006/relationships/hyperlink" Target="http://www.nevo.co.il/case/28280788"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d.a" TargetMode="External"/><Relationship Id="rId22" Type="http://schemas.openxmlformats.org/officeDocument/2006/relationships/hyperlink" Target="http://www.nevo.co.il/case/5763166" TargetMode="External"/><Relationship Id="rId27" Type="http://schemas.openxmlformats.org/officeDocument/2006/relationships/hyperlink" Target="http://www.nevo.co.il/case/20106875" TargetMode="External"/><Relationship Id="rId30" Type="http://schemas.openxmlformats.org/officeDocument/2006/relationships/hyperlink" Target="http://www.nevo.co.il/case/29319113" TargetMode="External"/><Relationship Id="rId35" Type="http://schemas.openxmlformats.org/officeDocument/2006/relationships/hyperlink" Target="http://www.nevo.co.il/case/28918663" TargetMode="External"/><Relationship Id="rId43" Type="http://schemas.openxmlformats.org/officeDocument/2006/relationships/hyperlink" Target="http://www.nevo.co.il/law/70301/40d.a" TargetMode="External"/><Relationship Id="rId48" Type="http://schemas.openxmlformats.org/officeDocument/2006/relationships/hyperlink" Target="http://www.nevo.co.il/case/23750488" TargetMode="External"/><Relationship Id="rId56" Type="http://schemas.openxmlformats.org/officeDocument/2006/relationships/theme" Target="theme/theme1.xml"/><Relationship Id="rId8" Type="http://schemas.openxmlformats.org/officeDocument/2006/relationships/hyperlink" Target="http://www.nevo.co.il/law/4216/7.a"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01/40c.b" TargetMode="External"/><Relationship Id="rId17" Type="http://schemas.openxmlformats.org/officeDocument/2006/relationships/hyperlink" Target="http://www.nevo.co.il/law/4216/7.a" TargetMode="External"/><Relationship Id="rId25" Type="http://schemas.openxmlformats.org/officeDocument/2006/relationships/hyperlink" Target="http://www.nevo.co.il/case/5601732" TargetMode="External"/><Relationship Id="rId33" Type="http://schemas.openxmlformats.org/officeDocument/2006/relationships/hyperlink" Target="http://www.nevo.co.il/case/30334007"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 TargetMode="External"/><Relationship Id="rId20" Type="http://schemas.openxmlformats.org/officeDocument/2006/relationships/hyperlink" Target="http://www.nevo.co.il/law/70301/40c.a" TargetMode="External"/><Relationship Id="rId41" Type="http://schemas.openxmlformats.org/officeDocument/2006/relationships/hyperlink" Target="http://www.nevo.co.il/law/70301"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i"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9724824" TargetMode="External"/><Relationship Id="rId36" Type="http://schemas.openxmlformats.org/officeDocument/2006/relationships/hyperlink" Target="http://www.nevo.co.il/case/5763169" TargetMode="External"/><Relationship Id="rId49" Type="http://schemas.openxmlformats.org/officeDocument/2006/relationships/hyperlink" Target="http://www.nevo.co.il/case/2741422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3324</Words>
  <Characters>16620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19905</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3145840</vt:i4>
      </vt:variant>
      <vt:variant>
        <vt:i4>126</vt:i4>
      </vt:variant>
      <vt:variant>
        <vt:i4>0</vt:i4>
      </vt:variant>
      <vt:variant>
        <vt:i4>5</vt:i4>
      </vt:variant>
      <vt:variant>
        <vt:lpwstr>http://www.nevo.co.il/case/27414229</vt:lpwstr>
      </vt:variant>
      <vt:variant>
        <vt:lpwstr/>
      </vt:variant>
      <vt:variant>
        <vt:i4>3997814</vt:i4>
      </vt:variant>
      <vt:variant>
        <vt:i4>123</vt:i4>
      </vt:variant>
      <vt:variant>
        <vt:i4>0</vt:i4>
      </vt:variant>
      <vt:variant>
        <vt:i4>5</vt:i4>
      </vt:variant>
      <vt:variant>
        <vt:lpwstr>http://www.nevo.co.il/case/23750488</vt:lpwstr>
      </vt:variant>
      <vt:variant>
        <vt:lpwstr/>
      </vt:variant>
      <vt:variant>
        <vt:i4>7995492</vt:i4>
      </vt:variant>
      <vt:variant>
        <vt:i4>120</vt:i4>
      </vt:variant>
      <vt:variant>
        <vt:i4>0</vt:i4>
      </vt:variant>
      <vt:variant>
        <vt:i4>5</vt:i4>
      </vt:variant>
      <vt:variant>
        <vt:lpwstr>http://www.nevo.co.il/law/70301</vt:lpwstr>
      </vt:variant>
      <vt:variant>
        <vt:lpwstr/>
      </vt:variant>
      <vt:variant>
        <vt:i4>7995492</vt:i4>
      </vt:variant>
      <vt:variant>
        <vt:i4>117</vt:i4>
      </vt:variant>
      <vt:variant>
        <vt:i4>0</vt:i4>
      </vt:variant>
      <vt:variant>
        <vt:i4>5</vt:i4>
      </vt:variant>
      <vt:variant>
        <vt:lpwstr>http://www.nevo.co.il/law/70301</vt:lpwstr>
      </vt:variant>
      <vt:variant>
        <vt:lpwstr/>
      </vt:variant>
      <vt:variant>
        <vt:i4>3407990</vt:i4>
      </vt:variant>
      <vt:variant>
        <vt:i4>114</vt:i4>
      </vt:variant>
      <vt:variant>
        <vt:i4>0</vt:i4>
      </vt:variant>
      <vt:variant>
        <vt:i4>5</vt:i4>
      </vt:variant>
      <vt:variant>
        <vt:lpwstr>http://www.nevo.co.il/case/28226828</vt:lpwstr>
      </vt:variant>
      <vt:variant>
        <vt:lpwstr/>
      </vt:variant>
      <vt:variant>
        <vt:i4>3670131</vt:i4>
      </vt:variant>
      <vt:variant>
        <vt:i4>111</vt:i4>
      </vt:variant>
      <vt:variant>
        <vt:i4>0</vt:i4>
      </vt:variant>
      <vt:variant>
        <vt:i4>5</vt:i4>
      </vt:variant>
      <vt:variant>
        <vt:lpwstr>http://www.nevo.co.il/case/28280788</vt:lpwstr>
      </vt:variant>
      <vt:variant>
        <vt:lpwstr/>
      </vt:variant>
      <vt:variant>
        <vt:i4>4915205</vt:i4>
      </vt:variant>
      <vt:variant>
        <vt:i4>108</vt:i4>
      </vt:variant>
      <vt:variant>
        <vt:i4>0</vt:i4>
      </vt:variant>
      <vt:variant>
        <vt:i4>5</vt:i4>
      </vt:variant>
      <vt:variant>
        <vt:lpwstr>http://www.nevo.co.il/law/70301/40d.a</vt:lpwstr>
      </vt:variant>
      <vt:variant>
        <vt:lpwstr/>
      </vt:variant>
      <vt:variant>
        <vt:i4>6619233</vt:i4>
      </vt:variant>
      <vt:variant>
        <vt:i4>105</vt:i4>
      </vt:variant>
      <vt:variant>
        <vt:i4>0</vt:i4>
      </vt:variant>
      <vt:variant>
        <vt:i4>5</vt:i4>
      </vt:variant>
      <vt:variant>
        <vt:lpwstr>http://www.nevo.co.il/law/70301/40d</vt:lpwstr>
      </vt:variant>
      <vt:variant>
        <vt:lpwstr/>
      </vt:variant>
      <vt:variant>
        <vt:i4>7995492</vt:i4>
      </vt:variant>
      <vt:variant>
        <vt:i4>102</vt:i4>
      </vt:variant>
      <vt:variant>
        <vt:i4>0</vt:i4>
      </vt:variant>
      <vt:variant>
        <vt:i4>5</vt:i4>
      </vt:variant>
      <vt:variant>
        <vt:lpwstr>http://www.nevo.co.il/law/70301</vt:lpwstr>
      </vt:variant>
      <vt:variant>
        <vt:lpwstr/>
      </vt:variant>
      <vt:variant>
        <vt:i4>4915202</vt:i4>
      </vt:variant>
      <vt:variant>
        <vt:i4>99</vt:i4>
      </vt:variant>
      <vt:variant>
        <vt:i4>0</vt:i4>
      </vt:variant>
      <vt:variant>
        <vt:i4>5</vt:i4>
      </vt:variant>
      <vt:variant>
        <vt:lpwstr>http://www.nevo.co.il/law/70301/40c.b</vt:lpwstr>
      </vt:variant>
      <vt:variant>
        <vt:lpwstr/>
      </vt:variant>
      <vt:variant>
        <vt:i4>3145855</vt:i4>
      </vt:variant>
      <vt:variant>
        <vt:i4>96</vt:i4>
      </vt:variant>
      <vt:variant>
        <vt:i4>0</vt:i4>
      </vt:variant>
      <vt:variant>
        <vt:i4>5</vt:i4>
      </vt:variant>
      <vt:variant>
        <vt:lpwstr>http://www.nevo.co.il/case/30736826</vt:lpwstr>
      </vt:variant>
      <vt:variant>
        <vt:lpwstr/>
      </vt:variant>
      <vt:variant>
        <vt:i4>7995492</vt:i4>
      </vt:variant>
      <vt:variant>
        <vt:i4>93</vt:i4>
      </vt:variant>
      <vt:variant>
        <vt:i4>0</vt:i4>
      </vt:variant>
      <vt:variant>
        <vt:i4>5</vt:i4>
      </vt:variant>
      <vt:variant>
        <vt:lpwstr>http://www.nevo.co.il/law/70301</vt:lpwstr>
      </vt:variant>
      <vt:variant>
        <vt:lpwstr/>
      </vt:variant>
      <vt:variant>
        <vt:i4>262155</vt:i4>
      </vt:variant>
      <vt:variant>
        <vt:i4>90</vt:i4>
      </vt:variant>
      <vt:variant>
        <vt:i4>0</vt:i4>
      </vt:variant>
      <vt:variant>
        <vt:i4>5</vt:i4>
      </vt:variant>
      <vt:variant>
        <vt:lpwstr>http://www.nevo.co.il/law/70301/40ja</vt:lpwstr>
      </vt:variant>
      <vt:variant>
        <vt:lpwstr/>
      </vt:variant>
      <vt:variant>
        <vt:i4>3866742</vt:i4>
      </vt:variant>
      <vt:variant>
        <vt:i4>87</vt:i4>
      </vt:variant>
      <vt:variant>
        <vt:i4>0</vt:i4>
      </vt:variant>
      <vt:variant>
        <vt:i4>5</vt:i4>
      </vt:variant>
      <vt:variant>
        <vt:lpwstr>http://www.nevo.co.il/case/5763169</vt:lpwstr>
      </vt:variant>
      <vt:variant>
        <vt:lpwstr/>
      </vt:variant>
      <vt:variant>
        <vt:i4>3473531</vt:i4>
      </vt:variant>
      <vt:variant>
        <vt:i4>84</vt:i4>
      </vt:variant>
      <vt:variant>
        <vt:i4>0</vt:i4>
      </vt:variant>
      <vt:variant>
        <vt:i4>5</vt:i4>
      </vt:variant>
      <vt:variant>
        <vt:lpwstr>http://www.nevo.co.il/case/28918663</vt:lpwstr>
      </vt:variant>
      <vt:variant>
        <vt:lpwstr/>
      </vt:variant>
      <vt:variant>
        <vt:i4>3276914</vt:i4>
      </vt:variant>
      <vt:variant>
        <vt:i4>81</vt:i4>
      </vt:variant>
      <vt:variant>
        <vt:i4>0</vt:i4>
      </vt:variant>
      <vt:variant>
        <vt:i4>5</vt:i4>
      </vt:variant>
      <vt:variant>
        <vt:lpwstr>http://www.nevo.co.il/case/29276847</vt:lpwstr>
      </vt:variant>
      <vt:variant>
        <vt:lpwstr/>
      </vt:variant>
      <vt:variant>
        <vt:i4>3407991</vt:i4>
      </vt:variant>
      <vt:variant>
        <vt:i4>78</vt:i4>
      </vt:variant>
      <vt:variant>
        <vt:i4>0</vt:i4>
      </vt:variant>
      <vt:variant>
        <vt:i4>5</vt:i4>
      </vt:variant>
      <vt:variant>
        <vt:lpwstr>http://www.nevo.co.il/case/30334007</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http://www.nevo.co.il/law/70301/40i</vt:lpwstr>
      </vt:variant>
      <vt:variant>
        <vt:lpwstr/>
      </vt:variant>
      <vt:variant>
        <vt:i4>3735677</vt:i4>
      </vt:variant>
      <vt:variant>
        <vt:i4>69</vt:i4>
      </vt:variant>
      <vt:variant>
        <vt:i4>0</vt:i4>
      </vt:variant>
      <vt:variant>
        <vt:i4>5</vt:i4>
      </vt:variant>
      <vt:variant>
        <vt:lpwstr>http://www.nevo.co.il/case/29319113</vt:lpwstr>
      </vt:variant>
      <vt:variant>
        <vt:lpwstr/>
      </vt:variant>
      <vt:variant>
        <vt:i4>3145851</vt:i4>
      </vt:variant>
      <vt:variant>
        <vt:i4>66</vt:i4>
      </vt:variant>
      <vt:variant>
        <vt:i4>0</vt:i4>
      </vt:variant>
      <vt:variant>
        <vt:i4>5</vt:i4>
      </vt:variant>
      <vt:variant>
        <vt:lpwstr>http://www.nevo.co.il/case/29328498</vt:lpwstr>
      </vt:variant>
      <vt:variant>
        <vt:lpwstr/>
      </vt:variant>
      <vt:variant>
        <vt:i4>3342455</vt:i4>
      </vt:variant>
      <vt:variant>
        <vt:i4>63</vt:i4>
      </vt:variant>
      <vt:variant>
        <vt:i4>0</vt:i4>
      </vt:variant>
      <vt:variant>
        <vt:i4>5</vt:i4>
      </vt:variant>
      <vt:variant>
        <vt:lpwstr>http://www.nevo.co.il/case/29724824</vt:lpwstr>
      </vt:variant>
      <vt:variant>
        <vt:lpwstr/>
      </vt:variant>
      <vt:variant>
        <vt:i4>3276924</vt:i4>
      </vt:variant>
      <vt:variant>
        <vt:i4>60</vt:i4>
      </vt:variant>
      <vt:variant>
        <vt:i4>0</vt:i4>
      </vt:variant>
      <vt:variant>
        <vt:i4>5</vt:i4>
      </vt:variant>
      <vt:variant>
        <vt:lpwstr>http://www.nevo.co.il/case/20106875</vt:lpwstr>
      </vt:variant>
      <vt:variant>
        <vt:lpwstr/>
      </vt:variant>
      <vt:variant>
        <vt:i4>3276926</vt:i4>
      </vt:variant>
      <vt:variant>
        <vt:i4>57</vt:i4>
      </vt:variant>
      <vt:variant>
        <vt:i4>0</vt:i4>
      </vt:variant>
      <vt:variant>
        <vt:i4>5</vt:i4>
      </vt:variant>
      <vt:variant>
        <vt:lpwstr>http://www.nevo.co.il/case/22217955</vt:lpwstr>
      </vt:variant>
      <vt:variant>
        <vt:lpwstr/>
      </vt:variant>
      <vt:variant>
        <vt:i4>3145840</vt:i4>
      </vt:variant>
      <vt:variant>
        <vt:i4>54</vt:i4>
      </vt:variant>
      <vt:variant>
        <vt:i4>0</vt:i4>
      </vt:variant>
      <vt:variant>
        <vt:i4>5</vt:i4>
      </vt:variant>
      <vt:variant>
        <vt:lpwstr>http://www.nevo.co.il/case/5601732</vt:lpwstr>
      </vt:variant>
      <vt:variant>
        <vt:lpwstr/>
      </vt:variant>
      <vt:variant>
        <vt:i4>3932272</vt:i4>
      </vt:variant>
      <vt:variant>
        <vt:i4>51</vt:i4>
      </vt:variant>
      <vt:variant>
        <vt:i4>0</vt:i4>
      </vt:variant>
      <vt:variant>
        <vt:i4>5</vt:i4>
      </vt:variant>
      <vt:variant>
        <vt:lpwstr>http://www.nevo.co.il/case/23751286</vt:lpwstr>
      </vt:variant>
      <vt:variant>
        <vt:lpwstr/>
      </vt:variant>
      <vt:variant>
        <vt:i4>7995492</vt:i4>
      </vt:variant>
      <vt:variant>
        <vt:i4>48</vt:i4>
      </vt:variant>
      <vt:variant>
        <vt:i4>0</vt:i4>
      </vt:variant>
      <vt:variant>
        <vt:i4>5</vt:i4>
      </vt:variant>
      <vt:variant>
        <vt:lpwstr>http://www.nevo.co.il/law/70301</vt:lpwstr>
      </vt:variant>
      <vt:variant>
        <vt:lpwstr/>
      </vt:variant>
      <vt:variant>
        <vt:i4>3407990</vt:i4>
      </vt:variant>
      <vt:variant>
        <vt:i4>45</vt:i4>
      </vt:variant>
      <vt:variant>
        <vt:i4>0</vt:i4>
      </vt:variant>
      <vt:variant>
        <vt:i4>5</vt:i4>
      </vt:variant>
      <vt:variant>
        <vt:lpwstr>http://www.nevo.co.il/case/5763166</vt:lpwstr>
      </vt:variant>
      <vt:variant>
        <vt:lpwstr/>
      </vt:variant>
      <vt:variant>
        <vt:i4>7995492</vt:i4>
      </vt:variant>
      <vt:variant>
        <vt:i4>42</vt:i4>
      </vt:variant>
      <vt:variant>
        <vt:i4>0</vt:i4>
      </vt:variant>
      <vt:variant>
        <vt:i4>5</vt:i4>
      </vt:variant>
      <vt:variant>
        <vt:lpwstr>http://www.nevo.co.il/law/70301</vt:lpwstr>
      </vt:variant>
      <vt:variant>
        <vt:lpwstr/>
      </vt:variant>
      <vt:variant>
        <vt:i4>4915202</vt:i4>
      </vt:variant>
      <vt:variant>
        <vt:i4>39</vt:i4>
      </vt:variant>
      <vt:variant>
        <vt:i4>0</vt:i4>
      </vt:variant>
      <vt:variant>
        <vt:i4>5</vt:i4>
      </vt:variant>
      <vt:variant>
        <vt:lpwstr>http://www.nevo.co.il/law/70301/40c.a</vt:lpwstr>
      </vt:variant>
      <vt:variant>
        <vt:lpwstr/>
      </vt:variant>
      <vt:variant>
        <vt:i4>8257637</vt:i4>
      </vt:variant>
      <vt:variant>
        <vt:i4>36</vt:i4>
      </vt:variant>
      <vt:variant>
        <vt:i4>0</vt:i4>
      </vt:variant>
      <vt:variant>
        <vt:i4>5</vt:i4>
      </vt:variant>
      <vt:variant>
        <vt:lpwstr>http://www.nevo.co.il/law/4216</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4915205</vt:i4>
      </vt:variant>
      <vt:variant>
        <vt:i4>21</vt:i4>
      </vt:variant>
      <vt:variant>
        <vt:i4>0</vt:i4>
      </vt:variant>
      <vt:variant>
        <vt:i4>5</vt:i4>
      </vt:variant>
      <vt:variant>
        <vt:lpwstr>http://www.nevo.co.il/law/70301/40d.a</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4915202</vt:i4>
      </vt:variant>
      <vt:variant>
        <vt:i4>15</vt:i4>
      </vt:variant>
      <vt:variant>
        <vt:i4>0</vt:i4>
      </vt:variant>
      <vt:variant>
        <vt:i4>5</vt:i4>
      </vt:variant>
      <vt:variant>
        <vt:lpwstr>http://www.nevo.co.il/law/70301/40c.b</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2025-04-23T01:41:00Z</dcterms:created>
  <dcterms:modified xsi:type="dcterms:W3CDTF">2025-04-23T01:41:00Z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48071</vt:lpwstr>
  </property>
  <property fmtid="{D5CDD505-2E9C-101B-9397-08002B2CF9AE}" pid="6" name="NEWPARTB">
    <vt:lpwstr>01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שלום דיל</vt:lpwstr>
  </property>
  <property fmtid="{D5CDD505-2E9C-101B-9397-08002B2CF9AE}" pid="10" name="LAWYER">
    <vt:lpwstr>יגאל קלנטרוב;אדיר בן לולו</vt:lpwstr>
  </property>
  <property fmtid="{D5CDD505-2E9C-101B-9397-08002B2CF9AE}" pid="11" name="JUDGE">
    <vt:lpwstr>יריב בן דוד</vt:lpwstr>
  </property>
  <property fmtid="{D5CDD505-2E9C-101B-9397-08002B2CF9AE}" pid="12" name="CITY">
    <vt:lpwstr>ב"ש</vt:lpwstr>
  </property>
  <property fmtid="{D5CDD505-2E9C-101B-9397-08002B2CF9AE}" pid="13" name="DATE">
    <vt:lpwstr>20241119</vt:lpwstr>
  </property>
  <property fmtid="{D5CDD505-2E9C-101B-9397-08002B2CF9AE}" pid="14" name="TYPE_N_DATE">
    <vt:lpwstr>38020241119</vt:lpwstr>
  </property>
  <property fmtid="{D5CDD505-2E9C-101B-9397-08002B2CF9AE}" pid="15" name="CASESLISTTMP1">
    <vt:lpwstr>5763166;23751286;5601732;22217955;20106875;29724824;29328498;29319113;30334007;29276847;28918663;5763169;30736826;28280788;28226828;23750488;27414229</vt:lpwstr>
  </property>
  <property fmtid="{D5CDD505-2E9C-101B-9397-08002B2CF9AE}" pid="16" name="CASENOTES1">
    <vt:lpwstr>ProcID=209&amp;PartA=5775&amp;PartB=02&amp;PartC=18</vt:lpwstr>
  </property>
  <property fmtid="{D5CDD505-2E9C-101B-9397-08002B2CF9AE}" pid="17" name="WORDNUMPAGES">
    <vt:lpwstr>11</vt:lpwstr>
  </property>
  <property fmtid="{D5CDD505-2E9C-101B-9397-08002B2CF9AE}" pid="18" name="TYPE_ABS_DATE">
    <vt:lpwstr>380020241119</vt:lpwstr>
  </property>
  <property fmtid="{D5CDD505-2E9C-101B-9397-08002B2CF9AE}" pid="19" name="ISABSTRACT">
    <vt:lpwstr>Y</vt:lpwstr>
  </property>
  <property fmtid="{D5CDD505-2E9C-101B-9397-08002B2CF9AE}" pid="20" name="LAWLISTTMP1">
    <vt:lpwstr>4216/007.a;007.c</vt:lpwstr>
  </property>
  <property fmtid="{D5CDD505-2E9C-101B-9397-08002B2CF9AE}" pid="21" name="LAWLISTTMP2">
    <vt:lpwstr>70301/040c.a;040i;40ja;040c.b;040d;040d.a</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ies>
</file>