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2505"/>
        <w:gridCol w:w="1703"/>
        <w:gridCol w:w="3689"/>
        <w:gridCol w:w="41"/>
      </w:tblGrid>
      <w:tr w:rsidR="00C9703A" w:rsidRPr="00A57F4B" w14:paraId="1FDA8D2E" w14:textId="77777777" w:rsidTr="00CF5484">
        <w:trPr>
          <w:trHeight w:hRule="exact" w:val="418"/>
          <w:jc w:val="center"/>
        </w:trPr>
        <w:tc>
          <w:tcPr>
            <w:tcW w:w="8861" w:type="dxa"/>
            <w:gridSpan w:val="5"/>
          </w:tcPr>
          <w:p w14:paraId="0F3FDBA9" w14:textId="77777777" w:rsidR="00C9703A" w:rsidRPr="00A57F4B" w:rsidRDefault="00C9703A" w:rsidP="00B62E23">
            <w:pPr>
              <w:pStyle w:val="a4"/>
              <w:jc w:val="center"/>
              <w:rPr>
                <w:rFonts w:ascii="Tahoma" w:hAnsi="Tahoma" w:cs="Tahoma"/>
                <w:color w:val="000080"/>
                <w:rtl/>
              </w:rPr>
            </w:pPr>
            <w:r w:rsidRPr="00A57F4B">
              <w:rPr>
                <w:rFonts w:ascii="Tahoma" w:hAnsi="Tahoma" w:cs="Tahoma"/>
                <w:b/>
                <w:bCs/>
                <w:color w:val="000080"/>
                <w:rtl/>
              </w:rPr>
              <w:t>בית משפט השלום בבאר שבע</w:t>
            </w:r>
          </w:p>
        </w:tc>
      </w:tr>
      <w:tr w:rsidR="00C9703A" w:rsidRPr="00A57F4B" w14:paraId="2693CBF4" w14:textId="77777777" w:rsidTr="00CF5484">
        <w:trPr>
          <w:trHeight w:val="337"/>
          <w:jc w:val="center"/>
        </w:trPr>
        <w:tc>
          <w:tcPr>
            <w:tcW w:w="5131" w:type="dxa"/>
            <w:gridSpan w:val="3"/>
          </w:tcPr>
          <w:p w14:paraId="1E66ECB0" w14:textId="77777777" w:rsidR="00C9703A" w:rsidRPr="00A57F4B" w:rsidRDefault="00C9703A" w:rsidP="00B62E23">
            <w:pPr>
              <w:rPr>
                <w:rFonts w:cs="FrankRuehl"/>
                <w:sz w:val="28"/>
                <w:szCs w:val="28"/>
                <w:rtl/>
              </w:rPr>
            </w:pPr>
            <w:r w:rsidRPr="00A57F4B">
              <w:rPr>
                <w:rFonts w:cs="FrankRuehl"/>
                <w:sz w:val="28"/>
                <w:szCs w:val="28"/>
                <w:rtl/>
              </w:rPr>
              <w:t>ת"פ</w:t>
            </w:r>
            <w:r w:rsidRPr="00A57F4B">
              <w:rPr>
                <w:rFonts w:cs="FrankRuehl" w:hint="cs"/>
                <w:sz w:val="28"/>
                <w:szCs w:val="28"/>
                <w:rtl/>
              </w:rPr>
              <w:t xml:space="preserve"> </w:t>
            </w:r>
            <w:r w:rsidRPr="00A57F4B">
              <w:rPr>
                <w:rFonts w:cs="FrankRuehl"/>
                <w:sz w:val="28"/>
                <w:szCs w:val="28"/>
                <w:rtl/>
              </w:rPr>
              <w:t>62242-01-23</w:t>
            </w:r>
            <w:r w:rsidRPr="00A57F4B">
              <w:rPr>
                <w:rFonts w:cs="FrankRuehl" w:hint="cs"/>
                <w:sz w:val="28"/>
                <w:szCs w:val="28"/>
                <w:rtl/>
              </w:rPr>
              <w:t xml:space="preserve"> </w:t>
            </w:r>
            <w:r w:rsidRPr="00A57F4B">
              <w:rPr>
                <w:rFonts w:cs="FrankRuehl"/>
                <w:sz w:val="28"/>
                <w:szCs w:val="28"/>
                <w:rtl/>
              </w:rPr>
              <w:t>מדינת ישראל נ' אבו חביזה(עציר)</w:t>
            </w:r>
          </w:p>
          <w:p w14:paraId="6D92E0A5" w14:textId="77777777" w:rsidR="00C9703A" w:rsidRPr="00A57F4B" w:rsidRDefault="00C9703A" w:rsidP="00B62E23">
            <w:pPr>
              <w:pStyle w:val="a4"/>
              <w:rPr>
                <w:rFonts w:cs="FrankRuehl"/>
                <w:sz w:val="28"/>
                <w:szCs w:val="28"/>
                <w:rtl/>
              </w:rPr>
            </w:pPr>
          </w:p>
        </w:tc>
        <w:tc>
          <w:tcPr>
            <w:tcW w:w="3730" w:type="dxa"/>
            <w:gridSpan w:val="2"/>
          </w:tcPr>
          <w:p w14:paraId="36C10970" w14:textId="77777777" w:rsidR="00C9703A" w:rsidRPr="00A57F4B" w:rsidRDefault="00C9703A" w:rsidP="00B62E23">
            <w:pPr>
              <w:pStyle w:val="a4"/>
              <w:jc w:val="right"/>
              <w:rPr>
                <w:rFonts w:cs="FrankRuehl"/>
                <w:sz w:val="28"/>
                <w:szCs w:val="28"/>
                <w:rtl/>
              </w:rPr>
            </w:pPr>
          </w:p>
        </w:tc>
      </w:tr>
      <w:tr w:rsidR="00C9703A" w:rsidRPr="00A57F4B" w14:paraId="4412436A" w14:textId="77777777" w:rsidTr="00CF54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0F04274F" w14:textId="77777777" w:rsidR="00C9703A" w:rsidRPr="00A57F4B" w:rsidRDefault="00C9703A" w:rsidP="00C9703A">
            <w:pPr>
              <w:jc w:val="both"/>
              <w:rPr>
                <w:rFonts w:ascii="David" w:hAnsi="David"/>
                <w:sz w:val="26"/>
                <w:szCs w:val="26"/>
              </w:rPr>
            </w:pPr>
            <w:r w:rsidRPr="00A57F4B">
              <w:rPr>
                <w:rFonts w:hint="cs"/>
                <w:rtl/>
              </w:rPr>
              <w:t xml:space="preserve"> </w:t>
            </w:r>
            <w:r w:rsidRPr="00A57F4B">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2D64C91B" w14:textId="77777777" w:rsidR="00C9703A" w:rsidRPr="00A57F4B" w:rsidRDefault="00C9703A" w:rsidP="00B62E23">
            <w:pPr>
              <w:rPr>
                <w:rFonts w:ascii="David" w:hAnsi="David"/>
                <w:b/>
                <w:bCs/>
                <w:sz w:val="26"/>
                <w:szCs w:val="26"/>
                <w:rtl/>
              </w:rPr>
            </w:pPr>
            <w:r w:rsidRPr="00A57F4B">
              <w:rPr>
                <w:rFonts w:ascii="David" w:hAnsi="David"/>
                <w:b/>
                <w:bCs/>
                <w:sz w:val="26"/>
                <w:szCs w:val="26"/>
                <w:rtl/>
              </w:rPr>
              <w:t>כבוד השופט, סגן הנשיא  אבישי כהן</w:t>
            </w:r>
          </w:p>
          <w:p w14:paraId="0E83EE9F" w14:textId="77777777" w:rsidR="00C9703A" w:rsidRPr="00A57F4B" w:rsidRDefault="00C9703A" w:rsidP="00B62E23">
            <w:pPr>
              <w:rPr>
                <w:rFonts w:ascii="David" w:hAnsi="David"/>
                <w:sz w:val="26"/>
                <w:szCs w:val="26"/>
                <w:rtl/>
              </w:rPr>
            </w:pPr>
          </w:p>
          <w:p w14:paraId="76660D1F" w14:textId="77777777" w:rsidR="00C9703A" w:rsidRPr="00A57F4B" w:rsidRDefault="00C9703A" w:rsidP="00C9703A">
            <w:pPr>
              <w:jc w:val="both"/>
              <w:rPr>
                <w:rFonts w:ascii="David" w:hAnsi="David"/>
                <w:sz w:val="26"/>
                <w:szCs w:val="26"/>
              </w:rPr>
            </w:pPr>
          </w:p>
        </w:tc>
      </w:tr>
      <w:tr w:rsidR="00C9703A" w:rsidRPr="00A57F4B" w14:paraId="26BB7FFF" w14:textId="77777777" w:rsidTr="00CF54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0BB11BBE" w14:textId="77777777" w:rsidR="00C9703A" w:rsidRPr="00A57F4B" w:rsidRDefault="00C9703A" w:rsidP="00C9703A">
            <w:pPr>
              <w:jc w:val="both"/>
              <w:rPr>
                <w:rFonts w:ascii="David" w:hAnsi="David"/>
                <w:sz w:val="26"/>
                <w:szCs w:val="26"/>
              </w:rPr>
            </w:pPr>
            <w:bookmarkStart w:id="0" w:name="FirstAppellant"/>
            <w:bookmarkStart w:id="1" w:name="LastJudge"/>
            <w:bookmarkEnd w:id="1"/>
            <w:r w:rsidRPr="00A57F4B">
              <w:rPr>
                <w:rFonts w:ascii="David" w:hAnsi="David"/>
                <w:sz w:val="26"/>
                <w:szCs w:val="26"/>
                <w:rtl/>
              </w:rPr>
              <w:t>בעניין:</w:t>
            </w:r>
          </w:p>
        </w:tc>
        <w:tc>
          <w:tcPr>
            <w:tcW w:w="2505" w:type="dxa"/>
            <w:tcBorders>
              <w:top w:val="nil"/>
              <w:left w:val="nil"/>
              <w:bottom w:val="nil"/>
              <w:right w:val="nil"/>
            </w:tcBorders>
            <w:shd w:val="clear" w:color="auto" w:fill="auto"/>
          </w:tcPr>
          <w:p w14:paraId="24820085" w14:textId="77777777" w:rsidR="00C9703A" w:rsidRPr="00A57F4B" w:rsidRDefault="00C9703A" w:rsidP="00C9703A">
            <w:pPr>
              <w:suppressLineNumbers/>
            </w:pPr>
            <w:r w:rsidRPr="00A57F4B">
              <w:rPr>
                <w:rFonts w:ascii="Arial" w:hAnsi="Arial" w:hint="cs"/>
                <w:b/>
                <w:bCs/>
                <w:sz w:val="26"/>
                <w:szCs w:val="26"/>
                <w:rtl/>
              </w:rPr>
              <w:t>ה</w:t>
            </w:r>
            <w:r w:rsidRPr="00A57F4B">
              <w:rPr>
                <w:rFonts w:ascii="Arial" w:hAnsi="Arial"/>
                <w:b/>
                <w:bCs/>
                <w:sz w:val="26"/>
                <w:szCs w:val="26"/>
                <w:rtl/>
              </w:rPr>
              <w:t>מאשימה</w:t>
            </w:r>
          </w:p>
          <w:p w14:paraId="2A5AC682" w14:textId="77777777" w:rsidR="00C9703A" w:rsidRPr="00A57F4B" w:rsidRDefault="00C9703A" w:rsidP="00B62E23">
            <w:pPr>
              <w:rPr>
                <w:rFonts w:ascii="David" w:hAnsi="David"/>
                <w:sz w:val="26"/>
                <w:szCs w:val="26"/>
              </w:rPr>
            </w:pPr>
          </w:p>
        </w:tc>
        <w:tc>
          <w:tcPr>
            <w:tcW w:w="5392" w:type="dxa"/>
            <w:gridSpan w:val="2"/>
            <w:tcBorders>
              <w:top w:val="nil"/>
              <w:left w:val="nil"/>
              <w:bottom w:val="nil"/>
              <w:right w:val="nil"/>
            </w:tcBorders>
            <w:shd w:val="clear" w:color="auto" w:fill="auto"/>
            <w:vAlign w:val="center"/>
          </w:tcPr>
          <w:p w14:paraId="777E3B0C" w14:textId="77777777" w:rsidR="00C9703A" w:rsidRPr="00A57F4B" w:rsidRDefault="00C9703A" w:rsidP="00C9703A">
            <w:pPr>
              <w:suppressLineNumbers/>
              <w:rPr>
                <w:rFonts w:ascii="Arial" w:hAnsi="Arial"/>
                <w:b/>
                <w:bCs/>
                <w:sz w:val="26"/>
                <w:szCs w:val="26"/>
              </w:rPr>
            </w:pPr>
            <w:r w:rsidRPr="00A57F4B">
              <w:rPr>
                <w:rFonts w:ascii="Arial" w:hAnsi="Arial"/>
                <w:b/>
                <w:bCs/>
                <w:sz w:val="26"/>
                <w:szCs w:val="26"/>
                <w:rtl/>
              </w:rPr>
              <w:t>מדינת ישראל</w:t>
            </w:r>
            <w:r w:rsidRPr="00A57F4B">
              <w:rPr>
                <w:rFonts w:ascii="Arial" w:hAnsi="Arial" w:hint="cs"/>
                <w:b/>
                <w:bCs/>
                <w:sz w:val="26"/>
                <w:szCs w:val="26"/>
                <w:rtl/>
              </w:rPr>
              <w:t xml:space="preserve"> </w:t>
            </w:r>
            <w:r w:rsidRPr="00A57F4B">
              <w:rPr>
                <w:rFonts w:ascii="Arial" w:hAnsi="Arial"/>
                <w:b/>
                <w:bCs/>
                <w:sz w:val="26"/>
                <w:szCs w:val="26"/>
                <w:rtl/>
              </w:rPr>
              <w:t>–</w:t>
            </w:r>
            <w:r w:rsidRPr="00A57F4B">
              <w:rPr>
                <w:rFonts w:ascii="Arial" w:hAnsi="Arial" w:hint="cs"/>
                <w:b/>
                <w:bCs/>
                <w:sz w:val="26"/>
                <w:szCs w:val="26"/>
                <w:rtl/>
              </w:rPr>
              <w:t xml:space="preserve"> ע"י המתמחה לאון קרסנוברודסקי</w:t>
            </w:r>
          </w:p>
          <w:p w14:paraId="40AC22B0" w14:textId="77777777" w:rsidR="00C9703A" w:rsidRPr="00A57F4B" w:rsidRDefault="00C9703A" w:rsidP="00B62E23">
            <w:pPr>
              <w:rPr>
                <w:rFonts w:ascii="David" w:hAnsi="David"/>
                <w:sz w:val="26"/>
                <w:szCs w:val="26"/>
              </w:rPr>
            </w:pPr>
          </w:p>
        </w:tc>
      </w:tr>
      <w:bookmarkEnd w:id="0"/>
      <w:tr w:rsidR="00C9703A" w:rsidRPr="00A57F4B" w14:paraId="4BC9613B" w14:textId="77777777" w:rsidTr="00CF54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022A2D1C" w14:textId="77777777" w:rsidR="00C9703A" w:rsidRPr="00A57F4B" w:rsidRDefault="00C9703A" w:rsidP="00C9703A">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27114BFD" w14:textId="77777777" w:rsidR="00C9703A" w:rsidRPr="00A57F4B" w:rsidRDefault="00C9703A" w:rsidP="00C9703A">
            <w:pPr>
              <w:jc w:val="center"/>
              <w:rPr>
                <w:rFonts w:ascii="David" w:hAnsi="David"/>
                <w:b/>
                <w:bCs/>
                <w:sz w:val="26"/>
                <w:szCs w:val="26"/>
                <w:rtl/>
              </w:rPr>
            </w:pPr>
          </w:p>
          <w:p w14:paraId="5D9CE0F5" w14:textId="77777777" w:rsidR="00C9703A" w:rsidRPr="00A57F4B" w:rsidRDefault="00C9703A" w:rsidP="00C9703A">
            <w:pPr>
              <w:jc w:val="center"/>
              <w:rPr>
                <w:rFonts w:ascii="David" w:hAnsi="David"/>
                <w:b/>
                <w:bCs/>
                <w:sz w:val="26"/>
                <w:szCs w:val="26"/>
                <w:rtl/>
              </w:rPr>
            </w:pPr>
            <w:r w:rsidRPr="00A57F4B">
              <w:rPr>
                <w:rFonts w:ascii="David" w:hAnsi="David"/>
                <w:b/>
                <w:bCs/>
                <w:sz w:val="26"/>
                <w:szCs w:val="26"/>
                <w:rtl/>
              </w:rPr>
              <w:t>נגד</w:t>
            </w:r>
          </w:p>
          <w:p w14:paraId="666F02C0" w14:textId="77777777" w:rsidR="00C9703A" w:rsidRPr="00A57F4B" w:rsidRDefault="00C9703A" w:rsidP="00C9703A">
            <w:pPr>
              <w:jc w:val="both"/>
              <w:rPr>
                <w:rFonts w:ascii="David" w:hAnsi="David"/>
                <w:sz w:val="26"/>
                <w:szCs w:val="26"/>
              </w:rPr>
            </w:pPr>
          </w:p>
        </w:tc>
      </w:tr>
      <w:tr w:rsidR="00C9703A" w:rsidRPr="00A57F4B" w14:paraId="78EF7240" w14:textId="77777777" w:rsidTr="00CF548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07A3FA57" w14:textId="77777777" w:rsidR="00C9703A" w:rsidRPr="00A57F4B" w:rsidRDefault="00C9703A" w:rsidP="00B62E23">
            <w:pPr>
              <w:rPr>
                <w:rFonts w:ascii="David" w:hAnsi="David"/>
                <w:sz w:val="26"/>
                <w:szCs w:val="26"/>
                <w:rtl/>
              </w:rPr>
            </w:pPr>
            <w:bookmarkStart w:id="2" w:name="FirstLawyer"/>
          </w:p>
        </w:tc>
        <w:tc>
          <w:tcPr>
            <w:tcW w:w="2505" w:type="dxa"/>
            <w:tcBorders>
              <w:top w:val="nil"/>
              <w:left w:val="nil"/>
              <w:bottom w:val="nil"/>
              <w:right w:val="nil"/>
            </w:tcBorders>
            <w:shd w:val="clear" w:color="auto" w:fill="auto"/>
          </w:tcPr>
          <w:p w14:paraId="38C79048" w14:textId="77777777" w:rsidR="00C9703A" w:rsidRPr="00A57F4B" w:rsidRDefault="00C9703A" w:rsidP="00B62E23">
            <w:pPr>
              <w:rPr>
                <w:rFonts w:ascii="Arial" w:hAnsi="Arial"/>
                <w:b/>
                <w:bCs/>
                <w:sz w:val="26"/>
                <w:szCs w:val="26"/>
                <w:rtl/>
              </w:rPr>
            </w:pPr>
            <w:r w:rsidRPr="00A57F4B">
              <w:rPr>
                <w:rFonts w:ascii="Arial" w:hAnsi="Arial"/>
                <w:b/>
                <w:bCs/>
                <w:sz w:val="26"/>
                <w:szCs w:val="26"/>
                <w:rtl/>
              </w:rPr>
              <w:t>הנאשם</w:t>
            </w:r>
          </w:p>
        </w:tc>
        <w:tc>
          <w:tcPr>
            <w:tcW w:w="5392" w:type="dxa"/>
            <w:gridSpan w:val="2"/>
            <w:tcBorders>
              <w:top w:val="nil"/>
              <w:left w:val="nil"/>
              <w:bottom w:val="nil"/>
              <w:right w:val="nil"/>
            </w:tcBorders>
            <w:shd w:val="clear" w:color="auto" w:fill="auto"/>
            <w:vAlign w:val="center"/>
          </w:tcPr>
          <w:p w14:paraId="5AF6E83B" w14:textId="77777777" w:rsidR="00C9703A" w:rsidRPr="00A57F4B" w:rsidRDefault="00C9703A" w:rsidP="00C9703A">
            <w:pPr>
              <w:suppressLineNumbers/>
              <w:rPr>
                <w:rFonts w:ascii="Arial" w:hAnsi="Arial"/>
                <w:b/>
                <w:bCs/>
                <w:sz w:val="26"/>
                <w:szCs w:val="26"/>
              </w:rPr>
            </w:pPr>
            <w:r w:rsidRPr="00A57F4B">
              <w:rPr>
                <w:rFonts w:ascii="Arial" w:hAnsi="Arial"/>
                <w:b/>
                <w:bCs/>
                <w:sz w:val="26"/>
                <w:szCs w:val="26"/>
                <w:rtl/>
              </w:rPr>
              <w:t>ספין אבו חביזה (עציר)</w:t>
            </w:r>
            <w:r w:rsidRPr="00A57F4B">
              <w:rPr>
                <w:rFonts w:ascii="Arial" w:hAnsi="Arial" w:hint="cs"/>
                <w:b/>
                <w:bCs/>
                <w:sz w:val="26"/>
                <w:szCs w:val="26"/>
                <w:rtl/>
              </w:rPr>
              <w:t xml:space="preserve"> </w:t>
            </w:r>
            <w:r w:rsidRPr="00A57F4B">
              <w:rPr>
                <w:rFonts w:ascii="Arial" w:hAnsi="Arial"/>
                <w:b/>
                <w:bCs/>
                <w:sz w:val="26"/>
                <w:szCs w:val="26"/>
                <w:rtl/>
              </w:rPr>
              <w:t>–</w:t>
            </w:r>
            <w:r w:rsidRPr="00A57F4B">
              <w:rPr>
                <w:rFonts w:ascii="Arial" w:hAnsi="Arial" w:hint="cs"/>
                <w:b/>
                <w:bCs/>
                <w:sz w:val="26"/>
                <w:szCs w:val="26"/>
                <w:rtl/>
              </w:rPr>
              <w:t xml:space="preserve"> ע"י ב"כ עו"ד יונת בן חיים</w:t>
            </w:r>
          </w:p>
          <w:p w14:paraId="4D38039D" w14:textId="77777777" w:rsidR="00C9703A" w:rsidRPr="00A57F4B" w:rsidRDefault="00C9703A" w:rsidP="00B62E23">
            <w:pPr>
              <w:rPr>
                <w:rFonts w:ascii="David" w:hAnsi="David"/>
                <w:sz w:val="26"/>
                <w:szCs w:val="26"/>
              </w:rPr>
            </w:pPr>
          </w:p>
        </w:tc>
      </w:tr>
      <w:bookmarkEnd w:id="2"/>
    </w:tbl>
    <w:p w14:paraId="14FF07C0" w14:textId="77777777" w:rsidR="00A57F4B" w:rsidRPr="00A57F4B" w:rsidRDefault="00A57F4B" w:rsidP="00A57F4B">
      <w:pPr>
        <w:spacing w:before="120" w:after="120" w:line="240" w:lineRule="exact"/>
        <w:ind w:left="283" w:hanging="283"/>
        <w:jc w:val="both"/>
        <w:rPr>
          <w:rFonts w:ascii="FrankRuehl" w:hAnsi="FrankRuehl" w:cs="FrankRuehl"/>
          <w:rtl/>
        </w:rPr>
      </w:pPr>
    </w:p>
    <w:p w14:paraId="16D90607" w14:textId="77777777" w:rsidR="00A57F4B" w:rsidRPr="00A57F4B" w:rsidRDefault="00A57F4B" w:rsidP="00A57F4B">
      <w:pPr>
        <w:rPr>
          <w:sz w:val="26"/>
          <w:szCs w:val="26"/>
          <w:rtl/>
        </w:rPr>
      </w:pPr>
    </w:p>
    <w:p w14:paraId="1EC8F3A4" w14:textId="77777777" w:rsidR="00CF5484" w:rsidRPr="00CF5484" w:rsidRDefault="00CF5484" w:rsidP="00CF5484">
      <w:pPr>
        <w:spacing w:before="120" w:after="120" w:line="240" w:lineRule="exact"/>
        <w:ind w:left="283" w:hanging="283"/>
        <w:jc w:val="both"/>
        <w:rPr>
          <w:rFonts w:ascii="FrankRuehl" w:hAnsi="FrankRuehl" w:cs="FrankRuehl"/>
          <w:rtl/>
        </w:rPr>
      </w:pPr>
    </w:p>
    <w:p w14:paraId="1E379DCB" w14:textId="77777777" w:rsidR="00B86331" w:rsidRPr="00B86331" w:rsidRDefault="00B86331" w:rsidP="00B86331">
      <w:pPr>
        <w:spacing w:before="120" w:after="120" w:line="240" w:lineRule="exact"/>
        <w:ind w:left="283" w:hanging="283"/>
        <w:jc w:val="both"/>
        <w:rPr>
          <w:rFonts w:ascii="FrankRuehl" w:hAnsi="FrankRuehl" w:cs="FrankRuehl"/>
          <w:rtl/>
        </w:rPr>
      </w:pPr>
    </w:p>
    <w:p w14:paraId="56AD2599" w14:textId="77777777" w:rsidR="0038739B" w:rsidRDefault="0038739B" w:rsidP="0038739B">
      <w:pPr>
        <w:rPr>
          <w:sz w:val="26"/>
          <w:szCs w:val="26"/>
          <w:rtl/>
        </w:rPr>
      </w:pPr>
      <w:bookmarkStart w:id="3" w:name="LawTable"/>
      <w:bookmarkEnd w:id="3"/>
    </w:p>
    <w:p w14:paraId="4B8848E8" w14:textId="77777777" w:rsidR="0038739B" w:rsidRPr="0038739B" w:rsidRDefault="0038739B" w:rsidP="0038739B">
      <w:pPr>
        <w:spacing w:before="120" w:after="120" w:line="240" w:lineRule="exact"/>
        <w:ind w:left="283" w:hanging="283"/>
        <w:jc w:val="both"/>
        <w:rPr>
          <w:rFonts w:ascii="FrankRuehl" w:hAnsi="FrankRuehl" w:cs="FrankRuehl"/>
          <w:rtl/>
        </w:rPr>
      </w:pPr>
    </w:p>
    <w:p w14:paraId="4661BC74" w14:textId="77777777" w:rsidR="0038739B" w:rsidRPr="0038739B" w:rsidRDefault="0038739B" w:rsidP="0038739B">
      <w:pPr>
        <w:spacing w:before="120" w:after="120" w:line="240" w:lineRule="exact"/>
        <w:ind w:left="283" w:hanging="283"/>
        <w:jc w:val="both"/>
        <w:rPr>
          <w:rFonts w:ascii="FrankRuehl" w:hAnsi="FrankRuehl" w:cs="FrankRuehl"/>
          <w:rtl/>
        </w:rPr>
      </w:pPr>
    </w:p>
    <w:p w14:paraId="2E87959E" w14:textId="77777777" w:rsidR="0038739B" w:rsidRPr="0038739B" w:rsidRDefault="0038739B" w:rsidP="0038739B">
      <w:pPr>
        <w:spacing w:before="120" w:after="120" w:line="240" w:lineRule="exact"/>
        <w:ind w:left="283" w:hanging="283"/>
        <w:jc w:val="both"/>
        <w:rPr>
          <w:rFonts w:ascii="FrankRuehl" w:hAnsi="FrankRuehl" w:cs="FrankRuehl"/>
          <w:rtl/>
        </w:rPr>
      </w:pPr>
      <w:r w:rsidRPr="0038739B">
        <w:rPr>
          <w:rFonts w:ascii="FrankRuehl" w:hAnsi="FrankRuehl" w:cs="FrankRuehl"/>
          <w:rtl/>
        </w:rPr>
        <w:t xml:space="preserve">חקיקה שאוזכרה: </w:t>
      </w:r>
    </w:p>
    <w:p w14:paraId="2283A252" w14:textId="77777777" w:rsidR="0038739B" w:rsidRPr="0038739B" w:rsidRDefault="0038739B" w:rsidP="0038739B">
      <w:pPr>
        <w:spacing w:before="120" w:after="120" w:line="240" w:lineRule="exact"/>
        <w:ind w:left="283" w:hanging="283"/>
        <w:jc w:val="both"/>
        <w:rPr>
          <w:rFonts w:ascii="FrankRuehl" w:hAnsi="FrankRuehl" w:cs="FrankRuehl"/>
          <w:rtl/>
        </w:rPr>
      </w:pPr>
      <w:hyperlink r:id="rId7" w:history="1">
        <w:r w:rsidRPr="0038739B">
          <w:rPr>
            <w:rFonts w:ascii="FrankRuehl" w:hAnsi="FrankRuehl" w:cs="FrankRuehl"/>
            <w:color w:val="0000FF"/>
            <w:rtl/>
          </w:rPr>
          <w:t>פקודת הסמים המסוכנים [נוסח חדש], תשל"ג-1973</w:t>
        </w:r>
      </w:hyperlink>
      <w:r w:rsidRPr="0038739B">
        <w:rPr>
          <w:rFonts w:ascii="FrankRuehl" w:hAnsi="FrankRuehl" w:cs="FrankRuehl"/>
          <w:rtl/>
        </w:rPr>
        <w:t xml:space="preserve">: סע'  </w:t>
      </w:r>
      <w:hyperlink r:id="rId8" w:history="1">
        <w:r w:rsidRPr="0038739B">
          <w:rPr>
            <w:rFonts w:ascii="FrankRuehl" w:hAnsi="FrankRuehl" w:cs="FrankRuehl"/>
            <w:color w:val="0000FF"/>
            <w:rtl/>
          </w:rPr>
          <w:t>7 (א)</w:t>
        </w:r>
      </w:hyperlink>
      <w:r w:rsidRPr="0038739B">
        <w:rPr>
          <w:rFonts w:ascii="FrankRuehl" w:hAnsi="FrankRuehl" w:cs="FrankRuehl"/>
          <w:rtl/>
        </w:rPr>
        <w:t xml:space="preserve">, </w:t>
      </w:r>
      <w:hyperlink r:id="rId9" w:history="1">
        <w:r w:rsidRPr="0038739B">
          <w:rPr>
            <w:rFonts w:ascii="FrankRuehl" w:hAnsi="FrankRuehl" w:cs="FrankRuehl"/>
            <w:color w:val="0000FF"/>
            <w:rtl/>
          </w:rPr>
          <w:t>7 (ג)</w:t>
        </w:r>
      </w:hyperlink>
    </w:p>
    <w:p w14:paraId="2EF6E80D" w14:textId="77777777" w:rsidR="0038739B" w:rsidRPr="0038739B" w:rsidRDefault="0038739B" w:rsidP="0038739B">
      <w:pPr>
        <w:spacing w:before="120" w:after="120" w:line="240" w:lineRule="exact"/>
        <w:ind w:left="283" w:hanging="283"/>
        <w:jc w:val="both"/>
        <w:rPr>
          <w:rFonts w:ascii="FrankRuehl" w:hAnsi="FrankRuehl" w:cs="FrankRuehl"/>
          <w:rtl/>
        </w:rPr>
      </w:pPr>
      <w:hyperlink r:id="rId10" w:history="1">
        <w:r w:rsidRPr="0038739B">
          <w:rPr>
            <w:rFonts w:ascii="FrankRuehl" w:hAnsi="FrankRuehl" w:cs="FrankRuehl"/>
            <w:color w:val="0000FF"/>
            <w:rtl/>
          </w:rPr>
          <w:t>חוק העונשין, תשל"ז-1977</w:t>
        </w:r>
      </w:hyperlink>
      <w:r w:rsidRPr="0038739B">
        <w:rPr>
          <w:rFonts w:ascii="FrankRuehl" w:hAnsi="FrankRuehl" w:cs="FrankRuehl"/>
          <w:rtl/>
        </w:rPr>
        <w:t xml:space="preserve">: סע'  </w:t>
      </w:r>
      <w:hyperlink r:id="rId11" w:history="1">
        <w:r w:rsidRPr="0038739B">
          <w:rPr>
            <w:rFonts w:ascii="FrankRuehl" w:hAnsi="FrankRuehl" w:cs="FrankRuehl"/>
            <w:color w:val="0000FF"/>
            <w:rtl/>
          </w:rPr>
          <w:t>40 ט'</w:t>
        </w:r>
      </w:hyperlink>
      <w:r w:rsidRPr="0038739B">
        <w:rPr>
          <w:rFonts w:ascii="FrankRuehl" w:hAnsi="FrankRuehl" w:cs="FrankRuehl"/>
          <w:rtl/>
        </w:rPr>
        <w:t xml:space="preserve">, </w:t>
      </w:r>
      <w:hyperlink r:id="rId12" w:history="1">
        <w:r w:rsidRPr="0038739B">
          <w:rPr>
            <w:rFonts w:ascii="FrankRuehl" w:hAnsi="FrankRuehl" w:cs="FrankRuehl"/>
            <w:color w:val="0000FF"/>
            <w:rtl/>
          </w:rPr>
          <w:t>275</w:t>
        </w:r>
      </w:hyperlink>
      <w:r w:rsidRPr="0038739B">
        <w:rPr>
          <w:rFonts w:ascii="FrankRuehl" w:hAnsi="FrankRuehl" w:cs="FrankRuehl"/>
          <w:rtl/>
        </w:rPr>
        <w:t xml:space="preserve">, </w:t>
      </w:r>
      <w:hyperlink r:id="rId13" w:history="1">
        <w:r w:rsidRPr="0038739B">
          <w:rPr>
            <w:rFonts w:ascii="FrankRuehl" w:hAnsi="FrankRuehl" w:cs="FrankRuehl"/>
            <w:color w:val="0000FF"/>
            <w:rtl/>
          </w:rPr>
          <w:t>40 יא'</w:t>
        </w:r>
      </w:hyperlink>
    </w:p>
    <w:p w14:paraId="51310068" w14:textId="77777777" w:rsidR="0038739B" w:rsidRPr="0038739B" w:rsidRDefault="0038739B" w:rsidP="0038739B">
      <w:pPr>
        <w:spacing w:before="120" w:after="120" w:line="240" w:lineRule="exact"/>
        <w:ind w:left="283" w:hanging="283"/>
        <w:jc w:val="both"/>
        <w:rPr>
          <w:rFonts w:ascii="FrankRuehl" w:hAnsi="FrankRuehl" w:cs="FrankRuehl"/>
          <w:rtl/>
        </w:rPr>
      </w:pPr>
      <w:hyperlink r:id="rId14" w:history="1">
        <w:r w:rsidRPr="0038739B">
          <w:rPr>
            <w:rFonts w:ascii="FrankRuehl" w:hAnsi="FrankRuehl" w:cs="FrankRuehl"/>
            <w:color w:val="0000FF"/>
            <w:rtl/>
          </w:rPr>
          <w:t>תקנות התעבורה, תשכ"א-1961 - לא מרובדות</w:t>
        </w:r>
      </w:hyperlink>
      <w:r w:rsidRPr="0038739B">
        <w:rPr>
          <w:rFonts w:ascii="FrankRuehl" w:hAnsi="FrankRuehl" w:cs="FrankRuehl"/>
          <w:rtl/>
        </w:rPr>
        <w:t xml:space="preserve">: סע'  </w:t>
      </w:r>
      <w:hyperlink r:id="rId15" w:history="1">
        <w:r w:rsidRPr="0038739B">
          <w:rPr>
            <w:rFonts w:ascii="FrankRuehl" w:hAnsi="FrankRuehl" w:cs="FrankRuehl"/>
            <w:color w:val="0000FF"/>
            <w:rtl/>
          </w:rPr>
          <w:t>54א</w:t>
        </w:r>
      </w:hyperlink>
    </w:p>
    <w:p w14:paraId="5FE96CC5" w14:textId="77777777" w:rsidR="0038739B" w:rsidRPr="0038739B" w:rsidRDefault="0038739B" w:rsidP="0038739B">
      <w:pPr>
        <w:rPr>
          <w:sz w:val="26"/>
          <w:szCs w:val="26"/>
          <w:rtl/>
        </w:rPr>
      </w:pPr>
      <w:bookmarkStart w:id="4" w:name="LawTable_End"/>
      <w:bookmarkEnd w:id="4"/>
    </w:p>
    <w:p w14:paraId="18FEBD5A" w14:textId="77777777" w:rsidR="00CF5484" w:rsidRPr="00B86331" w:rsidRDefault="00CF5484" w:rsidP="00B86331">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9703A" w14:paraId="095170A3" w14:textId="77777777" w:rsidTr="00C9703A">
        <w:trPr>
          <w:trHeight w:val="355"/>
          <w:jc w:val="center"/>
        </w:trPr>
        <w:tc>
          <w:tcPr>
            <w:tcW w:w="8820" w:type="dxa"/>
            <w:tcBorders>
              <w:top w:val="nil"/>
              <w:left w:val="nil"/>
              <w:bottom w:val="nil"/>
              <w:right w:val="nil"/>
            </w:tcBorders>
            <w:shd w:val="clear" w:color="auto" w:fill="auto"/>
          </w:tcPr>
          <w:p w14:paraId="7FB2DBDD" w14:textId="77777777" w:rsidR="00A57F4B" w:rsidRPr="00A57F4B" w:rsidRDefault="00A57F4B" w:rsidP="00A57F4B">
            <w:pPr>
              <w:jc w:val="center"/>
              <w:rPr>
                <w:rFonts w:ascii="David" w:hAnsi="David"/>
                <w:b/>
                <w:bCs/>
                <w:sz w:val="32"/>
                <w:szCs w:val="32"/>
                <w:u w:val="single"/>
                <w:rtl/>
              </w:rPr>
            </w:pPr>
            <w:bookmarkStart w:id="5" w:name="PsakDin" w:colFirst="0" w:colLast="0"/>
            <w:r w:rsidRPr="00A57F4B">
              <w:rPr>
                <w:rFonts w:ascii="David" w:hAnsi="David"/>
                <w:b/>
                <w:bCs/>
                <w:sz w:val="32"/>
                <w:szCs w:val="32"/>
                <w:u w:val="single"/>
                <w:rtl/>
              </w:rPr>
              <w:t>גזר דין</w:t>
            </w:r>
          </w:p>
          <w:p w14:paraId="0BA9BA01" w14:textId="77777777" w:rsidR="00C9703A" w:rsidRPr="00A57F4B" w:rsidRDefault="00C9703A" w:rsidP="00A57F4B">
            <w:pPr>
              <w:jc w:val="center"/>
              <w:rPr>
                <w:rFonts w:ascii="David" w:hAnsi="David"/>
                <w:bCs/>
                <w:sz w:val="32"/>
                <w:szCs w:val="32"/>
                <w:u w:val="single"/>
                <w:rtl/>
              </w:rPr>
            </w:pPr>
          </w:p>
        </w:tc>
      </w:tr>
      <w:bookmarkEnd w:id="5"/>
    </w:tbl>
    <w:p w14:paraId="145AE081" w14:textId="77777777" w:rsidR="00C9703A" w:rsidRPr="000F2247" w:rsidRDefault="00C9703A" w:rsidP="00C9703A">
      <w:pPr>
        <w:rPr>
          <w:rFonts w:ascii="Arial" w:hAnsi="Arial"/>
          <w:b/>
          <w:bCs/>
          <w:sz w:val="26"/>
          <w:szCs w:val="26"/>
          <w:rtl/>
        </w:rPr>
      </w:pPr>
    </w:p>
    <w:p w14:paraId="7D636CAE" w14:textId="77777777" w:rsidR="00C9703A" w:rsidRDefault="00C9703A" w:rsidP="00C9703A">
      <w:pPr>
        <w:pStyle w:val="ab"/>
        <w:numPr>
          <w:ilvl w:val="0"/>
          <w:numId w:val="2"/>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על פי הודאתו בעובדות כתב האישום המתוקן בעבירות הבאות:  </w:t>
      </w:r>
      <w:r>
        <w:rPr>
          <w:rFonts w:ascii="David" w:hAnsi="David" w:cs="David"/>
          <w:b/>
          <w:bCs/>
          <w:sz w:val="24"/>
          <w:szCs w:val="24"/>
          <w:rtl/>
        </w:rPr>
        <w:t>החזקת סם מסוכן שלא לצריכה עצמית</w:t>
      </w:r>
      <w:r>
        <w:rPr>
          <w:rFonts w:ascii="David" w:hAnsi="David" w:cs="David"/>
          <w:sz w:val="24"/>
          <w:szCs w:val="24"/>
          <w:rtl/>
        </w:rPr>
        <w:t xml:space="preserve">, לפי סעיף </w:t>
      </w:r>
      <w:hyperlink r:id="rId16" w:history="1">
        <w:r w:rsidR="00CF5484" w:rsidRPr="00CF5484">
          <w:rPr>
            <w:rStyle w:val="Hyperlink"/>
            <w:rFonts w:ascii="David" w:hAnsi="David" w:cs="David"/>
            <w:sz w:val="24"/>
            <w:szCs w:val="24"/>
            <w:rtl/>
          </w:rPr>
          <w:t>7 (א)</w:t>
        </w:r>
      </w:hyperlink>
      <w:r>
        <w:rPr>
          <w:rFonts w:ascii="David" w:hAnsi="David" w:cs="David"/>
          <w:sz w:val="24"/>
          <w:szCs w:val="24"/>
          <w:rtl/>
        </w:rPr>
        <w:t xml:space="preserve"> ביחד עם סעיף </w:t>
      </w:r>
      <w:hyperlink r:id="rId17" w:history="1">
        <w:r w:rsidR="00CF5484" w:rsidRPr="00CF5484">
          <w:rPr>
            <w:rStyle w:val="Hyperlink"/>
            <w:rFonts w:ascii="David" w:hAnsi="David" w:cs="David"/>
            <w:sz w:val="24"/>
            <w:szCs w:val="24"/>
            <w:rtl/>
          </w:rPr>
          <w:t>7 (ג)</w:t>
        </w:r>
      </w:hyperlink>
      <w:r>
        <w:rPr>
          <w:rFonts w:ascii="David" w:hAnsi="David" w:cs="David"/>
          <w:sz w:val="24"/>
          <w:szCs w:val="24"/>
          <w:rtl/>
        </w:rPr>
        <w:t xml:space="preserve"> רישא ל</w:t>
      </w:r>
      <w:hyperlink r:id="rId18" w:history="1">
        <w:r w:rsidR="00A57F4B" w:rsidRPr="00A57F4B">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1973 (להלן: "פקודת הסמים); </w:t>
      </w:r>
      <w:r>
        <w:rPr>
          <w:rFonts w:ascii="David" w:hAnsi="David" w:cs="David"/>
          <w:b/>
          <w:bCs/>
          <w:sz w:val="24"/>
          <w:szCs w:val="24"/>
          <w:rtl/>
        </w:rPr>
        <w:t xml:space="preserve">הפרעה לשוטר במילוי תפקידו </w:t>
      </w:r>
      <w:r>
        <w:rPr>
          <w:rFonts w:ascii="David" w:hAnsi="David" w:cs="David"/>
          <w:sz w:val="24"/>
          <w:szCs w:val="24"/>
          <w:rtl/>
        </w:rPr>
        <w:t xml:space="preserve">לפי </w:t>
      </w:r>
      <w:hyperlink r:id="rId19" w:history="1">
        <w:r w:rsidR="00CF5484" w:rsidRPr="00CF5484">
          <w:rPr>
            <w:rStyle w:val="Hyperlink"/>
            <w:rFonts w:ascii="David" w:hAnsi="David" w:cs="David"/>
            <w:sz w:val="24"/>
            <w:szCs w:val="24"/>
            <w:rtl/>
          </w:rPr>
          <w:t>סעיף 275</w:t>
        </w:r>
      </w:hyperlink>
      <w:r>
        <w:rPr>
          <w:rFonts w:ascii="David" w:hAnsi="David" w:cs="David"/>
          <w:sz w:val="24"/>
          <w:szCs w:val="24"/>
          <w:rtl/>
        </w:rPr>
        <w:t xml:space="preserve"> ל</w:t>
      </w:r>
      <w:hyperlink r:id="rId20" w:history="1">
        <w:r w:rsidR="00A57F4B" w:rsidRPr="00A57F4B">
          <w:rPr>
            <w:rFonts w:ascii="David" w:hAnsi="David" w:cs="David"/>
            <w:color w:val="0000FF"/>
            <w:sz w:val="24"/>
            <w:szCs w:val="24"/>
            <w:u w:val="single"/>
            <w:rtl/>
          </w:rPr>
          <w:t>חוק העונשין</w:t>
        </w:r>
      </w:hyperlink>
      <w:r>
        <w:rPr>
          <w:rFonts w:ascii="David" w:hAnsi="David" w:cs="David"/>
          <w:sz w:val="24"/>
          <w:szCs w:val="24"/>
          <w:rtl/>
        </w:rPr>
        <w:t xml:space="preserve">, תשל"ז-1977 (להלן: "חוק העונשין"); </w:t>
      </w:r>
      <w:r>
        <w:rPr>
          <w:rFonts w:ascii="David" w:hAnsi="David" w:cs="David"/>
          <w:b/>
          <w:bCs/>
          <w:sz w:val="24"/>
          <w:szCs w:val="24"/>
          <w:rtl/>
        </w:rPr>
        <w:t xml:space="preserve">נהיגה בדרך שאינה עירונית 90 קמ"ש מ- 41 ומעלה </w:t>
      </w:r>
      <w:r>
        <w:rPr>
          <w:rFonts w:ascii="David" w:hAnsi="David" w:cs="David"/>
          <w:sz w:val="24"/>
          <w:szCs w:val="24"/>
          <w:rtl/>
        </w:rPr>
        <w:t xml:space="preserve">עבירה לפי </w:t>
      </w:r>
      <w:hyperlink r:id="rId21" w:history="1">
        <w:r w:rsidR="00CF5484" w:rsidRPr="00CF5484">
          <w:rPr>
            <w:rStyle w:val="Hyperlink"/>
            <w:rFonts w:ascii="David" w:hAnsi="David" w:cs="David"/>
            <w:sz w:val="24"/>
            <w:szCs w:val="24"/>
            <w:rtl/>
          </w:rPr>
          <w:t>תקנה 54א</w:t>
        </w:r>
      </w:hyperlink>
      <w:r>
        <w:rPr>
          <w:rFonts w:ascii="David" w:hAnsi="David" w:cs="David"/>
          <w:sz w:val="24"/>
          <w:szCs w:val="24"/>
          <w:rtl/>
        </w:rPr>
        <w:t xml:space="preserve"> ל</w:t>
      </w:r>
      <w:hyperlink r:id="rId22" w:history="1">
        <w:r w:rsidR="00A57F4B" w:rsidRPr="00A57F4B">
          <w:rPr>
            <w:rFonts w:ascii="David" w:hAnsi="David" w:cs="David"/>
            <w:color w:val="0000FF"/>
            <w:sz w:val="24"/>
            <w:szCs w:val="24"/>
            <w:u w:val="single"/>
            <w:rtl/>
          </w:rPr>
          <w:t>תקנות התעבורה</w:t>
        </w:r>
      </w:hyperlink>
      <w:r>
        <w:rPr>
          <w:rFonts w:ascii="David" w:hAnsi="David" w:cs="David"/>
          <w:sz w:val="24"/>
          <w:szCs w:val="24"/>
          <w:rtl/>
        </w:rPr>
        <w:t xml:space="preserve">, תשכ"א 1961. </w:t>
      </w:r>
    </w:p>
    <w:p w14:paraId="6A4D5BC6" w14:textId="77777777" w:rsidR="00C9703A" w:rsidRDefault="00C9703A" w:rsidP="00C9703A">
      <w:pPr>
        <w:pStyle w:val="ab"/>
        <w:numPr>
          <w:ilvl w:val="0"/>
          <w:numId w:val="2"/>
        </w:numPr>
        <w:spacing w:line="360" w:lineRule="auto"/>
        <w:jc w:val="both"/>
        <w:rPr>
          <w:rFonts w:ascii="David" w:hAnsi="David" w:cs="David"/>
          <w:sz w:val="24"/>
          <w:szCs w:val="24"/>
          <w:rtl/>
        </w:rPr>
      </w:pPr>
      <w:bookmarkStart w:id="7" w:name="ABSTRACT_END"/>
      <w:bookmarkEnd w:id="7"/>
      <w:r>
        <w:rPr>
          <w:rFonts w:ascii="David" w:hAnsi="David" w:cs="David"/>
          <w:sz w:val="24"/>
          <w:szCs w:val="24"/>
          <w:rtl/>
        </w:rPr>
        <w:t>על פי עובדות כתב האישום  המתוקן, בתאריך 10.01.23 בסמ</w:t>
      </w:r>
      <w:r>
        <w:rPr>
          <w:rFonts w:ascii="David" w:hAnsi="David" w:cs="David" w:hint="cs"/>
          <w:sz w:val="24"/>
          <w:szCs w:val="24"/>
          <w:rtl/>
        </w:rPr>
        <w:t>ו</w:t>
      </w:r>
      <w:r>
        <w:rPr>
          <w:rFonts w:ascii="David" w:hAnsi="David" w:cs="David"/>
          <w:sz w:val="24"/>
          <w:szCs w:val="24"/>
          <w:rtl/>
        </w:rPr>
        <w:t>ך לשעה 23:30 בסמוך לצומת גורל בכביש 40, סימנו כוחות משטרה לרכב מסוג רנו פלואנס בו נהג הנאשם לעצור לבדיקה שגרתית. משהבחין הנאשם בשוטרים מסמנים לו לעצור, החל הנאשם בנסיעה מהירה בתוך כך שהשוטרים דולקים אחריו, במעמד זה נהג הנאשם במהירות 150 קמ"ש בדר</w:t>
      </w:r>
      <w:r>
        <w:rPr>
          <w:rFonts w:ascii="David" w:hAnsi="David" w:cs="David" w:hint="cs"/>
          <w:sz w:val="24"/>
          <w:szCs w:val="24"/>
          <w:rtl/>
        </w:rPr>
        <w:t>ך</w:t>
      </w:r>
      <w:r>
        <w:rPr>
          <w:rFonts w:ascii="David" w:hAnsi="David" w:cs="David"/>
          <w:sz w:val="24"/>
          <w:szCs w:val="24"/>
          <w:rtl/>
        </w:rPr>
        <w:t xml:space="preserve"> שאינה עירונית בה מותרת מהירות מרבית 90 קמ"ש. בהמשך סטה הנאשם עם רכבו לצד הדרך ונסע בשטח עפר עד אשר עצר את הרכב יצא ממנו רגלית, תוך השוטרים דולקים אחריו ובסיוע מסוק אשר כיוון אותם למקום הימצאותו, הנאשם נתפס על ידי השוטרים בעודו מסתתר בין שני עצים בשטח. בחיפוש ברכבו נמצא בתא המטען סמים מסוג קנבוס במשקל כולל של 5.5 ק"ג וזאת ללא היתר או רישיון.</w:t>
      </w:r>
    </w:p>
    <w:p w14:paraId="34C6B1D8" w14:textId="77777777" w:rsidR="00C9703A" w:rsidRDefault="00C9703A" w:rsidP="00C9703A">
      <w:pPr>
        <w:pStyle w:val="ab"/>
        <w:numPr>
          <w:ilvl w:val="0"/>
          <w:numId w:val="2"/>
        </w:numPr>
        <w:spacing w:line="360" w:lineRule="auto"/>
        <w:jc w:val="both"/>
        <w:rPr>
          <w:rFonts w:ascii="David" w:hAnsi="David" w:cs="David"/>
          <w:sz w:val="24"/>
          <w:szCs w:val="24"/>
        </w:rPr>
      </w:pPr>
      <w:r>
        <w:rPr>
          <w:rFonts w:ascii="David" w:hAnsi="David" w:cs="David"/>
          <w:sz w:val="24"/>
          <w:szCs w:val="24"/>
          <w:rtl/>
        </w:rPr>
        <w:lastRenderedPageBreak/>
        <w:t xml:space="preserve">בתאריך 19.07.23 הציגו הצדדים בפני כב' השופט אמיר דורון את ההסדר דיוני, לפיו כתב האישום תוקן, הנאשם הודה והורשע במיוחס לו בכתב האישום המתוקן. לאחר מכן הועבר התיק לטיפולי לצורך שמיעת הטיעונים לעונש. </w:t>
      </w:r>
    </w:p>
    <w:p w14:paraId="45A1690F" w14:textId="77777777" w:rsidR="00C9703A" w:rsidRDefault="00C9703A" w:rsidP="00C9703A">
      <w:pPr>
        <w:spacing w:line="360" w:lineRule="auto"/>
        <w:ind w:left="360"/>
        <w:jc w:val="both"/>
        <w:rPr>
          <w:rFonts w:ascii="David" w:hAnsi="David"/>
          <w:b/>
          <w:bCs/>
          <w:u w:val="single"/>
        </w:rPr>
      </w:pPr>
      <w:r>
        <w:rPr>
          <w:rFonts w:ascii="David" w:hAnsi="David"/>
          <w:b/>
          <w:bCs/>
          <w:u w:val="single"/>
          <w:rtl/>
        </w:rPr>
        <w:t xml:space="preserve">טיעוני הצדדים לעונש </w:t>
      </w:r>
    </w:p>
    <w:p w14:paraId="5C484A20" w14:textId="77777777" w:rsidR="00C9703A" w:rsidRDefault="00C9703A" w:rsidP="00C9703A">
      <w:pPr>
        <w:pStyle w:val="ab"/>
        <w:numPr>
          <w:ilvl w:val="0"/>
          <w:numId w:val="2"/>
        </w:numPr>
        <w:spacing w:line="360" w:lineRule="auto"/>
        <w:jc w:val="both"/>
        <w:rPr>
          <w:rFonts w:ascii="David" w:hAnsi="David" w:cs="David"/>
          <w:b/>
          <w:bCs/>
          <w:sz w:val="24"/>
          <w:szCs w:val="24"/>
        </w:rPr>
      </w:pPr>
      <w:r>
        <w:rPr>
          <w:rFonts w:ascii="David" w:hAnsi="David" w:cs="David"/>
          <w:b/>
          <w:bCs/>
          <w:sz w:val="24"/>
          <w:szCs w:val="24"/>
          <w:rtl/>
        </w:rPr>
        <w:t>ב"כ המאשימה</w:t>
      </w:r>
      <w:r>
        <w:rPr>
          <w:rFonts w:ascii="David" w:hAnsi="David" w:cs="David"/>
          <w:sz w:val="24"/>
          <w:szCs w:val="24"/>
          <w:rtl/>
        </w:rPr>
        <w:t xml:space="preserve">, ציינה נסיבות כתב האישום וכן עמדה הערכים המוגנים שנפגעו כתוצאה ממעשיו של הנאשם, היא הדגישה שהנאשם נמצא מחזיק ברשותו סם מסוג קנבוס במשקל שלמעלה מ 5 ק"ג וכי בנוסף לכך סיכן הנאשם משתמשי הדרך שעה שנסע במהירות העולה על המותר, תוך שהוא נמלט מהשוטרים, לאחר מכן פרק מהרכב. היא הדגישה שהמשטרה נאלץ לעשות שימוש במסוק משטרתי לצורך איתור הנאשם. </w:t>
      </w:r>
    </w:p>
    <w:p w14:paraId="5C509A1F" w14:textId="77777777" w:rsidR="00C9703A" w:rsidRDefault="00C9703A" w:rsidP="00C9703A">
      <w:pPr>
        <w:pStyle w:val="ab"/>
        <w:spacing w:line="360" w:lineRule="auto"/>
        <w:jc w:val="both"/>
        <w:rPr>
          <w:rFonts w:ascii="David" w:hAnsi="David" w:cs="David"/>
          <w:sz w:val="24"/>
          <w:szCs w:val="24"/>
        </w:rPr>
      </w:pPr>
      <w:r>
        <w:rPr>
          <w:rFonts w:ascii="David" w:hAnsi="David" w:cs="David"/>
          <w:sz w:val="24"/>
          <w:szCs w:val="24"/>
          <w:rtl/>
        </w:rPr>
        <w:t xml:space="preserve">המאשימה עתרה לקביעת מתחם ענישה הנע בין 16 ל 36 חודשים והפנתה לפסיקה. </w:t>
      </w:r>
    </w:p>
    <w:p w14:paraId="1B3571B4" w14:textId="77777777" w:rsidR="00C9703A" w:rsidRDefault="00C9703A" w:rsidP="00C9703A">
      <w:pPr>
        <w:pStyle w:val="ab"/>
        <w:spacing w:line="360" w:lineRule="auto"/>
        <w:jc w:val="both"/>
        <w:rPr>
          <w:rFonts w:ascii="David" w:hAnsi="David" w:cs="David"/>
          <w:sz w:val="24"/>
          <w:szCs w:val="24"/>
          <w:rtl/>
        </w:rPr>
      </w:pPr>
      <w:r>
        <w:rPr>
          <w:rFonts w:ascii="David" w:hAnsi="David" w:cs="David"/>
          <w:sz w:val="24"/>
          <w:szCs w:val="24"/>
          <w:rtl/>
        </w:rPr>
        <w:t xml:space="preserve">בהתייחס לנסיבותיו האישות של הנאשם, ציינה כי מדובר בנאשם נעדר עבר פלילי אשר הודה במיוחס לו, לקח אחריות על מעשיו, לא הוגש תסקיר בעניינו לא עבר הליך טיפולי ואין אינדיקציה כלשהי לסטייה ממתחם הענישה. יחד עם זאת ציינה שיש למקם עונשו בתחתית המתחם. בנוסף הדגישה שבמקרה זה, האינטרס הציבורי גובר על האינטרס האישי של הנאשם ויש להשית עליו ענישה מוחשית בשליש התחתון של המתחם לו עתרה בצירוף הטלת ענישה נלווית. </w:t>
      </w:r>
    </w:p>
    <w:p w14:paraId="6C57C315" w14:textId="77777777" w:rsidR="00C9703A" w:rsidRDefault="00C9703A" w:rsidP="00C9703A">
      <w:pPr>
        <w:pStyle w:val="ab"/>
        <w:numPr>
          <w:ilvl w:val="0"/>
          <w:numId w:val="2"/>
        </w:numPr>
        <w:spacing w:line="360" w:lineRule="auto"/>
        <w:jc w:val="both"/>
        <w:rPr>
          <w:rFonts w:ascii="David" w:hAnsi="David" w:cs="David"/>
          <w:sz w:val="24"/>
          <w:szCs w:val="24"/>
          <w:rtl/>
        </w:rPr>
      </w:pPr>
      <w:r>
        <w:rPr>
          <w:rFonts w:ascii="David" w:hAnsi="David" w:cs="David"/>
          <w:b/>
          <w:bCs/>
          <w:sz w:val="24"/>
          <w:szCs w:val="24"/>
          <w:rtl/>
        </w:rPr>
        <w:t>ב"כ הנאשם</w:t>
      </w:r>
      <w:r>
        <w:rPr>
          <w:rFonts w:ascii="David" w:hAnsi="David" w:cs="David"/>
          <w:sz w:val="24"/>
          <w:szCs w:val="24"/>
          <w:rtl/>
        </w:rPr>
        <w:t xml:space="preserve">, עמדה תחילה על נסיבותיו האישיות של הנאשם, עובדת היותו צעיר בן 24 נעדר עבר פלילי, בן שני מתוך שמונה אחים, מסייע לאמו אשר סובלת מבעיות בריאותיות שונות. הנאשם טרם מעצרו ניהל אורח חיים נורמטיבי ויצרני, עבד כנהג משאית. כעת מצוי במעצר מספר חודשים במסגרת תיק זה. בנוגע לאי הגשת תסקיר, ציינה ב"כ הנאשם, שאין הדבר יכול לשמש לרעתו שכן גם בא כוחו של נאשם יכול להצביע על נסיבות אישיות. </w:t>
      </w:r>
    </w:p>
    <w:p w14:paraId="7DE3DB69" w14:textId="77777777" w:rsidR="00C9703A" w:rsidRDefault="00C9703A" w:rsidP="00C9703A">
      <w:pPr>
        <w:pStyle w:val="ab"/>
        <w:spacing w:line="360" w:lineRule="auto"/>
        <w:jc w:val="both"/>
        <w:rPr>
          <w:rFonts w:ascii="David" w:hAnsi="David" w:cs="David"/>
          <w:sz w:val="24"/>
          <w:szCs w:val="24"/>
        </w:rPr>
      </w:pPr>
      <w:r>
        <w:rPr>
          <w:rFonts w:ascii="David" w:hAnsi="David" w:cs="David"/>
          <w:sz w:val="24"/>
          <w:szCs w:val="24"/>
          <w:rtl/>
        </w:rPr>
        <w:t>בהתייחסה למדיניות הענישה התייחסה למספר פסקי דין כולל גזר דין שניתן על ידי לאחרונה וכן התייחסה לפסיקה אשר הוגשה על ידי המאשימה וביקשה לאבחן זאת מהעניין הנדון, תוך שציינה כי בפסיקה שפירטה המאשימה מדובר בנאשמים בעלי עבר פלילי וכן כמות הסמים וסוג הסמים אינו זהה, עבירות הנהיגה חמורות מהעבירה שבמקרה שלפני.</w:t>
      </w:r>
    </w:p>
    <w:p w14:paraId="296542CF" w14:textId="77777777" w:rsidR="00C9703A" w:rsidRDefault="00C9703A" w:rsidP="00C9703A">
      <w:pPr>
        <w:pStyle w:val="ab"/>
        <w:spacing w:line="360" w:lineRule="auto"/>
        <w:jc w:val="both"/>
        <w:rPr>
          <w:rFonts w:ascii="David" w:hAnsi="David" w:cs="David"/>
          <w:sz w:val="24"/>
          <w:szCs w:val="24"/>
          <w:rtl/>
        </w:rPr>
      </w:pPr>
      <w:r>
        <w:rPr>
          <w:rFonts w:ascii="David" w:hAnsi="David" w:cs="David"/>
          <w:sz w:val="24"/>
          <w:szCs w:val="24"/>
          <w:rtl/>
        </w:rPr>
        <w:t xml:space="preserve">בנוסף, הדגישה  כי הנאשם לקח אחריות מלאה על מעשיו, עוד בשלב החקירה במשטרה, הוא מביע חרטה. הנאשם מצוי במעצר לראשונה בחייו. </w:t>
      </w:r>
    </w:p>
    <w:p w14:paraId="2CC0B5D3" w14:textId="77777777" w:rsidR="00C9703A" w:rsidRDefault="00C9703A" w:rsidP="00C9703A">
      <w:pPr>
        <w:pStyle w:val="ab"/>
        <w:spacing w:line="360" w:lineRule="auto"/>
        <w:jc w:val="both"/>
        <w:rPr>
          <w:rFonts w:ascii="David" w:hAnsi="David" w:cs="David"/>
          <w:sz w:val="24"/>
          <w:szCs w:val="24"/>
          <w:rtl/>
        </w:rPr>
      </w:pPr>
      <w:r>
        <w:rPr>
          <w:rFonts w:ascii="David" w:hAnsi="David" w:cs="David"/>
          <w:sz w:val="24"/>
          <w:szCs w:val="24"/>
          <w:rtl/>
        </w:rPr>
        <w:t xml:space="preserve">בהתייחס לפסילה בפועל, הדגישה ב"כ הנאשם, שמדובר במקור פרנסתו של הנאשם כנהג משאית ושאין לחובתו עבירות תעבורה חמורות ולכן ביקשה להימנע מהטלת פסילה בפועל. </w:t>
      </w:r>
    </w:p>
    <w:p w14:paraId="780C2316" w14:textId="77777777" w:rsidR="00C9703A" w:rsidRDefault="00C9703A" w:rsidP="00C9703A">
      <w:pPr>
        <w:spacing w:line="360" w:lineRule="auto"/>
        <w:jc w:val="both"/>
        <w:rPr>
          <w:rFonts w:ascii="David" w:hAnsi="David"/>
          <w:bCs/>
          <w:u w:val="single"/>
          <w:rtl/>
        </w:rPr>
      </w:pPr>
      <w:r>
        <w:rPr>
          <w:rFonts w:ascii="David" w:hAnsi="David"/>
          <w:bCs/>
          <w:u w:val="single"/>
          <w:rtl/>
        </w:rPr>
        <w:t xml:space="preserve">דיון - קביעת מתחם העונש ההולם </w:t>
      </w:r>
    </w:p>
    <w:p w14:paraId="04AAEF1E" w14:textId="77777777" w:rsidR="00C9703A" w:rsidRDefault="00C9703A" w:rsidP="00C9703A">
      <w:pPr>
        <w:pStyle w:val="a"/>
        <w:numPr>
          <w:ilvl w:val="0"/>
          <w:numId w:val="2"/>
        </w:numPr>
        <w:tabs>
          <w:tab w:val="left" w:pos="720"/>
        </w:tabs>
        <w:jc w:val="both"/>
        <w:rPr>
          <w:rtl/>
        </w:rPr>
      </w:pPr>
      <w:r>
        <w:rPr>
          <w:rFonts w:hint="cs"/>
          <w:rtl/>
        </w:rPr>
        <w:t xml:space="preserve">כתב האישום מתאר אירוע מתמשך אחד, הכולל עבירות מסוגים שונים. בהתאם לנסיבות כתב האישום ולפסיקה הנוהגת ייקבע </w:t>
      </w:r>
      <w:r>
        <w:rPr>
          <w:rFonts w:hint="cs"/>
          <w:b/>
          <w:bCs/>
          <w:rtl/>
        </w:rPr>
        <w:t>מתחם עונש הולם אחד</w:t>
      </w:r>
      <w:r>
        <w:rPr>
          <w:rFonts w:hint="cs"/>
          <w:rtl/>
        </w:rPr>
        <w:t>, הלוקח בחשבון את כלל העבירות והערכים המוגנים שנפגעו.</w:t>
      </w:r>
    </w:p>
    <w:p w14:paraId="2CA40992" w14:textId="77777777" w:rsidR="00C9703A" w:rsidRDefault="00C9703A" w:rsidP="00C9703A">
      <w:pPr>
        <w:pStyle w:val="a"/>
        <w:numPr>
          <w:ilvl w:val="0"/>
          <w:numId w:val="0"/>
        </w:numPr>
        <w:tabs>
          <w:tab w:val="left" w:pos="720"/>
        </w:tabs>
        <w:ind w:left="720"/>
        <w:jc w:val="both"/>
      </w:pPr>
      <w:r>
        <w:rPr>
          <w:rFonts w:hint="cs"/>
          <w:rtl/>
        </w:rPr>
        <w:t xml:space="preserve">על הפגיעה בערכים החברתיים שנפגעים כתוצאה מביצוען של עבירות הסמים, דובר רבות בפסיקה – פגיעה בערכים של הגנה על בריאות הציבור, שמירת הסדר הציבורי. בהקשר זה  ראוי להדגיש שבמקרים רבים עבירות הסמים מובילות לביצוען של עבירות נוספות. הצורך במיגור הפשיעה בתחום הסמים והגנה על הציבור מפני נגע הסמים דורשים נקיטה בענישה מחמירה ויד קשה כלפי כל אלו העוברים עבירות בתחום זה, במיוחד כאשר עסקינן בעבירה של החזקת סם שלא לצריכה עצמית הנחשבת כמקבילה </w:t>
      </w:r>
      <w:r>
        <w:rPr>
          <w:rFonts w:hint="cs"/>
          <w:rtl/>
        </w:rPr>
        <w:lastRenderedPageBreak/>
        <w:t>לעבירת הסחר (ראה הנאמר ב</w:t>
      </w:r>
      <w:hyperlink r:id="rId23" w:history="1">
        <w:r w:rsidR="00A57F4B" w:rsidRPr="00A57F4B">
          <w:rPr>
            <w:color w:val="0000FF"/>
            <w:u w:val="single"/>
            <w:rtl/>
          </w:rPr>
          <w:t>ע"פ 211/09</w:t>
        </w:r>
      </w:hyperlink>
      <w:r>
        <w:rPr>
          <w:rFonts w:hint="cs"/>
          <w:rtl/>
        </w:rPr>
        <w:t xml:space="preserve"> </w:t>
      </w:r>
      <w:r>
        <w:rPr>
          <w:rFonts w:hint="cs"/>
          <w:b/>
          <w:bCs/>
          <w:rtl/>
        </w:rPr>
        <w:t xml:space="preserve">אזולאי נ' מדינת ישראל( 22.06.10); </w:t>
      </w:r>
      <w:r>
        <w:rPr>
          <w:rFonts w:hint="cs"/>
          <w:rtl/>
        </w:rPr>
        <w:t xml:space="preserve"> </w:t>
      </w:r>
      <w:hyperlink r:id="rId24" w:history="1">
        <w:r w:rsidR="00A57F4B" w:rsidRPr="00A57F4B">
          <w:rPr>
            <w:color w:val="0000FF"/>
            <w:u w:val="single"/>
            <w:rtl/>
          </w:rPr>
          <w:t>בש"פ 10638/08</w:t>
        </w:r>
      </w:hyperlink>
      <w:r>
        <w:rPr>
          <w:rFonts w:hint="cs"/>
          <w:rtl/>
        </w:rPr>
        <w:t xml:space="preserve"> </w:t>
      </w:r>
      <w:r>
        <w:rPr>
          <w:rFonts w:hint="cs"/>
          <w:b/>
          <w:bCs/>
          <w:rtl/>
        </w:rPr>
        <w:t>ויצמן נ' מדינת ישראל</w:t>
      </w:r>
      <w:r>
        <w:rPr>
          <w:rFonts w:hint="cs"/>
          <w:rtl/>
        </w:rPr>
        <w:t xml:space="preserve"> (23.12.08)). </w:t>
      </w:r>
    </w:p>
    <w:p w14:paraId="2C0FFE4E" w14:textId="77777777" w:rsidR="00C9703A" w:rsidRDefault="00C9703A" w:rsidP="00C9703A">
      <w:pPr>
        <w:spacing w:line="360" w:lineRule="auto"/>
        <w:ind w:left="720"/>
        <w:jc w:val="both"/>
        <w:rPr>
          <w:rtl/>
        </w:rPr>
      </w:pPr>
      <w:r>
        <w:rPr>
          <w:rFonts w:ascii="David" w:hAnsi="David"/>
          <w:rtl/>
        </w:rPr>
        <w:t>לכאורה מדובר בסוג סם המוגדר</w:t>
      </w:r>
      <w:r>
        <w:rPr>
          <w:rtl/>
        </w:rPr>
        <w:t xml:space="preserve"> "קל" יחסית ואשר הענישה בגינו פחותה יותר מאשר ביחס לסמים אחרים. עם זאת, אין להתעלם מהנזק ומהסיכון הרב הטמון בעבירת החזקה שלא לצריכה עצמית , וכפי שציינתי לעיל – הפסיקה מייחסת לעבירות אלו חומרה יתרה. </w:t>
      </w:r>
    </w:p>
    <w:p w14:paraId="7C9BCF1F" w14:textId="77777777" w:rsidR="00C9703A" w:rsidRDefault="00C9703A" w:rsidP="00C9703A">
      <w:pPr>
        <w:spacing w:line="360" w:lineRule="auto"/>
        <w:ind w:left="720"/>
        <w:jc w:val="both"/>
      </w:pPr>
      <w:r>
        <w:rPr>
          <w:rtl/>
        </w:rPr>
        <w:t>כך נקבע ב</w:t>
      </w:r>
      <w:hyperlink r:id="rId25" w:history="1">
        <w:r w:rsidR="00A57F4B" w:rsidRPr="00A57F4B">
          <w:rPr>
            <w:color w:val="0000FF"/>
            <w:u w:val="single"/>
            <w:rtl/>
          </w:rPr>
          <w:t>ע"פ 170/07</w:t>
        </w:r>
      </w:hyperlink>
      <w:r>
        <w:rPr>
          <w:rtl/>
        </w:rPr>
        <w:t xml:space="preserve"> </w:t>
      </w:r>
      <w:r>
        <w:rPr>
          <w:b/>
          <w:bCs/>
          <w:rtl/>
        </w:rPr>
        <w:t>מטיס נ' מדינת ישראל</w:t>
      </w:r>
      <w:r>
        <w:rPr>
          <w:rtl/>
        </w:rPr>
        <w:t xml:space="preserve"> (2007), ביחס לסם הקנאביס, כי גם סמים קלים מהווים לעיתים קרובות את יריית הפתיחה להתמכרות לסמים קשים יותר וכי גם בשימוש בהם עצמם טמונה סכנה. ולאחרונה שב והדגיש בית המשפט העליון כי סם קנבוס היה ועודנו נותר סם מסוכן (ראה </w:t>
      </w:r>
      <w:hyperlink r:id="rId26" w:history="1">
        <w:r w:rsidR="00A57F4B" w:rsidRPr="00A57F4B">
          <w:rPr>
            <w:color w:val="0000FF"/>
            <w:u w:val="single"/>
            <w:rtl/>
          </w:rPr>
          <w:t>רע"פ 174/21</w:t>
        </w:r>
      </w:hyperlink>
      <w:r>
        <w:rPr>
          <w:rtl/>
        </w:rPr>
        <w:t xml:space="preserve"> </w:t>
      </w:r>
      <w:r>
        <w:rPr>
          <w:b/>
          <w:bCs/>
          <w:rtl/>
        </w:rPr>
        <w:t>סויסה נ' מדינת ישראל</w:t>
      </w:r>
      <w:r>
        <w:rPr>
          <w:rtl/>
        </w:rPr>
        <w:t xml:space="preserve"> (25.02.21); </w:t>
      </w:r>
      <w:hyperlink r:id="rId27" w:history="1">
        <w:r w:rsidR="00A57F4B" w:rsidRPr="00A57F4B">
          <w:rPr>
            <w:color w:val="0000FF"/>
            <w:u w:val="single"/>
            <w:rtl/>
          </w:rPr>
          <w:t>רע"פ  8759/21</w:t>
        </w:r>
      </w:hyperlink>
      <w:r>
        <w:rPr>
          <w:rtl/>
        </w:rPr>
        <w:t xml:space="preserve"> </w:t>
      </w:r>
      <w:r>
        <w:rPr>
          <w:b/>
          <w:bCs/>
          <w:rtl/>
        </w:rPr>
        <w:t>אלעד קסלר נ' מדינת ישראל</w:t>
      </w:r>
      <w:r>
        <w:rPr>
          <w:rtl/>
        </w:rPr>
        <w:t xml:space="preserve"> (23.12.21); </w:t>
      </w:r>
      <w:hyperlink r:id="rId28" w:history="1">
        <w:r w:rsidR="00A57F4B" w:rsidRPr="00A57F4B">
          <w:rPr>
            <w:color w:val="0000FF"/>
            <w:u w:val="single"/>
            <w:rtl/>
          </w:rPr>
          <w:t>רע"פ 8388/22</w:t>
        </w:r>
      </w:hyperlink>
      <w:r>
        <w:rPr>
          <w:rtl/>
        </w:rPr>
        <w:t xml:space="preserve"> </w:t>
      </w:r>
      <w:r>
        <w:rPr>
          <w:b/>
          <w:bCs/>
          <w:rtl/>
        </w:rPr>
        <w:t>אביבי נ' מדינת ישראל</w:t>
      </w:r>
      <w:r>
        <w:rPr>
          <w:rtl/>
        </w:rPr>
        <w:t xml:space="preserve"> (08.12.22); </w:t>
      </w:r>
      <w:hyperlink r:id="rId29" w:history="1">
        <w:r w:rsidR="00A57F4B" w:rsidRPr="00A57F4B">
          <w:rPr>
            <w:color w:val="0000FF"/>
            <w:u w:val="single"/>
            <w:rtl/>
          </w:rPr>
          <w:t>ע"פ 1517/22</w:t>
        </w:r>
      </w:hyperlink>
      <w:r>
        <w:rPr>
          <w:rtl/>
        </w:rPr>
        <w:t xml:space="preserve"> </w:t>
      </w:r>
      <w:r>
        <w:rPr>
          <w:b/>
          <w:bCs/>
          <w:rtl/>
        </w:rPr>
        <w:t>בן הרוש נ' מדינת ישראל</w:t>
      </w:r>
      <w:r>
        <w:rPr>
          <w:rtl/>
        </w:rPr>
        <w:t xml:space="preserve"> (08.03.22)) וככלל מגמת הענישה בעבירות סמים, היא של החמרה והרתעה ( ראה </w:t>
      </w:r>
      <w:hyperlink r:id="rId30" w:history="1">
        <w:r w:rsidR="00A57F4B" w:rsidRPr="00A57F4B">
          <w:rPr>
            <w:color w:val="0000FF"/>
            <w:u w:val="single"/>
            <w:rtl/>
          </w:rPr>
          <w:t>ע"פ 8048/19</w:t>
        </w:r>
      </w:hyperlink>
      <w:r>
        <w:rPr>
          <w:rtl/>
        </w:rPr>
        <w:t xml:space="preserve"> </w:t>
      </w:r>
      <w:r>
        <w:rPr>
          <w:bCs/>
          <w:rtl/>
        </w:rPr>
        <w:t>פיצ'חדזה נ' מדינת ישראל</w:t>
      </w:r>
      <w:r>
        <w:rPr>
          <w:rtl/>
        </w:rPr>
        <w:t>, פסקה 11 (20.6.2020)).</w:t>
      </w:r>
    </w:p>
    <w:p w14:paraId="0065E1D6" w14:textId="77777777" w:rsidR="00C9703A" w:rsidRDefault="00C9703A" w:rsidP="00C9703A">
      <w:pPr>
        <w:pStyle w:val="a"/>
        <w:numPr>
          <w:ilvl w:val="0"/>
          <w:numId w:val="2"/>
        </w:numPr>
        <w:tabs>
          <w:tab w:val="left" w:pos="720"/>
        </w:tabs>
        <w:jc w:val="both"/>
        <w:rPr>
          <w:rtl/>
        </w:rPr>
      </w:pPr>
      <w:r>
        <w:rPr>
          <w:rFonts w:hint="cs"/>
          <w:rtl/>
        </w:rPr>
        <w:t xml:space="preserve">בנוגע לעבירות </w:t>
      </w:r>
      <w:r>
        <w:rPr>
          <w:rFonts w:hint="cs"/>
          <w:b/>
          <w:bCs/>
          <w:rtl/>
        </w:rPr>
        <w:t xml:space="preserve">הפרעה לשוטר ונהיגה מעל המותר </w:t>
      </w:r>
      <w:r>
        <w:rPr>
          <w:rFonts w:hint="cs"/>
          <w:rtl/>
        </w:rPr>
        <w:t>יש לציין</w:t>
      </w:r>
      <w:r>
        <w:rPr>
          <w:rFonts w:hint="cs"/>
          <w:b/>
          <w:bCs/>
          <w:rtl/>
        </w:rPr>
        <w:t xml:space="preserve"> שהערכים החברתיים</w:t>
      </w:r>
      <w:r>
        <w:rPr>
          <w:rFonts w:hint="cs"/>
          <w:rtl/>
        </w:rPr>
        <w:t xml:space="preserve"> אשר נפגעו הם סיכון חייהם, שלומם ורכושם של המשתמשים בדרך ופגיעה בתחושת הביטחון של הציבור ושל גורמי אכיפת החוק. כאמור הנאשם נמלט מהשוטרים ונערך מרדף אחריו במהלכו נסע הנאשם מעל המהירות המותרת ובכך סיכן באופן משמעותי את הנוסעים בדרך. תופעה של נהיגה פרועה במהלך מרדף משטרתי, תוך הפרה בוטה של כללי התנועה יוצרת סיכון רב לכל הנוסעים בדרכים ופוגעת בסדר הציבורי ואף מבטאת זלזול מופגן ובוטה בגורמי האכיפה והיעדר מורא מהחוק. </w:t>
      </w:r>
    </w:p>
    <w:p w14:paraId="5F956EBC" w14:textId="77777777" w:rsidR="00C9703A" w:rsidRDefault="00C9703A" w:rsidP="00C9703A">
      <w:pPr>
        <w:pStyle w:val="ab"/>
        <w:numPr>
          <w:ilvl w:val="0"/>
          <w:numId w:val="2"/>
        </w:numPr>
        <w:spacing w:line="360" w:lineRule="auto"/>
        <w:jc w:val="both"/>
        <w:rPr>
          <w:rFonts w:cs="David"/>
          <w:sz w:val="24"/>
          <w:szCs w:val="24"/>
          <w:rtl/>
        </w:rPr>
      </w:pPr>
      <w:r>
        <w:rPr>
          <w:rFonts w:cs="David"/>
          <w:b/>
          <w:bCs/>
          <w:sz w:val="24"/>
          <w:szCs w:val="24"/>
          <w:rtl/>
        </w:rPr>
        <w:t>מידת הפגיעה בערכים המוגנים</w:t>
      </w:r>
      <w:r>
        <w:rPr>
          <w:rFonts w:cs="David"/>
          <w:sz w:val="24"/>
          <w:szCs w:val="24"/>
          <w:rtl/>
        </w:rPr>
        <w:t xml:space="preserve"> הינה תולדה של סוג הסם, כמות הסם ונסיבות ההחזקה, בעניינו החזיק הנאשם ברכבו סם מסוכן קנבוס במשקל של למעלה מ 5 ק"ג, מבלי להקל ראש במיוחס לנאשם, לא מדובר במקרה דנן בעבירה הנמצאת על הצד הגבוה של מנעד החומרה.</w:t>
      </w:r>
      <w:r>
        <w:rPr>
          <w:rFonts w:ascii="David" w:eastAsia="David" w:hAnsi="David" w:cs="David"/>
          <w:sz w:val="24"/>
          <w:szCs w:val="24"/>
          <w:rtl/>
        </w:rPr>
        <w:t xml:space="preserve"> מידת הפגיעה בערכים המוגנים בעבירה של הפרעה לשוטר ונהיגה מעל המותר הינה משמעותית, בשים לב לכך שהנאשם לא שעה להוראות השוטרים במחסום, נהג מעל המהירות המותרת וסיכן בכך את משתמשי הדרך, כמו כן נתתי דעתי לכך שהנאשם אותר ונתפס בסיוע מסוק משטרתי. </w:t>
      </w:r>
      <w:r>
        <w:rPr>
          <w:rFonts w:cs="David"/>
          <w:sz w:val="24"/>
          <w:szCs w:val="24"/>
          <w:rtl/>
        </w:rPr>
        <w:t xml:space="preserve">בעניינו יש לציין השילוב בין ביצוע עבירת סמים חמורה לביצוע עבירות נלוות, שילוב זה מעיד על חומרה יתרה שיש לייחס לנאשם. </w:t>
      </w:r>
    </w:p>
    <w:p w14:paraId="02C611A5" w14:textId="77777777" w:rsidR="00C9703A" w:rsidRDefault="00C9703A" w:rsidP="00C9703A">
      <w:pPr>
        <w:numPr>
          <w:ilvl w:val="0"/>
          <w:numId w:val="2"/>
        </w:numPr>
        <w:spacing w:after="160" w:line="360" w:lineRule="auto"/>
        <w:jc w:val="both"/>
        <w:rPr>
          <w:rtl/>
        </w:rPr>
      </w:pPr>
      <w:r>
        <w:rPr>
          <w:rFonts w:ascii="David" w:hAnsi="David"/>
          <w:rtl/>
        </w:rPr>
        <w:t xml:space="preserve">במסגרת </w:t>
      </w:r>
      <w:r>
        <w:rPr>
          <w:rFonts w:ascii="David" w:hAnsi="David"/>
          <w:b/>
          <w:bCs/>
          <w:rtl/>
        </w:rPr>
        <w:t xml:space="preserve">הנסיבות הקשורות בביצוע העבירה </w:t>
      </w:r>
      <w:r>
        <w:rPr>
          <w:rFonts w:ascii="David" w:hAnsi="David"/>
          <w:rtl/>
        </w:rPr>
        <w:t xml:space="preserve">(סעיף </w:t>
      </w:r>
      <w:hyperlink r:id="rId31" w:history="1">
        <w:r w:rsidR="00CF5484" w:rsidRPr="00CF5484">
          <w:rPr>
            <w:rStyle w:val="Hyperlink"/>
            <w:rFonts w:ascii="David" w:hAnsi="David"/>
            <w:rtl/>
          </w:rPr>
          <w:t>40 ט'</w:t>
        </w:r>
      </w:hyperlink>
      <w:r>
        <w:rPr>
          <w:rFonts w:ascii="David" w:hAnsi="David"/>
          <w:rtl/>
        </w:rPr>
        <w:t xml:space="preserve"> לחוק), יש לתת את הדעת לכך שהנאשם נמצא מחזיק הסם באופן בלעדי ולא עם אחרים, הסמים הוחזקו ברכבו. כמות הסמים כאמור אינה מבוטלת אך אינה מהגדולות, יש לציין ש</w:t>
      </w:r>
      <w:r>
        <w:rPr>
          <w:rtl/>
        </w:rPr>
        <w:t>הסם לא חולק למנות, לא נתפסו שקיות חלוקה או כסף מזומן, לא נתפסו משקלים דיגיטליים.  עם זאת, אין להתעלם מפוטנציאל הנזק ומהסיכון הרב הטמונים בעבירת החזקה שלא לצריכה עצמית.</w:t>
      </w:r>
    </w:p>
    <w:p w14:paraId="039FA5A9" w14:textId="77777777" w:rsidR="00C9703A" w:rsidRDefault="00C9703A" w:rsidP="00C9703A">
      <w:pPr>
        <w:spacing w:line="360" w:lineRule="auto"/>
        <w:ind w:left="720"/>
        <w:jc w:val="both"/>
      </w:pPr>
      <w:r>
        <w:rPr>
          <w:rtl/>
        </w:rPr>
        <w:t xml:space="preserve">בנוסף נתתי דעתי לכך שבאותן הנסיבות, הנאשם ברח משוטרים במקום, נהג מעל המותר ונתפס רק לאחר מרדף שנערך אחריו באמצעות מסוק משטרתי. </w:t>
      </w:r>
    </w:p>
    <w:p w14:paraId="1EA2F926" w14:textId="77777777" w:rsidR="00C9703A" w:rsidRDefault="00C9703A" w:rsidP="00C9703A">
      <w:pPr>
        <w:pStyle w:val="a"/>
        <w:numPr>
          <w:ilvl w:val="0"/>
          <w:numId w:val="2"/>
        </w:numPr>
        <w:tabs>
          <w:tab w:val="left" w:pos="720"/>
        </w:tabs>
        <w:jc w:val="both"/>
      </w:pPr>
      <w:r>
        <w:rPr>
          <w:rFonts w:hint="cs"/>
          <w:rtl/>
        </w:rPr>
        <w:t xml:space="preserve">בחינת </w:t>
      </w:r>
      <w:r>
        <w:rPr>
          <w:rFonts w:hint="cs"/>
          <w:b/>
          <w:bCs/>
          <w:rtl/>
        </w:rPr>
        <w:t>מדיניות הענישה</w:t>
      </w:r>
      <w:r>
        <w:rPr>
          <w:rFonts w:hint="cs"/>
          <w:rtl/>
        </w:rPr>
        <w:t xml:space="preserve"> הנוהגת בעבירות של החזקת סם מסוכן שלא לצריכה עצמית  מעלה שהוטלו על נאשמים עונשים במנעד רחב כמפורט להלן:</w:t>
      </w:r>
    </w:p>
    <w:p w14:paraId="6D3CEC7A" w14:textId="77777777" w:rsidR="00C9703A" w:rsidRDefault="00A57F4B" w:rsidP="00C9703A">
      <w:pPr>
        <w:pStyle w:val="a"/>
        <w:numPr>
          <w:ilvl w:val="1"/>
          <w:numId w:val="2"/>
        </w:numPr>
        <w:tabs>
          <w:tab w:val="left" w:pos="720"/>
        </w:tabs>
        <w:jc w:val="both"/>
      </w:pPr>
      <w:hyperlink r:id="rId32" w:history="1">
        <w:r w:rsidRPr="00A57F4B">
          <w:rPr>
            <w:b/>
            <w:bCs/>
            <w:color w:val="0000FF"/>
            <w:u w:val="single"/>
            <w:rtl/>
          </w:rPr>
          <w:t>רע"פ 1830/16</w:t>
        </w:r>
      </w:hyperlink>
      <w:r w:rsidR="00C9703A">
        <w:rPr>
          <w:rFonts w:hint="cs"/>
          <w:b/>
          <w:bCs/>
          <w:u w:val="single"/>
          <w:rtl/>
        </w:rPr>
        <w:t xml:space="preserve"> רקיבי נגד מדינת ישראל (11.4.16),</w:t>
      </w:r>
      <w:r w:rsidR="00C9703A">
        <w:rPr>
          <w:rFonts w:hint="cs"/>
          <w:rtl/>
        </w:rPr>
        <w:t xml:space="preserve"> עבירה של החזקת סם מסוג </w:t>
      </w:r>
      <w:r w:rsidR="00C9703A">
        <w:rPr>
          <w:rFonts w:hint="cs"/>
          <w:b/>
          <w:bCs/>
          <w:rtl/>
        </w:rPr>
        <w:t>חשיש ברכב מחולק לאריזות במשקל כולל של 2.3 ק"ג.</w:t>
      </w:r>
      <w:r w:rsidR="00C9703A">
        <w:rPr>
          <w:rFonts w:hint="cs"/>
          <w:rtl/>
        </w:rPr>
        <w:t xml:space="preserve"> בימ"ש השלום קבע  מתחם ענישה הנע  בין 6 ל 15 חודשי מאסר בפועל, הנאשם נעדר עבר פלילי והוגש לגביו תסקיר חיובי, נדון ל  8 חודשי מאסר בפועל. ערעור ובקשת רשות ערעור נדחו. </w:t>
      </w:r>
    </w:p>
    <w:p w14:paraId="5548F26D" w14:textId="77777777" w:rsidR="00C9703A" w:rsidRDefault="00A57F4B" w:rsidP="00C9703A">
      <w:pPr>
        <w:pStyle w:val="a"/>
        <w:numPr>
          <w:ilvl w:val="1"/>
          <w:numId w:val="2"/>
        </w:numPr>
        <w:tabs>
          <w:tab w:val="left" w:pos="720"/>
        </w:tabs>
        <w:jc w:val="both"/>
      </w:pPr>
      <w:hyperlink r:id="rId33" w:history="1">
        <w:r w:rsidRPr="00A57F4B">
          <w:rPr>
            <w:b/>
            <w:bCs/>
            <w:color w:val="0000FF"/>
            <w:u w:val="single"/>
            <w:rtl/>
          </w:rPr>
          <w:t>רע"פ 3084/21</w:t>
        </w:r>
      </w:hyperlink>
      <w:r>
        <w:rPr>
          <w:rFonts w:hint="cs"/>
          <w:b/>
          <w:bCs/>
          <w:u w:val="single"/>
          <w:rtl/>
        </w:rPr>
        <w:t xml:space="preserve">  </w:t>
      </w:r>
      <w:r w:rsidR="00C9703A">
        <w:rPr>
          <w:rFonts w:hint="cs"/>
          <w:b/>
          <w:bCs/>
          <w:u w:val="single"/>
          <w:rtl/>
        </w:rPr>
        <w:t xml:space="preserve"> יוסף יאגודאייב נ' מדינת ישראל (12.05.21) - </w:t>
      </w:r>
      <w:r w:rsidR="00C9703A">
        <w:rPr>
          <w:rFonts w:hint="cs"/>
          <w:rtl/>
        </w:rPr>
        <w:t xml:space="preserve">עבירה של החזקת סם מסוג חשיש שלא לצריכה עצמית במשקל למעלה מ 9 ק"ג - </w:t>
      </w:r>
      <w:r w:rsidR="00C9703A" w:rsidRPr="00C9703A">
        <w:rPr>
          <w:rFonts w:ascii="Calibri" w:hAnsi="Calibri" w:hint="cs"/>
          <w:rtl/>
        </w:rPr>
        <w:t xml:space="preserve">בימ"ש השלום קבע מתחם ענישה </w:t>
      </w:r>
      <w:r w:rsidR="00C9703A" w:rsidRPr="00C9703A">
        <w:rPr>
          <w:rFonts w:ascii="Calibri" w:hAnsi="Calibri" w:hint="cs"/>
          <w:b/>
          <w:bCs/>
          <w:rtl/>
        </w:rPr>
        <w:t>הנע בין 10 חודשים לבין  24 חודשים מאסר בפועל</w:t>
      </w:r>
      <w:r w:rsidR="00C9703A" w:rsidRPr="00C9703A">
        <w:rPr>
          <w:rFonts w:ascii="Calibri" w:hAnsi="Calibri" w:hint="cs"/>
          <w:rtl/>
        </w:rPr>
        <w:t xml:space="preserve">, והשית על המבקש 12 חודשי מאסר בפועל, בית המשפט המחוזי דחה הערעור שהגיש המבקש וכן בקשת רשות הערעור נדחתה גם כן. </w:t>
      </w:r>
    </w:p>
    <w:p w14:paraId="6A89299E" w14:textId="77777777" w:rsidR="00C9703A" w:rsidRDefault="00A57F4B" w:rsidP="00C9703A">
      <w:pPr>
        <w:pStyle w:val="a"/>
        <w:numPr>
          <w:ilvl w:val="1"/>
          <w:numId w:val="2"/>
        </w:numPr>
        <w:tabs>
          <w:tab w:val="left" w:pos="720"/>
        </w:tabs>
        <w:jc w:val="both"/>
        <w:rPr>
          <w:b/>
          <w:bCs/>
          <w:u w:val="single"/>
        </w:rPr>
      </w:pPr>
      <w:hyperlink r:id="rId34" w:history="1">
        <w:r w:rsidRPr="00A57F4B">
          <w:rPr>
            <w:b/>
            <w:bCs/>
            <w:color w:val="0000FF"/>
            <w:u w:val="single"/>
            <w:rtl/>
          </w:rPr>
          <w:t>רע"פ  7819/15</w:t>
        </w:r>
      </w:hyperlink>
      <w:r w:rsidR="00C9703A">
        <w:rPr>
          <w:rFonts w:hint="cs"/>
          <w:b/>
          <w:bCs/>
          <w:u w:val="single"/>
          <w:rtl/>
        </w:rPr>
        <w:t xml:space="preserve"> סלור נ' מדינת ישראל (22.05.16) ) </w:t>
      </w:r>
      <w:r w:rsidR="00C9703A">
        <w:rPr>
          <w:rFonts w:hint="cs"/>
          <w:rtl/>
        </w:rPr>
        <w:t>– עבירות של</w:t>
      </w:r>
      <w:r w:rsidR="00C9703A" w:rsidRPr="00C9703A">
        <w:rPr>
          <w:rFonts w:ascii="Calibri" w:eastAsia="Calibri" w:hAnsi="Calibri" w:cs="Arial"/>
          <w:color w:val="auto"/>
          <w:sz w:val="22"/>
          <w:szCs w:val="22"/>
          <w:rtl/>
        </w:rPr>
        <w:t xml:space="preserve"> </w:t>
      </w:r>
      <w:r w:rsidR="00C9703A">
        <w:rPr>
          <w:rFonts w:hint="cs"/>
          <w:rtl/>
        </w:rPr>
        <w:t xml:space="preserve">גידול והחזקה שלא לצריכה עצמית של סם מסוג קנביס במשקל של 7 ק"ג ומעלה, בית משפט השלום קבע מתחם ענישה הנע 7 ל-18 חודשי מאסר בפועל. הנאשם אשר עבר הליך טיפולי ממושך נדון ל 9 חודשי מאסר בפועל בצירוף ענישה נלווית. ערעור ובקשת רשות ערעור נדחו. </w:t>
      </w:r>
    </w:p>
    <w:p w14:paraId="2B0E936D" w14:textId="77777777" w:rsidR="00C9703A" w:rsidRDefault="00A57F4B" w:rsidP="00C9703A">
      <w:pPr>
        <w:pStyle w:val="a"/>
        <w:numPr>
          <w:ilvl w:val="1"/>
          <w:numId w:val="2"/>
        </w:numPr>
        <w:tabs>
          <w:tab w:val="left" w:pos="720"/>
        </w:tabs>
        <w:jc w:val="both"/>
      </w:pPr>
      <w:hyperlink r:id="rId35" w:history="1">
        <w:r w:rsidRPr="00A57F4B">
          <w:rPr>
            <w:b/>
            <w:bCs/>
            <w:color w:val="0000FF"/>
            <w:u w:val="single"/>
            <w:rtl/>
          </w:rPr>
          <w:t>ת"פ (ב"ש)  59487-11-20</w:t>
        </w:r>
      </w:hyperlink>
      <w:r w:rsidR="00C9703A">
        <w:rPr>
          <w:rFonts w:hint="cs"/>
          <w:b/>
          <w:bCs/>
          <w:u w:val="single"/>
          <w:rtl/>
        </w:rPr>
        <w:t xml:space="preserve"> מדינת ישראל נ' אדרי </w:t>
      </w:r>
      <w:r w:rsidR="00C9703A">
        <w:rPr>
          <w:rFonts w:hint="cs"/>
          <w:rtl/>
        </w:rPr>
        <w:t>(24.05.21)</w:t>
      </w:r>
      <w:r w:rsidR="00C9703A">
        <w:rPr>
          <w:rFonts w:hint="cs"/>
          <w:b/>
          <w:bCs/>
          <w:rtl/>
        </w:rPr>
        <w:t xml:space="preserve"> </w:t>
      </w:r>
      <w:r w:rsidR="00C9703A">
        <w:rPr>
          <w:rFonts w:hint="cs"/>
          <w:rtl/>
        </w:rPr>
        <w:t xml:space="preserve">עבירת החזקת סם מסוג קנבוס שלא לצריכה עצמית במשקל 11 ק"ג – </w:t>
      </w:r>
      <w:r w:rsidR="00C9703A">
        <w:rPr>
          <w:rFonts w:hint="cs"/>
          <w:b/>
          <w:bCs/>
          <w:rtl/>
        </w:rPr>
        <w:t>נקבע מתחם ענישה הנע בין 10 חודשים לבין 24 חודשים מאסר</w:t>
      </w:r>
      <w:r w:rsidR="00C9703A">
        <w:rPr>
          <w:rFonts w:hint="cs"/>
          <w:rtl/>
        </w:rPr>
        <w:t xml:space="preserve"> בפועל. הנאשם נדון ל 11 חודשי מאסר בפועל.</w:t>
      </w:r>
    </w:p>
    <w:p w14:paraId="693A8E31" w14:textId="77777777" w:rsidR="00C9703A" w:rsidRDefault="00C9703A" w:rsidP="00C9703A">
      <w:pPr>
        <w:pStyle w:val="a"/>
        <w:numPr>
          <w:ilvl w:val="0"/>
          <w:numId w:val="0"/>
        </w:numPr>
        <w:tabs>
          <w:tab w:val="left" w:pos="720"/>
        </w:tabs>
        <w:ind w:left="1440"/>
        <w:jc w:val="both"/>
      </w:pPr>
    </w:p>
    <w:p w14:paraId="066DE697" w14:textId="77777777" w:rsidR="00C9703A" w:rsidRDefault="00C9703A" w:rsidP="00C9703A">
      <w:pPr>
        <w:pStyle w:val="a"/>
        <w:numPr>
          <w:ilvl w:val="0"/>
          <w:numId w:val="0"/>
        </w:numPr>
        <w:tabs>
          <w:tab w:val="left" w:pos="720"/>
        </w:tabs>
        <w:ind w:left="720"/>
        <w:jc w:val="both"/>
      </w:pPr>
      <w:r>
        <w:rPr>
          <w:rFonts w:hint="cs"/>
          <w:rtl/>
        </w:rPr>
        <w:t>עיינתי בפסיקה שהוצגה לעיוני מטעם ההגנה, מרבית הפסיקה כוללת עונשים במסגרת הסדרי טיעון בין הצדדים וחלק  מהפסיקה שהוצגה כוללת עונשים שהוטלו במסגרת טיעון פתוח.</w:t>
      </w:r>
    </w:p>
    <w:p w14:paraId="4133DAD7" w14:textId="77777777" w:rsidR="00C9703A" w:rsidRDefault="00C9703A" w:rsidP="00C9703A">
      <w:pPr>
        <w:pStyle w:val="a"/>
        <w:numPr>
          <w:ilvl w:val="0"/>
          <w:numId w:val="0"/>
        </w:numPr>
        <w:tabs>
          <w:tab w:val="left" w:pos="720"/>
        </w:tabs>
        <w:ind w:left="720" w:hanging="720"/>
        <w:jc w:val="both"/>
        <w:rPr>
          <w:b/>
          <w:bCs/>
          <w:rtl/>
        </w:rPr>
      </w:pPr>
      <w:r>
        <w:rPr>
          <w:rtl/>
        </w:rPr>
        <w:tab/>
      </w:r>
      <w:r>
        <w:rPr>
          <w:rFonts w:hint="cs"/>
          <w:rtl/>
        </w:rPr>
        <w:t xml:space="preserve"> לאור כל המפורט לעיל,  ובשים לב לנסיבות תיק זה, </w:t>
      </w:r>
      <w:r>
        <w:rPr>
          <w:rFonts w:hint="cs"/>
          <w:b/>
          <w:bCs/>
          <w:rtl/>
        </w:rPr>
        <w:t>אני קובע כי מתחם העונש ההולם נע החל</w:t>
      </w:r>
    </w:p>
    <w:p w14:paraId="7D5F357B" w14:textId="77777777" w:rsidR="00C9703A" w:rsidRDefault="00C9703A" w:rsidP="00C9703A">
      <w:pPr>
        <w:pStyle w:val="a"/>
        <w:numPr>
          <w:ilvl w:val="0"/>
          <w:numId w:val="0"/>
        </w:numPr>
        <w:tabs>
          <w:tab w:val="left" w:pos="720"/>
        </w:tabs>
        <w:ind w:left="720" w:hanging="720"/>
        <w:jc w:val="both"/>
        <w:rPr>
          <w:b/>
          <w:bCs/>
          <w:rtl/>
        </w:rPr>
      </w:pPr>
      <w:r>
        <w:rPr>
          <w:b/>
          <w:bCs/>
          <w:rtl/>
        </w:rPr>
        <w:tab/>
      </w:r>
      <w:r>
        <w:rPr>
          <w:rFonts w:hint="cs"/>
          <w:b/>
          <w:bCs/>
          <w:rtl/>
        </w:rPr>
        <w:t>מ- 9 חודשי מאסר בפועל ועד 20 חודשי מאסר בפועל</w:t>
      </w:r>
      <w:r>
        <w:rPr>
          <w:rFonts w:hint="cs"/>
          <w:rtl/>
        </w:rPr>
        <w:t xml:space="preserve">. </w:t>
      </w:r>
    </w:p>
    <w:p w14:paraId="4893A58C" w14:textId="77777777" w:rsidR="00C9703A" w:rsidRDefault="00C9703A" w:rsidP="00C9703A">
      <w:pPr>
        <w:pStyle w:val="a"/>
        <w:numPr>
          <w:ilvl w:val="0"/>
          <w:numId w:val="0"/>
        </w:numPr>
        <w:tabs>
          <w:tab w:val="left" w:pos="720"/>
        </w:tabs>
        <w:ind w:left="720"/>
        <w:jc w:val="both"/>
        <w:rPr>
          <w:b/>
          <w:bCs/>
          <w:rtl/>
        </w:rPr>
      </w:pPr>
    </w:p>
    <w:p w14:paraId="6342BB0F" w14:textId="77777777" w:rsidR="00C9703A" w:rsidRDefault="00C9703A" w:rsidP="00C9703A">
      <w:pPr>
        <w:pStyle w:val="a"/>
        <w:numPr>
          <w:ilvl w:val="0"/>
          <w:numId w:val="2"/>
        </w:numPr>
        <w:tabs>
          <w:tab w:val="left" w:pos="720"/>
        </w:tabs>
        <w:jc w:val="both"/>
      </w:pPr>
      <w:r>
        <w:rPr>
          <w:rFonts w:hint="cs"/>
          <w:rtl/>
        </w:rPr>
        <w:t xml:space="preserve">במקרה דנן, לא מצאתי שקיימים שיקולים אשר מצדיקים סטייה מהמתחם, לחומרה או לקולא. </w:t>
      </w:r>
    </w:p>
    <w:p w14:paraId="120F0811" w14:textId="77777777" w:rsidR="00C9703A" w:rsidRDefault="00C9703A" w:rsidP="00C9703A">
      <w:pPr>
        <w:spacing w:line="360" w:lineRule="auto"/>
        <w:jc w:val="both"/>
        <w:rPr>
          <w:rFonts w:ascii="David" w:hAnsi="David"/>
        </w:rPr>
      </w:pPr>
    </w:p>
    <w:p w14:paraId="65B530F1" w14:textId="77777777" w:rsidR="00C9703A" w:rsidRDefault="00C9703A" w:rsidP="00C9703A">
      <w:pPr>
        <w:pStyle w:val="ab"/>
        <w:numPr>
          <w:ilvl w:val="0"/>
          <w:numId w:val="2"/>
        </w:numPr>
        <w:spacing w:after="0" w:line="360" w:lineRule="auto"/>
        <w:rPr>
          <w:rFonts w:ascii="David" w:hAnsi="David" w:cs="David"/>
          <w:bCs/>
          <w:sz w:val="24"/>
          <w:szCs w:val="24"/>
          <w:u w:val="single"/>
        </w:rPr>
      </w:pPr>
      <w:r>
        <w:rPr>
          <w:rFonts w:ascii="David" w:hAnsi="David" w:cs="David"/>
          <w:bCs/>
          <w:sz w:val="24"/>
          <w:szCs w:val="24"/>
          <w:u w:val="single"/>
          <w:rtl/>
        </w:rPr>
        <w:t xml:space="preserve">גזירת העונש המתאים </w:t>
      </w:r>
    </w:p>
    <w:p w14:paraId="7323734D" w14:textId="77777777" w:rsidR="00C9703A" w:rsidRDefault="00C9703A" w:rsidP="00C9703A">
      <w:pPr>
        <w:spacing w:line="360" w:lineRule="auto"/>
        <w:ind w:left="360"/>
        <w:jc w:val="both"/>
        <w:rPr>
          <w:rFonts w:ascii="David" w:hAnsi="David"/>
        </w:rPr>
      </w:pPr>
      <w:r>
        <w:rPr>
          <w:rFonts w:ascii="David" w:hAnsi="David"/>
          <w:rtl/>
        </w:rPr>
        <w:t xml:space="preserve">בעת גזירת העונש המתאים לנאשם, בגדרי מתחם העונש ההולם, יש להתחשב בנסיבות שאינן קשורות בביצוע העבירה (סעיף </w:t>
      </w:r>
      <w:hyperlink r:id="rId36" w:history="1">
        <w:r w:rsidR="00CF5484" w:rsidRPr="00CF5484">
          <w:rPr>
            <w:rStyle w:val="Hyperlink"/>
            <w:rFonts w:ascii="David" w:hAnsi="David"/>
            <w:rtl/>
          </w:rPr>
          <w:t>40 יא'</w:t>
        </w:r>
      </w:hyperlink>
      <w:r>
        <w:rPr>
          <w:rFonts w:ascii="David" w:hAnsi="David"/>
          <w:rtl/>
        </w:rPr>
        <w:t xml:space="preserve"> ל</w:t>
      </w:r>
      <w:hyperlink r:id="rId37" w:history="1">
        <w:r w:rsidR="00A57F4B" w:rsidRPr="00A57F4B">
          <w:rPr>
            <w:rFonts w:ascii="David" w:hAnsi="David"/>
            <w:color w:val="0000FF"/>
            <w:u w:val="single"/>
            <w:rtl/>
          </w:rPr>
          <w:t>חוק העונשין</w:t>
        </w:r>
      </w:hyperlink>
      <w:r>
        <w:rPr>
          <w:rFonts w:ascii="David" w:hAnsi="David"/>
          <w:rtl/>
        </w:rPr>
        <w:t>). במסגרת זו מן הראוי לתת את הדעת לנסיבות הבאות:</w:t>
      </w:r>
    </w:p>
    <w:p w14:paraId="320B4470" w14:textId="77777777" w:rsidR="00C9703A" w:rsidRDefault="00C9703A" w:rsidP="00C9703A">
      <w:pPr>
        <w:numPr>
          <w:ilvl w:val="0"/>
          <w:numId w:val="3"/>
        </w:numPr>
        <w:spacing w:after="160" w:line="360" w:lineRule="auto"/>
        <w:jc w:val="both"/>
        <w:rPr>
          <w:rFonts w:ascii="David" w:hAnsi="David"/>
        </w:rPr>
      </w:pPr>
      <w:r>
        <w:rPr>
          <w:rFonts w:ascii="David" w:hAnsi="David"/>
          <w:rtl/>
        </w:rPr>
        <w:t xml:space="preserve">הנאשם בן 24 רווק,  מצוי במעצר החל מיום 10.01.23, טרם הגשת כתב האישום ניהל אורח חיים נורמטיבי ותקין. הנאשם גדל במשפחה נורמטיבית. </w:t>
      </w:r>
    </w:p>
    <w:p w14:paraId="754D5314" w14:textId="77777777" w:rsidR="00C9703A" w:rsidRDefault="00C9703A" w:rsidP="00C9703A">
      <w:pPr>
        <w:numPr>
          <w:ilvl w:val="0"/>
          <w:numId w:val="3"/>
        </w:numPr>
        <w:spacing w:after="160" w:line="360" w:lineRule="auto"/>
        <w:jc w:val="both"/>
        <w:rPr>
          <w:rFonts w:ascii="David" w:hAnsi="David"/>
        </w:rPr>
      </w:pPr>
      <w:r>
        <w:rPr>
          <w:rFonts w:ascii="David" w:hAnsi="David"/>
          <w:b/>
          <w:bCs/>
          <w:rtl/>
        </w:rPr>
        <w:t>נטילת האחריות של הנאשם על מעשיו, וחזרתו למוטב או מאמציו לחזור למוטב</w:t>
      </w:r>
      <w:r>
        <w:rPr>
          <w:rFonts w:ascii="David" w:hAnsi="David"/>
          <w:rtl/>
        </w:rPr>
        <w:t>; הנאשם הודה בתיק וקיבל אחריות מלאה על מעשיו עוד בשלב החקירה. ניכר שהנאשם מבין השלכות מעשיו.</w:t>
      </w:r>
    </w:p>
    <w:p w14:paraId="327910AA" w14:textId="77777777" w:rsidR="00C9703A" w:rsidRDefault="00C9703A" w:rsidP="00C9703A">
      <w:pPr>
        <w:numPr>
          <w:ilvl w:val="0"/>
          <w:numId w:val="3"/>
        </w:numPr>
        <w:spacing w:after="160" w:line="360" w:lineRule="auto"/>
        <w:jc w:val="both"/>
        <w:rPr>
          <w:rFonts w:ascii="David" w:hAnsi="David"/>
        </w:rPr>
      </w:pPr>
      <w:r>
        <w:rPr>
          <w:rFonts w:ascii="David" w:hAnsi="David"/>
          <w:b/>
          <w:bCs/>
          <w:rtl/>
        </w:rPr>
        <w:t>הנאשם נעדר עבר פלילי קודם</w:t>
      </w:r>
      <w:r>
        <w:rPr>
          <w:rFonts w:ascii="David" w:hAnsi="David"/>
          <w:rtl/>
        </w:rPr>
        <w:t xml:space="preserve">, אין ספק שעצם קיומו של ההליך הפלילי  מהווה עבורו ועבור משפחתו גורם מרתיע, אולם לאור נסיבות כתב האישום והחומרה הגלומה בעבירת ההחזקה ובנסיבות תיק זה אין מנוס מהטלת עונש מאסר בפועל אשר יבטא את האינטרס הציבורי במיגור תופעת הסחר בסמים והשלכותיה על החברה בכללותה. </w:t>
      </w:r>
    </w:p>
    <w:p w14:paraId="698120E6" w14:textId="77777777" w:rsidR="00C9703A" w:rsidRDefault="00C9703A" w:rsidP="00C9703A">
      <w:pPr>
        <w:numPr>
          <w:ilvl w:val="0"/>
          <w:numId w:val="3"/>
        </w:numPr>
        <w:spacing w:after="160" w:line="360" w:lineRule="auto"/>
        <w:jc w:val="both"/>
        <w:rPr>
          <w:rFonts w:ascii="David" w:hAnsi="David"/>
        </w:rPr>
      </w:pPr>
      <w:r>
        <w:rPr>
          <w:rFonts w:ascii="David" w:hAnsi="David"/>
          <w:rtl/>
        </w:rPr>
        <w:t xml:space="preserve">עוד יש לתת את הדעת לשיקול הרתעת הרבים בגדרו של המתחם בשים לב לשכיחותה של העבירה. </w:t>
      </w:r>
    </w:p>
    <w:p w14:paraId="19D7FAEA" w14:textId="77777777" w:rsidR="00C9703A" w:rsidRDefault="00C9703A" w:rsidP="00C9703A">
      <w:pPr>
        <w:numPr>
          <w:ilvl w:val="0"/>
          <w:numId w:val="2"/>
        </w:numPr>
        <w:spacing w:after="160" w:line="360" w:lineRule="auto"/>
        <w:jc w:val="both"/>
        <w:rPr>
          <w:rFonts w:ascii="David" w:hAnsi="David"/>
          <w:rtl/>
        </w:rPr>
      </w:pPr>
      <w:r>
        <w:rPr>
          <w:rFonts w:ascii="David" w:hAnsi="David"/>
          <w:b/>
          <w:bCs/>
          <w:u w:val="single"/>
          <w:rtl/>
        </w:rPr>
        <w:t>אשר על-כן, הנני גוזר על הנאשם את העונשים הבאים</w:t>
      </w:r>
      <w:r>
        <w:rPr>
          <w:rFonts w:ascii="David" w:hAnsi="David"/>
          <w:rtl/>
        </w:rPr>
        <w:t>:</w:t>
      </w:r>
    </w:p>
    <w:p w14:paraId="0DC190F1" w14:textId="77777777" w:rsidR="00C9703A" w:rsidRDefault="00C9703A" w:rsidP="00C9703A">
      <w:pPr>
        <w:pStyle w:val="ab"/>
        <w:numPr>
          <w:ilvl w:val="1"/>
          <w:numId w:val="2"/>
        </w:numPr>
        <w:spacing w:line="360" w:lineRule="auto"/>
        <w:jc w:val="both"/>
        <w:rPr>
          <w:rFonts w:ascii="David" w:hAnsi="David" w:cs="David"/>
          <w:sz w:val="24"/>
          <w:szCs w:val="24"/>
        </w:rPr>
      </w:pPr>
      <w:r>
        <w:rPr>
          <w:rFonts w:ascii="David" w:hAnsi="David" w:cs="David"/>
          <w:sz w:val="24"/>
          <w:szCs w:val="24"/>
          <w:rtl/>
        </w:rPr>
        <w:t>10 חודשי מאסר בפועל בניכוי ימי מעצרו.</w:t>
      </w:r>
    </w:p>
    <w:p w14:paraId="55E22E4A" w14:textId="77777777" w:rsidR="00C9703A" w:rsidRDefault="00C9703A" w:rsidP="00C9703A">
      <w:pPr>
        <w:pStyle w:val="ab"/>
        <w:numPr>
          <w:ilvl w:val="1"/>
          <w:numId w:val="2"/>
        </w:numPr>
        <w:spacing w:line="360" w:lineRule="auto"/>
        <w:jc w:val="both"/>
        <w:rPr>
          <w:rFonts w:ascii="David" w:hAnsi="David" w:cs="David"/>
          <w:sz w:val="24"/>
          <w:szCs w:val="24"/>
        </w:rPr>
      </w:pPr>
      <w:r>
        <w:rPr>
          <w:rFonts w:ascii="David" w:hAnsi="David" w:cs="David"/>
          <w:sz w:val="24"/>
          <w:szCs w:val="24"/>
          <w:rtl/>
        </w:rPr>
        <w:t xml:space="preserve">7 חודשים מאסר על תנאי למשך 3 שנים מיום שחרורו שלא יעבור עבירה על </w:t>
      </w:r>
      <w:hyperlink r:id="rId38" w:history="1">
        <w:r w:rsidR="00A57F4B" w:rsidRPr="00A57F4B">
          <w:rPr>
            <w:rFonts w:ascii="David" w:hAnsi="David" w:cs="David"/>
            <w:color w:val="0000FF"/>
            <w:sz w:val="24"/>
            <w:szCs w:val="24"/>
            <w:u w:val="single"/>
            <w:rtl/>
          </w:rPr>
          <w:t>פקודת הסמים המסוכנים</w:t>
        </w:r>
      </w:hyperlink>
      <w:r>
        <w:rPr>
          <w:rFonts w:ascii="David" w:hAnsi="David" w:cs="David"/>
          <w:sz w:val="24"/>
          <w:szCs w:val="24"/>
          <w:rtl/>
        </w:rPr>
        <w:t xml:space="preserve"> מסוג פשע. </w:t>
      </w:r>
    </w:p>
    <w:p w14:paraId="6116A453" w14:textId="77777777" w:rsidR="00C9703A" w:rsidRDefault="00C9703A" w:rsidP="00C9703A">
      <w:pPr>
        <w:pStyle w:val="ab"/>
        <w:numPr>
          <w:ilvl w:val="1"/>
          <w:numId w:val="2"/>
        </w:numPr>
        <w:spacing w:line="360" w:lineRule="auto"/>
        <w:jc w:val="both"/>
        <w:rPr>
          <w:rFonts w:ascii="David" w:hAnsi="David" w:cs="David"/>
          <w:sz w:val="24"/>
          <w:szCs w:val="24"/>
        </w:rPr>
      </w:pPr>
      <w:r>
        <w:rPr>
          <w:rFonts w:ascii="David" w:hAnsi="David" w:cs="David"/>
          <w:sz w:val="24"/>
          <w:szCs w:val="24"/>
          <w:rtl/>
        </w:rPr>
        <w:t xml:space="preserve">3 חודשים מאסר על תנאי למשך 3 שנים מיום שחרורו שלא יעבור עבירה על </w:t>
      </w:r>
      <w:hyperlink r:id="rId39" w:history="1">
        <w:r w:rsidR="00A57F4B" w:rsidRPr="00A57F4B">
          <w:rPr>
            <w:rFonts w:ascii="David" w:hAnsi="David" w:cs="David"/>
            <w:color w:val="0000FF"/>
            <w:sz w:val="24"/>
            <w:szCs w:val="24"/>
            <w:u w:val="single"/>
            <w:rtl/>
          </w:rPr>
          <w:t>פקודת הסמים המסוכנים</w:t>
        </w:r>
      </w:hyperlink>
      <w:r>
        <w:rPr>
          <w:rFonts w:ascii="David" w:hAnsi="David" w:cs="David"/>
          <w:sz w:val="24"/>
          <w:szCs w:val="24"/>
          <w:rtl/>
        </w:rPr>
        <w:t xml:space="preserve"> מסוג עוון. </w:t>
      </w:r>
    </w:p>
    <w:p w14:paraId="3CAADD05" w14:textId="77777777" w:rsidR="00C9703A" w:rsidRDefault="00C9703A" w:rsidP="00C9703A">
      <w:pPr>
        <w:pStyle w:val="ab"/>
        <w:numPr>
          <w:ilvl w:val="1"/>
          <w:numId w:val="2"/>
        </w:numPr>
        <w:spacing w:line="360" w:lineRule="auto"/>
        <w:jc w:val="both"/>
        <w:rPr>
          <w:rFonts w:ascii="David" w:hAnsi="David" w:cs="David"/>
          <w:sz w:val="24"/>
          <w:szCs w:val="24"/>
        </w:rPr>
      </w:pPr>
      <w:r>
        <w:rPr>
          <w:rFonts w:ascii="David" w:hAnsi="David" w:cs="David"/>
          <w:sz w:val="24"/>
          <w:szCs w:val="24"/>
          <w:rtl/>
        </w:rPr>
        <w:t xml:space="preserve">קנס כספי בסך 7,000 ₪ או 60 ימי מאסר תמורתו, הקנס ישולם ב- 10 תשלומים חודשיים שווים ורצופים, החל מיום 1.12.23 ובכל 1 לחודש שלאחריו. </w:t>
      </w:r>
      <w:r>
        <w:rPr>
          <w:rFonts w:ascii="David" w:hAnsi="David" w:cs="David" w:hint="cs"/>
          <w:sz w:val="24"/>
          <w:szCs w:val="24"/>
          <w:rtl/>
        </w:rPr>
        <w:t>אי ביצוע תשלום כנדרש עלול להעמיד את מלוא הקנס לגבייה באופן מיידי.</w:t>
      </w:r>
    </w:p>
    <w:p w14:paraId="01EDCCA1" w14:textId="77777777" w:rsidR="00C9703A" w:rsidRDefault="00C9703A" w:rsidP="00C9703A">
      <w:pPr>
        <w:pStyle w:val="ab"/>
        <w:numPr>
          <w:ilvl w:val="1"/>
          <w:numId w:val="2"/>
        </w:numPr>
        <w:spacing w:line="360" w:lineRule="auto"/>
        <w:jc w:val="both"/>
        <w:rPr>
          <w:rFonts w:ascii="David" w:hAnsi="David" w:cs="David"/>
          <w:sz w:val="24"/>
          <w:szCs w:val="24"/>
        </w:rPr>
      </w:pPr>
      <w:r>
        <w:rPr>
          <w:rFonts w:ascii="David" w:hAnsi="David" w:cs="David"/>
          <w:sz w:val="24"/>
          <w:szCs w:val="24"/>
          <w:rtl/>
        </w:rPr>
        <w:t xml:space="preserve">התחייבות כספית על סך 3,000 ₪ למשך שנתיים מיום שחרורו מן המאסר שלא יעבור כל עבירה שהיא על </w:t>
      </w:r>
      <w:hyperlink r:id="rId40" w:history="1">
        <w:r w:rsidR="00A57F4B" w:rsidRPr="00A57F4B">
          <w:rPr>
            <w:rFonts w:ascii="David" w:hAnsi="David" w:cs="David"/>
            <w:color w:val="0000FF"/>
            <w:sz w:val="24"/>
            <w:szCs w:val="24"/>
            <w:u w:val="single"/>
            <w:rtl/>
          </w:rPr>
          <w:t>פקודת הסמים המסוכנים</w:t>
        </w:r>
      </w:hyperlink>
      <w:r>
        <w:rPr>
          <w:rFonts w:ascii="David" w:hAnsi="David" w:cs="David"/>
          <w:sz w:val="24"/>
          <w:szCs w:val="24"/>
          <w:rtl/>
        </w:rPr>
        <w:t xml:space="preserve">. </w:t>
      </w:r>
    </w:p>
    <w:p w14:paraId="1ACFFEBA" w14:textId="77777777" w:rsidR="00C9703A" w:rsidRDefault="00C9703A" w:rsidP="00C9703A">
      <w:pPr>
        <w:pStyle w:val="ab"/>
        <w:numPr>
          <w:ilvl w:val="1"/>
          <w:numId w:val="2"/>
        </w:numPr>
        <w:spacing w:line="360" w:lineRule="auto"/>
        <w:jc w:val="both"/>
        <w:rPr>
          <w:rFonts w:ascii="David" w:hAnsi="David" w:cs="David"/>
          <w:sz w:val="24"/>
          <w:szCs w:val="24"/>
        </w:rPr>
      </w:pPr>
      <w:r>
        <w:rPr>
          <w:rFonts w:ascii="David" w:hAnsi="David" w:cs="David"/>
          <w:sz w:val="24"/>
          <w:szCs w:val="24"/>
          <w:rtl/>
        </w:rPr>
        <w:t>פסילה בפועל לתקופה של 4 חודשים</w:t>
      </w:r>
      <w:r>
        <w:rPr>
          <w:rFonts w:ascii="David" w:hAnsi="David" w:cs="David" w:hint="cs"/>
          <w:sz w:val="24"/>
          <w:szCs w:val="24"/>
          <w:rtl/>
        </w:rPr>
        <w:t xml:space="preserve"> מיום שחרורו</w:t>
      </w:r>
      <w:r>
        <w:rPr>
          <w:rFonts w:ascii="David" w:hAnsi="David" w:cs="David"/>
          <w:sz w:val="24"/>
          <w:szCs w:val="24"/>
          <w:rtl/>
        </w:rPr>
        <w:t>.</w:t>
      </w:r>
      <w:r>
        <w:rPr>
          <w:rFonts w:ascii="David" w:hAnsi="David" w:cs="David" w:hint="cs"/>
          <w:sz w:val="24"/>
          <w:szCs w:val="24"/>
          <w:rtl/>
        </w:rPr>
        <w:t xml:space="preserve"> הבהרתי לנאשם כי עם שחרורו עליו להפקיד את רישיון הנהיגה במזכירות בית המשפט, הואיל והפסילה תיכנס לתוקף אולם לא תימנה אלא ממועד הפקדת הרישיון, וככל ולא יופקד, הפסילה לא תסתיים.</w:t>
      </w:r>
    </w:p>
    <w:p w14:paraId="386BEEEE" w14:textId="77777777" w:rsidR="00C9703A" w:rsidRDefault="00C9703A" w:rsidP="00C9703A">
      <w:pPr>
        <w:pStyle w:val="ab"/>
        <w:numPr>
          <w:ilvl w:val="1"/>
          <w:numId w:val="2"/>
        </w:numPr>
        <w:spacing w:line="360" w:lineRule="auto"/>
        <w:jc w:val="both"/>
        <w:rPr>
          <w:rFonts w:ascii="David" w:hAnsi="David" w:cs="David"/>
          <w:sz w:val="24"/>
          <w:szCs w:val="24"/>
        </w:rPr>
      </w:pPr>
      <w:r>
        <w:rPr>
          <w:rFonts w:ascii="David" w:hAnsi="David" w:cs="David"/>
          <w:sz w:val="24"/>
          <w:szCs w:val="24"/>
          <w:rtl/>
        </w:rPr>
        <w:t xml:space="preserve">פסילה למשך 6 חודשים וזאת על תנאי למשך שנתיים מיום שחרורו מן המעצר שלא יעבור עבירה כלשהי על </w:t>
      </w:r>
      <w:hyperlink r:id="rId41" w:history="1">
        <w:r w:rsidR="00A57F4B" w:rsidRPr="00A57F4B">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או עבירה של נהיגה בפסילה.</w:t>
      </w:r>
      <w:r>
        <w:rPr>
          <w:rFonts w:ascii="David" w:hAnsi="David" w:cs="David"/>
          <w:sz w:val="24"/>
          <w:szCs w:val="24"/>
          <w:rtl/>
        </w:rPr>
        <w:t xml:space="preserve"> </w:t>
      </w:r>
    </w:p>
    <w:p w14:paraId="1FB9E446" w14:textId="77777777" w:rsidR="00C9703A" w:rsidRDefault="00C9703A" w:rsidP="00C9703A">
      <w:pPr>
        <w:spacing w:line="360" w:lineRule="auto"/>
        <w:jc w:val="both"/>
        <w:rPr>
          <w:rFonts w:ascii="David" w:hAnsi="David"/>
          <w:b/>
          <w:bCs/>
        </w:rPr>
      </w:pPr>
      <w:r>
        <w:rPr>
          <w:rFonts w:ascii="David" w:hAnsi="David"/>
          <w:b/>
          <w:bCs/>
          <w:rtl/>
        </w:rPr>
        <w:t xml:space="preserve">מוצגי הסמים, יושמדו. </w:t>
      </w:r>
    </w:p>
    <w:p w14:paraId="397713AB" w14:textId="77777777" w:rsidR="00C9703A" w:rsidRDefault="00C9703A" w:rsidP="00C9703A">
      <w:pPr>
        <w:spacing w:line="360" w:lineRule="auto"/>
        <w:jc w:val="both"/>
        <w:rPr>
          <w:rFonts w:ascii="David" w:hAnsi="David"/>
          <w:b/>
          <w:bCs/>
          <w:rtl/>
        </w:rPr>
      </w:pPr>
      <w:r>
        <w:rPr>
          <w:rFonts w:ascii="David" w:hAnsi="David"/>
          <w:b/>
          <w:bCs/>
          <w:rtl/>
        </w:rPr>
        <w:t xml:space="preserve">המזכירות תסגור את התיק. </w:t>
      </w:r>
    </w:p>
    <w:p w14:paraId="283A507A" w14:textId="77777777" w:rsidR="00C9703A" w:rsidRDefault="00C9703A" w:rsidP="00C9703A">
      <w:pPr>
        <w:spacing w:line="360" w:lineRule="auto"/>
        <w:jc w:val="both"/>
        <w:rPr>
          <w:rFonts w:ascii="David" w:hAnsi="David"/>
          <w:b/>
          <w:bCs/>
          <w:rtl/>
        </w:rPr>
      </w:pPr>
      <w:r>
        <w:rPr>
          <w:rFonts w:ascii="David" w:hAnsi="David"/>
          <w:b/>
          <w:bCs/>
          <w:rtl/>
        </w:rPr>
        <w:t xml:space="preserve">הודעה זכות ערעור לבית-המשפט המחוזי תוך 45 ימים. </w:t>
      </w:r>
    </w:p>
    <w:p w14:paraId="602E2B7D" w14:textId="77777777" w:rsidR="00C9703A" w:rsidRPr="00A57F4B" w:rsidRDefault="00A57F4B" w:rsidP="00C9703A">
      <w:pPr>
        <w:spacing w:line="360" w:lineRule="auto"/>
        <w:jc w:val="both"/>
        <w:rPr>
          <w:rFonts w:ascii="David" w:hAnsi="David"/>
          <w:color w:val="FFFFFF"/>
          <w:sz w:val="2"/>
          <w:szCs w:val="2"/>
          <w:rtl/>
        </w:rPr>
      </w:pPr>
      <w:r w:rsidRPr="00A57F4B">
        <w:rPr>
          <w:rFonts w:ascii="David" w:hAnsi="David"/>
          <w:color w:val="FFFFFF"/>
          <w:sz w:val="2"/>
          <w:szCs w:val="2"/>
          <w:rtl/>
        </w:rPr>
        <w:t>5129371</w:t>
      </w:r>
    </w:p>
    <w:p w14:paraId="66474C13" w14:textId="77777777" w:rsidR="00C9703A" w:rsidRPr="00A57F4B" w:rsidRDefault="00A57F4B" w:rsidP="00C9703A">
      <w:pPr>
        <w:spacing w:line="360" w:lineRule="auto"/>
        <w:jc w:val="both"/>
        <w:rPr>
          <w:rFonts w:ascii="David" w:hAnsi="David"/>
          <w:color w:val="FFFFFF"/>
          <w:sz w:val="2"/>
          <w:szCs w:val="2"/>
          <w:rtl/>
        </w:rPr>
      </w:pPr>
      <w:r w:rsidRPr="00A57F4B">
        <w:rPr>
          <w:rFonts w:ascii="David" w:hAnsi="David"/>
          <w:color w:val="FFFFFF"/>
          <w:sz w:val="2"/>
          <w:szCs w:val="2"/>
          <w:rtl/>
        </w:rPr>
        <w:t>54678313</w:t>
      </w:r>
    </w:p>
    <w:p w14:paraId="583E63CC" w14:textId="77777777" w:rsidR="00C9703A" w:rsidRPr="000F2247" w:rsidRDefault="00C9703A" w:rsidP="00C9703A">
      <w:pPr>
        <w:rPr>
          <w:rFonts w:ascii="Arial" w:hAnsi="Arial"/>
          <w:b/>
          <w:bCs/>
          <w:sz w:val="26"/>
          <w:szCs w:val="26"/>
          <w:rtl/>
        </w:rPr>
      </w:pPr>
    </w:p>
    <w:p w14:paraId="6C875C5A" w14:textId="77777777" w:rsidR="00C9703A" w:rsidRPr="000F2247" w:rsidRDefault="00A57F4B" w:rsidP="00C9703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אב תשפ"ג, 24 יולי 2023, בהעדר הצדדים. </w:t>
      </w:r>
      <w:bookmarkEnd w:id="8"/>
      <w:r w:rsidR="00C9703A">
        <w:rPr>
          <w:rFonts w:ascii="Arial" w:hAnsi="Arial"/>
          <w:b/>
          <w:bCs/>
          <w:sz w:val="26"/>
          <w:szCs w:val="26"/>
          <w:rtl/>
        </w:rPr>
        <w:tab/>
      </w:r>
      <w:r w:rsidR="00C9703A">
        <w:rPr>
          <w:rFonts w:ascii="Arial" w:hAnsi="Arial"/>
          <w:b/>
          <w:bCs/>
          <w:sz w:val="26"/>
          <w:szCs w:val="26"/>
          <w:rtl/>
        </w:rPr>
        <w:tab/>
      </w:r>
      <w:r w:rsidR="00C9703A">
        <w:rPr>
          <w:rFonts w:ascii="Arial" w:hAnsi="Arial"/>
          <w:b/>
          <w:bCs/>
          <w:sz w:val="26"/>
          <w:szCs w:val="26"/>
          <w:rtl/>
        </w:rPr>
        <w:tab/>
      </w:r>
      <w:r w:rsidR="00C9703A">
        <w:rPr>
          <w:rFonts w:ascii="Arial" w:hAnsi="Arial"/>
          <w:b/>
          <w:bCs/>
          <w:sz w:val="26"/>
          <w:szCs w:val="26"/>
          <w:rtl/>
        </w:rPr>
        <w:tab/>
      </w:r>
      <w:r w:rsidR="00C9703A">
        <w:rPr>
          <w:rFonts w:ascii="Arial" w:hAnsi="Arial"/>
          <w:b/>
          <w:bCs/>
          <w:sz w:val="26"/>
          <w:szCs w:val="26"/>
          <w:rtl/>
        </w:rPr>
        <w:tab/>
      </w:r>
      <w:r w:rsidR="00C9703A">
        <w:rPr>
          <w:rFonts w:ascii="Arial" w:hAnsi="Arial"/>
          <w:b/>
          <w:bCs/>
          <w:sz w:val="26"/>
          <w:szCs w:val="26"/>
          <w:rtl/>
        </w:rPr>
        <w:tab/>
      </w:r>
      <w:r w:rsidR="00C9703A">
        <w:rPr>
          <w:rFonts w:ascii="Arial" w:hAnsi="Arial"/>
          <w:b/>
          <w:bCs/>
          <w:sz w:val="26"/>
          <w:szCs w:val="26"/>
          <w:rtl/>
        </w:rPr>
        <w:tab/>
      </w:r>
      <w:r w:rsidR="00C9703A">
        <w:rPr>
          <w:rFonts w:ascii="Arial" w:hAnsi="Arial" w:hint="cs"/>
          <w:b/>
          <w:bCs/>
          <w:sz w:val="26"/>
          <w:szCs w:val="26"/>
          <w:rtl/>
        </w:rPr>
        <w:t xml:space="preserve">         </w:t>
      </w:r>
    </w:p>
    <w:p w14:paraId="1FEEE155" w14:textId="77777777" w:rsidR="00A57F4B" w:rsidRDefault="00A57F4B" w:rsidP="00A57F4B">
      <w:pPr>
        <w:rPr>
          <w:rtl/>
        </w:rPr>
      </w:pPr>
    </w:p>
    <w:p w14:paraId="2A473E71" w14:textId="77777777" w:rsidR="00A57F4B" w:rsidRDefault="00A57F4B" w:rsidP="00A57F4B">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A33303F" w14:textId="77777777" w:rsidR="00CF5484" w:rsidRPr="00CF5484" w:rsidRDefault="00CF5484" w:rsidP="00CF5484">
      <w:pPr>
        <w:keepNext/>
        <w:rPr>
          <w:rFonts w:ascii="David" w:hAnsi="David"/>
          <w:color w:val="000000"/>
          <w:sz w:val="22"/>
          <w:szCs w:val="22"/>
          <w:rtl/>
        </w:rPr>
      </w:pPr>
    </w:p>
    <w:p w14:paraId="68CEA764" w14:textId="77777777" w:rsidR="00CF5484" w:rsidRPr="00CF5484" w:rsidRDefault="00CF5484" w:rsidP="00CF5484">
      <w:pPr>
        <w:keepNext/>
        <w:rPr>
          <w:rFonts w:ascii="David" w:hAnsi="David"/>
          <w:color w:val="000000"/>
          <w:sz w:val="22"/>
          <w:szCs w:val="22"/>
          <w:rtl/>
        </w:rPr>
      </w:pPr>
      <w:r w:rsidRPr="00CF5484">
        <w:rPr>
          <w:rFonts w:ascii="David" w:hAnsi="David"/>
          <w:color w:val="000000"/>
          <w:sz w:val="22"/>
          <w:szCs w:val="22"/>
          <w:rtl/>
        </w:rPr>
        <w:t>אבישי כהן 54678313-/</w:t>
      </w:r>
    </w:p>
    <w:p w14:paraId="5AF8A49B" w14:textId="77777777" w:rsidR="00A57F4B" w:rsidRPr="00A57F4B" w:rsidRDefault="00CF5484" w:rsidP="00CF5484">
      <w:pPr>
        <w:rPr>
          <w:color w:val="0000FF"/>
          <w:u w:val="single"/>
        </w:rPr>
      </w:pPr>
      <w:r w:rsidRPr="00CF5484">
        <w:rPr>
          <w:color w:val="000000"/>
          <w:u w:val="single"/>
          <w:rtl/>
        </w:rPr>
        <w:t>נוסח מסמך זה כפוף לשינויי ניסוח ועריכה</w:t>
      </w:r>
    </w:p>
    <w:sectPr w:rsidR="00A57F4B" w:rsidRPr="00A57F4B" w:rsidSect="00CF5484">
      <w:headerReference w:type="even" r:id="rId43"/>
      <w:headerReference w:type="default" r:id="rId44"/>
      <w:footerReference w:type="even" r:id="rId45"/>
      <w:footerReference w:type="default" r:id="rId46"/>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89E81" w14:textId="77777777" w:rsidR="00CA12CE" w:rsidRDefault="00CA12CE" w:rsidP="005973F0">
      <w:r>
        <w:separator/>
      </w:r>
    </w:p>
  </w:endnote>
  <w:endnote w:type="continuationSeparator" w:id="0">
    <w:p w14:paraId="71E7DED6" w14:textId="77777777" w:rsidR="00CA12CE" w:rsidRDefault="00CA12CE" w:rsidP="00597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E2EB5" w14:textId="77777777" w:rsidR="00CF5484" w:rsidRDefault="00CF5484" w:rsidP="00CF548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4F2899A" w14:textId="77777777" w:rsidR="00B62E23" w:rsidRPr="00CF5484" w:rsidRDefault="00CF5484" w:rsidP="00CF5484">
    <w:pPr>
      <w:pStyle w:val="a6"/>
      <w:pBdr>
        <w:top w:val="single" w:sz="4" w:space="1" w:color="auto"/>
        <w:between w:val="single" w:sz="4" w:space="0" w:color="auto"/>
      </w:pBdr>
      <w:spacing w:after="60"/>
      <w:jc w:val="center"/>
      <w:rPr>
        <w:rFonts w:ascii="FrankRuehl" w:hAnsi="FrankRuehl" w:cs="FrankRuehl"/>
        <w:color w:val="000000"/>
      </w:rPr>
    </w:pPr>
    <w:r w:rsidRPr="00CF54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ECA6" w14:textId="77777777" w:rsidR="00CF5484" w:rsidRDefault="00CF5484" w:rsidP="00CF548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8767D">
      <w:rPr>
        <w:rFonts w:ascii="FrankRuehl" w:hAnsi="FrankRuehl" w:cs="FrankRuehl"/>
        <w:noProof/>
        <w:rtl/>
      </w:rPr>
      <w:t>1</w:t>
    </w:r>
    <w:r>
      <w:rPr>
        <w:rFonts w:ascii="FrankRuehl" w:hAnsi="FrankRuehl" w:cs="FrankRuehl"/>
        <w:rtl/>
      </w:rPr>
      <w:fldChar w:fldCharType="end"/>
    </w:r>
  </w:p>
  <w:p w14:paraId="3A3E92C4" w14:textId="77777777" w:rsidR="00B62E23" w:rsidRPr="00CF5484" w:rsidRDefault="00CF5484" w:rsidP="00CF5484">
    <w:pPr>
      <w:pStyle w:val="a6"/>
      <w:pBdr>
        <w:top w:val="single" w:sz="4" w:space="1" w:color="auto"/>
        <w:between w:val="single" w:sz="4" w:space="0" w:color="auto"/>
      </w:pBdr>
      <w:spacing w:after="60"/>
      <w:jc w:val="center"/>
      <w:rPr>
        <w:rFonts w:ascii="FrankRuehl" w:hAnsi="FrankRuehl" w:cs="FrankRuehl"/>
        <w:color w:val="000000"/>
      </w:rPr>
    </w:pPr>
    <w:r w:rsidRPr="00CF5484">
      <w:rPr>
        <w:rFonts w:ascii="FrankRuehl" w:hAnsi="FrankRuehl" w:cs="FrankRuehl"/>
        <w:color w:val="000000"/>
      </w:rPr>
      <w:pict w14:anchorId="4E111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D5CEC" w14:textId="77777777" w:rsidR="00CA12CE" w:rsidRDefault="00CA12CE" w:rsidP="005973F0">
      <w:r>
        <w:separator/>
      </w:r>
    </w:p>
  </w:footnote>
  <w:footnote w:type="continuationSeparator" w:id="0">
    <w:p w14:paraId="633BFD56" w14:textId="77777777" w:rsidR="00CA12CE" w:rsidRDefault="00CA12CE" w:rsidP="00597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938A73" w14:textId="77777777" w:rsidR="00A57F4B" w:rsidRPr="00CF5484" w:rsidRDefault="00CF5484" w:rsidP="00CF5484">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62242-01-23</w:t>
    </w:r>
    <w:r>
      <w:rPr>
        <w:rFonts w:ascii="David" w:hAnsi="David"/>
        <w:color w:val="000000"/>
        <w:sz w:val="22"/>
        <w:szCs w:val="22"/>
        <w:rtl/>
      </w:rPr>
      <w:tab/>
      <w:t xml:space="preserve"> מדינת ישראל נ' ספין אבו חביזה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D571A" w14:textId="77777777" w:rsidR="00A57F4B" w:rsidRPr="00CF5484" w:rsidRDefault="00CF5484" w:rsidP="00CF5484">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62242-01-23</w:t>
    </w:r>
    <w:r>
      <w:rPr>
        <w:rFonts w:ascii="David" w:hAnsi="David"/>
        <w:color w:val="000000"/>
        <w:sz w:val="22"/>
        <w:szCs w:val="22"/>
        <w:rtl/>
      </w:rPr>
      <w:tab/>
      <w:t xml:space="preserve"> מדינת ישראל נ' ספין אבו חביזה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5E6DF5"/>
    <w:multiLevelType w:val="hybridMultilevel"/>
    <w:tmpl w:val="734C89DE"/>
    <w:lvl w:ilvl="0" w:tplc="51CA0740">
      <w:start w:val="1"/>
      <w:numFmt w:val="decimal"/>
      <w:pStyle w:val="a"/>
      <w:lvlText w:val="%1."/>
      <w:lvlJc w:val="left"/>
      <w:pPr>
        <w:tabs>
          <w:tab w:val="num" w:pos="720"/>
        </w:tabs>
        <w:ind w:left="720" w:hanging="720"/>
      </w:pPr>
      <w:rPr>
        <w:rFonts w:cs="Times New Roman"/>
      </w:rPr>
    </w:lvl>
    <w:lvl w:ilvl="1" w:tplc="9BDE36B6">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3542A63"/>
    <w:multiLevelType w:val="hybridMultilevel"/>
    <w:tmpl w:val="4CF0FB44"/>
    <w:lvl w:ilvl="0" w:tplc="0C521A14">
      <w:start w:val="1"/>
      <w:numFmt w:val="decimal"/>
      <w:lvlText w:val="%1."/>
      <w:lvlJc w:val="left"/>
      <w:pPr>
        <w:ind w:left="720" w:hanging="360"/>
      </w:pPr>
      <w:rPr>
        <w:b/>
        <w:bCs/>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49C255D"/>
    <w:multiLevelType w:val="hybridMultilevel"/>
    <w:tmpl w:val="906E5888"/>
    <w:lvl w:ilvl="0" w:tplc="8B22151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5830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00949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06598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9703A"/>
    <w:rsid w:val="001A1999"/>
    <w:rsid w:val="001B4220"/>
    <w:rsid w:val="001B5A3B"/>
    <w:rsid w:val="001E27B1"/>
    <w:rsid w:val="0038739B"/>
    <w:rsid w:val="005973F0"/>
    <w:rsid w:val="00727DDF"/>
    <w:rsid w:val="00A57F4B"/>
    <w:rsid w:val="00B62E23"/>
    <w:rsid w:val="00B86331"/>
    <w:rsid w:val="00C8767D"/>
    <w:rsid w:val="00C9703A"/>
    <w:rsid w:val="00CA12CE"/>
    <w:rsid w:val="00CF5484"/>
    <w:rsid w:val="00F33CE6"/>
    <w:rsid w:val="00FC3F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B05784"/>
  <w15:chartTrackingRefBased/>
  <w15:docId w15:val="{A6A3E0D4-779D-42FC-9940-E53C2D8B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9703A"/>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C9703A"/>
    <w:pPr>
      <w:tabs>
        <w:tab w:val="center" w:pos="4153"/>
        <w:tab w:val="right" w:pos="8306"/>
      </w:tabs>
    </w:pPr>
  </w:style>
  <w:style w:type="character" w:customStyle="1" w:styleId="a5">
    <w:name w:val="כותרת עליונה תו"/>
    <w:link w:val="a4"/>
    <w:rsid w:val="00C9703A"/>
    <w:rPr>
      <w:rFonts w:ascii="Times New Roman" w:eastAsia="Times New Roman" w:hAnsi="Times New Roman" w:cs="David"/>
      <w:sz w:val="24"/>
      <w:szCs w:val="24"/>
    </w:rPr>
  </w:style>
  <w:style w:type="paragraph" w:styleId="a6">
    <w:name w:val="footer"/>
    <w:basedOn w:val="a0"/>
    <w:link w:val="a7"/>
    <w:rsid w:val="00C9703A"/>
    <w:pPr>
      <w:tabs>
        <w:tab w:val="center" w:pos="4153"/>
        <w:tab w:val="right" w:pos="8306"/>
      </w:tabs>
    </w:pPr>
  </w:style>
  <w:style w:type="character" w:customStyle="1" w:styleId="a7">
    <w:name w:val="כותרת תחתונה תו"/>
    <w:link w:val="a6"/>
    <w:rsid w:val="00C9703A"/>
    <w:rPr>
      <w:rFonts w:ascii="Times New Roman" w:eastAsia="Times New Roman" w:hAnsi="Times New Roman" w:cs="David"/>
      <w:sz w:val="24"/>
      <w:szCs w:val="24"/>
    </w:rPr>
  </w:style>
  <w:style w:type="table" w:styleId="a8">
    <w:name w:val="Table Grid"/>
    <w:basedOn w:val="a2"/>
    <w:rsid w:val="00C9703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C9703A"/>
  </w:style>
  <w:style w:type="character" w:customStyle="1" w:styleId="aa">
    <w:name w:val="פיסקת רשימה תו"/>
    <w:link w:val="ab"/>
    <w:locked/>
    <w:rsid w:val="00C9703A"/>
  </w:style>
  <w:style w:type="paragraph" w:styleId="ab">
    <w:name w:val="List Paragraph"/>
    <w:basedOn w:val="a0"/>
    <w:link w:val="aa"/>
    <w:qFormat/>
    <w:rsid w:val="00C9703A"/>
    <w:pPr>
      <w:spacing w:after="160" w:line="256" w:lineRule="auto"/>
      <w:ind w:left="720"/>
      <w:contextualSpacing/>
    </w:pPr>
    <w:rPr>
      <w:rFonts w:ascii="Calibri" w:eastAsia="Calibri" w:hAnsi="Calibri" w:cs="Arial"/>
      <w:sz w:val="22"/>
      <w:szCs w:val="22"/>
    </w:rPr>
  </w:style>
  <w:style w:type="paragraph" w:customStyle="1" w:styleId="a">
    <w:name w:val="ממוספר"/>
    <w:basedOn w:val="a0"/>
    <w:rsid w:val="00C9703A"/>
    <w:pPr>
      <w:numPr>
        <w:numId w:val="1"/>
      </w:numPr>
      <w:spacing w:after="120" w:line="360" w:lineRule="auto"/>
    </w:pPr>
    <w:rPr>
      <w:rFonts w:ascii="David" w:hAnsi="David"/>
      <w:color w:val="000000"/>
    </w:rPr>
  </w:style>
  <w:style w:type="character" w:styleId="Hyperlink">
    <w:name w:val="Hyperlink"/>
    <w:rsid w:val="00A57F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7313460" TargetMode="External"/><Relationship Id="rId39" Type="http://schemas.openxmlformats.org/officeDocument/2006/relationships/hyperlink" Target="http://www.nevo.co.il/law/4216" TargetMode="External"/><Relationship Id="rId21" Type="http://schemas.openxmlformats.org/officeDocument/2006/relationships/hyperlink" Target="http://www.nevo.co.il/law/74274/54a" TargetMode="External"/><Relationship Id="rId34" Type="http://schemas.openxmlformats.org/officeDocument/2006/relationships/hyperlink" Target="http://www.nevo.co.il/case/20685141"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836258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6172713" TargetMode="External"/><Relationship Id="rId32" Type="http://schemas.openxmlformats.org/officeDocument/2006/relationships/hyperlink" Target="http://www.nevo.co.il/case/21017469" TargetMode="External"/><Relationship Id="rId37" Type="http://schemas.openxmlformats.org/officeDocument/2006/relationships/hyperlink" Target="http://www.nevo.co.il/law/70301"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4274/54a"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9200734" TargetMode="External"/><Relationship Id="rId36" Type="http://schemas.openxmlformats.org/officeDocument/2006/relationships/hyperlink" Target="http://www.nevo.co.il/law/70301/40ja" TargetMode="External"/><Relationship Id="rId10" Type="http://schemas.openxmlformats.org/officeDocument/2006/relationships/hyperlink" Target="http://www.nevo.co.il/law/70301" TargetMode="External"/><Relationship Id="rId19" Type="http://schemas.openxmlformats.org/officeDocument/2006/relationships/hyperlink" Target="http://www.nevo.co.il/law/70301/275" TargetMode="External"/><Relationship Id="rId31" Type="http://schemas.openxmlformats.org/officeDocument/2006/relationships/hyperlink" Target="http://www.nevo.co.il/law/70301/40i"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274" TargetMode="External"/><Relationship Id="rId22" Type="http://schemas.openxmlformats.org/officeDocument/2006/relationships/hyperlink" Target="http://www.nevo.co.il/law/74274" TargetMode="External"/><Relationship Id="rId27" Type="http://schemas.openxmlformats.org/officeDocument/2006/relationships/hyperlink" Target="http://www.nevo.co.il/case/28190928" TargetMode="External"/><Relationship Id="rId30" Type="http://schemas.openxmlformats.org/officeDocument/2006/relationships/hyperlink" Target="http://www.nevo.co.il/case/26246488" TargetMode="External"/><Relationship Id="rId35" Type="http://schemas.openxmlformats.org/officeDocument/2006/relationships/hyperlink" Target="http://www.nevo.co.il/case/27184690"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275"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5681787" TargetMode="External"/><Relationship Id="rId33" Type="http://schemas.openxmlformats.org/officeDocument/2006/relationships/hyperlink" Target="http://www.nevo.co.il/case/27596218" TargetMode="External"/><Relationship Id="rId38" Type="http://schemas.openxmlformats.org/officeDocument/2006/relationships/hyperlink" Target="http://www.nevo.co.il/law/4216" TargetMode="External"/><Relationship Id="rId46" Type="http://schemas.openxmlformats.org/officeDocument/2006/relationships/footer" Target="footer2.xml"/><Relationship Id="rId20" Type="http://schemas.openxmlformats.org/officeDocument/2006/relationships/hyperlink" Target="http://www.nevo.co.il/law/70301"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2024</Words>
  <Characters>10122</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12122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7995492</vt:i4>
      </vt:variant>
      <vt:variant>
        <vt:i4>90</vt:i4>
      </vt:variant>
      <vt:variant>
        <vt:i4>0</vt:i4>
      </vt:variant>
      <vt:variant>
        <vt:i4>5</vt:i4>
      </vt:variant>
      <vt:variant>
        <vt:lpwstr>http://www.nevo.co.il/law/70301</vt:lpwstr>
      </vt:variant>
      <vt:variant>
        <vt:lpwstr/>
      </vt:variant>
      <vt:variant>
        <vt:i4>262155</vt:i4>
      </vt:variant>
      <vt:variant>
        <vt:i4>87</vt:i4>
      </vt:variant>
      <vt:variant>
        <vt:i4>0</vt:i4>
      </vt:variant>
      <vt:variant>
        <vt:i4>5</vt:i4>
      </vt:variant>
      <vt:variant>
        <vt:lpwstr>http://www.nevo.co.il/law/70301/40ja</vt:lpwstr>
      </vt:variant>
      <vt:variant>
        <vt:lpwstr/>
      </vt:variant>
      <vt:variant>
        <vt:i4>4063357</vt:i4>
      </vt:variant>
      <vt:variant>
        <vt:i4>84</vt:i4>
      </vt:variant>
      <vt:variant>
        <vt:i4>0</vt:i4>
      </vt:variant>
      <vt:variant>
        <vt:i4>5</vt:i4>
      </vt:variant>
      <vt:variant>
        <vt:lpwstr>http://www.nevo.co.il/case/27184690</vt:lpwstr>
      </vt:variant>
      <vt:variant>
        <vt:lpwstr/>
      </vt:variant>
      <vt:variant>
        <vt:i4>3473533</vt:i4>
      </vt:variant>
      <vt:variant>
        <vt:i4>81</vt:i4>
      </vt:variant>
      <vt:variant>
        <vt:i4>0</vt:i4>
      </vt:variant>
      <vt:variant>
        <vt:i4>5</vt:i4>
      </vt:variant>
      <vt:variant>
        <vt:lpwstr>http://www.nevo.co.il/case/20685141</vt:lpwstr>
      </vt:variant>
      <vt:variant>
        <vt:lpwstr/>
      </vt:variant>
      <vt:variant>
        <vt:i4>3145848</vt:i4>
      </vt:variant>
      <vt:variant>
        <vt:i4>78</vt:i4>
      </vt:variant>
      <vt:variant>
        <vt:i4>0</vt:i4>
      </vt:variant>
      <vt:variant>
        <vt:i4>5</vt:i4>
      </vt:variant>
      <vt:variant>
        <vt:lpwstr>http://www.nevo.co.il/case/27596218</vt:lpwstr>
      </vt:variant>
      <vt:variant>
        <vt:lpwstr/>
      </vt:variant>
      <vt:variant>
        <vt:i4>3342448</vt:i4>
      </vt:variant>
      <vt:variant>
        <vt:i4>75</vt:i4>
      </vt:variant>
      <vt:variant>
        <vt:i4>0</vt:i4>
      </vt:variant>
      <vt:variant>
        <vt:i4>5</vt:i4>
      </vt:variant>
      <vt:variant>
        <vt:lpwstr>http://www.nevo.co.il/case/21017469</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4063346</vt:i4>
      </vt:variant>
      <vt:variant>
        <vt:i4>69</vt:i4>
      </vt:variant>
      <vt:variant>
        <vt:i4>0</vt:i4>
      </vt:variant>
      <vt:variant>
        <vt:i4>5</vt:i4>
      </vt:variant>
      <vt:variant>
        <vt:lpwstr>http://www.nevo.co.il/case/26246488</vt:lpwstr>
      </vt:variant>
      <vt:variant>
        <vt:lpwstr/>
      </vt:variant>
      <vt:variant>
        <vt:i4>3866751</vt:i4>
      </vt:variant>
      <vt:variant>
        <vt:i4>66</vt:i4>
      </vt:variant>
      <vt:variant>
        <vt:i4>0</vt:i4>
      </vt:variant>
      <vt:variant>
        <vt:i4>5</vt:i4>
      </vt:variant>
      <vt:variant>
        <vt:lpwstr>http://www.nevo.co.il/case/28362589</vt:lpwstr>
      </vt:variant>
      <vt:variant>
        <vt:lpwstr/>
      </vt:variant>
      <vt:variant>
        <vt:i4>3342458</vt:i4>
      </vt:variant>
      <vt:variant>
        <vt:i4>63</vt:i4>
      </vt:variant>
      <vt:variant>
        <vt:i4>0</vt:i4>
      </vt:variant>
      <vt:variant>
        <vt:i4>5</vt:i4>
      </vt:variant>
      <vt:variant>
        <vt:lpwstr>http://www.nevo.co.il/case/29200734</vt:lpwstr>
      </vt:variant>
      <vt:variant>
        <vt:lpwstr/>
      </vt:variant>
      <vt:variant>
        <vt:i4>3211388</vt:i4>
      </vt:variant>
      <vt:variant>
        <vt:i4>60</vt:i4>
      </vt:variant>
      <vt:variant>
        <vt:i4>0</vt:i4>
      </vt:variant>
      <vt:variant>
        <vt:i4>5</vt:i4>
      </vt:variant>
      <vt:variant>
        <vt:lpwstr>http://www.nevo.co.il/case/28190928</vt:lpwstr>
      </vt:variant>
      <vt:variant>
        <vt:lpwstr/>
      </vt:variant>
      <vt:variant>
        <vt:i4>3407990</vt:i4>
      </vt:variant>
      <vt:variant>
        <vt:i4>57</vt:i4>
      </vt:variant>
      <vt:variant>
        <vt:i4>0</vt:i4>
      </vt:variant>
      <vt:variant>
        <vt:i4>5</vt:i4>
      </vt:variant>
      <vt:variant>
        <vt:lpwstr>http://www.nevo.co.il/case/27313460</vt:lpwstr>
      </vt:variant>
      <vt:variant>
        <vt:lpwstr/>
      </vt:variant>
      <vt:variant>
        <vt:i4>3997819</vt:i4>
      </vt:variant>
      <vt:variant>
        <vt:i4>54</vt:i4>
      </vt:variant>
      <vt:variant>
        <vt:i4>0</vt:i4>
      </vt:variant>
      <vt:variant>
        <vt:i4>5</vt:i4>
      </vt:variant>
      <vt:variant>
        <vt:lpwstr>http://www.nevo.co.il/case/5681787</vt:lpwstr>
      </vt:variant>
      <vt:variant>
        <vt:lpwstr/>
      </vt:variant>
      <vt:variant>
        <vt:i4>3473526</vt:i4>
      </vt:variant>
      <vt:variant>
        <vt:i4>51</vt:i4>
      </vt:variant>
      <vt:variant>
        <vt:i4>0</vt:i4>
      </vt:variant>
      <vt:variant>
        <vt:i4>5</vt:i4>
      </vt:variant>
      <vt:variant>
        <vt:lpwstr>http://www.nevo.co.il/case/6172713</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7929957</vt:i4>
      </vt:variant>
      <vt:variant>
        <vt:i4>45</vt:i4>
      </vt:variant>
      <vt:variant>
        <vt:i4>0</vt:i4>
      </vt:variant>
      <vt:variant>
        <vt:i4>5</vt:i4>
      </vt:variant>
      <vt:variant>
        <vt:lpwstr>http://www.nevo.co.il/law/74274</vt:lpwstr>
      </vt:variant>
      <vt:variant>
        <vt:lpwstr/>
      </vt:variant>
      <vt:variant>
        <vt:i4>6422628</vt:i4>
      </vt:variant>
      <vt:variant>
        <vt:i4>42</vt:i4>
      </vt:variant>
      <vt:variant>
        <vt:i4>0</vt:i4>
      </vt:variant>
      <vt:variant>
        <vt:i4>5</vt:i4>
      </vt:variant>
      <vt:variant>
        <vt:lpwstr>http://www.nevo.co.il/law/74274/54a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6422628</vt:i4>
      </vt:variant>
      <vt:variant>
        <vt:i4>24</vt:i4>
      </vt:variant>
      <vt:variant>
        <vt:i4>0</vt:i4>
      </vt:variant>
      <vt:variant>
        <vt:i4>5</vt:i4>
      </vt:variant>
      <vt:variant>
        <vt:lpwstr>http://www.nevo.co.il/law/74274/54a</vt:lpwstr>
      </vt:variant>
      <vt:variant>
        <vt:lpwstr/>
      </vt:variant>
      <vt:variant>
        <vt:i4>7929957</vt:i4>
      </vt:variant>
      <vt:variant>
        <vt:i4>21</vt:i4>
      </vt:variant>
      <vt:variant>
        <vt:i4>0</vt:i4>
      </vt:variant>
      <vt:variant>
        <vt:i4>5</vt:i4>
      </vt:variant>
      <vt:variant>
        <vt:lpwstr>http://www.nevo.co.il/law/74274</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2025-04-23T01:41:00Z</dcterms:created>
  <dcterms:modified xsi:type="dcterms:W3CDTF">2025-04-23T01:41:00Z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62242</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ספין אבו חביזה</vt:lpwstr>
  </property>
  <property fmtid="{D5CDD505-2E9C-101B-9397-08002B2CF9AE}" pid="10" name="LAWYER">
    <vt:lpwstr>יונת בן חיים</vt:lpwstr>
  </property>
  <property fmtid="{D5CDD505-2E9C-101B-9397-08002B2CF9AE}" pid="11" name="JUDGE">
    <vt:lpwstr>אבישי כהן</vt:lpwstr>
  </property>
  <property fmtid="{D5CDD505-2E9C-101B-9397-08002B2CF9AE}" pid="12" name="CITY">
    <vt:lpwstr>ב"ש</vt:lpwstr>
  </property>
  <property fmtid="{D5CDD505-2E9C-101B-9397-08002B2CF9AE}" pid="13" name="DATE">
    <vt:lpwstr>20230724</vt:lpwstr>
  </property>
  <property fmtid="{D5CDD505-2E9C-101B-9397-08002B2CF9AE}" pid="14" name="TYPE_N_DATE">
    <vt:lpwstr>38020230724</vt:lpwstr>
  </property>
  <property fmtid="{D5CDD505-2E9C-101B-9397-08002B2CF9AE}" pid="15" name="WORDNUMPAGES">
    <vt:lpwstr>5</vt:lpwstr>
  </property>
  <property fmtid="{D5CDD505-2E9C-101B-9397-08002B2CF9AE}" pid="16" name="TYPE_ABS_DATE">
    <vt:lpwstr>380020230724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5698919;6172713;5681787;27313460;28190928;29200734;28362589;26246488;21017469;27596218;20685141;27184690</vt:lpwstr>
  </property>
  <property fmtid="{D5CDD505-2E9C-101B-9397-08002B2CF9AE}" pid="36" name="LAWLISTTMP1">
    <vt:lpwstr>4216/007.a;007.c</vt:lpwstr>
  </property>
  <property fmtid="{D5CDD505-2E9C-101B-9397-08002B2CF9AE}" pid="37" name="LAWLISTTMP2">
    <vt:lpwstr>70301/275;040i;40ja</vt:lpwstr>
  </property>
  <property fmtid="{D5CDD505-2E9C-101B-9397-08002B2CF9AE}" pid="38" name="LAWLISTTMP3">
    <vt:lpwstr>74274/054a</vt:lpwstr>
  </property>
</Properties>
</file>