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DE3865" w:rsidRPr="00FB4F4C" w14:paraId="13894DB3" w14:textId="77777777" w:rsidTr="00133995">
        <w:trPr>
          <w:gridAfter w:val="1"/>
          <w:wAfter w:w="99" w:type="dxa"/>
          <w:trHeight w:hRule="exact" w:val="418"/>
          <w:jc w:val="center"/>
        </w:trPr>
        <w:tc>
          <w:tcPr>
            <w:tcW w:w="8721" w:type="dxa"/>
            <w:gridSpan w:val="4"/>
          </w:tcPr>
          <w:p w14:paraId="040D768A" w14:textId="77777777" w:rsidR="00DE3865" w:rsidRPr="00FB4F4C" w:rsidRDefault="00DE3865" w:rsidP="004C7F1F">
            <w:pPr>
              <w:pStyle w:val="a3"/>
              <w:jc w:val="center"/>
              <w:rPr>
                <w:rFonts w:ascii="Tahoma" w:hAnsi="Tahoma" w:cs="Tahoma"/>
                <w:color w:val="000080"/>
                <w:rtl/>
              </w:rPr>
            </w:pPr>
            <w:bookmarkStart w:id="0" w:name="LastJudge"/>
            <w:r w:rsidRPr="00FB4F4C">
              <w:rPr>
                <w:rFonts w:ascii="Tahoma" w:hAnsi="Tahoma" w:cs="Tahoma"/>
                <w:b/>
                <w:bCs/>
                <w:color w:val="000080"/>
                <w:rtl/>
              </w:rPr>
              <w:t>בית משפט השלום בבאר שבע</w:t>
            </w:r>
          </w:p>
        </w:tc>
      </w:tr>
      <w:tr w:rsidR="00DE3865" w:rsidRPr="00FB4F4C" w14:paraId="0B972A6F" w14:textId="77777777" w:rsidTr="00133995">
        <w:trPr>
          <w:gridAfter w:val="1"/>
          <w:wAfter w:w="99" w:type="dxa"/>
          <w:trHeight w:val="337"/>
          <w:jc w:val="center"/>
        </w:trPr>
        <w:tc>
          <w:tcPr>
            <w:tcW w:w="5057" w:type="dxa"/>
            <w:gridSpan w:val="3"/>
          </w:tcPr>
          <w:p w14:paraId="15767D09" w14:textId="77777777" w:rsidR="00DE3865" w:rsidRPr="00FB4F4C" w:rsidRDefault="00DE3865" w:rsidP="004C7F1F">
            <w:pPr>
              <w:rPr>
                <w:rFonts w:cs="FrankRuehl"/>
                <w:sz w:val="28"/>
                <w:szCs w:val="28"/>
                <w:rtl/>
              </w:rPr>
            </w:pPr>
            <w:r w:rsidRPr="00FB4F4C">
              <w:rPr>
                <w:rFonts w:cs="FrankRuehl"/>
                <w:sz w:val="28"/>
                <w:szCs w:val="28"/>
                <w:rtl/>
              </w:rPr>
              <w:t>ת"פ</w:t>
            </w:r>
            <w:r w:rsidRPr="00FB4F4C">
              <w:rPr>
                <w:rFonts w:cs="FrankRuehl" w:hint="cs"/>
                <w:sz w:val="28"/>
                <w:szCs w:val="28"/>
                <w:rtl/>
              </w:rPr>
              <w:t xml:space="preserve"> </w:t>
            </w:r>
            <w:r w:rsidRPr="00FB4F4C">
              <w:rPr>
                <w:rFonts w:cs="FrankRuehl"/>
                <w:sz w:val="28"/>
                <w:szCs w:val="28"/>
                <w:rtl/>
              </w:rPr>
              <w:t>70576-01-23</w:t>
            </w:r>
            <w:r w:rsidRPr="00FB4F4C">
              <w:rPr>
                <w:rFonts w:cs="FrankRuehl" w:hint="cs"/>
                <w:sz w:val="28"/>
                <w:szCs w:val="28"/>
                <w:rtl/>
              </w:rPr>
              <w:t xml:space="preserve"> </w:t>
            </w:r>
            <w:r w:rsidRPr="00FB4F4C">
              <w:rPr>
                <w:rFonts w:cs="FrankRuehl"/>
                <w:sz w:val="28"/>
                <w:szCs w:val="28"/>
                <w:rtl/>
              </w:rPr>
              <w:t>מדינת ישראל נ' אל ולידי(עציר)</w:t>
            </w:r>
          </w:p>
          <w:p w14:paraId="7DA76DCD" w14:textId="77777777" w:rsidR="00DE3865" w:rsidRPr="00FB4F4C" w:rsidRDefault="00DE3865" w:rsidP="004C7F1F">
            <w:pPr>
              <w:pStyle w:val="a3"/>
              <w:rPr>
                <w:rFonts w:cs="FrankRuehl"/>
                <w:sz w:val="28"/>
                <w:szCs w:val="28"/>
                <w:rtl/>
              </w:rPr>
            </w:pPr>
          </w:p>
        </w:tc>
        <w:tc>
          <w:tcPr>
            <w:tcW w:w="3664" w:type="dxa"/>
          </w:tcPr>
          <w:p w14:paraId="1B2C3FC5" w14:textId="77777777" w:rsidR="00DE3865" w:rsidRPr="00FB4F4C" w:rsidRDefault="00DE3865" w:rsidP="004C7F1F">
            <w:pPr>
              <w:pStyle w:val="a3"/>
              <w:jc w:val="right"/>
              <w:rPr>
                <w:rFonts w:cs="FrankRuehl"/>
                <w:sz w:val="28"/>
                <w:szCs w:val="28"/>
                <w:rtl/>
              </w:rPr>
            </w:pPr>
          </w:p>
        </w:tc>
      </w:tr>
      <w:tr w:rsidR="00DE3865" w:rsidRPr="00FB4F4C" w14:paraId="38052D3A" w14:textId="77777777" w:rsidTr="001339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1438AD6" w14:textId="77777777" w:rsidR="00DE3865" w:rsidRPr="00FB4F4C" w:rsidRDefault="00DE3865" w:rsidP="00DE3865">
            <w:pPr>
              <w:jc w:val="both"/>
              <w:rPr>
                <w:rFonts w:ascii="David" w:hAnsi="David"/>
                <w:b/>
                <w:bCs/>
                <w:sz w:val="26"/>
                <w:szCs w:val="26"/>
              </w:rPr>
            </w:pPr>
            <w:r w:rsidRPr="00FB4F4C">
              <w:rPr>
                <w:rFonts w:hint="cs"/>
                <w:rtl/>
              </w:rPr>
              <w:t xml:space="preserve"> </w:t>
            </w:r>
            <w:r w:rsidRPr="00FB4F4C">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57321B84" w14:textId="77777777" w:rsidR="00DE3865" w:rsidRPr="00FB4F4C" w:rsidRDefault="00DE3865" w:rsidP="004C7F1F">
            <w:pPr>
              <w:rPr>
                <w:rFonts w:ascii="David" w:hAnsi="David"/>
                <w:b/>
                <w:bCs/>
                <w:sz w:val="26"/>
                <w:szCs w:val="26"/>
                <w:rtl/>
              </w:rPr>
            </w:pPr>
            <w:r w:rsidRPr="00FB4F4C">
              <w:rPr>
                <w:rFonts w:ascii="David" w:hAnsi="David"/>
                <w:b/>
                <w:bCs/>
                <w:sz w:val="26"/>
                <w:szCs w:val="26"/>
                <w:rtl/>
              </w:rPr>
              <w:t>כבוד השופטת  שוש שטרית</w:t>
            </w:r>
          </w:p>
          <w:p w14:paraId="385686BF" w14:textId="77777777" w:rsidR="00DE3865" w:rsidRPr="00FB4F4C" w:rsidRDefault="00DE3865" w:rsidP="004C7F1F">
            <w:pPr>
              <w:rPr>
                <w:rFonts w:ascii="David" w:hAnsi="David"/>
                <w:sz w:val="26"/>
                <w:szCs w:val="26"/>
                <w:rtl/>
              </w:rPr>
            </w:pPr>
          </w:p>
          <w:p w14:paraId="6A7C2786" w14:textId="77777777" w:rsidR="00DE3865" w:rsidRPr="00FB4F4C" w:rsidRDefault="00DE3865" w:rsidP="00DE3865">
            <w:pPr>
              <w:jc w:val="both"/>
              <w:rPr>
                <w:rFonts w:ascii="David" w:hAnsi="David"/>
                <w:sz w:val="26"/>
                <w:szCs w:val="26"/>
              </w:rPr>
            </w:pPr>
          </w:p>
        </w:tc>
      </w:tr>
      <w:tr w:rsidR="00DE3865" w:rsidRPr="00FB4F4C" w14:paraId="7046F399" w14:textId="77777777" w:rsidTr="001339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9A4D2FA" w14:textId="77777777" w:rsidR="00DE3865" w:rsidRPr="00FB4F4C" w:rsidRDefault="00DE3865" w:rsidP="00DE3865">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033E908C" w14:textId="77777777" w:rsidR="00DE3865" w:rsidRPr="00FB4F4C" w:rsidRDefault="00DE3865" w:rsidP="00DE3865">
            <w:pPr>
              <w:suppressLineNumbers/>
            </w:pPr>
            <w:r w:rsidRPr="00FB4F4C">
              <w:rPr>
                <w:rFonts w:ascii="Arial" w:hAnsi="Arial" w:hint="cs"/>
                <w:b/>
                <w:bCs/>
                <w:sz w:val="26"/>
                <w:szCs w:val="26"/>
                <w:rtl/>
              </w:rPr>
              <w:t>ה</w:t>
            </w:r>
            <w:r w:rsidRPr="00FB4F4C">
              <w:rPr>
                <w:rFonts w:ascii="Arial" w:hAnsi="Arial"/>
                <w:b/>
                <w:bCs/>
                <w:sz w:val="26"/>
                <w:szCs w:val="26"/>
                <w:rtl/>
              </w:rPr>
              <w:t>מאשימה</w:t>
            </w:r>
          </w:p>
          <w:p w14:paraId="123C0887" w14:textId="77777777" w:rsidR="00DE3865" w:rsidRPr="00FB4F4C" w:rsidRDefault="00DE3865" w:rsidP="004C7F1F">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41FE955" w14:textId="77777777" w:rsidR="00DE3865" w:rsidRPr="00FB4F4C" w:rsidRDefault="00DE3865" w:rsidP="00DE3865">
            <w:pPr>
              <w:suppressLineNumbers/>
              <w:rPr>
                <w:rFonts w:ascii="Arial" w:hAnsi="Arial"/>
                <w:b/>
                <w:bCs/>
                <w:sz w:val="26"/>
                <w:szCs w:val="26"/>
                <w:rtl/>
              </w:rPr>
            </w:pPr>
            <w:r w:rsidRPr="00FB4F4C">
              <w:rPr>
                <w:rFonts w:ascii="Arial" w:hAnsi="Arial"/>
                <w:b/>
                <w:bCs/>
                <w:sz w:val="26"/>
                <w:szCs w:val="26"/>
                <w:rtl/>
              </w:rPr>
              <w:t>מדינת ישראל</w:t>
            </w:r>
            <w:r w:rsidRPr="00FB4F4C">
              <w:rPr>
                <w:rFonts w:ascii="Arial" w:hAnsi="Arial" w:hint="cs"/>
                <w:b/>
                <w:bCs/>
                <w:sz w:val="26"/>
                <w:szCs w:val="26"/>
                <w:rtl/>
              </w:rPr>
              <w:t xml:space="preserve"> </w:t>
            </w:r>
            <w:r w:rsidRPr="00FB4F4C">
              <w:rPr>
                <w:rFonts w:ascii="Arial" w:hAnsi="Arial"/>
                <w:b/>
                <w:bCs/>
                <w:sz w:val="26"/>
                <w:szCs w:val="26"/>
                <w:rtl/>
              </w:rPr>
              <w:t>–</w:t>
            </w:r>
            <w:r w:rsidRPr="00FB4F4C">
              <w:rPr>
                <w:rFonts w:ascii="Arial" w:hAnsi="Arial" w:hint="cs"/>
                <w:b/>
                <w:bCs/>
                <w:sz w:val="26"/>
                <w:szCs w:val="26"/>
                <w:rtl/>
              </w:rPr>
              <w:t xml:space="preserve"> תביעות נגב</w:t>
            </w:r>
          </w:p>
          <w:p w14:paraId="77471487" w14:textId="77777777" w:rsidR="00DE3865" w:rsidRPr="00FB4F4C" w:rsidRDefault="00DE3865" w:rsidP="00DE3865">
            <w:pPr>
              <w:suppressLineNumbers/>
            </w:pPr>
            <w:r w:rsidRPr="00FB4F4C">
              <w:rPr>
                <w:rFonts w:ascii="Arial" w:hAnsi="Arial"/>
                <w:b/>
                <w:bCs/>
                <w:sz w:val="26"/>
                <w:szCs w:val="26"/>
                <w:rtl/>
              </w:rPr>
              <w:t>ע"י ב"כ עוה"ד</w:t>
            </w:r>
            <w:r w:rsidRPr="00FB4F4C">
              <w:rPr>
                <w:rFonts w:ascii="Arial" w:hAnsi="Arial" w:hint="cs"/>
                <w:b/>
                <w:bCs/>
                <w:sz w:val="26"/>
                <w:szCs w:val="26"/>
                <w:rtl/>
              </w:rPr>
              <w:t xml:space="preserve"> זוהר נאור</w:t>
            </w:r>
          </w:p>
          <w:p w14:paraId="7CEB7726" w14:textId="77777777" w:rsidR="00DE3865" w:rsidRPr="00FB4F4C" w:rsidRDefault="00DE3865" w:rsidP="004C7F1F">
            <w:pPr>
              <w:rPr>
                <w:rFonts w:ascii="David" w:hAnsi="David"/>
                <w:sz w:val="26"/>
                <w:szCs w:val="26"/>
              </w:rPr>
            </w:pPr>
          </w:p>
        </w:tc>
      </w:tr>
      <w:bookmarkEnd w:id="1"/>
      <w:bookmarkEnd w:id="2"/>
      <w:tr w:rsidR="00DE3865" w:rsidRPr="00FB4F4C" w14:paraId="59C9693C" w14:textId="77777777" w:rsidTr="001339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CFC2C17" w14:textId="77777777" w:rsidR="00DE3865" w:rsidRPr="00FB4F4C" w:rsidRDefault="00DE3865" w:rsidP="00DE386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13463C5" w14:textId="77777777" w:rsidR="00DE3865" w:rsidRPr="00FB4F4C" w:rsidRDefault="00DE3865" w:rsidP="00DE3865">
            <w:pPr>
              <w:jc w:val="center"/>
              <w:rPr>
                <w:rFonts w:ascii="David" w:hAnsi="David"/>
                <w:b/>
                <w:bCs/>
                <w:sz w:val="26"/>
                <w:szCs w:val="26"/>
                <w:rtl/>
              </w:rPr>
            </w:pPr>
          </w:p>
          <w:p w14:paraId="71E44851" w14:textId="77777777" w:rsidR="00DE3865" w:rsidRPr="00FB4F4C" w:rsidRDefault="00DE3865" w:rsidP="00DE3865">
            <w:pPr>
              <w:jc w:val="center"/>
              <w:rPr>
                <w:rFonts w:ascii="David" w:hAnsi="David"/>
                <w:b/>
                <w:bCs/>
                <w:sz w:val="26"/>
                <w:szCs w:val="26"/>
                <w:rtl/>
              </w:rPr>
            </w:pPr>
            <w:r w:rsidRPr="00FB4F4C">
              <w:rPr>
                <w:rFonts w:ascii="David" w:hAnsi="David"/>
                <w:b/>
                <w:bCs/>
                <w:sz w:val="26"/>
                <w:szCs w:val="26"/>
                <w:rtl/>
              </w:rPr>
              <w:t>נגד</w:t>
            </w:r>
          </w:p>
          <w:p w14:paraId="5DB73DC4" w14:textId="77777777" w:rsidR="00DE3865" w:rsidRPr="00FB4F4C" w:rsidRDefault="00DE3865" w:rsidP="00DE3865">
            <w:pPr>
              <w:jc w:val="both"/>
              <w:rPr>
                <w:rFonts w:ascii="David" w:hAnsi="David"/>
                <w:sz w:val="26"/>
                <w:szCs w:val="26"/>
              </w:rPr>
            </w:pPr>
          </w:p>
        </w:tc>
      </w:tr>
      <w:tr w:rsidR="00DE3865" w:rsidRPr="00FB4F4C" w14:paraId="6BA87A04" w14:textId="77777777" w:rsidTr="001339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ED70541" w14:textId="77777777" w:rsidR="00DE3865" w:rsidRPr="00FB4F4C" w:rsidRDefault="00DE3865" w:rsidP="004C7F1F">
            <w:pPr>
              <w:rPr>
                <w:rFonts w:ascii="David" w:hAnsi="David"/>
                <w:sz w:val="26"/>
                <w:szCs w:val="26"/>
                <w:rtl/>
              </w:rPr>
            </w:pPr>
          </w:p>
        </w:tc>
        <w:tc>
          <w:tcPr>
            <w:tcW w:w="3219" w:type="dxa"/>
            <w:tcBorders>
              <w:top w:val="nil"/>
              <w:left w:val="nil"/>
              <w:bottom w:val="nil"/>
              <w:right w:val="nil"/>
            </w:tcBorders>
            <w:shd w:val="clear" w:color="auto" w:fill="auto"/>
          </w:tcPr>
          <w:p w14:paraId="39F15C04" w14:textId="77777777" w:rsidR="00DE3865" w:rsidRPr="00FB4F4C" w:rsidRDefault="00DE3865" w:rsidP="004C7F1F">
            <w:pPr>
              <w:rPr>
                <w:rFonts w:ascii="Arial" w:hAnsi="Arial"/>
                <w:b/>
                <w:bCs/>
                <w:sz w:val="26"/>
                <w:szCs w:val="26"/>
                <w:rtl/>
              </w:rPr>
            </w:pPr>
            <w:r w:rsidRPr="00FB4F4C">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B63D147" w14:textId="77777777" w:rsidR="00DE3865" w:rsidRPr="00FB4F4C" w:rsidRDefault="00DE3865" w:rsidP="00DE3865">
            <w:pPr>
              <w:suppressLineNumbers/>
              <w:rPr>
                <w:rFonts w:ascii="Arial" w:hAnsi="Arial"/>
                <w:b/>
                <w:bCs/>
                <w:sz w:val="26"/>
                <w:szCs w:val="26"/>
                <w:rtl/>
              </w:rPr>
            </w:pPr>
            <w:r w:rsidRPr="00FB4F4C">
              <w:rPr>
                <w:rFonts w:ascii="Arial" w:hAnsi="Arial"/>
                <w:b/>
                <w:bCs/>
                <w:sz w:val="26"/>
                <w:szCs w:val="26"/>
                <w:rtl/>
              </w:rPr>
              <w:t>עטרת אל ולידי (עציר)</w:t>
            </w:r>
            <w:r w:rsidRPr="00FB4F4C">
              <w:rPr>
                <w:rFonts w:ascii="Arial" w:hAnsi="Arial" w:hint="cs"/>
                <w:b/>
                <w:bCs/>
                <w:sz w:val="26"/>
                <w:szCs w:val="26"/>
                <w:rtl/>
              </w:rPr>
              <w:t xml:space="preserve"> </w:t>
            </w:r>
            <w:r w:rsidRPr="00FB4F4C">
              <w:rPr>
                <w:rFonts w:ascii="Arial" w:hAnsi="Arial"/>
                <w:b/>
                <w:bCs/>
                <w:sz w:val="26"/>
                <w:szCs w:val="26"/>
                <w:rtl/>
              </w:rPr>
              <w:t>–</w:t>
            </w:r>
            <w:r w:rsidRPr="00FB4F4C">
              <w:rPr>
                <w:rFonts w:ascii="Arial" w:hAnsi="Arial" w:hint="cs"/>
                <w:b/>
                <w:bCs/>
                <w:sz w:val="26"/>
                <w:szCs w:val="26"/>
                <w:rtl/>
              </w:rPr>
              <w:t xml:space="preserve"> הובא ע"י שב"ס</w:t>
            </w:r>
          </w:p>
          <w:p w14:paraId="3F608A1A" w14:textId="77777777" w:rsidR="00DE3865" w:rsidRPr="00FB4F4C" w:rsidRDefault="00DE3865" w:rsidP="00DE3865">
            <w:pPr>
              <w:suppressLineNumbers/>
            </w:pPr>
            <w:r w:rsidRPr="00FB4F4C">
              <w:rPr>
                <w:rFonts w:ascii="Arial" w:hAnsi="Arial"/>
                <w:b/>
                <w:bCs/>
                <w:sz w:val="26"/>
                <w:szCs w:val="26"/>
                <w:rtl/>
              </w:rPr>
              <w:t>ע"י ב"כ עוה"ד</w:t>
            </w:r>
            <w:r w:rsidRPr="00FB4F4C">
              <w:rPr>
                <w:rFonts w:ascii="Arial" w:hAnsi="Arial" w:hint="cs"/>
                <w:b/>
                <w:bCs/>
                <w:sz w:val="26"/>
                <w:szCs w:val="26"/>
                <w:rtl/>
              </w:rPr>
              <w:t xml:space="preserve"> דרייגו</w:t>
            </w:r>
          </w:p>
          <w:p w14:paraId="759EE447" w14:textId="77777777" w:rsidR="00DE3865" w:rsidRPr="00FB4F4C" w:rsidRDefault="00DE3865" w:rsidP="004C7F1F">
            <w:pPr>
              <w:rPr>
                <w:rFonts w:ascii="David" w:hAnsi="David"/>
                <w:sz w:val="26"/>
                <w:szCs w:val="26"/>
              </w:rPr>
            </w:pPr>
          </w:p>
        </w:tc>
      </w:tr>
    </w:tbl>
    <w:p w14:paraId="395DDFF8" w14:textId="77777777" w:rsidR="00133995" w:rsidRDefault="00133995" w:rsidP="00DE3865">
      <w:pPr>
        <w:rPr>
          <w:sz w:val="26"/>
          <w:szCs w:val="26"/>
          <w:rtl/>
        </w:rPr>
      </w:pPr>
    </w:p>
    <w:p w14:paraId="6165F1F3" w14:textId="77777777" w:rsidR="00133995" w:rsidRPr="00133995" w:rsidRDefault="00133995" w:rsidP="00133995">
      <w:pPr>
        <w:spacing w:after="120" w:line="240" w:lineRule="exact"/>
        <w:ind w:left="283" w:hanging="283"/>
        <w:jc w:val="both"/>
        <w:rPr>
          <w:rFonts w:ascii="FrankRuehl" w:hAnsi="FrankRuehl" w:cs="FrankRuehl"/>
          <w:rtl/>
        </w:rPr>
      </w:pPr>
    </w:p>
    <w:p w14:paraId="1EFFF4B6" w14:textId="77777777" w:rsidR="00CF7A3D" w:rsidRPr="00CF7A3D" w:rsidRDefault="00CF7A3D" w:rsidP="00CF7A3D">
      <w:pPr>
        <w:spacing w:before="120" w:after="120" w:line="240" w:lineRule="exact"/>
        <w:ind w:left="283" w:hanging="283"/>
        <w:jc w:val="both"/>
        <w:rPr>
          <w:rFonts w:ascii="FrankRuehl" w:hAnsi="FrankRuehl" w:cs="FrankRuehl"/>
          <w:rtl/>
        </w:rPr>
      </w:pPr>
    </w:p>
    <w:p w14:paraId="5C5BA024" w14:textId="77777777" w:rsidR="00DF35D5" w:rsidRDefault="00DF35D5" w:rsidP="00DF35D5">
      <w:pPr>
        <w:rPr>
          <w:rFonts w:ascii="Arial" w:hAnsi="Arial"/>
          <w:sz w:val="26"/>
          <w:szCs w:val="26"/>
          <w:rtl/>
        </w:rPr>
      </w:pPr>
      <w:bookmarkStart w:id="3" w:name="LawTable"/>
      <w:bookmarkEnd w:id="3"/>
    </w:p>
    <w:p w14:paraId="421B5D7E" w14:textId="77777777" w:rsidR="00DF35D5" w:rsidRPr="00DF35D5" w:rsidRDefault="00DF35D5" w:rsidP="00DF35D5">
      <w:pPr>
        <w:spacing w:before="120" w:after="120" w:line="240" w:lineRule="exact"/>
        <w:ind w:left="283" w:hanging="283"/>
        <w:jc w:val="both"/>
        <w:rPr>
          <w:rFonts w:ascii="FrankRuehl" w:hAnsi="FrankRuehl" w:cs="FrankRuehl"/>
          <w:rtl/>
        </w:rPr>
      </w:pPr>
    </w:p>
    <w:p w14:paraId="2EDE9180" w14:textId="77777777" w:rsidR="00DF35D5" w:rsidRPr="00DF35D5" w:rsidRDefault="00DF35D5" w:rsidP="00DF35D5">
      <w:pPr>
        <w:spacing w:before="120" w:after="120" w:line="240" w:lineRule="exact"/>
        <w:ind w:left="283" w:hanging="283"/>
        <w:jc w:val="both"/>
        <w:rPr>
          <w:rFonts w:ascii="FrankRuehl" w:hAnsi="FrankRuehl" w:cs="FrankRuehl"/>
          <w:rtl/>
        </w:rPr>
      </w:pPr>
    </w:p>
    <w:p w14:paraId="2B80B677" w14:textId="77777777" w:rsidR="00DF35D5" w:rsidRPr="00DF35D5" w:rsidRDefault="00DF35D5" w:rsidP="00DF35D5">
      <w:pPr>
        <w:spacing w:before="120" w:after="120" w:line="240" w:lineRule="exact"/>
        <w:ind w:left="283" w:hanging="283"/>
        <w:jc w:val="both"/>
        <w:rPr>
          <w:rFonts w:ascii="FrankRuehl" w:hAnsi="FrankRuehl" w:cs="FrankRuehl"/>
          <w:rtl/>
        </w:rPr>
      </w:pPr>
      <w:r w:rsidRPr="00DF35D5">
        <w:rPr>
          <w:rFonts w:ascii="FrankRuehl" w:hAnsi="FrankRuehl" w:cs="FrankRuehl"/>
          <w:rtl/>
        </w:rPr>
        <w:t xml:space="preserve">חקיקה שאוזכרה: </w:t>
      </w:r>
    </w:p>
    <w:p w14:paraId="03E4BA57" w14:textId="77777777" w:rsidR="00DF35D5" w:rsidRPr="00DF35D5" w:rsidRDefault="00DF35D5" w:rsidP="00DF35D5">
      <w:pPr>
        <w:spacing w:before="120" w:after="120" w:line="240" w:lineRule="exact"/>
        <w:ind w:left="283" w:hanging="283"/>
        <w:jc w:val="both"/>
        <w:rPr>
          <w:rFonts w:ascii="FrankRuehl" w:hAnsi="FrankRuehl" w:cs="FrankRuehl"/>
          <w:rtl/>
        </w:rPr>
      </w:pPr>
      <w:hyperlink r:id="rId7" w:history="1">
        <w:r w:rsidRPr="00DF35D5">
          <w:rPr>
            <w:rFonts w:ascii="FrankRuehl" w:hAnsi="FrankRuehl" w:cs="FrankRuehl"/>
            <w:color w:val="0000FF"/>
            <w:rtl/>
          </w:rPr>
          <w:t>פקודת הסמים המסוכנים [נוסח חדש], תשל"ג-1973</w:t>
        </w:r>
      </w:hyperlink>
      <w:r w:rsidRPr="00DF35D5">
        <w:rPr>
          <w:rFonts w:ascii="FrankRuehl" w:hAnsi="FrankRuehl" w:cs="FrankRuehl"/>
          <w:rtl/>
        </w:rPr>
        <w:t xml:space="preserve">: סע'  </w:t>
      </w:r>
      <w:hyperlink r:id="rId8" w:history="1">
        <w:r w:rsidRPr="00DF35D5">
          <w:rPr>
            <w:rFonts w:ascii="FrankRuehl" w:hAnsi="FrankRuehl" w:cs="FrankRuehl"/>
            <w:color w:val="0000FF"/>
            <w:rtl/>
          </w:rPr>
          <w:t>7.א.</w:t>
        </w:r>
      </w:hyperlink>
      <w:r w:rsidRPr="00DF35D5">
        <w:rPr>
          <w:rFonts w:ascii="FrankRuehl" w:hAnsi="FrankRuehl" w:cs="FrankRuehl"/>
          <w:rtl/>
        </w:rPr>
        <w:t xml:space="preserve">, </w:t>
      </w:r>
      <w:hyperlink r:id="rId9" w:history="1">
        <w:r w:rsidRPr="00DF35D5">
          <w:rPr>
            <w:rFonts w:ascii="FrankRuehl" w:hAnsi="FrankRuehl" w:cs="FrankRuehl"/>
            <w:color w:val="0000FF"/>
            <w:rtl/>
          </w:rPr>
          <w:t>7.ג</w:t>
        </w:r>
      </w:hyperlink>
    </w:p>
    <w:p w14:paraId="78CD5D8A" w14:textId="77777777" w:rsidR="00DF35D5" w:rsidRPr="00DF35D5" w:rsidRDefault="00DF35D5" w:rsidP="00DF35D5">
      <w:pPr>
        <w:spacing w:before="120" w:after="120" w:line="240" w:lineRule="exact"/>
        <w:ind w:left="283" w:hanging="283"/>
        <w:jc w:val="both"/>
        <w:rPr>
          <w:rFonts w:ascii="FrankRuehl" w:hAnsi="FrankRuehl" w:cs="FrankRuehl"/>
          <w:rtl/>
        </w:rPr>
      </w:pPr>
      <w:hyperlink r:id="rId10" w:history="1">
        <w:r w:rsidRPr="00DF35D5">
          <w:rPr>
            <w:rFonts w:ascii="FrankRuehl" w:hAnsi="FrankRuehl" w:cs="FrankRuehl"/>
            <w:color w:val="0000FF"/>
            <w:rtl/>
          </w:rPr>
          <w:t>פקודת התעבורה [נוסח חדש]</w:t>
        </w:r>
      </w:hyperlink>
      <w:r w:rsidRPr="00DF35D5">
        <w:rPr>
          <w:rFonts w:ascii="FrankRuehl" w:hAnsi="FrankRuehl" w:cs="FrankRuehl"/>
          <w:rtl/>
        </w:rPr>
        <w:t xml:space="preserve">: סע'  </w:t>
      </w:r>
      <w:hyperlink r:id="rId11" w:history="1">
        <w:r w:rsidRPr="00DF35D5">
          <w:rPr>
            <w:rFonts w:ascii="FrankRuehl" w:hAnsi="FrankRuehl" w:cs="FrankRuehl"/>
            <w:color w:val="0000FF"/>
            <w:rtl/>
          </w:rPr>
          <w:t>43</w:t>
        </w:r>
      </w:hyperlink>
    </w:p>
    <w:p w14:paraId="798A7156" w14:textId="77777777" w:rsidR="00DF35D5" w:rsidRPr="00DF35D5" w:rsidRDefault="00DF35D5" w:rsidP="00DF35D5">
      <w:pPr>
        <w:rPr>
          <w:rFonts w:ascii="Arial" w:hAnsi="Arial"/>
          <w:sz w:val="26"/>
          <w:szCs w:val="26"/>
          <w:rtl/>
        </w:rPr>
      </w:pPr>
      <w:bookmarkStart w:id="4" w:name="LawTable_End"/>
      <w:bookmarkEnd w:id="4"/>
    </w:p>
    <w:p w14:paraId="4F2AFA56" w14:textId="77777777" w:rsidR="00DE3865" w:rsidRPr="00CF7A3D" w:rsidRDefault="00DE3865" w:rsidP="00CF7A3D">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E3865" w14:paraId="1572C27C" w14:textId="77777777" w:rsidTr="00DE3865">
        <w:trPr>
          <w:trHeight w:val="355"/>
          <w:jc w:val="center"/>
        </w:trPr>
        <w:tc>
          <w:tcPr>
            <w:tcW w:w="8820" w:type="dxa"/>
            <w:tcBorders>
              <w:top w:val="nil"/>
              <w:left w:val="nil"/>
              <w:bottom w:val="nil"/>
              <w:right w:val="nil"/>
            </w:tcBorders>
            <w:shd w:val="clear" w:color="auto" w:fill="auto"/>
          </w:tcPr>
          <w:p w14:paraId="3ED28617" w14:textId="77777777" w:rsidR="00FB4F4C" w:rsidRPr="00FB4F4C" w:rsidRDefault="00FB4F4C" w:rsidP="00FB4F4C">
            <w:pPr>
              <w:jc w:val="center"/>
              <w:rPr>
                <w:rFonts w:ascii="David" w:hAnsi="David"/>
                <w:b/>
                <w:bCs/>
                <w:sz w:val="32"/>
                <w:szCs w:val="32"/>
                <w:u w:val="single"/>
                <w:rtl/>
              </w:rPr>
            </w:pPr>
            <w:bookmarkStart w:id="5" w:name="PsakDin" w:colFirst="0" w:colLast="0"/>
            <w:bookmarkEnd w:id="0"/>
            <w:r w:rsidRPr="00FB4F4C">
              <w:rPr>
                <w:rFonts w:ascii="David" w:hAnsi="David"/>
                <w:b/>
                <w:bCs/>
                <w:sz w:val="32"/>
                <w:szCs w:val="32"/>
                <w:u w:val="single"/>
                <w:rtl/>
              </w:rPr>
              <w:t>גזר דין</w:t>
            </w:r>
          </w:p>
          <w:p w14:paraId="2D6EF9D2" w14:textId="77777777" w:rsidR="00DE3865" w:rsidRPr="00FB4F4C" w:rsidRDefault="00DE3865" w:rsidP="00FB4F4C">
            <w:pPr>
              <w:jc w:val="center"/>
              <w:rPr>
                <w:rFonts w:ascii="David" w:hAnsi="David"/>
                <w:bCs/>
                <w:sz w:val="32"/>
                <w:szCs w:val="32"/>
                <w:u w:val="single"/>
                <w:rtl/>
              </w:rPr>
            </w:pPr>
          </w:p>
        </w:tc>
      </w:tr>
    </w:tbl>
    <w:p w14:paraId="6E9BD6AD" w14:textId="77777777" w:rsidR="00DE3865" w:rsidRDefault="00DE3865" w:rsidP="00DE3865">
      <w:pPr>
        <w:rPr>
          <w:rFonts w:ascii="Arial" w:hAnsi="Arial"/>
          <w:b/>
          <w:bCs/>
          <w:sz w:val="26"/>
          <w:szCs w:val="26"/>
          <w:rtl/>
        </w:rPr>
      </w:pPr>
      <w:bookmarkStart w:id="6" w:name="ABSTRACT_START"/>
      <w:bookmarkEnd w:id="5"/>
      <w:bookmarkEnd w:id="6"/>
    </w:p>
    <w:p w14:paraId="6B879D8F" w14:textId="77777777" w:rsidR="00DE3865" w:rsidRDefault="00DE3865" w:rsidP="00DE3865">
      <w:pPr>
        <w:spacing w:line="360" w:lineRule="auto"/>
        <w:jc w:val="both"/>
      </w:pPr>
      <w:bookmarkStart w:id="7" w:name="NGCSBookmark"/>
      <w:bookmarkEnd w:id="7"/>
      <w:r>
        <w:rPr>
          <w:rFonts w:ascii="Arial" w:hAnsi="Arial"/>
          <w:rtl/>
        </w:rPr>
        <w:t>על יסוד הודאתו בעובדות כתב האישום המתוקן, הורשע הנאשם ב</w:t>
      </w:r>
      <w:r>
        <w:rPr>
          <w:rtl/>
        </w:rPr>
        <w:t xml:space="preserve">החזקת סם מסוכן שלא לצריכה עצמית, עבירה לפי </w:t>
      </w:r>
      <w:hyperlink r:id="rId12" w:history="1">
        <w:r w:rsidR="00133995" w:rsidRPr="00133995">
          <w:rPr>
            <w:rStyle w:val="Hyperlink"/>
            <w:rtl/>
          </w:rPr>
          <w:t>סעיף 7(א)+(ג)</w:t>
        </w:r>
      </w:hyperlink>
      <w:r>
        <w:rPr>
          <w:rtl/>
        </w:rPr>
        <w:t xml:space="preserve"> רישא ב</w:t>
      </w:r>
      <w:hyperlink r:id="rId13" w:history="1">
        <w:r w:rsidR="00FB4F4C" w:rsidRPr="00FB4F4C">
          <w:rPr>
            <w:color w:val="0000FF"/>
            <w:u w:val="single"/>
            <w:rtl/>
          </w:rPr>
          <w:t>פקודת הסמים המסוכנים</w:t>
        </w:r>
      </w:hyperlink>
      <w:r>
        <w:rPr>
          <w:rtl/>
        </w:rPr>
        <w:t xml:space="preserve"> [נוסח חדש] תשל"ג – 1973; הסתייעות ברכב לעבור עבירה, עבירה לפי </w:t>
      </w:r>
      <w:hyperlink r:id="rId14" w:history="1">
        <w:r w:rsidR="00133995" w:rsidRPr="00133995">
          <w:rPr>
            <w:rStyle w:val="Hyperlink"/>
            <w:rtl/>
          </w:rPr>
          <w:t>סעיף 43</w:t>
        </w:r>
      </w:hyperlink>
      <w:r>
        <w:rPr>
          <w:rtl/>
        </w:rPr>
        <w:t xml:space="preserve"> ל</w:t>
      </w:r>
      <w:hyperlink r:id="rId15" w:history="1">
        <w:r w:rsidR="00FB4F4C" w:rsidRPr="00FB4F4C">
          <w:rPr>
            <w:color w:val="0000FF"/>
            <w:u w:val="single"/>
            <w:rtl/>
          </w:rPr>
          <w:t>פקודת התעבורה</w:t>
        </w:r>
      </w:hyperlink>
      <w:r>
        <w:rPr>
          <w:rtl/>
        </w:rPr>
        <w:t xml:space="preserve"> (נוסח חדש), תשכ"א – 1961. </w:t>
      </w:r>
    </w:p>
    <w:p w14:paraId="4CB47ABF" w14:textId="77777777" w:rsidR="00DE3865" w:rsidRDefault="00DE3865" w:rsidP="00DE3865">
      <w:pPr>
        <w:spacing w:line="360" w:lineRule="auto"/>
        <w:jc w:val="both"/>
        <w:rPr>
          <w:rFonts w:ascii="Arial" w:hAnsi="Arial"/>
        </w:rPr>
      </w:pPr>
    </w:p>
    <w:p w14:paraId="42D5DEB5" w14:textId="77777777" w:rsidR="00DE3865" w:rsidRPr="000C391A" w:rsidRDefault="00DE3865" w:rsidP="00DE3865">
      <w:pPr>
        <w:spacing w:line="360" w:lineRule="auto"/>
        <w:jc w:val="both"/>
        <w:rPr>
          <w:rFonts w:ascii="Arial" w:hAnsi="Arial"/>
          <w:b/>
          <w:bCs/>
          <w:sz w:val="26"/>
          <w:szCs w:val="26"/>
          <w:u w:val="single"/>
          <w:rtl/>
        </w:rPr>
      </w:pPr>
      <w:bookmarkStart w:id="8" w:name="ABSTRACT_END"/>
      <w:bookmarkEnd w:id="8"/>
      <w:r w:rsidRPr="000C391A">
        <w:rPr>
          <w:rFonts w:ascii="Arial" w:hAnsi="Arial"/>
          <w:b/>
          <w:bCs/>
          <w:sz w:val="26"/>
          <w:szCs w:val="26"/>
          <w:u w:val="single"/>
          <w:rtl/>
        </w:rPr>
        <w:t>עובדות כתב האישום המתוקן</w:t>
      </w:r>
    </w:p>
    <w:p w14:paraId="21CDA01F" w14:textId="77777777" w:rsidR="00DE3865" w:rsidRDefault="00DE3865" w:rsidP="00DE3865">
      <w:pPr>
        <w:spacing w:line="360" w:lineRule="auto"/>
        <w:jc w:val="both"/>
        <w:rPr>
          <w:rFonts w:ascii="Arial" w:hAnsi="Arial"/>
          <w:rtl/>
        </w:rPr>
      </w:pPr>
      <w:r>
        <w:rPr>
          <w:rFonts w:ascii="Arial" w:hAnsi="Arial"/>
          <w:rtl/>
        </w:rPr>
        <w:t>1.</w:t>
      </w:r>
      <w:r>
        <w:rPr>
          <w:rFonts w:ascii="Arial" w:hAnsi="Arial"/>
          <w:rtl/>
        </w:rPr>
        <w:tab/>
        <w:t xml:space="preserve">מעובדות כתב האישום המתוקן עולה כי ביום 17.01.2023, סמוך לשעה 18:50 על כביש 40 בסמוך לבית קמה, נהג הנאשם ברכב לכיוון כללי צפון ובתוך כך החזיק הנאשם בתא המטען של הרכב בשקית ובה סם מסוכן מסוג קנבוס במשקל כולל של 2 ק"ג נטו. </w:t>
      </w:r>
    </w:p>
    <w:p w14:paraId="68847AFC" w14:textId="77777777" w:rsidR="00DE3865" w:rsidRDefault="00DE3865" w:rsidP="00DE3865">
      <w:pPr>
        <w:spacing w:line="360" w:lineRule="auto"/>
        <w:jc w:val="both"/>
        <w:rPr>
          <w:rFonts w:ascii="Arial" w:hAnsi="Arial"/>
          <w:rtl/>
        </w:rPr>
      </w:pPr>
      <w:r>
        <w:rPr>
          <w:rFonts w:ascii="Arial" w:hAnsi="Arial"/>
          <w:rtl/>
        </w:rPr>
        <w:t xml:space="preserve">בעשותו את המתואר, הסתייע הנאשם ברכב לביצוע העבירה ובמעמד כך החזיק בסך של 6,125 ₪. </w:t>
      </w:r>
    </w:p>
    <w:p w14:paraId="3D6EF874" w14:textId="77777777" w:rsidR="00DE3865" w:rsidRDefault="00DE3865" w:rsidP="00DE3865">
      <w:pPr>
        <w:spacing w:line="360" w:lineRule="auto"/>
        <w:jc w:val="both"/>
        <w:rPr>
          <w:rFonts w:ascii="Arial" w:hAnsi="Arial"/>
          <w:rtl/>
        </w:rPr>
      </w:pPr>
    </w:p>
    <w:p w14:paraId="653E4AFC" w14:textId="77777777" w:rsidR="00DE3865" w:rsidRPr="000C391A" w:rsidRDefault="00DE3865" w:rsidP="00DE3865">
      <w:pPr>
        <w:spacing w:line="360" w:lineRule="auto"/>
        <w:jc w:val="both"/>
        <w:rPr>
          <w:rFonts w:ascii="Arial" w:hAnsi="Arial"/>
          <w:b/>
          <w:bCs/>
          <w:sz w:val="26"/>
          <w:szCs w:val="26"/>
          <w:u w:val="single"/>
          <w:rtl/>
        </w:rPr>
      </w:pPr>
      <w:r w:rsidRPr="000C391A">
        <w:rPr>
          <w:rFonts w:ascii="Arial" w:hAnsi="Arial"/>
          <w:b/>
          <w:bCs/>
          <w:sz w:val="26"/>
          <w:szCs w:val="26"/>
          <w:u w:val="single"/>
          <w:rtl/>
        </w:rPr>
        <w:t xml:space="preserve">תמצית טיעוני הצדדים לעונש </w:t>
      </w:r>
    </w:p>
    <w:p w14:paraId="21CFA560" w14:textId="77777777" w:rsidR="00DE3865" w:rsidRDefault="00DE3865" w:rsidP="00DE3865">
      <w:pPr>
        <w:spacing w:line="360" w:lineRule="auto"/>
        <w:jc w:val="both"/>
        <w:rPr>
          <w:rFonts w:ascii="Arial" w:hAnsi="Arial"/>
          <w:rtl/>
        </w:rPr>
      </w:pPr>
      <w:r>
        <w:rPr>
          <w:rFonts w:ascii="Arial" w:hAnsi="Arial"/>
          <w:rtl/>
        </w:rPr>
        <w:t xml:space="preserve">ההסדר לא כלל הסכמה לעונש והצדדים טענו באופן חופשי. </w:t>
      </w:r>
    </w:p>
    <w:p w14:paraId="36082912" w14:textId="77777777" w:rsidR="00DE3865" w:rsidRDefault="00DE3865" w:rsidP="00DE3865">
      <w:pPr>
        <w:spacing w:line="360" w:lineRule="auto"/>
        <w:jc w:val="both"/>
        <w:rPr>
          <w:noProof/>
          <w:rtl/>
        </w:rPr>
      </w:pPr>
      <w:r>
        <w:rPr>
          <w:rFonts w:ascii="Arial" w:hAnsi="Arial"/>
          <w:rtl/>
        </w:rPr>
        <w:lastRenderedPageBreak/>
        <w:t>2.</w:t>
      </w:r>
      <w:r>
        <w:rPr>
          <w:rFonts w:ascii="Arial" w:hAnsi="Arial"/>
          <w:rtl/>
        </w:rPr>
        <w:tab/>
        <w:t xml:space="preserve">בטיעוניה בכתב ועל פה עתרה התביעה לקבוע את מתחם העונש ההולם את מעשי הנאשם, בין 12 ל -24 חודשי מאסר בפועל. בטיעוניה הרחיבה בפגיעתן של עבירות הסמים בערכים החברתיים שנועדו להגן על שלומו ובריאותו של הציבור ולמנוע עבירות נלוות להן בתחום הרכוש. נטען לפגיעה משמעותית בערכים המוגנים נוכח כמות הסם אשר החזקתו הייתה ברכב בו נהג הנאשם כשבנוסף נתפס מחזיק </w:t>
      </w:r>
      <w:r>
        <w:rPr>
          <w:rtl/>
        </w:rPr>
        <w:t xml:space="preserve">כ-6,000 ₪, אשר לדידה מלמדות על פוטנציאל הפצה גבוה של הסמים שנתפסו ברשותו. </w:t>
      </w:r>
    </w:p>
    <w:p w14:paraId="721C5F2B" w14:textId="77777777" w:rsidR="00DE3865" w:rsidRDefault="00DE3865" w:rsidP="00DE3865">
      <w:pPr>
        <w:spacing w:line="360" w:lineRule="auto"/>
        <w:jc w:val="both"/>
        <w:rPr>
          <w:rtl/>
        </w:rPr>
      </w:pPr>
      <w:r>
        <w:rPr>
          <w:rtl/>
        </w:rPr>
        <w:t xml:space="preserve">באשר לעונשו של הנאשם, ציינה בעברו הנקי, אחריות שלקח על מעשיו והודאתו שחסכה ניהול משפטו על השלכותיו, ועתרה לגזור את עונשו למאסר בחלק התחתון של מתחם העונש. כמו כן, עתרה להשית עליו מאסר על תנאי, קנס משמעותי ופסילת רישיון הנהיגה בפועל ועל תנאי. </w:t>
      </w:r>
    </w:p>
    <w:p w14:paraId="457BE756" w14:textId="77777777" w:rsidR="00DE3865" w:rsidRDefault="00DE3865" w:rsidP="00DE3865">
      <w:pPr>
        <w:spacing w:line="360" w:lineRule="auto"/>
        <w:jc w:val="both"/>
        <w:rPr>
          <w:rtl/>
        </w:rPr>
      </w:pPr>
      <w:r>
        <w:rPr>
          <w:rtl/>
        </w:rPr>
        <w:t xml:space="preserve">עוד עתרה התביעה, להכריז על הנאשם כסוחר סמים ולחלט את הרכב אשר שימוש אמצעי לביצוע העבירה </w:t>
      </w:r>
    </w:p>
    <w:p w14:paraId="3D66ABAE" w14:textId="77777777" w:rsidR="00DE3865" w:rsidRDefault="00DE3865" w:rsidP="00DE3865">
      <w:pPr>
        <w:spacing w:line="360" w:lineRule="auto"/>
        <w:jc w:val="both"/>
        <w:rPr>
          <w:rtl/>
        </w:rPr>
      </w:pPr>
      <w:r>
        <w:rPr>
          <w:b/>
          <w:bCs/>
          <w:rtl/>
        </w:rPr>
        <w:t>3.</w:t>
      </w:r>
      <w:r>
        <w:rPr>
          <w:b/>
          <w:bCs/>
          <w:rtl/>
        </w:rPr>
        <w:tab/>
        <w:t>הסנגור, עוה"ד דרייגור</w:t>
      </w:r>
      <w:r>
        <w:rPr>
          <w:rtl/>
        </w:rPr>
        <w:t xml:space="preserve">, ציין גם הוא בפגיעת הנאשם בערך המוגן שנועד להגן על שלומו ובריאותו של הציבור, אם כי לטענתו, מידת פגיעתו אינה משמעותית כפי טענת התביעה. בקשר לכך, ציין בעובדה כי סם הקנבוס אינו מבין הקשים שבפקודת הסמים, ואשר בתפיסתו נמנע נזק ישיר, ובכל הנוגע לפוטנציאל הנזק, הדגיש במצבו הגולמי של הסם בעת תפיסתו, מבלי שנמצאה </w:t>
      </w:r>
      <w:r>
        <w:rPr>
          <w:rFonts w:hint="cs"/>
          <w:rtl/>
        </w:rPr>
        <w:t>אינדיקצי</w:t>
      </w:r>
      <w:r>
        <w:rPr>
          <w:rFonts w:hint="eastAsia"/>
          <w:rtl/>
        </w:rPr>
        <w:t>ה</w:t>
      </w:r>
      <w:r>
        <w:rPr>
          <w:rtl/>
        </w:rPr>
        <w:t xml:space="preserve"> אחרת לסחר, כמו למשל חלוקה למנות, משקל, רשימת שמות וכדומה.  </w:t>
      </w:r>
    </w:p>
    <w:p w14:paraId="26D4F918" w14:textId="77777777" w:rsidR="00DE3865" w:rsidRPr="000C391A" w:rsidRDefault="00DE3865" w:rsidP="00DE3865">
      <w:pPr>
        <w:spacing w:line="360" w:lineRule="auto"/>
        <w:jc w:val="both"/>
        <w:rPr>
          <w:rtl/>
        </w:rPr>
      </w:pPr>
      <w:r>
        <w:rPr>
          <w:rtl/>
        </w:rPr>
        <w:t xml:space="preserve">נטען כי מתחם העונש לו עתרה התביעה רחוק ממדיניות הענישה הנוהגת בעבירות סמים בנסיבות דומות או קרובות למקרה דנן. בתימוכין הפנה </w:t>
      </w:r>
      <w:r w:rsidRPr="000C391A">
        <w:rPr>
          <w:rtl/>
        </w:rPr>
        <w:t>למקרים בפסיקה בהם דובר בהחזקה שלא לצריכה עצמית ואף בגידול סמים בכמויות גדולות משמעותית. כך למשל, ב</w:t>
      </w:r>
      <w:hyperlink r:id="rId16" w:history="1">
        <w:r w:rsidR="00FB4F4C" w:rsidRPr="00FB4F4C">
          <w:rPr>
            <w:color w:val="0000FF"/>
            <w:u w:val="single"/>
            <w:rtl/>
          </w:rPr>
          <w:t>ת"פ 64166-09-19</w:t>
        </w:r>
      </w:hyperlink>
      <w:r w:rsidRPr="000C391A">
        <w:rPr>
          <w:rtl/>
        </w:rPr>
        <w:t xml:space="preserve">, גידול סמים בכמות של 141 ק"ג ולצדו עונש בן 28 חודשים. </w:t>
      </w:r>
      <w:hyperlink r:id="rId17" w:history="1">
        <w:r w:rsidR="00FB4F4C" w:rsidRPr="00FB4F4C">
          <w:rPr>
            <w:color w:val="0000FF"/>
            <w:u w:val="single"/>
            <w:rtl/>
          </w:rPr>
          <w:t>ת"פ  52341-07-20</w:t>
        </w:r>
      </w:hyperlink>
      <w:r w:rsidRPr="000C391A">
        <w:rPr>
          <w:rtl/>
        </w:rPr>
        <w:t xml:space="preserve">, גידול של  250 ק"ג וגניבת חשמל לצורך הגידול ולצדו עונש בן 28 חודשים. גולדשטיין, </w:t>
      </w:r>
      <w:hyperlink r:id="rId18" w:history="1">
        <w:r w:rsidR="00FB4F4C" w:rsidRPr="00FB4F4C">
          <w:rPr>
            <w:color w:val="0000FF"/>
            <w:u w:val="single"/>
            <w:rtl/>
          </w:rPr>
          <w:t>ת"פ 14313-09-19</w:t>
        </w:r>
      </w:hyperlink>
      <w:r w:rsidRPr="000C391A">
        <w:rPr>
          <w:rtl/>
        </w:rPr>
        <w:t xml:space="preserve"> (מחוזי לוד), שם הנאשם גנב חשמל בשיעור של 86 אלף ₪ וגידל 266 קילו והוא נידון ל-20 חודשים. </w:t>
      </w:r>
    </w:p>
    <w:p w14:paraId="5364E11D" w14:textId="77777777" w:rsidR="00DE3865" w:rsidRDefault="00DE3865" w:rsidP="00DE3865">
      <w:pPr>
        <w:spacing w:line="360" w:lineRule="auto"/>
        <w:jc w:val="both"/>
        <w:rPr>
          <w:rtl/>
        </w:rPr>
      </w:pPr>
      <w:r w:rsidRPr="000C391A">
        <w:rPr>
          <w:rtl/>
        </w:rPr>
        <w:t>הוסיף והפנה ל</w:t>
      </w:r>
      <w:hyperlink r:id="rId19" w:history="1">
        <w:r w:rsidR="00FB4F4C" w:rsidRPr="00FB4F4C">
          <w:rPr>
            <w:color w:val="0000FF"/>
            <w:u w:val="single"/>
            <w:rtl/>
          </w:rPr>
          <w:t>ת"פ 8417-04-22</w:t>
        </w:r>
      </w:hyperlink>
      <w:r w:rsidRPr="000C391A">
        <w:rPr>
          <w:rtl/>
        </w:rPr>
        <w:t xml:space="preserve"> שם דובר בנאשם שהחזיק ברכב</w:t>
      </w:r>
      <w:r>
        <w:rPr>
          <w:rtl/>
        </w:rPr>
        <w:t xml:space="preserve"> בו נהג, 550 גרם סם מסוג קנבוס שהיה מחולק ל-33 שקיות, שברי כי היו מיועדות להפצה וסחר, ושם עתרה התביעה למתחם עונש שבין  12 – 24 חודשים. לדידו של הסנגור, מתחם העונש ההולם את מעשי הנאשם צריך וינוע בין 3 ל 8 חודשי מאסר בפועל.  </w:t>
      </w:r>
    </w:p>
    <w:p w14:paraId="601CF5BE" w14:textId="77777777" w:rsidR="00DE3865" w:rsidRDefault="00DE3865" w:rsidP="00DE3865">
      <w:pPr>
        <w:spacing w:line="360" w:lineRule="auto"/>
        <w:jc w:val="both"/>
        <w:rPr>
          <w:rtl/>
        </w:rPr>
      </w:pPr>
      <w:r>
        <w:rPr>
          <w:rtl/>
        </w:rPr>
        <w:t>אשר לעונשו של הנאשם , עתר לגזור בתחתית המתחם, בהינתן עברו הנקי. האחריות שנטל על מעשיו והודאתו שחסכה משאבים רבים הכרוכים בניהול משפטו. ב"כ הנאשם סבור כי אין בנסיבות המקרה הנדון לצד עברו של הנאשם כדי להצדיק חילוט רכבו של הנאשם, ובין היתר, הפנה ל</w:t>
      </w:r>
      <w:hyperlink r:id="rId20" w:history="1">
        <w:r w:rsidR="00FB4F4C" w:rsidRPr="00FB4F4C">
          <w:rPr>
            <w:color w:val="0000FF"/>
            <w:u w:val="single"/>
            <w:rtl/>
          </w:rPr>
          <w:t>ת"פ 10382-08-22</w:t>
        </w:r>
      </w:hyperlink>
      <w:r>
        <w:rPr>
          <w:rtl/>
        </w:rPr>
        <w:t xml:space="preserve">, מדינת ישראל, נגד שייך אלעיד, שם דחה בית המשפט עתירת התביעה </w:t>
      </w:r>
      <w:r w:rsidRPr="000C391A">
        <w:rPr>
          <w:rtl/>
        </w:rPr>
        <w:t>לחילוט רכבו של מי שנתפס כשברכב בו נהג נמצאו 3 קילו של חשיש שהיה מחולק ל 30 פלטות.  הפנה שנית ל</w:t>
      </w:r>
      <w:hyperlink r:id="rId21" w:history="1">
        <w:r w:rsidR="00FB4F4C" w:rsidRPr="00FB4F4C">
          <w:rPr>
            <w:color w:val="0000FF"/>
            <w:u w:val="single"/>
            <w:rtl/>
          </w:rPr>
          <w:t>ת"פ 8417-04-22</w:t>
        </w:r>
      </w:hyperlink>
      <w:r w:rsidRPr="000C391A">
        <w:rPr>
          <w:rtl/>
        </w:rPr>
        <w:t xml:space="preserve"> הנזכר לעיל, אליו הפנתה התביעה גם בעתירתה לחלט את הרכב, והדגיש את ההבדל בין נסיבות ביצוע</w:t>
      </w:r>
      <w:r>
        <w:rPr>
          <w:rtl/>
        </w:rPr>
        <w:t xml:space="preserve"> עבירת הסמים לרבות כי הנאשם במקרה הנ"ל הינו בעל עבר פלילי בתחום הסמים. אשר לפסילת הנאשם מלנהוג, ביקש שלא להחמיר עמו ושזו תהא מידתית. אשר לכספים שנתפסו ברשות המשיב, טען כי בהעדר ראיה לסחר בסמים, יש לדחות את בקשת התביעה לחילוט הכספים. </w:t>
      </w:r>
    </w:p>
    <w:p w14:paraId="520C5C8E" w14:textId="77777777" w:rsidR="00DE3865" w:rsidRDefault="00DE3865" w:rsidP="00DE3865">
      <w:pPr>
        <w:spacing w:line="360" w:lineRule="auto"/>
        <w:jc w:val="both"/>
        <w:rPr>
          <w:rtl/>
        </w:rPr>
      </w:pPr>
      <w:r>
        <w:rPr>
          <w:rtl/>
        </w:rPr>
        <w:t xml:space="preserve"> הנאשם בדבריו,  מסר כי הוא בוש במעשיו וחזר והביע חרטה. </w:t>
      </w:r>
    </w:p>
    <w:p w14:paraId="3F4787F5" w14:textId="77777777" w:rsidR="00DE3865" w:rsidRDefault="00DE3865" w:rsidP="00DE3865">
      <w:pPr>
        <w:spacing w:line="360" w:lineRule="auto"/>
        <w:jc w:val="both"/>
        <w:rPr>
          <w:rtl/>
        </w:rPr>
      </w:pPr>
    </w:p>
    <w:p w14:paraId="363789B6" w14:textId="77777777" w:rsidR="00DE3865" w:rsidRDefault="00DE3865" w:rsidP="00DE3865">
      <w:pPr>
        <w:spacing w:line="360" w:lineRule="auto"/>
        <w:jc w:val="both"/>
        <w:rPr>
          <w:b/>
          <w:bCs/>
          <w:sz w:val="28"/>
          <w:szCs w:val="28"/>
          <w:u w:val="single"/>
          <w:rtl/>
        </w:rPr>
      </w:pPr>
      <w:r>
        <w:rPr>
          <w:b/>
          <w:bCs/>
          <w:sz w:val="28"/>
          <w:szCs w:val="28"/>
          <w:u w:val="single"/>
          <w:rtl/>
        </w:rPr>
        <w:lastRenderedPageBreak/>
        <w:t>דיון והכרעה</w:t>
      </w:r>
    </w:p>
    <w:p w14:paraId="0BAADE71" w14:textId="77777777" w:rsidR="00DE3865" w:rsidRDefault="00DE3865" w:rsidP="00DE3865">
      <w:pPr>
        <w:spacing w:line="360" w:lineRule="auto"/>
        <w:jc w:val="both"/>
        <w:rPr>
          <w:sz w:val="26"/>
          <w:szCs w:val="26"/>
          <w:rtl/>
        </w:rPr>
      </w:pPr>
      <w:r>
        <w:rPr>
          <w:b/>
          <w:bCs/>
          <w:sz w:val="26"/>
          <w:szCs w:val="26"/>
          <w:rtl/>
        </w:rPr>
        <w:t xml:space="preserve">מתחם העונש ההולם </w:t>
      </w:r>
    </w:p>
    <w:p w14:paraId="352447EE" w14:textId="77777777" w:rsidR="00DE3865" w:rsidRDefault="00DE3865" w:rsidP="00DE3865">
      <w:pPr>
        <w:snapToGrid w:val="0"/>
        <w:spacing w:line="360" w:lineRule="auto"/>
        <w:jc w:val="both"/>
        <w:rPr>
          <w:lang w:eastAsia="he-IL"/>
        </w:rPr>
      </w:pPr>
      <w:r>
        <w:rPr>
          <w:rtl/>
          <w:lang w:eastAsia="he-IL"/>
        </w:rPr>
        <w:t>4.</w:t>
      </w:r>
      <w:r>
        <w:rPr>
          <w:rtl/>
          <w:lang w:eastAsia="he-IL"/>
        </w:rPr>
        <w:tab/>
        <w:t>מתחם העונש למעשה העבירה נקבע בהתאם לעיקרון ההלימה, לפיו נדרש יחס הולם בין חומרת מעשה העבירה בנסיבותיו ומידת האשם של הנאשם, לבין סוג ומידת העונש המוטל עליו. ביישום עיקרון זה, על בית המשפט להתחשב בערך החברתי שנפגע ומידת הפגיעה בו; במדיניות הענישה הנוהגת ונסיבות הקשורות בביצוע העבירה.</w:t>
      </w:r>
    </w:p>
    <w:p w14:paraId="4BE835C0" w14:textId="77777777" w:rsidR="00DE3865" w:rsidRDefault="00DE3865" w:rsidP="00DE3865">
      <w:pPr>
        <w:spacing w:line="360" w:lineRule="auto"/>
        <w:jc w:val="both"/>
        <w:rPr>
          <w:noProof/>
          <w:rtl/>
        </w:rPr>
      </w:pPr>
    </w:p>
    <w:p w14:paraId="2662DABF" w14:textId="77777777" w:rsidR="00DE3865" w:rsidRDefault="00DE3865" w:rsidP="00DE3865">
      <w:pPr>
        <w:spacing w:line="360" w:lineRule="auto"/>
        <w:jc w:val="both"/>
        <w:rPr>
          <w:rtl/>
        </w:rPr>
      </w:pPr>
      <w:r>
        <w:rPr>
          <w:b/>
          <w:bCs/>
          <w:rtl/>
        </w:rPr>
        <w:t>הערכים המוגנים</w:t>
      </w:r>
      <w:r>
        <w:rPr>
          <w:rtl/>
        </w:rPr>
        <w:t xml:space="preserve"> בבסיס האיסור על עבירות סמים, נועדו להגן על שלומו ובריאותו של הציבור מפני פגיעתם הקשה של הסמים, אשר היקפה רחב והשפעתה משלחת בחברה  בריאותית, חברתית וכלכלית. לשיקולי ההרתעה יינתן משקל נכבד במכלול השיקולים לעונש בעבירות סמים ראו למשל, ב</w:t>
      </w:r>
      <w:hyperlink r:id="rId22" w:history="1">
        <w:r w:rsidR="00FB4F4C" w:rsidRPr="00FB4F4C">
          <w:rPr>
            <w:color w:val="0000FF"/>
            <w:u w:val="single"/>
            <w:rtl/>
          </w:rPr>
          <w:t>ע"פ 9482/09</w:t>
        </w:r>
      </w:hyperlink>
      <w:r>
        <w:rPr>
          <w:rtl/>
        </w:rPr>
        <w:t xml:space="preserve"> </w:t>
      </w:r>
      <w:r>
        <w:rPr>
          <w:b/>
          <w:bCs/>
          <w:rtl/>
        </w:rPr>
        <w:t>ביטון נגד מדינת ישראל</w:t>
      </w:r>
      <w:r>
        <w:rPr>
          <w:rtl/>
        </w:rPr>
        <w:t xml:space="preserve"> (2011) וב</w:t>
      </w:r>
      <w:hyperlink r:id="rId23" w:history="1">
        <w:r w:rsidR="00FB4F4C" w:rsidRPr="00FB4F4C">
          <w:rPr>
            <w:color w:val="0000FF"/>
            <w:u w:val="single"/>
            <w:rtl/>
          </w:rPr>
          <w:t>ע"פ 211/09</w:t>
        </w:r>
      </w:hyperlink>
      <w:r>
        <w:rPr>
          <w:rtl/>
        </w:rPr>
        <w:t xml:space="preserve"> </w:t>
      </w:r>
      <w:r>
        <w:rPr>
          <w:b/>
          <w:bCs/>
          <w:rtl/>
        </w:rPr>
        <w:t>אזולאי נ' מדינת ישראל</w:t>
      </w:r>
      <w:r>
        <w:rPr>
          <w:rtl/>
        </w:rPr>
        <w:t xml:space="preserve"> (22.6.2010) </w:t>
      </w:r>
    </w:p>
    <w:p w14:paraId="396E9C9E" w14:textId="77777777" w:rsidR="00DE3865" w:rsidRDefault="00DE3865" w:rsidP="00DE3865">
      <w:pPr>
        <w:spacing w:line="360" w:lineRule="auto"/>
        <w:jc w:val="both"/>
        <w:rPr>
          <w:rtl/>
        </w:rPr>
      </w:pPr>
    </w:p>
    <w:p w14:paraId="637B1AF5" w14:textId="77777777" w:rsidR="00DE3865" w:rsidRDefault="00DE3865" w:rsidP="00DE3865">
      <w:pPr>
        <w:spacing w:line="360" w:lineRule="auto"/>
        <w:ind w:left="720" w:right="993"/>
        <w:jc w:val="both"/>
        <w:rPr>
          <w:b/>
          <w:bCs/>
          <w:rtl/>
        </w:rPr>
      </w:pPr>
      <w:r>
        <w:rPr>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04C626BD" w14:textId="77777777" w:rsidR="00DE3865" w:rsidRDefault="00DE3865" w:rsidP="00DE3865">
      <w:pPr>
        <w:spacing w:line="360" w:lineRule="auto"/>
        <w:ind w:left="720" w:right="993"/>
        <w:jc w:val="both"/>
        <w:rPr>
          <w:b/>
          <w:bCs/>
          <w:rtl/>
        </w:rPr>
      </w:pPr>
    </w:p>
    <w:p w14:paraId="40C8CC32" w14:textId="77777777" w:rsidR="00DE3865" w:rsidRDefault="00DE3865" w:rsidP="00DE3865">
      <w:pPr>
        <w:spacing w:line="360" w:lineRule="auto"/>
        <w:jc w:val="both"/>
        <w:rPr>
          <w:rtl/>
        </w:rPr>
      </w:pPr>
      <w:r>
        <w:rPr>
          <w:b/>
          <w:bCs/>
          <w:rtl/>
        </w:rPr>
        <w:t xml:space="preserve">מידת פגיעת הנאשם בערכים המוגנים, אינה גבוה. בחינת הנסיבות הקשורות לעבירה, </w:t>
      </w:r>
      <w:r>
        <w:rPr>
          <w:rtl/>
        </w:rPr>
        <w:t xml:space="preserve">על פי רוב, תביא בחשבון את סוג וכמות הסם, אופן החזקתו ועד כמה נראה כי ההחזקה קרובה יותר להפצה וסחר (חלוקה למספר רב של מנות לצריכה עצמית, כספים שנתפסו, משקל אלקטרוני, רשימת שמות וכדומה). במקרה הנדון מדובר בהחזקת סמים מסוג קנבו שאינו נמנה עם הסמים הקשים שבפקודת הסמים, אם כי כבר יאמר שהינו סם מסוכן ובעל פוטנציאל לסכן את בריאות הציבור, ואשר </w:t>
      </w:r>
      <w:r>
        <w:rPr>
          <w:rFonts w:ascii="Calibri" w:eastAsia="Calibri" w:hAnsi="Calibri"/>
          <w:rtl/>
        </w:rPr>
        <w:t xml:space="preserve">המאבק בהפצת הסמים כולל הפצת סמים קלים כדוגמתו. כמות הסמים שנתפסו בצורתם הגולמית כצמח, עמדה על 2 ק"ג, כמות שאינה קטנה, אם כי לא נמצאה </w:t>
      </w:r>
      <w:r>
        <w:rPr>
          <w:rtl/>
        </w:rPr>
        <w:t xml:space="preserve">ראיה, אף לא אינדיקציה למטרת סחר או הפצה. לצד האמור, נמצא חומרה בעובדה שהסמים נתפסו ברכבו של הנאשם בעת שהוא נוהג ברכב. </w:t>
      </w:r>
    </w:p>
    <w:p w14:paraId="724E6218" w14:textId="77777777" w:rsidR="00DE3865" w:rsidRDefault="00DE3865" w:rsidP="00DE3865">
      <w:pPr>
        <w:spacing w:line="360" w:lineRule="auto"/>
        <w:jc w:val="both"/>
        <w:rPr>
          <w:rFonts w:ascii="Arial" w:hAnsi="Arial"/>
          <w:b/>
          <w:bCs/>
          <w:sz w:val="26"/>
          <w:szCs w:val="26"/>
          <w:u w:val="single"/>
          <w:rtl/>
        </w:rPr>
      </w:pPr>
    </w:p>
    <w:p w14:paraId="44161AF2" w14:textId="77777777" w:rsidR="00DE3865" w:rsidRDefault="00DE3865" w:rsidP="00DE3865">
      <w:pPr>
        <w:spacing w:line="360" w:lineRule="auto"/>
        <w:jc w:val="both"/>
        <w:rPr>
          <w:rFonts w:ascii="David" w:hAnsi="David"/>
          <w:b/>
          <w:bCs/>
          <w:rtl/>
        </w:rPr>
      </w:pPr>
      <w:r>
        <w:rPr>
          <w:b/>
          <w:bCs/>
          <w:rtl/>
        </w:rPr>
        <w:t>בחינת הענישה הנוהגת בעבירה של החזקת סמים שלא לצריכה עצמית</w:t>
      </w:r>
      <w:r>
        <w:rPr>
          <w:rtl/>
        </w:rPr>
        <w:t xml:space="preserve">, מעלה מתחמי ענישה שבין מספר חודשים קצר, שיכול וירוצו בעבודות שירות ועד 18 חודשי מאסר בפועל,  אשר נקבעו ואושרו במנעד רחב של כמויות סמים מסוג קנבוס שהוחזקו שלא לצריכה עצמית. </w:t>
      </w:r>
      <w:r>
        <w:rPr>
          <w:rFonts w:ascii="David" w:hAnsi="David"/>
          <w:rtl/>
        </w:rPr>
        <w:t xml:space="preserve">כך למשל: </w:t>
      </w:r>
    </w:p>
    <w:p w14:paraId="1F1482DE" w14:textId="77777777" w:rsidR="00DE3865" w:rsidRDefault="00DE3865" w:rsidP="00DE3865">
      <w:pPr>
        <w:spacing w:line="360" w:lineRule="auto"/>
        <w:jc w:val="both"/>
        <w:rPr>
          <w:rFonts w:ascii="David" w:hAnsi="David"/>
          <w:b/>
          <w:bCs/>
          <w:rtl/>
        </w:rPr>
      </w:pPr>
    </w:p>
    <w:p w14:paraId="70ED4707" w14:textId="77777777" w:rsidR="00DE3865" w:rsidRDefault="00DE3865" w:rsidP="00DE3865">
      <w:pPr>
        <w:spacing w:line="360" w:lineRule="auto"/>
        <w:jc w:val="both"/>
        <w:rPr>
          <w:rFonts w:ascii="David" w:hAnsi="David"/>
          <w:rtl/>
        </w:rPr>
      </w:pPr>
      <w:r>
        <w:rPr>
          <w:rFonts w:ascii="David" w:hAnsi="David"/>
          <w:rtl/>
        </w:rPr>
        <w:t>ב</w:t>
      </w:r>
      <w:hyperlink r:id="rId24" w:history="1">
        <w:r w:rsidR="00FB4F4C" w:rsidRPr="00FB4F4C">
          <w:rPr>
            <w:rFonts w:ascii="David" w:hAnsi="David"/>
            <w:color w:val="0000FF"/>
            <w:u w:val="single"/>
            <w:rtl/>
          </w:rPr>
          <w:t>רע"פ 1830/16</w:t>
        </w:r>
      </w:hyperlink>
      <w:r>
        <w:rPr>
          <w:rFonts w:ascii="David" w:hAnsi="David"/>
          <w:b/>
          <w:bCs/>
          <w:rtl/>
        </w:rPr>
        <w:t xml:space="preserve"> רקיבי נגד מדינת ישראל</w:t>
      </w:r>
      <w:r>
        <w:rPr>
          <w:rFonts w:ascii="David" w:hAnsi="David"/>
          <w:rtl/>
        </w:rPr>
        <w:t xml:space="preserve"> (11.4.16) אושר מתחם עונש הנע בין 6 ל 15 חודשי מאסר בפועל, בנסיבות בהן החזיק הנאשם ברכבו, סם מסוג חשיש </w:t>
      </w:r>
      <w:r>
        <w:rPr>
          <w:rFonts w:ascii="David" w:hAnsi="David"/>
          <w:b/>
          <w:bCs/>
          <w:rtl/>
        </w:rPr>
        <w:t>מחולק לאריזות רבות</w:t>
      </w:r>
      <w:r>
        <w:rPr>
          <w:rFonts w:ascii="David" w:hAnsi="David"/>
          <w:rtl/>
        </w:rPr>
        <w:t xml:space="preserve"> במשקל כולל של כ - 2,300 גרם. עונשו של הנאשם, נעדר עבר פלילי ותסקיר חיובי, נגזר ל  8 חודשי מאסר בפועל.</w:t>
      </w:r>
    </w:p>
    <w:p w14:paraId="59CAC337" w14:textId="77777777" w:rsidR="00DE3865" w:rsidRDefault="00DE3865" w:rsidP="00DE3865">
      <w:pPr>
        <w:spacing w:after="160" w:line="360" w:lineRule="auto"/>
        <w:contextualSpacing/>
        <w:jc w:val="both"/>
        <w:rPr>
          <w:rFonts w:ascii="David" w:hAnsi="David"/>
          <w:b/>
          <w:bCs/>
          <w:rtl/>
        </w:rPr>
      </w:pPr>
    </w:p>
    <w:p w14:paraId="52AFEF91" w14:textId="77777777" w:rsidR="00DE3865" w:rsidRPr="00DE3865" w:rsidRDefault="00DE3865" w:rsidP="00DE3865">
      <w:pPr>
        <w:spacing w:after="160" w:line="360" w:lineRule="auto"/>
        <w:contextualSpacing/>
        <w:jc w:val="both"/>
        <w:rPr>
          <w:rFonts w:ascii="Calibri" w:hAnsi="Calibri"/>
          <w:rtl/>
        </w:rPr>
      </w:pPr>
      <w:r w:rsidRPr="00DE3865">
        <w:rPr>
          <w:rFonts w:ascii="Calibri" w:hAnsi="Calibri"/>
          <w:rtl/>
        </w:rPr>
        <w:t>ב</w:t>
      </w:r>
      <w:hyperlink r:id="rId25" w:history="1">
        <w:r w:rsidR="00FB4F4C" w:rsidRPr="00FB4F4C">
          <w:rPr>
            <w:rFonts w:ascii="Calibri" w:hAnsi="Calibri" w:hint="eastAsia"/>
            <w:color w:val="0000FF"/>
            <w:u w:val="single"/>
            <w:rtl/>
          </w:rPr>
          <w:t>רע</w:t>
        </w:r>
        <w:r w:rsidR="00FB4F4C" w:rsidRPr="00FB4F4C">
          <w:rPr>
            <w:rFonts w:ascii="Calibri" w:hAnsi="Calibri"/>
            <w:color w:val="0000FF"/>
            <w:u w:val="single"/>
            <w:rtl/>
          </w:rPr>
          <w:t>"</w:t>
        </w:r>
        <w:r w:rsidR="00FB4F4C" w:rsidRPr="00FB4F4C">
          <w:rPr>
            <w:rFonts w:ascii="Calibri" w:hAnsi="Calibri" w:hint="eastAsia"/>
            <w:color w:val="0000FF"/>
            <w:u w:val="single"/>
            <w:rtl/>
          </w:rPr>
          <w:t>פ</w:t>
        </w:r>
        <w:r w:rsidR="00FB4F4C" w:rsidRPr="00FB4F4C">
          <w:rPr>
            <w:rFonts w:ascii="Calibri" w:hAnsi="Calibri"/>
            <w:color w:val="0000FF"/>
            <w:u w:val="single"/>
            <w:rtl/>
          </w:rPr>
          <w:t xml:space="preserve"> 322/15</w:t>
        </w:r>
      </w:hyperlink>
      <w:r w:rsidRPr="00DE3865">
        <w:rPr>
          <w:rFonts w:ascii="Calibri" w:hAnsi="Calibri"/>
          <w:b/>
          <w:bCs/>
          <w:rtl/>
        </w:rPr>
        <w:t xml:space="preserve"> ג'אנח נ' מדינת ישראל </w:t>
      </w:r>
      <w:r w:rsidRPr="00DE3865">
        <w:rPr>
          <w:rFonts w:ascii="Calibri" w:hAnsi="Calibri"/>
          <w:rtl/>
        </w:rPr>
        <w:t xml:space="preserve">(22.1.15)  אושר מתחם עונש בין 7 ל 18 חודשי מאסר בפועל, בנסיבות בהן החזיק הנאשם בבית מגוריו, סם מסוג חשיש במשקל של  כ - 400 גרם. </w:t>
      </w:r>
    </w:p>
    <w:p w14:paraId="42867EAB" w14:textId="77777777" w:rsidR="00DE3865" w:rsidRDefault="00DE3865" w:rsidP="00DE3865">
      <w:pPr>
        <w:spacing w:after="160" w:line="360" w:lineRule="auto"/>
        <w:contextualSpacing/>
        <w:jc w:val="both"/>
        <w:rPr>
          <w:rFonts w:ascii="David" w:hAnsi="David"/>
          <w:rtl/>
        </w:rPr>
      </w:pPr>
    </w:p>
    <w:p w14:paraId="3CB63CAA" w14:textId="77777777" w:rsidR="00DE3865" w:rsidRDefault="00DE3865" w:rsidP="00DE3865">
      <w:pPr>
        <w:spacing w:line="360" w:lineRule="auto"/>
        <w:jc w:val="both"/>
        <w:rPr>
          <w:rtl/>
          <w:lang w:eastAsia="he-IL"/>
        </w:rPr>
      </w:pPr>
      <w:r>
        <w:rPr>
          <w:rtl/>
          <w:lang w:eastAsia="he-IL"/>
        </w:rPr>
        <w:t>ב</w:t>
      </w:r>
      <w:hyperlink r:id="rId26" w:history="1">
        <w:r w:rsidR="00FB4F4C" w:rsidRPr="00FB4F4C">
          <w:rPr>
            <w:color w:val="0000FF"/>
            <w:u w:val="single"/>
            <w:rtl/>
            <w:lang w:eastAsia="he-IL"/>
          </w:rPr>
          <w:t>רע"פ 2590/10</w:t>
        </w:r>
      </w:hyperlink>
      <w:r>
        <w:rPr>
          <w:rtl/>
          <w:lang w:eastAsia="he-IL"/>
        </w:rPr>
        <w:t xml:space="preserve"> </w:t>
      </w:r>
      <w:r>
        <w:rPr>
          <w:b/>
          <w:bCs/>
          <w:rtl/>
          <w:lang w:eastAsia="he-IL"/>
        </w:rPr>
        <w:t xml:space="preserve">שגיא נ' מ"י </w:t>
      </w:r>
      <w:r>
        <w:rPr>
          <w:rtl/>
          <w:lang w:eastAsia="he-IL"/>
        </w:rPr>
        <w:t>(8.4.2010), נדחתה בקשה על חומרת העונש שהושת על המבקש - 6 חודשי מאסר שירוצו בעבודות שירות. המדובר  בנאשם צעיר ונעדר עבר פלילי, עליו המליץ שירות המבחן לביטול הרשעתו והשתת צו של"צ. המבקש</w:t>
      </w:r>
      <w:r>
        <w:rPr>
          <w:b/>
          <w:bCs/>
          <w:rtl/>
          <w:lang w:eastAsia="he-IL"/>
        </w:rPr>
        <w:t xml:space="preserve"> </w:t>
      </w:r>
      <w:r>
        <w:rPr>
          <w:rtl/>
          <w:lang w:eastAsia="he-IL"/>
        </w:rPr>
        <w:t xml:space="preserve">הורשע בהחזקת סמים מסוג חשיש </w:t>
      </w:r>
      <w:r>
        <w:rPr>
          <w:b/>
          <w:bCs/>
          <w:rtl/>
          <w:lang w:eastAsia="he-IL"/>
        </w:rPr>
        <w:t xml:space="preserve">במשקל 256.58 </w:t>
      </w:r>
      <w:r>
        <w:rPr>
          <w:rtl/>
          <w:lang w:eastAsia="he-IL"/>
        </w:rPr>
        <w:t xml:space="preserve">גרם נטו, סם סוג קנבוס במשקל של 13.11 גרם נטו, כלים להכנת סם ומשקל אלקטרוני.  </w:t>
      </w:r>
    </w:p>
    <w:p w14:paraId="364217BB" w14:textId="77777777" w:rsidR="00DE3865" w:rsidRDefault="00DE3865" w:rsidP="00DE3865">
      <w:pPr>
        <w:spacing w:line="360" w:lineRule="auto"/>
        <w:jc w:val="both"/>
        <w:rPr>
          <w:rtl/>
          <w:lang w:eastAsia="he-IL"/>
        </w:rPr>
      </w:pPr>
    </w:p>
    <w:p w14:paraId="20952FD6" w14:textId="77777777" w:rsidR="00DE3865" w:rsidRDefault="00DE3865" w:rsidP="00DE3865">
      <w:pPr>
        <w:suppressLineNumbers/>
        <w:spacing w:line="360" w:lineRule="auto"/>
        <w:jc w:val="both"/>
        <w:rPr>
          <w:rFonts w:ascii="David" w:hAnsi="David"/>
          <w:rtl/>
          <w:lang w:eastAsia="he-IL"/>
        </w:rPr>
      </w:pPr>
      <w:r>
        <w:rPr>
          <w:rtl/>
          <w:lang w:eastAsia="he-IL"/>
        </w:rPr>
        <w:t>ב</w:t>
      </w:r>
      <w:hyperlink r:id="rId27" w:history="1">
        <w:r w:rsidR="00FB4F4C" w:rsidRPr="00FB4F4C">
          <w:rPr>
            <w:color w:val="0000FF"/>
            <w:u w:val="single"/>
            <w:rtl/>
            <w:lang w:eastAsia="he-IL"/>
          </w:rPr>
          <w:t>רע"פ 10423/09</w:t>
        </w:r>
      </w:hyperlink>
      <w:r>
        <w:rPr>
          <w:rtl/>
          <w:lang w:eastAsia="he-IL"/>
        </w:rPr>
        <w:t xml:space="preserve"> </w:t>
      </w:r>
      <w:r>
        <w:rPr>
          <w:b/>
          <w:bCs/>
          <w:rtl/>
          <w:lang w:eastAsia="he-IL"/>
        </w:rPr>
        <w:t xml:space="preserve">שורר נ' מ"י </w:t>
      </w:r>
      <w:r>
        <w:rPr>
          <w:rtl/>
          <w:lang w:eastAsia="he-IL"/>
        </w:rPr>
        <w:t>(26.4.2010), נדחתה בקשה של מבקש שהיה בן 51 שנים, נעדר עבר פלילי, עליו נגזרו 6 חודשי מאסר על דרך עבודות שירות, בניגוד להמלצת שירות המבחן להימנע מהרשעתו. המדובר במי שהחזיק סם מסוג קנבוס במשקל של 574.75 גרם, וערעורו ובקשת רשות ערעור, כאמור, נדחו.</w:t>
      </w:r>
    </w:p>
    <w:p w14:paraId="1658E27C" w14:textId="77777777" w:rsidR="00DE3865" w:rsidRDefault="00DE3865" w:rsidP="00DE3865">
      <w:pPr>
        <w:spacing w:after="160" w:line="360" w:lineRule="auto"/>
        <w:contextualSpacing/>
        <w:jc w:val="both"/>
        <w:rPr>
          <w:rFonts w:ascii="David" w:hAnsi="David"/>
          <w:rtl/>
        </w:rPr>
      </w:pPr>
    </w:p>
    <w:p w14:paraId="6AF57C4C" w14:textId="77777777" w:rsidR="00DE3865" w:rsidRDefault="00DE3865" w:rsidP="00DE3865">
      <w:pPr>
        <w:suppressLineNumbers/>
        <w:spacing w:line="360" w:lineRule="auto"/>
        <w:jc w:val="both"/>
        <w:rPr>
          <w:rFonts w:ascii="Arial" w:hAnsi="Arial"/>
          <w:b/>
          <w:bCs/>
          <w:rtl/>
        </w:rPr>
      </w:pPr>
      <w:r>
        <w:rPr>
          <w:rFonts w:ascii="David" w:hAnsi="David"/>
          <w:rtl/>
          <w:lang w:eastAsia="he-IL"/>
        </w:rPr>
        <w:t>ב</w:t>
      </w:r>
      <w:hyperlink r:id="rId28" w:history="1">
        <w:r w:rsidR="00FB4F4C" w:rsidRPr="00FB4F4C">
          <w:rPr>
            <w:rFonts w:ascii="David" w:hAnsi="David"/>
            <w:color w:val="0000FF"/>
            <w:u w:val="single"/>
            <w:rtl/>
            <w:lang w:eastAsia="he-IL"/>
          </w:rPr>
          <w:t>ת"פ (שלום ב"ש) 51742-07-21</w:t>
        </w:r>
      </w:hyperlink>
      <w:r>
        <w:rPr>
          <w:rFonts w:ascii="David" w:hAnsi="David"/>
          <w:rtl/>
          <w:lang w:eastAsia="he-IL"/>
        </w:rPr>
        <w:t xml:space="preserve">מדינת ישראל נ' אלעסלה (14.11.22) </w:t>
      </w:r>
      <w:r>
        <w:rPr>
          <w:rFonts w:ascii="Arial" w:hAnsi="Arial"/>
          <w:rtl/>
        </w:rPr>
        <w:t xml:space="preserve">נקבע מתחם עונש הולם בין </w:t>
      </w:r>
      <w:r>
        <w:rPr>
          <w:rtl/>
          <w:lang w:eastAsia="he-IL"/>
        </w:rPr>
        <w:t xml:space="preserve">מספר חודשים קצר שיכול וירוצו בעבודות שירות ועד 12 חודשי מאסר בפועל, בנסיבות בהן הורשע נאשם </w:t>
      </w:r>
      <w:r>
        <w:rPr>
          <w:rFonts w:ascii="Arial" w:hAnsi="Arial"/>
          <w:rtl/>
        </w:rPr>
        <w:t>בהחזקת 600 גרם סם מסוג קנבוס, מתחת למושב האחורי ברכב בו נהג על כביש 40, במטרה להעבירם לאחר.</w:t>
      </w:r>
      <w:r>
        <w:rPr>
          <w:rFonts w:ascii="Arial" w:hAnsi="Arial"/>
          <w:b/>
          <w:bCs/>
          <w:rtl/>
        </w:rPr>
        <w:t xml:space="preserve"> </w:t>
      </w:r>
    </w:p>
    <w:p w14:paraId="66AE53DD" w14:textId="77777777" w:rsidR="00DE3865" w:rsidRDefault="00DE3865" w:rsidP="00DE3865">
      <w:pPr>
        <w:snapToGrid w:val="0"/>
        <w:rPr>
          <w:rFonts w:ascii="David" w:hAnsi="David"/>
          <w:rtl/>
          <w:lang w:eastAsia="he-IL"/>
        </w:rPr>
      </w:pPr>
    </w:p>
    <w:p w14:paraId="48D4209F" w14:textId="77777777" w:rsidR="00DE3865" w:rsidRDefault="00FB4F4C" w:rsidP="00DE3865">
      <w:pPr>
        <w:spacing w:line="360" w:lineRule="auto"/>
        <w:jc w:val="both"/>
        <w:rPr>
          <w:rFonts w:ascii="David" w:hAnsi="David"/>
          <w:rtl/>
        </w:rPr>
      </w:pPr>
      <w:hyperlink r:id="rId29" w:history="1">
        <w:r w:rsidRPr="00FB4F4C">
          <w:rPr>
            <w:rFonts w:ascii="David" w:hAnsi="David"/>
            <w:color w:val="0000FF"/>
            <w:u w:val="single"/>
            <w:rtl/>
          </w:rPr>
          <w:t>ת.פ (שלום ב"ש) 14656-12-20</w:t>
        </w:r>
      </w:hyperlink>
      <w:r w:rsidR="00DE3865">
        <w:rPr>
          <w:rFonts w:ascii="David" w:hAnsi="David"/>
          <w:rtl/>
        </w:rPr>
        <w:t xml:space="preserve"> </w:t>
      </w:r>
      <w:r w:rsidR="00DE3865">
        <w:rPr>
          <w:rFonts w:ascii="David" w:hAnsi="David"/>
          <w:b/>
          <w:bCs/>
          <w:rtl/>
        </w:rPr>
        <w:t>מדינת ישראל נ' אלעלאוין</w:t>
      </w:r>
      <w:r w:rsidR="00DE3865">
        <w:rPr>
          <w:rFonts w:ascii="David" w:hAnsi="David"/>
          <w:rtl/>
        </w:rPr>
        <w:t xml:space="preserve">, נקבע מתחם עונש הולם בין מספר חודשים ועד 18 חודשי מאסר בפועל  בעניינו של מי שהורשע בהחזקת 457 גרם קנביס שלא לצריכה עצמית, בביתו. עונשו של הנאשם, בעל הרשעה אחת קודמת בעבירת סמים (החזקה לצריכה עצמית) נגזר ל 8 חודשים והופעל מאסר על תנאי בן 4 חודשים כך שחציו ירוצה בחופף וחציו במצטבר. </w:t>
      </w:r>
    </w:p>
    <w:p w14:paraId="0CF45DB7" w14:textId="77777777" w:rsidR="00DE3865" w:rsidRDefault="00DE3865" w:rsidP="00DE3865">
      <w:pPr>
        <w:rPr>
          <w:rFonts w:ascii="Arial" w:hAnsi="Arial" w:cs="Arial"/>
          <w:noProof/>
        </w:rPr>
      </w:pPr>
    </w:p>
    <w:p w14:paraId="15BBE2D1" w14:textId="77777777" w:rsidR="00DE3865" w:rsidRDefault="00DE3865" w:rsidP="00DE3865">
      <w:pPr>
        <w:spacing w:after="160" w:line="360" w:lineRule="auto"/>
        <w:contextualSpacing/>
        <w:jc w:val="both"/>
        <w:rPr>
          <w:rFonts w:ascii="David" w:hAnsi="David"/>
          <w:rtl/>
        </w:rPr>
      </w:pPr>
      <w:r>
        <w:rPr>
          <w:rFonts w:ascii="David" w:hAnsi="David"/>
          <w:rtl/>
        </w:rPr>
        <w:t>ב</w:t>
      </w:r>
      <w:hyperlink r:id="rId30" w:history="1">
        <w:r w:rsidR="00FB4F4C" w:rsidRPr="00FB4F4C">
          <w:rPr>
            <w:rFonts w:ascii="David" w:hAnsi="David"/>
            <w:color w:val="0000FF"/>
            <w:u w:val="single"/>
            <w:rtl/>
          </w:rPr>
          <w:t>ת"פ (ב"ש) 14782-06-18</w:t>
        </w:r>
      </w:hyperlink>
      <w:r>
        <w:rPr>
          <w:rFonts w:ascii="David" w:hAnsi="David"/>
          <w:b/>
          <w:bCs/>
          <w:rtl/>
        </w:rPr>
        <w:t xml:space="preserve"> מדינת ישראל נ' אלעול </w:t>
      </w:r>
      <w:r>
        <w:rPr>
          <w:rFonts w:ascii="David" w:hAnsi="David"/>
          <w:rtl/>
        </w:rPr>
        <w:t xml:space="preserve">(7.1.20) נגזרו 9 חודשי מאסר לריצוי בעבודות שירות, על הנאשם, צעיר נעדר עבר פלילי שבעניינו הוגש תסקיר חיובי, אשר הורשע בהחזקת סמים מסוג קנבוס במשקל  3.8 ק"ג שלא לצריכתו העצמית. </w:t>
      </w:r>
    </w:p>
    <w:p w14:paraId="63F91B47" w14:textId="77777777" w:rsidR="00DE3865" w:rsidRDefault="00DE3865" w:rsidP="00DE3865">
      <w:pPr>
        <w:spacing w:line="360" w:lineRule="auto"/>
        <w:jc w:val="both"/>
      </w:pPr>
    </w:p>
    <w:p w14:paraId="66986B33" w14:textId="77777777" w:rsidR="00DE3865" w:rsidRDefault="00DE3865" w:rsidP="00DE3865">
      <w:pPr>
        <w:spacing w:line="360" w:lineRule="auto"/>
        <w:jc w:val="both"/>
        <w:rPr>
          <w:rFonts w:ascii="Arial" w:hAnsi="Arial"/>
          <w:rtl/>
        </w:rPr>
      </w:pPr>
      <w:r>
        <w:rPr>
          <w:rtl/>
        </w:rPr>
        <w:t>סיכום האמור, לאחר שנתתי דעתי למכלול השיקולים הנדרשים לקביעת מתחם העונש ההולם את מעשי העבירה אותה ביצע הנאשם, לרבות מידת פגיעתו בערכים המוגנים והענישה הנוהגת במקרים הקרובים בנסיבותיהם, הנני לקבוע את מתחם העונש ההולם</w:t>
      </w:r>
      <w:r>
        <w:rPr>
          <w:b/>
          <w:bCs/>
          <w:rtl/>
        </w:rPr>
        <w:t xml:space="preserve"> </w:t>
      </w:r>
      <w:r>
        <w:rPr>
          <w:rtl/>
        </w:rPr>
        <w:t>כך שינוע בין</w:t>
      </w:r>
      <w:r>
        <w:rPr>
          <w:b/>
          <w:bCs/>
          <w:rtl/>
        </w:rPr>
        <w:t xml:space="preserve"> מספר חודשים קצר שיכול וירוצו בעבודות שירות ועד 12 חודשי מאסר בפועל</w:t>
      </w:r>
      <w:r>
        <w:rPr>
          <w:rtl/>
        </w:rPr>
        <w:t xml:space="preserve">. </w:t>
      </w:r>
    </w:p>
    <w:p w14:paraId="00557FC3" w14:textId="77777777" w:rsidR="00DE3865" w:rsidRPr="00DE3865" w:rsidRDefault="00DE3865" w:rsidP="00DE3865">
      <w:pPr>
        <w:spacing w:line="360" w:lineRule="auto"/>
        <w:jc w:val="both"/>
        <w:rPr>
          <w:rFonts w:ascii="Calibri" w:hAnsi="Calibri"/>
          <w:rtl/>
        </w:rPr>
      </w:pPr>
    </w:p>
    <w:p w14:paraId="6B131575" w14:textId="77777777" w:rsidR="00DE3865" w:rsidRPr="00DE3865" w:rsidRDefault="00DE3865" w:rsidP="00DE3865">
      <w:pPr>
        <w:spacing w:line="360" w:lineRule="auto"/>
        <w:jc w:val="both"/>
        <w:rPr>
          <w:rFonts w:ascii="Calibri" w:hAnsi="Calibri"/>
          <w:b/>
          <w:bCs/>
          <w:sz w:val="26"/>
          <w:szCs w:val="26"/>
          <w:u w:val="single"/>
          <w:rtl/>
        </w:rPr>
      </w:pPr>
      <w:r w:rsidRPr="00DE3865">
        <w:rPr>
          <w:rFonts w:ascii="Calibri" w:hAnsi="Calibri"/>
          <w:b/>
          <w:bCs/>
          <w:sz w:val="26"/>
          <w:szCs w:val="26"/>
          <w:u w:val="single"/>
          <w:rtl/>
        </w:rPr>
        <w:t>עונשו של הנאשם</w:t>
      </w:r>
    </w:p>
    <w:p w14:paraId="562B1D7E" w14:textId="77777777" w:rsidR="00DE3865" w:rsidRDefault="00DE3865" w:rsidP="00DE3865">
      <w:pPr>
        <w:snapToGrid w:val="0"/>
        <w:spacing w:line="360" w:lineRule="auto"/>
        <w:jc w:val="both"/>
        <w:rPr>
          <w:noProof/>
          <w:lang w:eastAsia="he-IL"/>
        </w:rPr>
      </w:pPr>
      <w:r>
        <w:rPr>
          <w:rtl/>
          <w:lang w:eastAsia="he-IL"/>
        </w:rPr>
        <w:t>5.</w:t>
      </w:r>
      <w:r>
        <w:rPr>
          <w:rtl/>
          <w:lang w:eastAsia="he-IL"/>
        </w:rPr>
        <w:tab/>
        <w:t xml:space="preserve">בגזירת העונש המתאים לנאשם בגדרי מתחם העונש ההולם שנקבע, אתחשב בנסיבות שאינן קשורות בביצוע העבירות, ככל שישנן כאלה. </w:t>
      </w:r>
    </w:p>
    <w:p w14:paraId="4F1759E4" w14:textId="77777777" w:rsidR="00DE3865" w:rsidRDefault="00DE3865" w:rsidP="00DE3865">
      <w:pPr>
        <w:snapToGrid w:val="0"/>
        <w:spacing w:line="360" w:lineRule="auto"/>
        <w:jc w:val="both"/>
        <w:rPr>
          <w:rFonts w:ascii="David" w:hAnsi="David"/>
          <w:rtl/>
        </w:rPr>
      </w:pPr>
      <w:r>
        <w:rPr>
          <w:rtl/>
          <w:lang w:eastAsia="he-IL"/>
        </w:rPr>
        <w:t xml:space="preserve"> על הנאשם הנותן את הדין, נלמד מכתב האישום כי הוא יליד 1993, ומטיעוני הצדדים כי הוא נעדר עבר פלילי. לא התבקש וממילא לא הוגש תסקיר של שירות המבחן.    </w:t>
      </w:r>
    </w:p>
    <w:p w14:paraId="4DE067FA" w14:textId="77777777" w:rsidR="00DE3865" w:rsidRDefault="00DE3865" w:rsidP="00DE3865">
      <w:pPr>
        <w:spacing w:line="360" w:lineRule="auto"/>
        <w:jc w:val="both"/>
        <w:rPr>
          <w:rtl/>
        </w:rPr>
      </w:pPr>
      <w:r>
        <w:rPr>
          <w:rtl/>
        </w:rPr>
        <w:t>בעבירות סמים, הבכורה היא לשיקולי הרתעת היחיד והרבים ולאינטרס הציבורי על פני נסיבותיו האישיות של הנאשם (</w:t>
      </w:r>
      <w:hyperlink r:id="rId31" w:history="1">
        <w:r w:rsidR="00FB4F4C" w:rsidRPr="00FB4F4C">
          <w:rPr>
            <w:color w:val="0000FF"/>
            <w:u w:val="single"/>
            <w:rtl/>
          </w:rPr>
          <w:t>ע"פ 3820/09</w:t>
        </w:r>
      </w:hyperlink>
      <w:r>
        <w:rPr>
          <w:rtl/>
        </w:rPr>
        <w:t xml:space="preserve"> </w:t>
      </w:r>
      <w:r>
        <w:rPr>
          <w:b/>
          <w:bCs/>
          <w:rtl/>
        </w:rPr>
        <w:t>מדינת ישראל נ' אוחיון</w:t>
      </w:r>
      <w:r>
        <w:rPr>
          <w:rtl/>
        </w:rPr>
        <w:t xml:space="preserve">), אם כי במקרה דנן, אין בידי בית המשפט אף לשקול בנסיבותיו בהעדר נתונים. </w:t>
      </w:r>
    </w:p>
    <w:p w14:paraId="3501CE18" w14:textId="77777777" w:rsidR="00DE3865" w:rsidRDefault="00DE3865" w:rsidP="00DE3865">
      <w:pPr>
        <w:spacing w:line="360" w:lineRule="auto"/>
        <w:jc w:val="both"/>
        <w:rPr>
          <w:rtl/>
        </w:rPr>
      </w:pPr>
    </w:p>
    <w:p w14:paraId="214C3441" w14:textId="77777777" w:rsidR="00DE3865" w:rsidRDefault="00DE3865" w:rsidP="00DE3865">
      <w:pPr>
        <w:spacing w:line="360" w:lineRule="auto"/>
        <w:jc w:val="both"/>
        <w:rPr>
          <w:rtl/>
        </w:rPr>
      </w:pPr>
      <w:r>
        <w:rPr>
          <w:rtl/>
        </w:rPr>
        <w:t>בגדרי השיקולים לעונש יובא בחשבון כי כמות הסם שהוחזקה, והסתייעות ברכב להעברת הסמים ממקום למקום מחייבים ענישה כלכלי והשתת פסילת ר</w:t>
      </w:r>
      <w:r>
        <w:rPr>
          <w:rFonts w:hint="cs"/>
          <w:rtl/>
        </w:rPr>
        <w:t>י</w:t>
      </w:r>
      <w:r>
        <w:rPr>
          <w:rtl/>
        </w:rPr>
        <w:t>שיון נהיגה, בפועל ועל תנאי.</w:t>
      </w:r>
    </w:p>
    <w:p w14:paraId="037D6AAC" w14:textId="77777777" w:rsidR="00DE3865" w:rsidRDefault="00DE3865" w:rsidP="00DE3865">
      <w:pPr>
        <w:spacing w:line="360" w:lineRule="auto"/>
        <w:jc w:val="both"/>
        <w:rPr>
          <w:rtl/>
        </w:rPr>
      </w:pPr>
    </w:p>
    <w:p w14:paraId="7D71FFC7" w14:textId="77777777" w:rsidR="00DE3865" w:rsidRDefault="00DE3865" w:rsidP="00DE3865">
      <w:pPr>
        <w:spacing w:line="360" w:lineRule="auto"/>
        <w:jc w:val="both"/>
        <w:rPr>
          <w:rtl/>
        </w:rPr>
      </w:pPr>
      <w:r>
        <w:rPr>
          <w:rFonts w:ascii="David" w:hAnsi="David"/>
          <w:rtl/>
        </w:rPr>
        <w:t xml:space="preserve">לקולת עונשו של הנאשם, יינתן משקל </w:t>
      </w:r>
      <w:r>
        <w:rPr>
          <w:rFonts w:ascii="Arial" w:hAnsi="Arial"/>
          <w:rtl/>
        </w:rPr>
        <w:t xml:space="preserve">לאחריות שלקח הנאשם על מעשיו והודאתו שחסכה משאבים ציבוריים משמעותיים. מכאן, </w:t>
      </w:r>
      <w:r>
        <w:rPr>
          <w:rtl/>
        </w:rPr>
        <w:t>בהעדר הרשעות קודמות ולאור שיתוף הפעולה מצדו של הנאשם והודאתו בהזדמנות הראשונה – יושת עונש על הצד הנמוך של המתחם.</w:t>
      </w:r>
    </w:p>
    <w:p w14:paraId="196E7772" w14:textId="77777777" w:rsidR="00DE3865" w:rsidRDefault="00DE3865" w:rsidP="00DE3865">
      <w:pPr>
        <w:spacing w:line="360" w:lineRule="auto"/>
        <w:jc w:val="both"/>
        <w:rPr>
          <w:noProof/>
        </w:rPr>
      </w:pPr>
    </w:p>
    <w:p w14:paraId="3DE91785" w14:textId="77777777" w:rsidR="00DE3865" w:rsidRDefault="00DE3865" w:rsidP="00DE3865">
      <w:pPr>
        <w:spacing w:line="360" w:lineRule="auto"/>
        <w:jc w:val="both"/>
        <w:rPr>
          <w:rtl/>
        </w:rPr>
      </w:pPr>
      <w:r>
        <w:rPr>
          <w:b/>
          <w:bCs/>
          <w:rtl/>
        </w:rPr>
        <w:t xml:space="preserve">מכלל האמור, לאחר שהבאתי בחשבון את מכלול השיקולים הנדרשים לבחינת עונשו של הנאשם, אני גוזרת את עונשו כדלקמן: </w:t>
      </w:r>
    </w:p>
    <w:p w14:paraId="3238319E" w14:textId="77777777" w:rsidR="00DE3865" w:rsidRDefault="00DE3865" w:rsidP="00DE3865">
      <w:pPr>
        <w:spacing w:line="360" w:lineRule="auto"/>
        <w:jc w:val="both"/>
        <w:rPr>
          <w:rtl/>
        </w:rPr>
      </w:pPr>
    </w:p>
    <w:p w14:paraId="30D44E3F" w14:textId="77777777" w:rsidR="00DE3865" w:rsidRDefault="00DE3865" w:rsidP="00DE3865">
      <w:pPr>
        <w:pStyle w:val="a9"/>
        <w:numPr>
          <w:ilvl w:val="0"/>
          <w:numId w:val="1"/>
        </w:numPr>
        <w:spacing w:line="360" w:lineRule="auto"/>
        <w:jc w:val="both"/>
        <w:rPr>
          <w:rtl/>
        </w:rPr>
      </w:pPr>
      <w:r>
        <w:rPr>
          <w:rtl/>
        </w:rPr>
        <w:t xml:space="preserve">6 </w:t>
      </w:r>
      <w:r>
        <w:rPr>
          <w:rFonts w:ascii="Calibri" w:hAnsi="Calibri"/>
          <w:rtl/>
        </w:rPr>
        <w:t xml:space="preserve"> חודשי מאסר בפועל החל מיום מעצרו על פי רישומי שב"ס.  </w:t>
      </w:r>
    </w:p>
    <w:p w14:paraId="5BCA842D" w14:textId="77777777" w:rsidR="00DE3865" w:rsidRDefault="00DE3865" w:rsidP="00DE3865">
      <w:pPr>
        <w:pStyle w:val="a9"/>
        <w:numPr>
          <w:ilvl w:val="0"/>
          <w:numId w:val="1"/>
        </w:numPr>
        <w:tabs>
          <w:tab w:val="left" w:pos="849"/>
        </w:tabs>
        <w:spacing w:before="120" w:line="360" w:lineRule="auto"/>
        <w:jc w:val="both"/>
        <w:rPr>
          <w:rFonts w:ascii="Calibri" w:hAnsi="Calibri" w:cs="Calibri"/>
          <w:rtl/>
        </w:rPr>
      </w:pPr>
      <w:r>
        <w:rPr>
          <w:rFonts w:ascii="Calibri" w:hAnsi="Calibri"/>
          <w:rtl/>
        </w:rPr>
        <w:t>10  חודשי מאסר על תנאי, למשך שלוש שנים ממועד שחרורו ממאסר, שלא יעבור עבירות</w:t>
      </w:r>
    </w:p>
    <w:p w14:paraId="033DA285" w14:textId="77777777" w:rsidR="00DE3865" w:rsidRDefault="00DE3865" w:rsidP="00DE3865">
      <w:pPr>
        <w:pStyle w:val="a9"/>
        <w:tabs>
          <w:tab w:val="left" w:pos="849"/>
        </w:tabs>
        <w:spacing w:before="120" w:line="360" w:lineRule="auto"/>
        <w:ind w:left="141"/>
        <w:jc w:val="both"/>
        <w:rPr>
          <w:rFonts w:ascii="Calibri" w:hAnsi="Calibri" w:cs="Calibri"/>
          <w:rtl/>
        </w:rPr>
      </w:pPr>
      <w:r>
        <w:rPr>
          <w:rFonts w:ascii="Calibri" w:hAnsi="Calibri"/>
          <w:rtl/>
        </w:rPr>
        <w:t xml:space="preserve">    סמים מסוג פשע.</w:t>
      </w:r>
    </w:p>
    <w:p w14:paraId="6E907891" w14:textId="77777777" w:rsidR="00DE3865" w:rsidRPr="000C391A" w:rsidRDefault="00DE3865" w:rsidP="00DE3865">
      <w:pPr>
        <w:pStyle w:val="a9"/>
        <w:numPr>
          <w:ilvl w:val="0"/>
          <w:numId w:val="1"/>
        </w:numPr>
        <w:tabs>
          <w:tab w:val="left" w:pos="567"/>
          <w:tab w:val="left" w:pos="849"/>
        </w:tabs>
        <w:spacing w:before="120" w:line="360" w:lineRule="auto"/>
        <w:jc w:val="both"/>
        <w:rPr>
          <w:rFonts w:ascii="Calibri" w:hAnsi="Calibri"/>
          <w:rtl/>
        </w:rPr>
      </w:pPr>
      <w:r>
        <w:rPr>
          <w:rFonts w:ascii="Calibri" w:hAnsi="Calibri"/>
          <w:rtl/>
        </w:rPr>
        <w:t xml:space="preserve">4 חודשי פסילה </w:t>
      </w:r>
      <w:r w:rsidRPr="000C391A">
        <w:rPr>
          <w:rFonts w:ascii="Calibri" w:hAnsi="Calibri"/>
          <w:rtl/>
        </w:rPr>
        <w:t>בפועל מלנהוג / לקבל / להחזיק רישיון נהיגה בפועל. מניין הפסילה יחל מיום שחרורו מהמאסר</w:t>
      </w:r>
      <w:r>
        <w:rPr>
          <w:rFonts w:ascii="Calibri" w:hAnsi="Calibri" w:hint="cs"/>
          <w:rtl/>
        </w:rPr>
        <w:t xml:space="preserve"> ובכפוף להפקדת רישיון הנהיגה במזכירות בית המשפט</w:t>
      </w:r>
      <w:r w:rsidRPr="000C391A">
        <w:rPr>
          <w:rFonts w:ascii="Calibri" w:hAnsi="Calibri"/>
          <w:rtl/>
        </w:rPr>
        <w:t xml:space="preserve">. </w:t>
      </w:r>
    </w:p>
    <w:p w14:paraId="376E51FB" w14:textId="77777777" w:rsidR="00DE3865" w:rsidRPr="000C391A" w:rsidRDefault="00DE3865" w:rsidP="00DE3865">
      <w:pPr>
        <w:pStyle w:val="a9"/>
        <w:numPr>
          <w:ilvl w:val="0"/>
          <w:numId w:val="1"/>
        </w:numPr>
        <w:tabs>
          <w:tab w:val="left" w:pos="567"/>
        </w:tabs>
        <w:spacing w:before="120" w:line="360" w:lineRule="auto"/>
        <w:jc w:val="both"/>
        <w:rPr>
          <w:sz w:val="22"/>
          <w:szCs w:val="22"/>
          <w:rtl/>
        </w:rPr>
      </w:pPr>
      <w:r w:rsidRPr="000C391A">
        <w:rPr>
          <w:rtl/>
        </w:rPr>
        <w:t xml:space="preserve">5 חודשי פסילה על תנאי, מלקבל / להחזיק רישיון נהיגה, והתנאי הוא שהנאשם לא יעבור עבירות של נהיגה בזמן פסילה ועבירת סמים מסוג פשע, משך 3 שנים מיום שחרורו ממאסר. </w:t>
      </w:r>
    </w:p>
    <w:p w14:paraId="1E4BEBF8" w14:textId="77777777" w:rsidR="00DE3865" w:rsidRDefault="00DE3865" w:rsidP="00DE3865">
      <w:pPr>
        <w:pStyle w:val="a9"/>
        <w:numPr>
          <w:ilvl w:val="0"/>
          <w:numId w:val="1"/>
        </w:numPr>
        <w:tabs>
          <w:tab w:val="left" w:pos="567"/>
        </w:tabs>
        <w:spacing w:before="120" w:line="360" w:lineRule="auto"/>
        <w:jc w:val="both"/>
      </w:pPr>
      <w:r w:rsidRPr="000C391A">
        <w:rPr>
          <w:rtl/>
        </w:rPr>
        <w:t xml:space="preserve">קנס בסך 6,000 ₪ או 30 ימי מאסר תמורתם. </w:t>
      </w:r>
      <w:r>
        <w:rPr>
          <w:rFonts w:hint="cs"/>
          <w:rtl/>
        </w:rPr>
        <w:t xml:space="preserve">בהסכמת ההגנה, הקנס יקוזז מסכום הכספים התפוסים אצל המאשימה וככל שתהא מניעה לכך, כי אז ישולם </w:t>
      </w:r>
      <w:r w:rsidRPr="000C391A">
        <w:rPr>
          <w:rtl/>
        </w:rPr>
        <w:t xml:space="preserve">הקנס תוך </w:t>
      </w:r>
      <w:r>
        <w:rPr>
          <w:rFonts w:hint="cs"/>
          <w:rtl/>
        </w:rPr>
        <w:t>90</w:t>
      </w:r>
      <w:r w:rsidRPr="000C391A">
        <w:rPr>
          <w:rtl/>
        </w:rPr>
        <w:t xml:space="preserve"> ימים מהיום, אחרת</w:t>
      </w:r>
      <w:r>
        <w:rPr>
          <w:rtl/>
        </w:rPr>
        <w:t xml:space="preserve"> ישא הפרשי הצמדה וריבית כחוק. </w:t>
      </w:r>
    </w:p>
    <w:p w14:paraId="61A83E24" w14:textId="77777777" w:rsidR="00DE3865" w:rsidRDefault="00DE3865" w:rsidP="00DE3865">
      <w:pPr>
        <w:spacing w:line="360" w:lineRule="auto"/>
        <w:jc w:val="both"/>
        <w:rPr>
          <w:rtl/>
        </w:rPr>
      </w:pPr>
    </w:p>
    <w:p w14:paraId="0E64DC00" w14:textId="77777777" w:rsidR="00DE3865" w:rsidRDefault="00DE3865" w:rsidP="00DE3865">
      <w:pPr>
        <w:spacing w:line="360" w:lineRule="auto"/>
        <w:jc w:val="both"/>
        <w:rPr>
          <w:rtl/>
        </w:rPr>
      </w:pPr>
      <w:r>
        <w:rPr>
          <w:rtl/>
        </w:rPr>
        <w:t xml:space="preserve">אשר לעתירת התביעה לחלט את הרכב בו  נהג הנאשם, בהינתן נסיבות ביצוע עבירת הסמים (כמות ואופן ההחזקה) לרבות אופן הסתייעות הנאשם ברכב; בהעדר ראיות לסחר בסמים או על מעורבות עמוקה בעולם הסמים - סבורני כי היענות לעתירה זו תהא לא מידתית. </w:t>
      </w:r>
    </w:p>
    <w:p w14:paraId="4E589536" w14:textId="77777777" w:rsidR="00DE3865" w:rsidRDefault="00DE3865" w:rsidP="00DE3865">
      <w:pPr>
        <w:spacing w:line="360" w:lineRule="auto"/>
        <w:jc w:val="both"/>
        <w:rPr>
          <w:rtl/>
        </w:rPr>
      </w:pPr>
      <w:r>
        <w:rPr>
          <w:rtl/>
        </w:rPr>
        <w:t xml:space="preserve">במקרה דנן כמו במקרים אחרים שנסיבותיהם קרובות אף חמורות הרבה יותר, קביעת גובה העיצום הכספי שיושת על הנאשם, תביא בחשבון את נסיבות ביצוע העבירה שהייתה כרוכה בהסתייעות ברכב. </w:t>
      </w:r>
    </w:p>
    <w:p w14:paraId="37610EB6" w14:textId="77777777" w:rsidR="00DE3865" w:rsidRDefault="00DE3865" w:rsidP="00DE3865">
      <w:pPr>
        <w:spacing w:line="360" w:lineRule="auto"/>
        <w:jc w:val="both"/>
        <w:rPr>
          <w:rtl/>
        </w:rPr>
      </w:pPr>
    </w:p>
    <w:p w14:paraId="217E2AA5" w14:textId="77777777" w:rsidR="00DE3865" w:rsidRDefault="00DE3865" w:rsidP="00DE3865">
      <w:pPr>
        <w:spacing w:line="360" w:lineRule="auto"/>
        <w:jc w:val="both"/>
        <w:rPr>
          <w:rtl/>
        </w:rPr>
      </w:pPr>
      <w:r>
        <w:rPr>
          <w:rtl/>
        </w:rPr>
        <w:t xml:space="preserve">הרכב </w:t>
      </w:r>
      <w:r>
        <w:rPr>
          <w:rFonts w:hint="cs"/>
          <w:rtl/>
        </w:rPr>
        <w:t xml:space="preserve"> - מסוג קיה ל.ז 41-433-85 </w:t>
      </w:r>
      <w:r>
        <w:rPr>
          <w:rtl/>
        </w:rPr>
        <w:t xml:space="preserve">– יוחזר </w:t>
      </w:r>
      <w:r>
        <w:rPr>
          <w:rFonts w:hint="cs"/>
          <w:rtl/>
        </w:rPr>
        <w:t xml:space="preserve">למשיב באמצעות אחיו, מטעב ולידי, ת"ז </w:t>
      </w:r>
      <w:r w:rsidR="00FB4F4C">
        <w:t>xxxxxxxxx</w:t>
      </w:r>
      <w:r>
        <w:rPr>
          <w:rFonts w:hint="cs"/>
          <w:rtl/>
        </w:rPr>
        <w:t>.</w:t>
      </w:r>
    </w:p>
    <w:p w14:paraId="0036BD35" w14:textId="77777777" w:rsidR="00DE3865" w:rsidRDefault="00DE3865" w:rsidP="00DE3865">
      <w:pPr>
        <w:spacing w:line="360" w:lineRule="auto"/>
        <w:jc w:val="both"/>
        <w:rPr>
          <w:rtl/>
        </w:rPr>
      </w:pPr>
    </w:p>
    <w:p w14:paraId="4F0555BF" w14:textId="77777777" w:rsidR="00DE3865" w:rsidRDefault="00DE3865" w:rsidP="00DE3865">
      <w:pPr>
        <w:rPr>
          <w:b/>
          <w:bCs/>
          <w:rtl/>
        </w:rPr>
      </w:pPr>
      <w:r>
        <w:rPr>
          <w:b/>
          <w:bCs/>
          <w:rtl/>
        </w:rPr>
        <w:t xml:space="preserve">צו כללי להשמדת הסמים. </w:t>
      </w:r>
    </w:p>
    <w:p w14:paraId="1AB762C6" w14:textId="77777777" w:rsidR="00DE3865" w:rsidRDefault="00DE3865" w:rsidP="00DE3865">
      <w:pPr>
        <w:rPr>
          <w:b/>
          <w:bCs/>
          <w:rtl/>
        </w:rPr>
      </w:pPr>
    </w:p>
    <w:p w14:paraId="0854F464" w14:textId="77777777" w:rsidR="00DE3865" w:rsidRDefault="00DE3865" w:rsidP="00DE3865">
      <w:pPr>
        <w:jc w:val="both"/>
      </w:pPr>
      <w:r>
        <w:rPr>
          <w:rFonts w:hint="cs"/>
          <w:b/>
          <w:bCs/>
          <w:rtl/>
        </w:rPr>
        <w:t xml:space="preserve">את הקנס ניתן לשלם באחת מהדרכים הבאות: </w:t>
      </w:r>
      <w:r>
        <w:rPr>
          <w:rFonts w:hint="cs"/>
          <w:rtl/>
        </w:rPr>
        <w:t xml:space="preserve">בכרטיס אשראי – באתר המקוון של רשות האכיפה והגבייה </w:t>
      </w:r>
      <w:hyperlink r:id="rId32" w:history="1">
        <w:r>
          <w:rPr>
            <w:rStyle w:val="Hyperlink"/>
          </w:rPr>
          <w:t>WWW.eca.gov.il</w:t>
        </w:r>
      </w:hyperlink>
      <w:r>
        <w:rPr>
          <w:rFonts w:hint="cs"/>
          <w:rtl/>
        </w:rPr>
        <w:t xml:space="preserve"> מוקד שירות טלפוני בשרות עצמי (מרכב גבייה) – בטלפון 35592* או בטלפון 073-2055000.  במזומן בכל סניף של בנק הדואר – בהצגת תעודת זהות בלבד (אין צורך בהצגת שוברי תשלום). </w:t>
      </w:r>
    </w:p>
    <w:p w14:paraId="3E30451E" w14:textId="77777777" w:rsidR="00DE3865" w:rsidRDefault="00DE3865" w:rsidP="00DE3865">
      <w:pPr>
        <w:jc w:val="both"/>
        <w:rPr>
          <w:b/>
          <w:bCs/>
          <w:rtl/>
        </w:rPr>
      </w:pPr>
    </w:p>
    <w:p w14:paraId="5CD870DB" w14:textId="77777777" w:rsidR="00DE3865" w:rsidRPr="00FB4F4C" w:rsidRDefault="00FB4F4C" w:rsidP="00DE3865">
      <w:pPr>
        <w:jc w:val="both"/>
        <w:rPr>
          <w:b/>
          <w:bCs/>
          <w:color w:val="FFFFFF"/>
          <w:sz w:val="2"/>
          <w:szCs w:val="2"/>
        </w:rPr>
      </w:pPr>
      <w:r w:rsidRPr="00FB4F4C">
        <w:rPr>
          <w:b/>
          <w:bCs/>
          <w:color w:val="FFFFFF"/>
          <w:sz w:val="2"/>
          <w:szCs w:val="2"/>
          <w:rtl/>
        </w:rPr>
        <w:t>5129371</w:t>
      </w:r>
    </w:p>
    <w:p w14:paraId="766E5D0B" w14:textId="77777777" w:rsidR="00DE3865" w:rsidRDefault="00FB4F4C" w:rsidP="00DE3865">
      <w:pPr>
        <w:rPr>
          <w:rFonts w:ascii="Arial" w:hAnsi="Arial"/>
          <w:b/>
          <w:bCs/>
          <w:sz w:val="26"/>
          <w:szCs w:val="26"/>
          <w:rtl/>
        </w:rPr>
      </w:pPr>
      <w:r w:rsidRPr="00FB4F4C">
        <w:rPr>
          <w:b/>
          <w:bCs/>
          <w:color w:val="FFFFFF"/>
          <w:sz w:val="2"/>
          <w:szCs w:val="2"/>
          <w:rtl/>
        </w:rPr>
        <w:t>54678313</w:t>
      </w:r>
      <w:r w:rsidR="00DE3865">
        <w:rPr>
          <w:b/>
          <w:bCs/>
          <w:rtl/>
        </w:rPr>
        <w:t xml:space="preserve">הודעה זכות ערעור. </w:t>
      </w:r>
    </w:p>
    <w:p w14:paraId="02F466E3" w14:textId="77777777" w:rsidR="00DE3865" w:rsidRDefault="00DE3865" w:rsidP="00DE3865">
      <w:pPr>
        <w:spacing w:line="360" w:lineRule="auto"/>
        <w:jc w:val="both"/>
        <w:rPr>
          <w:rFonts w:ascii="Arial" w:hAnsi="Arial"/>
          <w:b/>
          <w:bCs/>
          <w:sz w:val="26"/>
          <w:szCs w:val="26"/>
          <w:rtl/>
        </w:rPr>
      </w:pPr>
    </w:p>
    <w:p w14:paraId="751BB78D" w14:textId="77777777" w:rsidR="00DE3865" w:rsidRPr="000F2247" w:rsidRDefault="00FB4F4C" w:rsidP="00DE3865">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ט"ז סיוון תשפ"ג, 05 יוני 2023, במעמד הצדדים. </w:t>
      </w:r>
      <w:bookmarkEnd w:id="9"/>
      <w:r w:rsidR="00DE3865">
        <w:rPr>
          <w:rFonts w:ascii="Arial" w:hAnsi="Arial"/>
          <w:b/>
          <w:bCs/>
          <w:sz w:val="26"/>
          <w:szCs w:val="26"/>
          <w:rtl/>
        </w:rPr>
        <w:tab/>
      </w:r>
      <w:r w:rsidR="00DE3865">
        <w:rPr>
          <w:rFonts w:ascii="Arial" w:hAnsi="Arial"/>
          <w:b/>
          <w:bCs/>
          <w:sz w:val="26"/>
          <w:szCs w:val="26"/>
          <w:rtl/>
        </w:rPr>
        <w:tab/>
      </w:r>
      <w:r w:rsidR="00DE3865">
        <w:rPr>
          <w:rFonts w:ascii="Arial" w:hAnsi="Arial"/>
          <w:b/>
          <w:bCs/>
          <w:sz w:val="26"/>
          <w:szCs w:val="26"/>
          <w:rtl/>
        </w:rPr>
        <w:tab/>
      </w:r>
      <w:r w:rsidR="00DE3865">
        <w:rPr>
          <w:rFonts w:ascii="Arial" w:hAnsi="Arial"/>
          <w:b/>
          <w:bCs/>
          <w:sz w:val="26"/>
          <w:szCs w:val="26"/>
          <w:rtl/>
        </w:rPr>
        <w:tab/>
      </w:r>
      <w:r w:rsidR="00DE3865">
        <w:rPr>
          <w:rFonts w:ascii="Arial" w:hAnsi="Arial"/>
          <w:b/>
          <w:bCs/>
          <w:sz w:val="26"/>
          <w:szCs w:val="26"/>
          <w:rtl/>
        </w:rPr>
        <w:tab/>
      </w:r>
      <w:r w:rsidR="00DE3865">
        <w:rPr>
          <w:rFonts w:ascii="Arial" w:hAnsi="Arial"/>
          <w:b/>
          <w:bCs/>
          <w:sz w:val="26"/>
          <w:szCs w:val="26"/>
          <w:rtl/>
        </w:rPr>
        <w:tab/>
      </w:r>
      <w:r w:rsidR="00DE3865">
        <w:rPr>
          <w:rFonts w:ascii="Arial" w:hAnsi="Arial"/>
          <w:b/>
          <w:bCs/>
          <w:sz w:val="26"/>
          <w:szCs w:val="26"/>
          <w:rtl/>
        </w:rPr>
        <w:tab/>
      </w:r>
      <w:r w:rsidR="00DE3865">
        <w:rPr>
          <w:rFonts w:ascii="Arial" w:hAnsi="Arial" w:hint="cs"/>
          <w:b/>
          <w:bCs/>
          <w:sz w:val="26"/>
          <w:szCs w:val="26"/>
          <w:rtl/>
        </w:rPr>
        <w:t xml:space="preserve">         </w:t>
      </w:r>
    </w:p>
    <w:p w14:paraId="435D990E" w14:textId="77777777" w:rsidR="00DE3865" w:rsidRPr="000F2247" w:rsidRDefault="00DE3865" w:rsidP="00FB4F4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8C5902A" w14:textId="77777777" w:rsidR="00DE3865" w:rsidRPr="00133995" w:rsidRDefault="00133995" w:rsidP="00DE3865">
      <w:pPr>
        <w:jc w:val="center"/>
        <w:rPr>
          <w:rFonts w:ascii="Arial" w:hAnsi="Arial"/>
          <w:b/>
          <w:bCs/>
          <w:color w:val="FFFFFF"/>
          <w:sz w:val="2"/>
          <w:szCs w:val="2"/>
          <w:rtl/>
        </w:rPr>
      </w:pPr>
      <w:r w:rsidRPr="00133995">
        <w:rPr>
          <w:rFonts w:ascii="Arial" w:hAnsi="Arial"/>
          <w:b/>
          <w:bCs/>
          <w:color w:val="FFFFFF"/>
          <w:sz w:val="2"/>
          <w:szCs w:val="2"/>
          <w:rtl/>
        </w:rPr>
        <w:t>5129371</w:t>
      </w:r>
    </w:p>
    <w:p w14:paraId="4E38928B" w14:textId="77777777" w:rsidR="00FB4F4C" w:rsidRPr="00133995" w:rsidRDefault="00133995" w:rsidP="00133995">
      <w:pPr>
        <w:keepNext/>
        <w:rPr>
          <w:rFonts w:ascii="David" w:hAnsi="David" w:hint="cs"/>
          <w:color w:val="FFFFFF"/>
          <w:sz w:val="2"/>
          <w:szCs w:val="2"/>
        </w:rPr>
      </w:pPr>
      <w:r>
        <w:rPr>
          <w:rFonts w:ascii="David" w:hAnsi="David"/>
          <w:color w:val="FFFFFF"/>
          <w:sz w:val="2"/>
          <w:szCs w:val="2"/>
          <w:rtl/>
        </w:rPr>
        <w:t>5467831</w:t>
      </w:r>
    </w:p>
    <w:p w14:paraId="6B5ABEED" w14:textId="77777777" w:rsidR="00FB4F4C" w:rsidRDefault="00FB4F4C" w:rsidP="00FB4F4C">
      <w:pPr>
        <w:rPr>
          <w:rtl/>
        </w:rPr>
      </w:pPr>
    </w:p>
    <w:p w14:paraId="135B8189" w14:textId="77777777" w:rsidR="00FB4F4C" w:rsidRDefault="00FB4F4C" w:rsidP="00FB4F4C">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38852CED" w14:textId="77777777" w:rsidR="00133995" w:rsidRPr="00133995" w:rsidRDefault="00133995" w:rsidP="00133995">
      <w:pPr>
        <w:keepNext/>
        <w:rPr>
          <w:rFonts w:ascii="David" w:hAnsi="David"/>
          <w:color w:val="000000"/>
          <w:sz w:val="22"/>
          <w:szCs w:val="22"/>
          <w:rtl/>
        </w:rPr>
      </w:pPr>
    </w:p>
    <w:p w14:paraId="681956DD" w14:textId="77777777" w:rsidR="00133995" w:rsidRPr="00133995" w:rsidRDefault="00133995" w:rsidP="00133995">
      <w:pPr>
        <w:keepNext/>
        <w:rPr>
          <w:rFonts w:ascii="David" w:hAnsi="David"/>
          <w:color w:val="000000"/>
          <w:sz w:val="22"/>
          <w:szCs w:val="22"/>
          <w:rtl/>
        </w:rPr>
      </w:pPr>
      <w:r w:rsidRPr="00133995">
        <w:rPr>
          <w:rFonts w:ascii="David" w:hAnsi="David"/>
          <w:color w:val="000000"/>
          <w:sz w:val="22"/>
          <w:szCs w:val="22"/>
          <w:rtl/>
        </w:rPr>
        <w:t>שוש שטרית 54678313-/</w:t>
      </w:r>
    </w:p>
    <w:p w14:paraId="2F26432A" w14:textId="77777777" w:rsidR="00FB4F4C" w:rsidRPr="00FB4F4C" w:rsidRDefault="00133995" w:rsidP="00133995">
      <w:pPr>
        <w:rPr>
          <w:color w:val="0000FF"/>
          <w:u w:val="single"/>
        </w:rPr>
      </w:pPr>
      <w:r w:rsidRPr="00133995">
        <w:rPr>
          <w:color w:val="000000"/>
          <w:u w:val="single"/>
          <w:rtl/>
        </w:rPr>
        <w:t>נוסח מסמך זה כפוף לשינויי ניסוח ועריכה</w:t>
      </w:r>
    </w:p>
    <w:sectPr w:rsidR="00FB4F4C" w:rsidRPr="00FB4F4C" w:rsidSect="00133995">
      <w:headerReference w:type="even" r:id="rId34"/>
      <w:headerReference w:type="default" r:id="rId35"/>
      <w:footerReference w:type="even" r:id="rId36"/>
      <w:footerReference w:type="default" r:id="rId37"/>
      <w:pgSz w:w="11907" w:h="16840" w:code="9"/>
      <w:pgMar w:top="1701" w:right="1701" w:bottom="184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5CC1F" w14:textId="77777777" w:rsidR="00320D49" w:rsidRDefault="00320D49" w:rsidP="0090052B">
      <w:r>
        <w:separator/>
      </w:r>
    </w:p>
  </w:endnote>
  <w:endnote w:type="continuationSeparator" w:id="0">
    <w:p w14:paraId="164E4F94" w14:textId="77777777" w:rsidR="00320D49" w:rsidRDefault="00320D49" w:rsidP="00900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64037" w14:textId="77777777" w:rsidR="00133995" w:rsidRDefault="00133995" w:rsidP="0013399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6A629D" w14:textId="77777777" w:rsidR="004C7F1F" w:rsidRPr="00133995" w:rsidRDefault="00133995" w:rsidP="00133995">
    <w:pPr>
      <w:pStyle w:val="a5"/>
      <w:pBdr>
        <w:top w:val="single" w:sz="4" w:space="1" w:color="auto"/>
        <w:between w:val="single" w:sz="4" w:space="0" w:color="auto"/>
      </w:pBdr>
      <w:spacing w:after="60"/>
      <w:jc w:val="center"/>
      <w:rPr>
        <w:rFonts w:ascii="FrankRuehl" w:hAnsi="FrankRuehl" w:cs="FrankRuehl"/>
        <w:color w:val="000000"/>
      </w:rPr>
    </w:pPr>
    <w:r w:rsidRPr="0013399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31B02" w14:textId="77777777" w:rsidR="00133995" w:rsidRDefault="00133995" w:rsidP="0013399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B748D">
      <w:rPr>
        <w:rFonts w:ascii="FrankRuehl" w:hAnsi="FrankRuehl" w:cs="FrankRuehl"/>
        <w:noProof/>
        <w:rtl/>
      </w:rPr>
      <w:t>1</w:t>
    </w:r>
    <w:r>
      <w:rPr>
        <w:rFonts w:ascii="FrankRuehl" w:hAnsi="FrankRuehl" w:cs="FrankRuehl"/>
        <w:rtl/>
      </w:rPr>
      <w:fldChar w:fldCharType="end"/>
    </w:r>
  </w:p>
  <w:p w14:paraId="38E01FE7" w14:textId="77777777" w:rsidR="004C7F1F" w:rsidRPr="00133995" w:rsidRDefault="00133995" w:rsidP="00133995">
    <w:pPr>
      <w:pStyle w:val="a5"/>
      <w:pBdr>
        <w:top w:val="single" w:sz="4" w:space="1" w:color="auto"/>
        <w:between w:val="single" w:sz="4" w:space="0" w:color="auto"/>
      </w:pBdr>
      <w:spacing w:after="60"/>
      <w:jc w:val="center"/>
      <w:rPr>
        <w:rFonts w:ascii="FrankRuehl" w:hAnsi="FrankRuehl" w:cs="FrankRuehl"/>
        <w:color w:val="000000"/>
      </w:rPr>
    </w:pPr>
    <w:r w:rsidRPr="00133995">
      <w:rPr>
        <w:rFonts w:ascii="FrankRuehl" w:hAnsi="FrankRuehl" w:cs="FrankRuehl"/>
        <w:color w:val="000000"/>
      </w:rPr>
      <w:pict w14:anchorId="64565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6A4FA" w14:textId="77777777" w:rsidR="00320D49" w:rsidRDefault="00320D49" w:rsidP="0090052B">
      <w:r>
        <w:separator/>
      </w:r>
    </w:p>
  </w:footnote>
  <w:footnote w:type="continuationSeparator" w:id="0">
    <w:p w14:paraId="539FC107" w14:textId="77777777" w:rsidR="00320D49" w:rsidRDefault="00320D49" w:rsidP="00900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C9FEF" w14:textId="77777777" w:rsidR="00FB4F4C" w:rsidRPr="00133995" w:rsidRDefault="00133995" w:rsidP="0013399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70576-01-23</w:t>
    </w:r>
    <w:r>
      <w:rPr>
        <w:rFonts w:ascii="David" w:hAnsi="David"/>
        <w:color w:val="000000"/>
        <w:sz w:val="22"/>
        <w:szCs w:val="22"/>
        <w:rtl/>
      </w:rPr>
      <w:tab/>
      <w:t xml:space="preserve"> מדינת ישראל - תביעות נגב נ' עטרת אל ולידי  הובא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E3137" w14:textId="77777777" w:rsidR="00FB4F4C" w:rsidRPr="00133995" w:rsidRDefault="00133995" w:rsidP="0013399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70576-01-23</w:t>
    </w:r>
    <w:r>
      <w:rPr>
        <w:rFonts w:ascii="David" w:hAnsi="David"/>
        <w:color w:val="000000"/>
        <w:sz w:val="22"/>
        <w:szCs w:val="22"/>
        <w:rtl/>
      </w:rPr>
      <w:tab/>
      <w:t xml:space="preserve"> מדינת ישראל - תביעות נגב נ' עטרת אל ולידי  הובא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03371A"/>
    <w:multiLevelType w:val="hybridMultilevel"/>
    <w:tmpl w:val="18DAB254"/>
    <w:lvl w:ilvl="0" w:tplc="B0203CEC">
      <w:start w:val="2"/>
      <w:numFmt w:val="hebrew1"/>
      <w:lvlText w:val="%1."/>
      <w:lvlJc w:val="left"/>
      <w:pPr>
        <w:ind w:left="360" w:hanging="360"/>
      </w:pPr>
      <w:rPr>
        <w:rFonts w:cs="David"/>
        <w:lang w:val="en-US"/>
      </w:r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num w:numId="1" w16cid:durableId="20693034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3865"/>
    <w:rsid w:val="000B6779"/>
    <w:rsid w:val="00133995"/>
    <w:rsid w:val="001D17DA"/>
    <w:rsid w:val="00320D49"/>
    <w:rsid w:val="004C7F1F"/>
    <w:rsid w:val="007B748D"/>
    <w:rsid w:val="0090052B"/>
    <w:rsid w:val="009A4E4C"/>
    <w:rsid w:val="00C638EC"/>
    <w:rsid w:val="00CC49A0"/>
    <w:rsid w:val="00CF7A3D"/>
    <w:rsid w:val="00D64180"/>
    <w:rsid w:val="00DE3865"/>
    <w:rsid w:val="00DF35D5"/>
    <w:rsid w:val="00E238A1"/>
    <w:rsid w:val="00FB4F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487263"/>
  <w15:chartTrackingRefBased/>
  <w15:docId w15:val="{83F83B48-F620-41C6-8711-347967F2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386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3865"/>
    <w:pPr>
      <w:tabs>
        <w:tab w:val="center" w:pos="4153"/>
        <w:tab w:val="right" w:pos="8306"/>
      </w:tabs>
    </w:pPr>
  </w:style>
  <w:style w:type="character" w:customStyle="1" w:styleId="a4">
    <w:name w:val="כותרת עליונה תו"/>
    <w:link w:val="a3"/>
    <w:rsid w:val="00DE3865"/>
    <w:rPr>
      <w:rFonts w:ascii="Times New Roman" w:eastAsia="Times New Roman" w:hAnsi="Times New Roman" w:cs="David"/>
      <w:sz w:val="24"/>
      <w:szCs w:val="24"/>
    </w:rPr>
  </w:style>
  <w:style w:type="paragraph" w:styleId="a5">
    <w:name w:val="footer"/>
    <w:basedOn w:val="a"/>
    <w:link w:val="a6"/>
    <w:rsid w:val="00DE3865"/>
    <w:pPr>
      <w:tabs>
        <w:tab w:val="center" w:pos="4153"/>
        <w:tab w:val="right" w:pos="8306"/>
      </w:tabs>
    </w:pPr>
  </w:style>
  <w:style w:type="character" w:customStyle="1" w:styleId="a6">
    <w:name w:val="כותרת תחתונה תו"/>
    <w:link w:val="a5"/>
    <w:rsid w:val="00DE3865"/>
    <w:rPr>
      <w:rFonts w:ascii="Times New Roman" w:eastAsia="Times New Roman" w:hAnsi="Times New Roman" w:cs="David"/>
      <w:sz w:val="24"/>
      <w:szCs w:val="24"/>
    </w:rPr>
  </w:style>
  <w:style w:type="table" w:styleId="a7">
    <w:name w:val="Table Grid"/>
    <w:basedOn w:val="a1"/>
    <w:rsid w:val="00DE386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E3865"/>
  </w:style>
  <w:style w:type="paragraph" w:styleId="a9">
    <w:name w:val="List Paragraph"/>
    <w:basedOn w:val="a"/>
    <w:qFormat/>
    <w:rsid w:val="00DE3865"/>
    <w:pPr>
      <w:ind w:left="720"/>
      <w:contextualSpacing/>
    </w:pPr>
    <w:rPr>
      <w:noProof/>
    </w:rPr>
  </w:style>
  <w:style w:type="character" w:styleId="Hyperlink">
    <w:name w:val="Hyperlink"/>
    <w:rsid w:val="00DE38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6015641" TargetMode="External"/><Relationship Id="rId26" Type="http://schemas.openxmlformats.org/officeDocument/2006/relationships/hyperlink" Target="http://www.nevo.co.il/case/5844852" TargetMode="External"/><Relationship Id="rId39" Type="http://schemas.openxmlformats.org/officeDocument/2006/relationships/theme" Target="theme/theme1.xml"/><Relationship Id="rId21" Type="http://schemas.openxmlformats.org/officeDocument/2006/relationships/hyperlink" Target="http://www.nevo.co.il/case/28471408"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6868390" TargetMode="External"/><Relationship Id="rId25" Type="http://schemas.openxmlformats.org/officeDocument/2006/relationships/hyperlink" Target="http://www.nevo.co.il/case/1999956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6075288" TargetMode="External"/><Relationship Id="rId20" Type="http://schemas.openxmlformats.org/officeDocument/2006/relationships/hyperlink" Target="http://www.nevo.co.il/case/28830528" TargetMode="External"/><Relationship Id="rId29" Type="http://schemas.openxmlformats.org/officeDocument/2006/relationships/hyperlink" Target="http://www.nevo.co.il/case/272172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43" TargetMode="External"/><Relationship Id="rId24" Type="http://schemas.openxmlformats.org/officeDocument/2006/relationships/hyperlink" Target="http://www.nevo.co.il/case/21017469" TargetMode="External"/><Relationship Id="rId32" Type="http://schemas.openxmlformats.org/officeDocument/2006/relationships/hyperlink" Target="http://WWW.eca.gov.il"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5227" TargetMode="External"/><Relationship Id="rId23" Type="http://schemas.openxmlformats.org/officeDocument/2006/relationships/hyperlink" Target="http://www.nevo.co.il/case/5698919" TargetMode="External"/><Relationship Id="rId28" Type="http://schemas.openxmlformats.org/officeDocument/2006/relationships/hyperlink" Target="http://www.nevo.co.il/case/27808933" TargetMode="External"/><Relationship Id="rId36" Type="http://schemas.openxmlformats.org/officeDocument/2006/relationships/footer" Target="footer1.xml"/><Relationship Id="rId10" Type="http://schemas.openxmlformats.org/officeDocument/2006/relationships/hyperlink" Target="http://www.nevo.co.il/law/5227" TargetMode="External"/><Relationship Id="rId19" Type="http://schemas.openxmlformats.org/officeDocument/2006/relationships/hyperlink" Target="http://www.nevo.co.il/case/28471408" TargetMode="External"/><Relationship Id="rId31" Type="http://schemas.openxmlformats.org/officeDocument/2006/relationships/hyperlink" Target="http://www.nevo.co.il/case/5917767"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5227/43" TargetMode="External"/><Relationship Id="rId22" Type="http://schemas.openxmlformats.org/officeDocument/2006/relationships/hyperlink" Target="http://www.nevo.co.il/case/5726579" TargetMode="External"/><Relationship Id="rId27" Type="http://schemas.openxmlformats.org/officeDocument/2006/relationships/hyperlink" Target="http://www.nevo.co.il/case/6169989" TargetMode="External"/><Relationship Id="rId30" Type="http://schemas.openxmlformats.org/officeDocument/2006/relationships/hyperlink" Target="http://www.nevo.co.il/case/24282715"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1983</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11875</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7864368</vt:i4>
      </vt:variant>
      <vt:variant>
        <vt:i4>75</vt:i4>
      </vt:variant>
      <vt:variant>
        <vt:i4>0</vt:i4>
      </vt:variant>
      <vt:variant>
        <vt:i4>5</vt:i4>
      </vt:variant>
      <vt:variant>
        <vt:lpwstr>http://www.eca.gov.il/</vt:lpwstr>
      </vt:variant>
      <vt:variant>
        <vt:lpwstr/>
      </vt:variant>
      <vt:variant>
        <vt:i4>3407996</vt:i4>
      </vt:variant>
      <vt:variant>
        <vt:i4>72</vt:i4>
      </vt:variant>
      <vt:variant>
        <vt:i4>0</vt:i4>
      </vt:variant>
      <vt:variant>
        <vt:i4>5</vt:i4>
      </vt:variant>
      <vt:variant>
        <vt:lpwstr>http://www.nevo.co.il/case/5917767</vt:lpwstr>
      </vt:variant>
      <vt:variant>
        <vt:lpwstr/>
      </vt:variant>
      <vt:variant>
        <vt:i4>3342463</vt:i4>
      </vt:variant>
      <vt:variant>
        <vt:i4>69</vt:i4>
      </vt:variant>
      <vt:variant>
        <vt:i4>0</vt:i4>
      </vt:variant>
      <vt:variant>
        <vt:i4>5</vt:i4>
      </vt:variant>
      <vt:variant>
        <vt:lpwstr>http://www.nevo.co.il/case/24282715</vt:lpwstr>
      </vt:variant>
      <vt:variant>
        <vt:lpwstr/>
      </vt:variant>
      <vt:variant>
        <vt:i4>3604592</vt:i4>
      </vt:variant>
      <vt:variant>
        <vt:i4>66</vt:i4>
      </vt:variant>
      <vt:variant>
        <vt:i4>0</vt:i4>
      </vt:variant>
      <vt:variant>
        <vt:i4>5</vt:i4>
      </vt:variant>
      <vt:variant>
        <vt:lpwstr>http://www.nevo.co.il/case/27217205</vt:lpwstr>
      </vt:variant>
      <vt:variant>
        <vt:lpwstr/>
      </vt:variant>
      <vt:variant>
        <vt:i4>3211386</vt:i4>
      </vt:variant>
      <vt:variant>
        <vt:i4>63</vt:i4>
      </vt:variant>
      <vt:variant>
        <vt:i4>0</vt:i4>
      </vt:variant>
      <vt:variant>
        <vt:i4>5</vt:i4>
      </vt:variant>
      <vt:variant>
        <vt:lpwstr>http://www.nevo.co.il/case/27808933</vt:lpwstr>
      </vt:variant>
      <vt:variant>
        <vt:lpwstr/>
      </vt:variant>
      <vt:variant>
        <vt:i4>3145844</vt:i4>
      </vt:variant>
      <vt:variant>
        <vt:i4>60</vt:i4>
      </vt:variant>
      <vt:variant>
        <vt:i4>0</vt:i4>
      </vt:variant>
      <vt:variant>
        <vt:i4>5</vt:i4>
      </vt:variant>
      <vt:variant>
        <vt:lpwstr>http://www.nevo.co.il/case/6169989</vt:lpwstr>
      </vt:variant>
      <vt:variant>
        <vt:lpwstr/>
      </vt:variant>
      <vt:variant>
        <vt:i4>3866749</vt:i4>
      </vt:variant>
      <vt:variant>
        <vt:i4>57</vt:i4>
      </vt:variant>
      <vt:variant>
        <vt:i4>0</vt:i4>
      </vt:variant>
      <vt:variant>
        <vt:i4>5</vt:i4>
      </vt:variant>
      <vt:variant>
        <vt:lpwstr>http://www.nevo.co.il/case/5844852</vt:lpwstr>
      </vt:variant>
      <vt:variant>
        <vt:lpwstr/>
      </vt:variant>
      <vt:variant>
        <vt:i4>3604593</vt:i4>
      </vt:variant>
      <vt:variant>
        <vt:i4>54</vt:i4>
      </vt:variant>
      <vt:variant>
        <vt:i4>0</vt:i4>
      </vt:variant>
      <vt:variant>
        <vt:i4>5</vt:i4>
      </vt:variant>
      <vt:variant>
        <vt:lpwstr>http://www.nevo.co.il/case/19999565</vt:lpwstr>
      </vt:variant>
      <vt:variant>
        <vt:lpwstr/>
      </vt:variant>
      <vt:variant>
        <vt:i4>3342448</vt:i4>
      </vt:variant>
      <vt:variant>
        <vt:i4>51</vt:i4>
      </vt:variant>
      <vt:variant>
        <vt:i4>0</vt:i4>
      </vt:variant>
      <vt:variant>
        <vt:i4>5</vt:i4>
      </vt:variant>
      <vt:variant>
        <vt:lpwstr>http://www.nevo.co.il/case/21017469</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3866738</vt:i4>
      </vt:variant>
      <vt:variant>
        <vt:i4>45</vt:i4>
      </vt:variant>
      <vt:variant>
        <vt:i4>0</vt:i4>
      </vt:variant>
      <vt:variant>
        <vt:i4>5</vt:i4>
      </vt:variant>
      <vt:variant>
        <vt:lpwstr>http://www.nevo.co.il/case/5726579</vt:lpwstr>
      </vt:variant>
      <vt:variant>
        <vt:lpwstr/>
      </vt:variant>
      <vt:variant>
        <vt:i4>3604607</vt:i4>
      </vt:variant>
      <vt:variant>
        <vt:i4>42</vt:i4>
      </vt:variant>
      <vt:variant>
        <vt:i4>0</vt:i4>
      </vt:variant>
      <vt:variant>
        <vt:i4>5</vt:i4>
      </vt:variant>
      <vt:variant>
        <vt:lpwstr>http://www.nevo.co.il/case/28471408</vt:lpwstr>
      </vt:variant>
      <vt:variant>
        <vt:lpwstr/>
      </vt:variant>
      <vt:variant>
        <vt:i4>3670138</vt:i4>
      </vt:variant>
      <vt:variant>
        <vt:i4>39</vt:i4>
      </vt:variant>
      <vt:variant>
        <vt:i4>0</vt:i4>
      </vt:variant>
      <vt:variant>
        <vt:i4>5</vt:i4>
      </vt:variant>
      <vt:variant>
        <vt:lpwstr>http://www.nevo.co.il/case/28830528</vt:lpwstr>
      </vt:variant>
      <vt:variant>
        <vt:lpwstr/>
      </vt:variant>
      <vt:variant>
        <vt:i4>3604607</vt:i4>
      </vt:variant>
      <vt:variant>
        <vt:i4>36</vt:i4>
      </vt:variant>
      <vt:variant>
        <vt:i4>0</vt:i4>
      </vt:variant>
      <vt:variant>
        <vt:i4>5</vt:i4>
      </vt:variant>
      <vt:variant>
        <vt:lpwstr>http://www.nevo.co.il/case/28471408</vt:lpwstr>
      </vt:variant>
      <vt:variant>
        <vt:lpwstr/>
      </vt:variant>
      <vt:variant>
        <vt:i4>3342453</vt:i4>
      </vt:variant>
      <vt:variant>
        <vt:i4>33</vt:i4>
      </vt:variant>
      <vt:variant>
        <vt:i4>0</vt:i4>
      </vt:variant>
      <vt:variant>
        <vt:i4>5</vt:i4>
      </vt:variant>
      <vt:variant>
        <vt:lpwstr>http://www.nevo.co.il/case/26015641</vt:lpwstr>
      </vt:variant>
      <vt:variant>
        <vt:lpwstr/>
      </vt:variant>
      <vt:variant>
        <vt:i4>3866743</vt:i4>
      </vt:variant>
      <vt:variant>
        <vt:i4>30</vt:i4>
      </vt:variant>
      <vt:variant>
        <vt:i4>0</vt:i4>
      </vt:variant>
      <vt:variant>
        <vt:i4>5</vt:i4>
      </vt:variant>
      <vt:variant>
        <vt:lpwstr>http://www.nevo.co.il/case/26868390</vt:lpwstr>
      </vt:variant>
      <vt:variant>
        <vt:lpwstr/>
      </vt:variant>
      <vt:variant>
        <vt:i4>4128887</vt:i4>
      </vt:variant>
      <vt:variant>
        <vt:i4>27</vt:i4>
      </vt:variant>
      <vt:variant>
        <vt:i4>0</vt:i4>
      </vt:variant>
      <vt:variant>
        <vt:i4>5</vt:i4>
      </vt:variant>
      <vt:variant>
        <vt:lpwstr>http://www.nevo.co.il/case/26075288</vt:lpwstr>
      </vt:variant>
      <vt:variant>
        <vt:lpwstr/>
      </vt:variant>
      <vt:variant>
        <vt:i4>8323175</vt:i4>
      </vt:variant>
      <vt:variant>
        <vt:i4>24</vt:i4>
      </vt:variant>
      <vt:variant>
        <vt:i4>0</vt:i4>
      </vt:variant>
      <vt:variant>
        <vt:i4>5</vt:i4>
      </vt:variant>
      <vt:variant>
        <vt:lpwstr>http://www.nevo.co.il/law/5227</vt:lpwstr>
      </vt:variant>
      <vt:variant>
        <vt:lpwstr/>
      </vt:variant>
      <vt:variant>
        <vt:i4>4915272</vt:i4>
      </vt:variant>
      <vt:variant>
        <vt:i4>21</vt:i4>
      </vt:variant>
      <vt:variant>
        <vt:i4>0</vt:i4>
      </vt:variant>
      <vt:variant>
        <vt:i4>5</vt:i4>
      </vt:variant>
      <vt:variant>
        <vt:lpwstr>http://www.nevo.co.il/law/5227/43</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4915272</vt:i4>
      </vt:variant>
      <vt:variant>
        <vt:i4>12</vt:i4>
      </vt:variant>
      <vt:variant>
        <vt:i4>0</vt:i4>
      </vt:variant>
      <vt:variant>
        <vt:i4>5</vt:i4>
      </vt:variant>
      <vt:variant>
        <vt:lpwstr>http://www.nevo.co.il/law/5227/43</vt:lpwstr>
      </vt:variant>
      <vt:variant>
        <vt:lpwstr/>
      </vt:variant>
      <vt:variant>
        <vt:i4>8323175</vt:i4>
      </vt:variant>
      <vt:variant>
        <vt:i4>9</vt:i4>
      </vt:variant>
      <vt:variant>
        <vt:i4>0</vt:i4>
      </vt:variant>
      <vt:variant>
        <vt:i4>5</vt:i4>
      </vt:variant>
      <vt:variant>
        <vt:lpwstr>http://www.nevo.co.il/law/5227</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2025-04-23T01:42:00Z</dcterms:created>
  <dcterms:modified xsi:type="dcterms:W3CDTF">2025-04-23T01:42:00Z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70576</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 - תביעות נגב</vt:lpwstr>
  </property>
  <property fmtid="{D5CDD505-2E9C-101B-9397-08002B2CF9AE}" pid="9" name="APPELLEE">
    <vt:lpwstr>עטרת אל ולידי  הובא</vt:lpwstr>
  </property>
  <property fmtid="{D5CDD505-2E9C-101B-9397-08002B2CF9AE}" pid="10" name="LAWYER">
    <vt:lpwstr>זוהר נאור;דרייגו</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20230605</vt:lpwstr>
  </property>
  <property fmtid="{D5CDD505-2E9C-101B-9397-08002B2CF9AE}" pid="14" name="TYPE_N_DATE">
    <vt:lpwstr>38020230605</vt:lpwstr>
  </property>
  <property fmtid="{D5CDD505-2E9C-101B-9397-08002B2CF9AE}" pid="15" name="WORDNUMPAGES">
    <vt:lpwstr>6</vt:lpwstr>
  </property>
  <property fmtid="{D5CDD505-2E9C-101B-9397-08002B2CF9AE}" pid="16" name="TYPE_ABS_DATE">
    <vt:lpwstr>380020230605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26075288;26868390;26015641;28471408:2;28830528;5726579;5698919;21017469;19999565;5844852;6169989;27808933;27217205;24282715;5917767</vt:lpwstr>
  </property>
  <property fmtid="{D5CDD505-2E9C-101B-9397-08002B2CF9AE}" pid="36" name="LAWLISTTMP1">
    <vt:lpwstr>4216/007.a;007.c</vt:lpwstr>
  </property>
  <property fmtid="{D5CDD505-2E9C-101B-9397-08002B2CF9AE}" pid="37" name="LAWLISTTMP2">
    <vt:lpwstr>5227/043</vt:lpwstr>
  </property>
</Properties>
</file>