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D23B0B" w:rsidRPr="00F763DD" w14:paraId="396D98AA" w14:textId="77777777" w:rsidTr="00675B48">
        <w:trPr>
          <w:gridAfter w:val="1"/>
          <w:wAfter w:w="99" w:type="dxa"/>
          <w:trHeight w:hRule="exact" w:val="418"/>
          <w:jc w:val="center"/>
        </w:trPr>
        <w:tc>
          <w:tcPr>
            <w:tcW w:w="8721" w:type="dxa"/>
            <w:gridSpan w:val="4"/>
          </w:tcPr>
          <w:p w14:paraId="6FD0D44E" w14:textId="77777777" w:rsidR="00D23B0B" w:rsidRPr="00F763DD" w:rsidRDefault="00D23B0B" w:rsidP="00BE0DF6">
            <w:pPr>
              <w:pStyle w:val="a3"/>
              <w:jc w:val="center"/>
              <w:rPr>
                <w:rFonts w:ascii="Tahoma" w:hAnsi="Tahoma" w:cs="Tahoma"/>
                <w:color w:val="000080"/>
                <w:rtl/>
              </w:rPr>
            </w:pPr>
            <w:bookmarkStart w:id="0" w:name="LastJudge"/>
            <w:r w:rsidRPr="00F763DD">
              <w:rPr>
                <w:rFonts w:ascii="Tahoma" w:hAnsi="Tahoma" w:cs="Tahoma"/>
                <w:b/>
                <w:bCs/>
                <w:color w:val="000080"/>
                <w:rtl/>
              </w:rPr>
              <w:t>בית משפט השלום בבאר שבע</w:t>
            </w:r>
          </w:p>
        </w:tc>
      </w:tr>
      <w:tr w:rsidR="00D23B0B" w:rsidRPr="00F763DD" w14:paraId="4E5B944C" w14:textId="77777777" w:rsidTr="00675B48">
        <w:trPr>
          <w:gridAfter w:val="1"/>
          <w:wAfter w:w="99" w:type="dxa"/>
          <w:trHeight w:val="337"/>
          <w:jc w:val="center"/>
        </w:trPr>
        <w:tc>
          <w:tcPr>
            <w:tcW w:w="5054" w:type="dxa"/>
            <w:gridSpan w:val="3"/>
          </w:tcPr>
          <w:p w14:paraId="3C8693FD" w14:textId="77777777" w:rsidR="00D23B0B" w:rsidRPr="00F763DD" w:rsidRDefault="00D23B0B" w:rsidP="00BE0DF6">
            <w:pPr>
              <w:rPr>
                <w:rFonts w:cs="FrankRuehl"/>
                <w:sz w:val="28"/>
                <w:szCs w:val="28"/>
                <w:rtl/>
              </w:rPr>
            </w:pPr>
            <w:r w:rsidRPr="00F763DD">
              <w:rPr>
                <w:rFonts w:cs="FrankRuehl"/>
                <w:sz w:val="28"/>
                <w:szCs w:val="28"/>
                <w:rtl/>
              </w:rPr>
              <w:t>ת"פ</w:t>
            </w:r>
            <w:r w:rsidRPr="00F763DD">
              <w:rPr>
                <w:rFonts w:cs="FrankRuehl" w:hint="cs"/>
                <w:sz w:val="28"/>
                <w:szCs w:val="28"/>
                <w:rtl/>
              </w:rPr>
              <w:t xml:space="preserve"> </w:t>
            </w:r>
            <w:r w:rsidRPr="00F763DD">
              <w:rPr>
                <w:rFonts w:cs="FrankRuehl"/>
                <w:sz w:val="28"/>
                <w:szCs w:val="28"/>
                <w:rtl/>
              </w:rPr>
              <w:t>72603-01-23</w:t>
            </w:r>
            <w:r w:rsidRPr="00F763DD">
              <w:rPr>
                <w:rFonts w:cs="FrankRuehl" w:hint="cs"/>
                <w:sz w:val="28"/>
                <w:szCs w:val="28"/>
                <w:rtl/>
              </w:rPr>
              <w:t xml:space="preserve"> </w:t>
            </w:r>
            <w:r w:rsidRPr="00F763DD">
              <w:rPr>
                <w:rFonts w:cs="FrankRuehl"/>
                <w:sz w:val="28"/>
                <w:szCs w:val="28"/>
                <w:rtl/>
              </w:rPr>
              <w:t>מדינת ישראל נ' נזירוב</w:t>
            </w:r>
          </w:p>
          <w:p w14:paraId="11E82FC6" w14:textId="77777777" w:rsidR="00D23B0B" w:rsidRPr="00F763DD" w:rsidRDefault="00D23B0B" w:rsidP="00BE0DF6">
            <w:pPr>
              <w:pStyle w:val="a3"/>
              <w:rPr>
                <w:rFonts w:cs="FrankRuehl"/>
                <w:sz w:val="28"/>
                <w:szCs w:val="28"/>
                <w:rtl/>
              </w:rPr>
            </w:pPr>
          </w:p>
        </w:tc>
        <w:tc>
          <w:tcPr>
            <w:tcW w:w="3667" w:type="dxa"/>
          </w:tcPr>
          <w:p w14:paraId="137D70C3" w14:textId="77777777" w:rsidR="00D23B0B" w:rsidRPr="00F763DD" w:rsidRDefault="00D23B0B" w:rsidP="00BE0DF6">
            <w:pPr>
              <w:pStyle w:val="a3"/>
              <w:jc w:val="right"/>
              <w:rPr>
                <w:rFonts w:cs="FrankRuehl"/>
                <w:sz w:val="28"/>
                <w:szCs w:val="28"/>
                <w:rtl/>
              </w:rPr>
            </w:pPr>
          </w:p>
        </w:tc>
      </w:tr>
      <w:tr w:rsidR="00D23B0B" w:rsidRPr="00F763DD" w14:paraId="3C473101" w14:textId="77777777" w:rsidTr="00675B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A550EF0" w14:textId="77777777" w:rsidR="00D23B0B" w:rsidRPr="00F763DD" w:rsidRDefault="00D23B0B" w:rsidP="00D23B0B">
            <w:pPr>
              <w:jc w:val="both"/>
              <w:rPr>
                <w:rFonts w:ascii="David" w:hAnsi="David"/>
                <w:sz w:val="26"/>
                <w:szCs w:val="26"/>
              </w:rPr>
            </w:pPr>
            <w:r w:rsidRPr="00F763DD">
              <w:rPr>
                <w:rFonts w:hint="cs"/>
                <w:rtl/>
              </w:rPr>
              <w:t xml:space="preserve"> </w:t>
            </w:r>
            <w:r w:rsidRPr="00F763DD">
              <w:rPr>
                <w:rFonts w:ascii="David" w:hAnsi="David" w:hint="cs"/>
                <w:sz w:val="26"/>
                <w:szCs w:val="26"/>
                <w:rtl/>
              </w:rPr>
              <w:t>ל</w:t>
            </w:r>
            <w:r w:rsidRPr="00F763DD">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C2AD32C" w14:textId="77777777" w:rsidR="00D23B0B" w:rsidRPr="00F763DD" w:rsidRDefault="00D23B0B" w:rsidP="00BE0DF6">
            <w:pPr>
              <w:rPr>
                <w:rFonts w:ascii="David" w:hAnsi="David"/>
                <w:b/>
                <w:bCs/>
                <w:sz w:val="26"/>
                <w:szCs w:val="26"/>
                <w:rtl/>
              </w:rPr>
            </w:pPr>
            <w:r w:rsidRPr="00F763DD">
              <w:rPr>
                <w:rFonts w:ascii="David" w:hAnsi="David"/>
                <w:b/>
                <w:bCs/>
                <w:sz w:val="26"/>
                <w:szCs w:val="26"/>
                <w:rtl/>
              </w:rPr>
              <w:t>כבוד השופטת  אורית קרץ</w:t>
            </w:r>
          </w:p>
          <w:p w14:paraId="31F40B7D" w14:textId="77777777" w:rsidR="00D23B0B" w:rsidRPr="00F763DD" w:rsidRDefault="00D23B0B" w:rsidP="00BE0DF6">
            <w:pPr>
              <w:rPr>
                <w:rFonts w:ascii="David" w:hAnsi="David"/>
                <w:sz w:val="26"/>
                <w:szCs w:val="26"/>
                <w:rtl/>
              </w:rPr>
            </w:pPr>
          </w:p>
          <w:p w14:paraId="7A697F57" w14:textId="77777777" w:rsidR="00D23B0B" w:rsidRPr="00F763DD" w:rsidRDefault="00D23B0B" w:rsidP="00D23B0B">
            <w:pPr>
              <w:jc w:val="both"/>
              <w:rPr>
                <w:rFonts w:ascii="David" w:hAnsi="David"/>
                <w:sz w:val="26"/>
                <w:szCs w:val="26"/>
              </w:rPr>
            </w:pPr>
          </w:p>
        </w:tc>
      </w:tr>
      <w:tr w:rsidR="00D23B0B" w:rsidRPr="00F763DD" w14:paraId="379D4F3C" w14:textId="77777777" w:rsidTr="00675B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22FCBB5" w14:textId="77777777" w:rsidR="00D23B0B" w:rsidRPr="00F763DD" w:rsidRDefault="00D23B0B" w:rsidP="00D23B0B">
            <w:pPr>
              <w:jc w:val="both"/>
              <w:rPr>
                <w:rFonts w:ascii="David" w:hAnsi="David"/>
                <w:sz w:val="26"/>
                <w:szCs w:val="26"/>
              </w:rPr>
            </w:pPr>
            <w:bookmarkStart w:id="1" w:name="FirstAppellant"/>
            <w:r w:rsidRPr="00F763DD">
              <w:rPr>
                <w:rFonts w:ascii="David" w:hAnsi="David"/>
                <w:sz w:val="26"/>
                <w:szCs w:val="26"/>
                <w:rtl/>
              </w:rPr>
              <w:t>בעניין:</w:t>
            </w:r>
          </w:p>
        </w:tc>
        <w:tc>
          <w:tcPr>
            <w:tcW w:w="3219" w:type="dxa"/>
            <w:tcBorders>
              <w:top w:val="nil"/>
              <w:left w:val="nil"/>
              <w:bottom w:val="nil"/>
              <w:right w:val="nil"/>
            </w:tcBorders>
            <w:shd w:val="clear" w:color="auto" w:fill="auto"/>
          </w:tcPr>
          <w:p w14:paraId="4EA69826" w14:textId="77777777" w:rsidR="00D23B0B" w:rsidRPr="00F763DD" w:rsidRDefault="00D23B0B" w:rsidP="00D23B0B">
            <w:pPr>
              <w:suppressLineNumbers/>
            </w:pPr>
            <w:r w:rsidRPr="00F763DD">
              <w:rPr>
                <w:rFonts w:ascii="Arial" w:hAnsi="Arial" w:hint="cs"/>
                <w:b/>
                <w:bCs/>
                <w:sz w:val="26"/>
                <w:szCs w:val="26"/>
                <w:rtl/>
              </w:rPr>
              <w:t>ה</w:t>
            </w:r>
            <w:r w:rsidRPr="00F763DD">
              <w:rPr>
                <w:rFonts w:ascii="Arial" w:hAnsi="Arial"/>
                <w:b/>
                <w:bCs/>
                <w:sz w:val="26"/>
                <w:szCs w:val="26"/>
                <w:rtl/>
              </w:rPr>
              <w:t>מאשימה</w:t>
            </w:r>
          </w:p>
          <w:p w14:paraId="6827C8E3" w14:textId="77777777" w:rsidR="00D23B0B" w:rsidRPr="00F763DD" w:rsidRDefault="00D23B0B" w:rsidP="00BE0DF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952998F" w14:textId="77777777" w:rsidR="00D23B0B" w:rsidRPr="00F763DD" w:rsidRDefault="00D23B0B" w:rsidP="00D23B0B">
            <w:pPr>
              <w:suppressLineNumbers/>
              <w:rPr>
                <w:rFonts w:ascii="Arial" w:hAnsi="Arial"/>
                <w:b/>
                <w:bCs/>
                <w:sz w:val="26"/>
                <w:szCs w:val="26"/>
                <w:rtl/>
              </w:rPr>
            </w:pPr>
            <w:r w:rsidRPr="00F763DD">
              <w:rPr>
                <w:rFonts w:ascii="Arial" w:hAnsi="Arial"/>
                <w:b/>
                <w:bCs/>
                <w:sz w:val="26"/>
                <w:szCs w:val="26"/>
                <w:rtl/>
              </w:rPr>
              <w:t>מדינת ישראל</w:t>
            </w:r>
            <w:r w:rsidRPr="00F763DD">
              <w:rPr>
                <w:rFonts w:ascii="Arial" w:hAnsi="Arial" w:hint="cs"/>
                <w:b/>
                <w:bCs/>
                <w:sz w:val="26"/>
                <w:szCs w:val="26"/>
                <w:rtl/>
              </w:rPr>
              <w:t xml:space="preserve"> </w:t>
            </w:r>
          </w:p>
          <w:p w14:paraId="50D9EEC5" w14:textId="77777777" w:rsidR="00D23B0B" w:rsidRPr="00F763DD" w:rsidRDefault="00D23B0B" w:rsidP="00D23B0B">
            <w:pPr>
              <w:suppressLineNumbers/>
            </w:pPr>
            <w:r w:rsidRPr="00F763DD">
              <w:rPr>
                <w:rFonts w:ascii="Arial" w:hAnsi="Arial"/>
                <w:b/>
                <w:bCs/>
                <w:sz w:val="26"/>
                <w:szCs w:val="26"/>
                <w:rtl/>
              </w:rPr>
              <w:t xml:space="preserve">ע"י </w:t>
            </w:r>
            <w:r w:rsidRPr="00F763DD">
              <w:rPr>
                <w:rFonts w:ascii="Arial" w:hAnsi="Arial" w:hint="cs"/>
                <w:b/>
                <w:bCs/>
                <w:sz w:val="26"/>
                <w:szCs w:val="26"/>
                <w:rtl/>
              </w:rPr>
              <w:t xml:space="preserve">משטרת ישראל </w:t>
            </w:r>
            <w:r w:rsidRPr="00F763DD">
              <w:rPr>
                <w:rFonts w:ascii="Arial" w:hAnsi="Arial"/>
                <w:b/>
                <w:bCs/>
                <w:sz w:val="26"/>
                <w:szCs w:val="26"/>
                <w:rtl/>
              </w:rPr>
              <w:t>–</w:t>
            </w:r>
            <w:r w:rsidRPr="00F763DD">
              <w:rPr>
                <w:rFonts w:ascii="Arial" w:hAnsi="Arial" w:hint="cs"/>
                <w:b/>
                <w:bCs/>
                <w:sz w:val="26"/>
                <w:szCs w:val="26"/>
                <w:rtl/>
              </w:rPr>
              <w:t xml:space="preserve"> תביעות נגב</w:t>
            </w:r>
          </w:p>
          <w:p w14:paraId="53A9E404" w14:textId="77777777" w:rsidR="00D23B0B" w:rsidRPr="00F763DD" w:rsidRDefault="00D23B0B" w:rsidP="00BE0DF6">
            <w:pPr>
              <w:rPr>
                <w:rFonts w:ascii="David" w:hAnsi="David"/>
                <w:sz w:val="26"/>
                <w:szCs w:val="26"/>
              </w:rPr>
            </w:pPr>
          </w:p>
        </w:tc>
      </w:tr>
      <w:bookmarkEnd w:id="1"/>
      <w:tr w:rsidR="00D23B0B" w:rsidRPr="00F763DD" w14:paraId="54A97D56" w14:textId="77777777" w:rsidTr="00675B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8F58C36" w14:textId="77777777" w:rsidR="00D23B0B" w:rsidRPr="00F763DD" w:rsidRDefault="00D23B0B" w:rsidP="00D23B0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F10BE2B" w14:textId="77777777" w:rsidR="00D23B0B" w:rsidRPr="00F763DD" w:rsidRDefault="00D23B0B" w:rsidP="00D23B0B">
            <w:pPr>
              <w:jc w:val="center"/>
              <w:rPr>
                <w:rFonts w:ascii="David" w:hAnsi="David"/>
                <w:b/>
                <w:bCs/>
                <w:sz w:val="26"/>
                <w:szCs w:val="26"/>
                <w:rtl/>
              </w:rPr>
            </w:pPr>
          </w:p>
          <w:p w14:paraId="705C6D8E" w14:textId="77777777" w:rsidR="00D23B0B" w:rsidRPr="00F763DD" w:rsidRDefault="00D23B0B" w:rsidP="00D23B0B">
            <w:pPr>
              <w:jc w:val="center"/>
              <w:rPr>
                <w:rFonts w:ascii="David" w:hAnsi="David"/>
                <w:b/>
                <w:bCs/>
                <w:sz w:val="26"/>
                <w:szCs w:val="26"/>
                <w:rtl/>
              </w:rPr>
            </w:pPr>
            <w:r w:rsidRPr="00F763DD">
              <w:rPr>
                <w:rFonts w:ascii="David" w:hAnsi="David"/>
                <w:b/>
                <w:bCs/>
                <w:sz w:val="26"/>
                <w:szCs w:val="26"/>
                <w:rtl/>
              </w:rPr>
              <w:t>נגד</w:t>
            </w:r>
          </w:p>
          <w:p w14:paraId="24E3DD32" w14:textId="77777777" w:rsidR="00D23B0B" w:rsidRPr="00F763DD" w:rsidRDefault="00D23B0B" w:rsidP="00D23B0B">
            <w:pPr>
              <w:jc w:val="both"/>
              <w:rPr>
                <w:rFonts w:ascii="David" w:hAnsi="David"/>
                <w:sz w:val="26"/>
                <w:szCs w:val="26"/>
              </w:rPr>
            </w:pPr>
          </w:p>
        </w:tc>
      </w:tr>
      <w:tr w:rsidR="00D23B0B" w:rsidRPr="00F763DD" w14:paraId="5A2447D2" w14:textId="77777777" w:rsidTr="00675B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53A3299" w14:textId="77777777" w:rsidR="00D23B0B" w:rsidRPr="00F763DD" w:rsidRDefault="00D23B0B" w:rsidP="00BE0DF6">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4B3CFB5" w14:textId="77777777" w:rsidR="00D23B0B" w:rsidRPr="00F763DD" w:rsidRDefault="00D23B0B" w:rsidP="00BE0DF6">
            <w:pPr>
              <w:rPr>
                <w:rFonts w:ascii="Arial" w:hAnsi="Arial"/>
                <w:b/>
                <w:bCs/>
                <w:sz w:val="26"/>
                <w:szCs w:val="26"/>
                <w:rtl/>
              </w:rPr>
            </w:pPr>
            <w:r w:rsidRPr="00F763D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134081B" w14:textId="77777777" w:rsidR="00D23B0B" w:rsidRPr="00F763DD" w:rsidRDefault="00D23B0B" w:rsidP="00D23B0B">
            <w:pPr>
              <w:suppressLineNumbers/>
              <w:rPr>
                <w:rFonts w:ascii="Arial" w:hAnsi="Arial"/>
                <w:b/>
                <w:bCs/>
                <w:sz w:val="26"/>
                <w:szCs w:val="26"/>
                <w:rtl/>
              </w:rPr>
            </w:pPr>
            <w:r w:rsidRPr="00F763DD">
              <w:rPr>
                <w:rFonts w:ascii="Arial" w:hAnsi="Arial"/>
                <w:b/>
                <w:bCs/>
                <w:sz w:val="26"/>
                <w:szCs w:val="26"/>
                <w:rtl/>
              </w:rPr>
              <w:t>יע</w:t>
            </w:r>
            <w:r w:rsidRPr="00F763DD">
              <w:rPr>
                <w:rFonts w:ascii="Arial" w:hAnsi="Arial" w:hint="cs"/>
                <w:b/>
                <w:bCs/>
                <w:sz w:val="26"/>
                <w:szCs w:val="26"/>
                <w:rtl/>
              </w:rPr>
              <w:t>ק</w:t>
            </w:r>
            <w:r w:rsidRPr="00F763DD">
              <w:rPr>
                <w:rFonts w:ascii="Arial" w:hAnsi="Arial"/>
                <w:b/>
                <w:bCs/>
                <w:sz w:val="26"/>
                <w:szCs w:val="26"/>
                <w:rtl/>
              </w:rPr>
              <w:t>ב נזירוב</w:t>
            </w:r>
          </w:p>
          <w:p w14:paraId="6427B3DF" w14:textId="77777777" w:rsidR="00D23B0B" w:rsidRPr="00F763DD" w:rsidRDefault="00D23B0B" w:rsidP="00D23B0B">
            <w:pPr>
              <w:suppressLineNumbers/>
            </w:pPr>
            <w:r w:rsidRPr="00F763DD">
              <w:rPr>
                <w:rFonts w:ascii="Arial" w:hAnsi="Arial"/>
                <w:b/>
                <w:bCs/>
                <w:sz w:val="26"/>
                <w:szCs w:val="26"/>
                <w:rtl/>
              </w:rPr>
              <w:t>ע"י ב"כ עוה"</w:t>
            </w:r>
            <w:r w:rsidRPr="00F763DD">
              <w:rPr>
                <w:rFonts w:ascii="Arial" w:hAnsi="Arial" w:hint="cs"/>
                <w:b/>
                <w:bCs/>
                <w:sz w:val="26"/>
                <w:szCs w:val="26"/>
                <w:rtl/>
              </w:rPr>
              <w:t>ד עידו פורת</w:t>
            </w:r>
          </w:p>
          <w:p w14:paraId="622C5776" w14:textId="77777777" w:rsidR="00D23B0B" w:rsidRPr="00F763DD" w:rsidRDefault="00D23B0B" w:rsidP="00BE0DF6">
            <w:pPr>
              <w:rPr>
                <w:rFonts w:ascii="David" w:hAnsi="David"/>
                <w:sz w:val="26"/>
                <w:szCs w:val="26"/>
              </w:rPr>
            </w:pPr>
          </w:p>
        </w:tc>
      </w:tr>
      <w:bookmarkEnd w:id="2"/>
    </w:tbl>
    <w:p w14:paraId="3CE42A17" w14:textId="77777777" w:rsidR="00F763DD" w:rsidRPr="00F763DD" w:rsidRDefault="00F763DD" w:rsidP="00675B48">
      <w:pPr>
        <w:spacing w:before="120" w:after="120" w:line="240" w:lineRule="exact"/>
        <w:jc w:val="both"/>
        <w:rPr>
          <w:rFonts w:ascii="FrankRuehl" w:hAnsi="FrankRuehl" w:cs="FrankRuehl" w:hint="cs"/>
          <w:rtl/>
        </w:rPr>
      </w:pPr>
    </w:p>
    <w:p w14:paraId="182F964A" w14:textId="77777777" w:rsidR="00F763DD" w:rsidRPr="00F763DD" w:rsidRDefault="00F763DD" w:rsidP="00F763DD">
      <w:pPr>
        <w:spacing w:before="120" w:after="120" w:line="240" w:lineRule="exact"/>
        <w:ind w:left="283" w:hanging="283"/>
        <w:jc w:val="both"/>
        <w:rPr>
          <w:rFonts w:ascii="FrankRuehl" w:hAnsi="FrankRuehl" w:cs="FrankRuehl"/>
          <w:rtl/>
        </w:rPr>
      </w:pPr>
    </w:p>
    <w:p w14:paraId="74A557DE" w14:textId="77777777" w:rsidR="00F763DD" w:rsidRPr="00F763DD" w:rsidRDefault="00F763DD" w:rsidP="00F763DD">
      <w:pPr>
        <w:rPr>
          <w:rtl/>
        </w:rPr>
      </w:pPr>
    </w:p>
    <w:p w14:paraId="0628C854" w14:textId="77777777" w:rsidR="00675B48" w:rsidRPr="00675B48" w:rsidRDefault="00675B48" w:rsidP="00675B48">
      <w:pPr>
        <w:spacing w:before="120" w:after="120" w:line="240" w:lineRule="exact"/>
        <w:ind w:left="283" w:hanging="283"/>
        <w:jc w:val="both"/>
        <w:rPr>
          <w:rFonts w:ascii="FrankRuehl" w:hAnsi="FrankRuehl" w:cs="FrankRuehl"/>
          <w:rtl/>
        </w:rPr>
      </w:pPr>
    </w:p>
    <w:p w14:paraId="6599E88C" w14:textId="77777777" w:rsidR="00AE58D8" w:rsidRPr="00AE58D8" w:rsidRDefault="00AE58D8" w:rsidP="00AE58D8">
      <w:pPr>
        <w:spacing w:before="120" w:after="120" w:line="240" w:lineRule="exact"/>
        <w:ind w:left="283" w:hanging="283"/>
        <w:jc w:val="both"/>
        <w:rPr>
          <w:rFonts w:ascii="FrankRuehl" w:hAnsi="FrankRuehl" w:cs="FrankRuehl"/>
          <w:rtl/>
        </w:rPr>
      </w:pPr>
    </w:p>
    <w:p w14:paraId="5C7B3F3D" w14:textId="77777777" w:rsidR="00491225" w:rsidRDefault="00491225" w:rsidP="00491225">
      <w:pPr>
        <w:rPr>
          <w:rtl/>
        </w:rPr>
      </w:pPr>
      <w:bookmarkStart w:id="3" w:name="LawTable"/>
      <w:bookmarkEnd w:id="3"/>
    </w:p>
    <w:p w14:paraId="7F35F514" w14:textId="77777777" w:rsidR="00491225" w:rsidRPr="00491225" w:rsidRDefault="00491225" w:rsidP="00491225">
      <w:pPr>
        <w:spacing w:before="120" w:after="120" w:line="240" w:lineRule="exact"/>
        <w:ind w:left="283" w:hanging="283"/>
        <w:jc w:val="both"/>
        <w:rPr>
          <w:rFonts w:ascii="FrankRuehl" w:hAnsi="FrankRuehl" w:cs="FrankRuehl"/>
          <w:rtl/>
        </w:rPr>
      </w:pPr>
    </w:p>
    <w:p w14:paraId="5407EC03" w14:textId="77777777" w:rsidR="00491225" w:rsidRPr="00491225" w:rsidRDefault="00491225" w:rsidP="00491225">
      <w:pPr>
        <w:spacing w:before="120" w:after="120" w:line="240" w:lineRule="exact"/>
        <w:ind w:left="283" w:hanging="283"/>
        <w:jc w:val="both"/>
        <w:rPr>
          <w:rFonts w:ascii="FrankRuehl" w:hAnsi="FrankRuehl" w:cs="FrankRuehl"/>
          <w:rtl/>
        </w:rPr>
      </w:pPr>
    </w:p>
    <w:p w14:paraId="4EF610B9" w14:textId="77777777" w:rsidR="00491225" w:rsidRPr="00491225" w:rsidRDefault="00491225" w:rsidP="00491225">
      <w:pPr>
        <w:spacing w:before="120" w:after="120" w:line="240" w:lineRule="exact"/>
        <w:ind w:left="283" w:hanging="283"/>
        <w:jc w:val="both"/>
        <w:rPr>
          <w:rFonts w:ascii="FrankRuehl" w:hAnsi="FrankRuehl" w:cs="FrankRuehl"/>
          <w:rtl/>
        </w:rPr>
      </w:pPr>
      <w:r w:rsidRPr="00491225">
        <w:rPr>
          <w:rFonts w:ascii="FrankRuehl" w:hAnsi="FrankRuehl" w:cs="FrankRuehl"/>
          <w:rtl/>
        </w:rPr>
        <w:t xml:space="preserve">חקיקה שאוזכרה: </w:t>
      </w:r>
    </w:p>
    <w:p w14:paraId="50EC56AF" w14:textId="77777777" w:rsidR="00491225" w:rsidRPr="00491225" w:rsidRDefault="00491225" w:rsidP="00491225">
      <w:pPr>
        <w:spacing w:before="120" w:after="120" w:line="240" w:lineRule="exact"/>
        <w:ind w:left="283" w:hanging="283"/>
        <w:jc w:val="both"/>
        <w:rPr>
          <w:rFonts w:ascii="FrankRuehl" w:hAnsi="FrankRuehl" w:cs="FrankRuehl"/>
          <w:rtl/>
        </w:rPr>
      </w:pPr>
      <w:hyperlink r:id="rId7" w:history="1">
        <w:r w:rsidRPr="00491225">
          <w:rPr>
            <w:rFonts w:ascii="FrankRuehl" w:hAnsi="FrankRuehl" w:cs="FrankRuehl"/>
            <w:color w:val="0000FF"/>
            <w:rtl/>
          </w:rPr>
          <w:t>פקודת הסמים המסוכנים [נוסח חדש], תשל"ג-1973</w:t>
        </w:r>
      </w:hyperlink>
      <w:r w:rsidRPr="00491225">
        <w:rPr>
          <w:rFonts w:ascii="FrankRuehl" w:hAnsi="FrankRuehl" w:cs="FrankRuehl"/>
          <w:rtl/>
        </w:rPr>
        <w:t xml:space="preserve">: סע'  </w:t>
      </w:r>
      <w:hyperlink r:id="rId8" w:history="1">
        <w:r w:rsidRPr="00491225">
          <w:rPr>
            <w:rFonts w:ascii="FrankRuehl" w:hAnsi="FrankRuehl" w:cs="FrankRuehl"/>
            <w:color w:val="0000FF"/>
            <w:rtl/>
          </w:rPr>
          <w:t>37(א)(א)</w:t>
        </w:r>
      </w:hyperlink>
    </w:p>
    <w:p w14:paraId="15C64A5F" w14:textId="77777777" w:rsidR="00491225" w:rsidRPr="00491225" w:rsidRDefault="00491225" w:rsidP="00491225">
      <w:pPr>
        <w:rPr>
          <w:rtl/>
        </w:rPr>
      </w:pPr>
      <w:bookmarkStart w:id="4" w:name="LawTable_End"/>
      <w:bookmarkEnd w:id="4"/>
    </w:p>
    <w:p w14:paraId="731FED55" w14:textId="77777777" w:rsidR="00675B48" w:rsidRPr="00AE58D8" w:rsidRDefault="00675B48" w:rsidP="00AE58D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3B0B" w14:paraId="1532376D" w14:textId="77777777" w:rsidTr="00D23B0B">
        <w:trPr>
          <w:trHeight w:val="355"/>
          <w:jc w:val="center"/>
        </w:trPr>
        <w:tc>
          <w:tcPr>
            <w:tcW w:w="8820" w:type="dxa"/>
            <w:tcBorders>
              <w:top w:val="nil"/>
              <w:left w:val="nil"/>
              <w:bottom w:val="nil"/>
              <w:right w:val="nil"/>
            </w:tcBorders>
            <w:shd w:val="clear" w:color="auto" w:fill="auto"/>
          </w:tcPr>
          <w:p w14:paraId="2AE0D961" w14:textId="77777777" w:rsidR="00F763DD" w:rsidRPr="00F763DD" w:rsidRDefault="00F763DD" w:rsidP="00F763DD">
            <w:pPr>
              <w:jc w:val="center"/>
              <w:rPr>
                <w:rFonts w:ascii="David" w:hAnsi="David"/>
                <w:b/>
                <w:bCs/>
                <w:sz w:val="32"/>
                <w:szCs w:val="32"/>
                <w:u w:val="single"/>
                <w:rtl/>
              </w:rPr>
            </w:pPr>
            <w:bookmarkStart w:id="5" w:name="PsakDin" w:colFirst="0" w:colLast="0"/>
            <w:bookmarkEnd w:id="0"/>
            <w:r w:rsidRPr="00F763DD">
              <w:rPr>
                <w:rFonts w:ascii="David" w:hAnsi="David"/>
                <w:b/>
                <w:bCs/>
                <w:sz w:val="32"/>
                <w:szCs w:val="32"/>
                <w:u w:val="single"/>
                <w:rtl/>
              </w:rPr>
              <w:t>גזר דין</w:t>
            </w:r>
          </w:p>
          <w:p w14:paraId="0F002FB0" w14:textId="77777777" w:rsidR="00D23B0B" w:rsidRPr="00F763DD" w:rsidRDefault="00D23B0B" w:rsidP="00F763DD">
            <w:pPr>
              <w:jc w:val="center"/>
              <w:rPr>
                <w:rFonts w:ascii="David" w:hAnsi="David"/>
                <w:bCs/>
                <w:sz w:val="32"/>
                <w:szCs w:val="32"/>
                <w:u w:val="single"/>
                <w:rtl/>
              </w:rPr>
            </w:pPr>
          </w:p>
        </w:tc>
      </w:tr>
      <w:bookmarkEnd w:id="5"/>
    </w:tbl>
    <w:p w14:paraId="428504D3" w14:textId="77777777" w:rsidR="00D23B0B" w:rsidRPr="000F2247" w:rsidRDefault="00D23B0B" w:rsidP="00D23B0B">
      <w:pPr>
        <w:rPr>
          <w:rFonts w:ascii="Arial" w:hAnsi="Arial"/>
          <w:b/>
          <w:bCs/>
          <w:sz w:val="26"/>
          <w:szCs w:val="26"/>
          <w:rtl/>
        </w:rPr>
      </w:pPr>
    </w:p>
    <w:p w14:paraId="0416DD49" w14:textId="77777777" w:rsidR="00D23B0B" w:rsidRDefault="00D23B0B" w:rsidP="00D23B0B">
      <w:pPr>
        <w:pStyle w:val="a9"/>
        <w:numPr>
          <w:ilvl w:val="0"/>
          <w:numId w:val="1"/>
        </w:numPr>
        <w:spacing w:before="120" w:after="120" w:line="360" w:lineRule="auto"/>
        <w:ind w:left="357" w:hanging="357"/>
        <w:contextualSpacing w:val="0"/>
        <w:jc w:val="both"/>
        <w:rPr>
          <w:rFonts w:ascii="David" w:hAnsi="David"/>
        </w:rPr>
      </w:pPr>
      <w:bookmarkStart w:id="6" w:name="ABSTRACT_START"/>
      <w:bookmarkEnd w:id="6"/>
      <w:r>
        <w:rPr>
          <w:rFonts w:ascii="David" w:hAnsi="David"/>
          <w:rtl/>
        </w:rPr>
        <w:t xml:space="preserve">הנאשם הורשע בהתאם להודאתו בעבירה של החזקת סמים לצריכה עצמית.  </w:t>
      </w:r>
    </w:p>
    <w:p w14:paraId="7C33E9B2" w14:textId="77777777" w:rsidR="00D23B0B" w:rsidRDefault="00D23B0B" w:rsidP="00D23B0B">
      <w:pPr>
        <w:pStyle w:val="a9"/>
        <w:numPr>
          <w:ilvl w:val="0"/>
          <w:numId w:val="1"/>
        </w:numPr>
        <w:spacing w:before="120" w:after="120" w:line="360" w:lineRule="auto"/>
        <w:ind w:left="357" w:hanging="357"/>
        <w:contextualSpacing w:val="0"/>
        <w:jc w:val="both"/>
        <w:rPr>
          <w:rFonts w:ascii="David" w:hAnsi="David"/>
        </w:rPr>
      </w:pPr>
      <w:r>
        <w:rPr>
          <w:rFonts w:ascii="David" w:hAnsi="David"/>
          <w:rtl/>
        </w:rPr>
        <w:t xml:space="preserve">מעובדות כתב האישום המתוקן בהן הודה הנאשם עולה כי ביום 26.06.22 הנאשם החזיק ברכב בסם מסוכן מסוג קנבוס במשקל נטו של 5 גרם, בטבלית אחת של סם מסוכן מסוג </w:t>
      </w:r>
      <w:r>
        <w:rPr>
          <w:rFonts w:ascii="David" w:hAnsi="David"/>
        </w:rPr>
        <w:t>MDMA</w:t>
      </w:r>
      <w:r>
        <w:rPr>
          <w:rFonts w:ascii="David" w:hAnsi="David"/>
          <w:rtl/>
        </w:rPr>
        <w:t xml:space="preserve"> וסם מסוכן מסוג </w:t>
      </w:r>
      <w:r>
        <w:rPr>
          <w:rFonts w:ascii="David" w:hAnsi="David"/>
        </w:rPr>
        <w:t>KETAMINE</w:t>
      </w:r>
      <w:r>
        <w:rPr>
          <w:rFonts w:ascii="David" w:hAnsi="David"/>
          <w:rtl/>
        </w:rPr>
        <w:t xml:space="preserve"> במשקל נטו של 0.7621 גרם לצריכתו העצמית ללא היתר כדין או ברישיון מאת המנהל.</w:t>
      </w:r>
    </w:p>
    <w:p w14:paraId="6E9949FF" w14:textId="77777777" w:rsidR="00D23B0B" w:rsidRDefault="00D23B0B" w:rsidP="00D23B0B">
      <w:pPr>
        <w:pStyle w:val="a9"/>
        <w:numPr>
          <w:ilvl w:val="0"/>
          <w:numId w:val="1"/>
        </w:numPr>
        <w:spacing w:before="120" w:after="120" w:line="360" w:lineRule="auto"/>
        <w:contextualSpacing w:val="0"/>
        <w:jc w:val="both"/>
        <w:rPr>
          <w:rFonts w:ascii="David" w:hAnsi="David"/>
          <w:b/>
          <w:bCs/>
          <w:u w:val="single"/>
        </w:rPr>
      </w:pPr>
      <w:bookmarkStart w:id="7" w:name="ABSTRACT_END"/>
      <w:bookmarkEnd w:id="7"/>
      <w:r>
        <w:rPr>
          <w:rFonts w:ascii="David" w:hAnsi="David"/>
          <w:rtl/>
        </w:rPr>
        <w:t xml:space="preserve">ביום 14.09.23 הצדדים הודיעו כי הגיעו להסדר טיעון לפיו הנאשם יודה בעובדות כתב האישום המתוקן ויופנה לקבלת תסקיר שירות המבחן. לעניין העונש הוסכם כי: </w:t>
      </w:r>
    </w:p>
    <w:p w14:paraId="09B8B10E" w14:textId="77777777" w:rsidR="00D23B0B" w:rsidRDefault="00D23B0B" w:rsidP="00D23B0B">
      <w:pPr>
        <w:pStyle w:val="a9"/>
        <w:spacing w:before="120" w:after="120" w:line="360" w:lineRule="auto"/>
        <w:ind w:left="360"/>
        <w:contextualSpacing w:val="0"/>
        <w:jc w:val="both"/>
        <w:rPr>
          <w:rFonts w:ascii="David" w:hAnsi="David"/>
          <w:b/>
          <w:bCs/>
          <w:u w:val="single"/>
        </w:rPr>
      </w:pPr>
      <w:r>
        <w:rPr>
          <w:rFonts w:ascii="David" w:hAnsi="David"/>
          <w:rtl/>
        </w:rPr>
        <w:lastRenderedPageBreak/>
        <w:t>"</w:t>
      </w:r>
      <w:r>
        <w:rPr>
          <w:rFonts w:ascii="David" w:hAnsi="David"/>
          <w:b/>
          <w:bCs/>
          <w:rtl/>
        </w:rPr>
        <w:t>ככל שהתסקיר חיובי וימליץ על כך, הצדדים יעתרו במשותף להארכת המאסר המותנה, קנס מתון ופסילה על תנאי. ככל שהתסקיר לא חיובי, הצדדים יסכימו לעונש של 3 חודשים עבודות שירות, שכולל את הפעלת המאסר המותנה, וקנס. התביעה תטען לפסילה בפועל וההגנה תטען לפסילה על תנאי</w:t>
      </w:r>
      <w:r>
        <w:rPr>
          <w:rFonts w:ascii="David" w:hAnsi="David"/>
          <w:rtl/>
        </w:rPr>
        <w:t xml:space="preserve">". </w:t>
      </w:r>
    </w:p>
    <w:p w14:paraId="0D6D0B7B" w14:textId="77777777" w:rsidR="00D23B0B" w:rsidRDefault="00D23B0B" w:rsidP="00D23B0B">
      <w:pPr>
        <w:pStyle w:val="a9"/>
        <w:spacing w:before="120" w:after="120" w:line="360" w:lineRule="auto"/>
        <w:ind w:left="360"/>
        <w:contextualSpacing w:val="0"/>
        <w:jc w:val="both"/>
        <w:rPr>
          <w:rFonts w:ascii="David" w:hAnsi="David"/>
          <w:b/>
          <w:bCs/>
          <w:u w:val="single"/>
        </w:rPr>
      </w:pPr>
      <w:r>
        <w:rPr>
          <w:rFonts w:ascii="David" w:hAnsi="David"/>
          <w:b/>
          <w:bCs/>
          <w:u w:val="single"/>
          <w:rtl/>
        </w:rPr>
        <w:t>תסקיר שירות המבחן</w:t>
      </w:r>
    </w:p>
    <w:p w14:paraId="2B5E134D" w14:textId="77777777" w:rsidR="00D23B0B" w:rsidRDefault="00D23B0B" w:rsidP="00D23B0B">
      <w:pPr>
        <w:pStyle w:val="a9"/>
        <w:numPr>
          <w:ilvl w:val="0"/>
          <w:numId w:val="1"/>
        </w:numPr>
        <w:spacing w:before="120" w:after="120" w:line="360" w:lineRule="auto"/>
        <w:contextualSpacing w:val="0"/>
        <w:jc w:val="both"/>
        <w:rPr>
          <w:rFonts w:ascii="David" w:hAnsi="David"/>
          <w:b/>
          <w:bCs/>
          <w:rtl/>
        </w:rPr>
      </w:pPr>
      <w:r>
        <w:rPr>
          <w:rFonts w:ascii="David" w:hAnsi="David"/>
          <w:rtl/>
        </w:rPr>
        <w:t>מתסקיר שירות מבחן מיום 13.03.24 עולה כי הנאשם הוא בן 31, רווק, מתגורר בבית הוריו ועובד מזה מספר חודשים כמנהל מכירות בחברה.</w:t>
      </w:r>
    </w:p>
    <w:p w14:paraId="53172B7E" w14:textId="77777777" w:rsidR="00D23B0B" w:rsidRDefault="00D23B0B" w:rsidP="00D23B0B">
      <w:pPr>
        <w:pStyle w:val="a9"/>
        <w:numPr>
          <w:ilvl w:val="0"/>
          <w:numId w:val="1"/>
        </w:numPr>
        <w:spacing w:before="120" w:after="120" w:line="360" w:lineRule="auto"/>
        <w:contextualSpacing w:val="0"/>
        <w:jc w:val="both"/>
        <w:rPr>
          <w:rFonts w:ascii="David" w:hAnsi="David"/>
          <w:b/>
          <w:bCs/>
        </w:rPr>
      </w:pPr>
      <w:r>
        <w:rPr>
          <w:rFonts w:ascii="David" w:hAnsi="David"/>
          <w:b/>
          <w:bCs/>
          <w:rtl/>
        </w:rPr>
        <w:t xml:space="preserve"> </w:t>
      </w:r>
      <w:r>
        <w:rPr>
          <w:rFonts w:ascii="David" w:hAnsi="David"/>
          <w:rtl/>
        </w:rPr>
        <w:t xml:space="preserve">שירות המבחן סקר את נסיבות חייו של הנאשם, המסגרת המשפחתית בה גדל, התבגרותו, קשיים שהתמודד עימם במהלך חייו, שירותו הצבאי ותפקודו התעסוקתי. </w:t>
      </w:r>
    </w:p>
    <w:p w14:paraId="3AEC554B"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מהתייחסות שירות המבחן להיסטוריה העבריינית של הנאשם עולה כי לנאשם הרשעה קודמת משנת 2020 בגין ביצוע עבירה שעניינה סיוע להחזקה / שימוש בסמים שלא לצריכה עצמית.</w:t>
      </w:r>
    </w:p>
    <w:p w14:paraId="1790F3E4" w14:textId="77777777" w:rsidR="00D23B0B" w:rsidRDefault="00D23B0B" w:rsidP="00D23B0B">
      <w:pPr>
        <w:pStyle w:val="a9"/>
        <w:spacing w:before="120" w:after="120" w:line="360" w:lineRule="auto"/>
        <w:ind w:left="360"/>
        <w:contextualSpacing w:val="0"/>
        <w:jc w:val="both"/>
        <w:rPr>
          <w:rFonts w:ascii="David" w:hAnsi="David"/>
        </w:rPr>
      </w:pPr>
      <w:r>
        <w:rPr>
          <w:rFonts w:ascii="David" w:hAnsi="David"/>
          <w:rtl/>
        </w:rPr>
        <w:t xml:space="preserve">באשר לשימוש בחומרים משני תודעה הנאשם מסר כי החל לצרוך אלכוהול מגיל 18 בנסיבות חברתיות, צורך אלכוהול בעיקר בסופי שבוע ובאירועים חברתיים ולדבריו שולט בכמויות הצריכה שלו ולא תופס את השימוש שלו באלכוהול כבעייתי. </w:t>
      </w:r>
    </w:p>
    <w:p w14:paraId="2EE93CE8" w14:textId="77777777" w:rsidR="00D23B0B" w:rsidRDefault="00D23B0B" w:rsidP="00D23B0B">
      <w:pPr>
        <w:pStyle w:val="a9"/>
        <w:spacing w:before="120" w:after="120" w:line="360" w:lineRule="auto"/>
        <w:ind w:left="360"/>
        <w:contextualSpacing w:val="0"/>
        <w:jc w:val="both"/>
        <w:rPr>
          <w:rFonts w:ascii="David" w:hAnsi="David"/>
          <w:rtl/>
        </w:rPr>
      </w:pPr>
      <w:r>
        <w:rPr>
          <w:rFonts w:ascii="David" w:hAnsi="David"/>
          <w:rtl/>
        </w:rPr>
        <w:t xml:space="preserve">באשר לעיסוק בהימורים מסר כי בגיל 24 בזמן שעבד בקיוסק החל להמר בהימורים חוקיים בסכומים גדולים עד כדי התמכרות להימורים, ניהל אורח חיים ראוותני, נקלע לחובות כספיים גדולים ונאלץ לסגור את העסק שלו. בעצת אימו שולב בטיפול ב"מרכז לנפגעי אלכוהול והימורים" ובמשך כשנה עבר טיפול פרטני וקבוצתי אינטנסיבי, הוא חש נתרם מאד מהתהליך וכיום לדבריו אינו מתעסק בהימורים מזה 4 שנים. </w:t>
      </w:r>
    </w:p>
    <w:p w14:paraId="44D26A45" w14:textId="77777777" w:rsidR="00D23B0B" w:rsidRDefault="00D23B0B" w:rsidP="00D23B0B">
      <w:pPr>
        <w:pStyle w:val="a9"/>
        <w:spacing w:before="120" w:after="120" w:line="360" w:lineRule="auto"/>
        <w:ind w:left="360"/>
        <w:contextualSpacing w:val="0"/>
        <w:jc w:val="both"/>
        <w:rPr>
          <w:rFonts w:ascii="David" w:hAnsi="David"/>
          <w:rtl/>
        </w:rPr>
      </w:pPr>
      <w:r>
        <w:rPr>
          <w:rFonts w:ascii="David" w:hAnsi="David"/>
          <w:rtl/>
        </w:rPr>
        <w:t xml:space="preserve">באשר לשימוש בסמים הנאשם מסר כי החל לצרוך קנאביס בגיל 26 ו – </w:t>
      </w:r>
      <w:r>
        <w:rPr>
          <w:rFonts w:ascii="David" w:hAnsi="David"/>
        </w:rPr>
        <w:t>MDMA</w:t>
      </w:r>
      <w:r>
        <w:rPr>
          <w:rFonts w:ascii="David" w:hAnsi="David"/>
          <w:rtl/>
        </w:rPr>
        <w:t xml:space="preserve"> בגיל 29 מתוך סקרנות ורצון לברוח מהמציאות. לדבריו הפסיק את השימוש בסמים בין היתר בשל ההליך המשפטי המתנהל נגדו ולא תופס עצמו כמכור לסמים. </w:t>
      </w:r>
    </w:p>
    <w:p w14:paraId="5743B8AC" w14:textId="77777777" w:rsidR="00D23B0B" w:rsidRDefault="00D23B0B" w:rsidP="00D23B0B">
      <w:pPr>
        <w:pStyle w:val="a9"/>
        <w:numPr>
          <w:ilvl w:val="0"/>
          <w:numId w:val="1"/>
        </w:numPr>
        <w:spacing w:before="120" w:after="120" w:line="360" w:lineRule="auto"/>
        <w:contextualSpacing w:val="0"/>
        <w:jc w:val="both"/>
        <w:rPr>
          <w:rFonts w:ascii="David" w:hAnsi="David"/>
          <w:rtl/>
        </w:rPr>
      </w:pPr>
      <w:r>
        <w:rPr>
          <w:rFonts w:ascii="David" w:hAnsi="David"/>
          <w:rtl/>
        </w:rPr>
        <w:t xml:space="preserve">בהתייחס לנסיבות ביצוע העבירה – הנאשם הודה בביצוע העבירה. לדבריו, רכש את הסמים במהלך מסיבה כדי לבלות וליהנות עם חבריו ועל אף שהבין שבמעשיו הוא מבצע עבירה פלילית. לדבריו כיום מבין את הבעייתיות שבהתנהלותו ולוקח אחריות על ביצוע העבירה, ההליך המשפטי מרתיע אותו, הוא הפסיק את השימוש בסמים והתרחק מגורמים שלתפיסתו מהווים עבורו גורמי סיכון. </w:t>
      </w:r>
    </w:p>
    <w:p w14:paraId="5C1095FE" w14:textId="77777777" w:rsidR="00D23B0B" w:rsidRDefault="00D23B0B" w:rsidP="00D23B0B">
      <w:pPr>
        <w:pStyle w:val="a9"/>
        <w:spacing w:before="120" w:after="120" w:line="360" w:lineRule="auto"/>
        <w:ind w:left="360"/>
        <w:contextualSpacing w:val="0"/>
        <w:jc w:val="both"/>
        <w:rPr>
          <w:rFonts w:ascii="David" w:hAnsi="David"/>
        </w:rPr>
      </w:pPr>
      <w:r>
        <w:rPr>
          <w:rFonts w:ascii="David" w:hAnsi="David"/>
          <w:rtl/>
        </w:rPr>
        <w:t xml:space="preserve">באשר לאפשרות השתלבות בהליך טיפולי הנאשם מסר כי הוא לא מעוניין לעבור הליך טיפולי. לדבריו הוא לא תופס עצמו כאדם שזקוק לטיפול, מצליח לעבוד על דפוסי התנהגותו המכשילים בכוחות עצמו ואין בידו משאבי זמן זמינים לצורך השתלבות בטיפול עקב זמני עבודתו. </w:t>
      </w:r>
    </w:p>
    <w:p w14:paraId="0357269D"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הנאשם זומן ל – 3 בדיקות לגילוי שרידי סם, שלושת הבדיקות התגלו ללא שרידי סם.</w:t>
      </w:r>
    </w:p>
    <w:p w14:paraId="417119BF"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lastRenderedPageBreak/>
        <w:t>בשיחה עם גורמי הטיפול ב"מרכז לנפגעי אלכוהול והימורים" נמסר כי הנאשם שולב במרכז בשנת 2020 למשך כשנה, הוא השתלב באופן קבוע בטיפול פרטני במרכז, אולם התנהלותו בטיפול הקבוצתי הייתה בעייתית, הוא התחבר לגורמים שוליים והיה מעורב בבעיות משמעת, על כן הטיפול שלו במרכז הופסק. להערכת גורמי הטיפול במרכז, הנאשם לא עבר תהליך טיפולי משמעותי בבעיית התמכרותו.</w:t>
      </w:r>
    </w:p>
    <w:p w14:paraId="2AF57D85"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 xml:space="preserve">שירות המבחן התרשם שהנאשם מבטא לאורך חייו יכולות תפקוד חיוביות, מקנה חשיבות לערכי התעסוקה בחייו, מגלה יציבות במסגרות תעסוקתיות שונות בחייו ומבטא שאיפות נורמטיביות לגבי עתידו. </w:t>
      </w:r>
      <w:r>
        <w:rPr>
          <w:rFonts w:ascii="David" w:hAnsi="David"/>
          <w:u w:val="single"/>
          <w:rtl/>
        </w:rPr>
        <w:t>מנגד</w:t>
      </w:r>
      <w:r>
        <w:rPr>
          <w:rFonts w:ascii="David" w:hAnsi="David"/>
          <w:rtl/>
        </w:rPr>
        <w:t xml:space="preserve"> שירות המבחן התרשם כי הנאשם הוא בעל דפוסים התמכרותיים, מצמצם את דפוסי השימוש שלו בסמים, מתקשה לזהות את הבעייתיות שבשימוש זה, מתקשה לבחון את דפוסיו המכשילים, נוטה להשליך אחריות מעשיו על גורמים חיצוניים ואינו מבין לעומק את חומרת מעשיו. בנוסף שירות המבחן התרשם כי קיים פער בין האופן שבו הנאשם הציג את תהליך הטיפול בתחום ההימורים למידע שהתקבל מגורמי הטיפול במרכז לטיפול בנפגעי אלכוהול והימורים.  על פי התרשמות שירות המבחן, הנאשם עסוק בדימויו העצמי ובאופן בו נתפס על ידי סביבתו, השימוש בסמים ואורח החיים הראוותני שניהל נובעים מתוך רצון להיתפס בצורה מוערכת בעיני סביבתו החברתית.</w:t>
      </w:r>
    </w:p>
    <w:p w14:paraId="26DD1595"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 xml:space="preserve">לאור גורמי הסיכון לעבריינות, העמדות שביטא והעדר מוטיבציה להשתלבות בטיפול בתחום הסמים, שירות המבחן לא בא בהמלצה טיפולית בעניינו ולא בא בהמלצה על הארכת המאסר המותנה התלוי ועומד נגדו. </w:t>
      </w:r>
    </w:p>
    <w:p w14:paraId="0A91CCCC" w14:textId="77777777" w:rsidR="00D23B0B" w:rsidRDefault="00D23B0B" w:rsidP="00D23B0B">
      <w:pPr>
        <w:pStyle w:val="a9"/>
        <w:spacing w:before="120" w:after="120" w:line="360" w:lineRule="auto"/>
        <w:ind w:left="360"/>
        <w:contextualSpacing w:val="0"/>
        <w:jc w:val="both"/>
        <w:rPr>
          <w:rFonts w:ascii="David" w:hAnsi="David"/>
          <w:b/>
          <w:bCs/>
          <w:u w:val="single"/>
        </w:rPr>
      </w:pPr>
      <w:r>
        <w:rPr>
          <w:rFonts w:ascii="David" w:hAnsi="David"/>
          <w:b/>
          <w:bCs/>
          <w:u w:val="single"/>
          <w:rtl/>
        </w:rPr>
        <w:t>טענות הצדדים לעניין העונש:</w:t>
      </w:r>
    </w:p>
    <w:p w14:paraId="166A7585"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הצדדים חלוקים ביניהם בשאלה האם התסקיר הוא חיובי וכן בשאלה האם בנסיבות העניין יש להשית על הנאשם פסילה בפועל של רישיון הנהיגה.</w:t>
      </w:r>
    </w:p>
    <w:p w14:paraId="0D2B26C4"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b/>
          <w:bCs/>
          <w:rtl/>
        </w:rPr>
        <w:t>ב"כ המאשימה</w:t>
      </w:r>
      <w:r>
        <w:rPr>
          <w:rFonts w:ascii="David" w:hAnsi="David"/>
          <w:rtl/>
        </w:rPr>
        <w:t xml:space="preserve"> טענה כי התסקיר הוא תסקיר שלילי זאת לאור גורמי הסיכון המפורטים בו, לאור סירוב הנאשם להשתלב בהליך טיפולי בשירות המבחן ולאור העובדה ששירות המבחן לא בא בהמלצה טיפולית או בהמלצה להארכת המאסר המותנה. </w:t>
      </w:r>
    </w:p>
    <w:p w14:paraId="4B7AF090" w14:textId="77777777" w:rsidR="00D23B0B" w:rsidRDefault="00D23B0B" w:rsidP="00D23B0B">
      <w:pPr>
        <w:pStyle w:val="a9"/>
        <w:spacing w:before="120" w:after="120" w:line="360" w:lineRule="auto"/>
        <w:ind w:left="360"/>
        <w:contextualSpacing w:val="0"/>
        <w:jc w:val="both"/>
        <w:rPr>
          <w:rFonts w:ascii="David" w:hAnsi="David"/>
        </w:rPr>
      </w:pPr>
      <w:r>
        <w:rPr>
          <w:rFonts w:ascii="David" w:hAnsi="David"/>
          <w:rtl/>
        </w:rPr>
        <w:t xml:space="preserve">לנוכח התסקיר השלילי ב"כ המאשימה ביקשה לכבד את הסדר הטיעון ולהשית על הנאשם 3 חודשי מאסר בפועל לאחר הפעלת המאסר המותנה, קנס ופסילת רישיון נהיגה בפועל. לטענת ב"כ המאשימה יש להורות על פסילה בפועל של רישיון הנהיגה לנוכח הוראת </w:t>
      </w:r>
      <w:hyperlink r:id="rId9" w:history="1">
        <w:r w:rsidR="00675B48" w:rsidRPr="00675B48">
          <w:rPr>
            <w:rStyle w:val="Hyperlink"/>
            <w:rFonts w:ascii="David" w:hAnsi="David"/>
            <w:rtl/>
          </w:rPr>
          <w:t>סעיף 37(א)(א)</w:t>
        </w:r>
      </w:hyperlink>
      <w:r>
        <w:rPr>
          <w:rFonts w:ascii="David" w:hAnsi="David"/>
          <w:rtl/>
        </w:rPr>
        <w:t xml:space="preserve"> ל</w:t>
      </w:r>
      <w:hyperlink r:id="rId10" w:history="1">
        <w:r w:rsidR="00F763DD" w:rsidRPr="00F763DD">
          <w:rPr>
            <w:rFonts w:ascii="David" w:hAnsi="David"/>
            <w:color w:val="0000FF"/>
            <w:u w:val="single"/>
            <w:rtl/>
          </w:rPr>
          <w:t>פקודת הסמים המסוכנים</w:t>
        </w:r>
      </w:hyperlink>
      <w:r>
        <w:rPr>
          <w:rFonts w:ascii="David" w:hAnsi="David"/>
          <w:rtl/>
        </w:rPr>
        <w:t xml:space="preserve"> ומשלא מתקיימות נסיבות מיוחדות שיש בהן כדי להצדיק לא לפסול את  הרישיון.</w:t>
      </w:r>
    </w:p>
    <w:p w14:paraId="466BA977"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 xml:space="preserve">ב"כ הנאשם ביקש לקבוע כי תסקיר שירות המבחן הוא תסקיר חיובי והדגיש את גורמי הסיכוי שפורטו בתסקיר - הנאשם סיים 12 שנות לימוד, עשה שירות צבאי חלקי, עבד בכבוד לאורך כל השנים וכיום עובד כמנהל מכירות, בן למשפחה נורמטיבית, נמצא בקשר חם ותומך עם המשפחה, הפסיק לדבריו את השימוש בסמים וניתק קשרים עם גורמים עברייניים ולראיה, ב– 3 בדיקות שמסר לא נמצאו שרידי סם מכל מין וסוג, לוקח אחריות מלאה על ביצוע העבירה, שיתף בכנות את הנסיבות שהביאו אותו לביצוע העבירה ולא מעוניין לקחת חלק בהליך טיפולי כיוון שהפסיק את השימוש בסמים באופן עצמאי. </w:t>
      </w:r>
    </w:p>
    <w:p w14:paraId="2B511C50" w14:textId="77777777" w:rsidR="00D23B0B" w:rsidRDefault="00D23B0B" w:rsidP="00D23B0B">
      <w:pPr>
        <w:pStyle w:val="a9"/>
        <w:spacing w:before="120" w:after="120" w:line="360" w:lineRule="auto"/>
        <w:ind w:left="360"/>
        <w:contextualSpacing w:val="0"/>
        <w:jc w:val="both"/>
        <w:rPr>
          <w:rFonts w:ascii="David" w:hAnsi="David"/>
        </w:rPr>
      </w:pPr>
      <w:r>
        <w:rPr>
          <w:rFonts w:ascii="David" w:hAnsi="David"/>
          <w:rtl/>
        </w:rPr>
        <w:t xml:space="preserve">ב"כ הנאשם ביקש להתחשב בזמן שחלף ממועד ביצוע העבירה, שבמהלכו הנאשם לא ביצע עבירות נוספות, ובהעדר אינדיקציה לצורך בטיפול – לא נפתח תיק חדש, לא מדובר בנרקומן, מדובר באדם שעובד בעבודה מכובדת, לא אדם שיושב בבית. לטענת ב"כ הנאשם, השתת עונש מאסר תביא לפיטורי הנאשם מעבודתו ותסיג אותו לאחור. </w:t>
      </w:r>
    </w:p>
    <w:p w14:paraId="61B7F9FC"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לגבי עתירת המאשימה לפסול את רישיון הנהיגה של הנאשם ב"כ הנאשם טען שהמאשימה הסכימה לא להשית עונש פסילת רישיון נהיגה בפועל ככל שהתסקיר חיובי ואין סיבה לעמדה שונה כעת רק משום סירוב הנאשם לעבור הליך טיפולי. לדבריו יש לשמור את הסנקציה החמורה מאד של פסילת רישיון נהיגה בפועל למקרים חמורים של עברייני תנועה או נרקומנים ולא למקרים כמו המקרה של הנאשם, שעושה שימוש ברכב לעבודתו כנציג מכירות ופסילת רישיון הנהיגה שלו תביא להפסקת העבודה והפיכתו לנטל על החברה.</w:t>
      </w:r>
    </w:p>
    <w:p w14:paraId="69FE18FA" w14:textId="77777777" w:rsidR="00D23B0B" w:rsidRDefault="00D23B0B" w:rsidP="00D23B0B">
      <w:pPr>
        <w:pStyle w:val="a9"/>
        <w:spacing w:before="120" w:after="120" w:line="360" w:lineRule="auto"/>
        <w:ind w:left="360"/>
        <w:contextualSpacing w:val="0"/>
        <w:jc w:val="both"/>
        <w:rPr>
          <w:rFonts w:ascii="David" w:hAnsi="David"/>
        </w:rPr>
      </w:pPr>
      <w:r>
        <w:rPr>
          <w:rFonts w:ascii="David" w:hAnsi="David"/>
          <w:rtl/>
        </w:rPr>
        <w:t>ב"כ הנאשם הפנה לפסיקה בתמיכה לעמדתו, אתייחס אליה בהמשך.</w:t>
      </w:r>
    </w:p>
    <w:p w14:paraId="54112641"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הנאשם טען שהוא זקוק לרישיון שלו לעבודתו כנציג מכירות, שהוא לא משתמש בסמים ו- 3 בדיקות יצאו נקיות. לדבריו הוא לא מרגיש צורך בטיפול, אבל אם צריך, הוא מוכן להשתתף בקבוצות, הוא עובד כל יום מהשעה 07:00 עד 20:00 ואם צריך, הוא ימצא זמן ללכת.</w:t>
      </w:r>
    </w:p>
    <w:p w14:paraId="30F579FC" w14:textId="77777777" w:rsidR="00D23B0B" w:rsidRDefault="00D23B0B" w:rsidP="00D23B0B">
      <w:pPr>
        <w:pStyle w:val="a9"/>
        <w:spacing w:before="120" w:after="120" w:line="360" w:lineRule="auto"/>
        <w:ind w:left="360"/>
        <w:contextualSpacing w:val="0"/>
        <w:jc w:val="both"/>
        <w:rPr>
          <w:rFonts w:ascii="David" w:hAnsi="David"/>
        </w:rPr>
      </w:pPr>
      <w:r>
        <w:rPr>
          <w:rFonts w:ascii="David" w:hAnsi="David"/>
          <w:b/>
          <w:bCs/>
          <w:u w:val="single"/>
          <w:rtl/>
        </w:rPr>
        <w:t>דיון והכרעה</w:t>
      </w:r>
      <w:r>
        <w:rPr>
          <w:rFonts w:ascii="David" w:hAnsi="David"/>
          <w:rtl/>
        </w:rPr>
        <w:t xml:space="preserve"> </w:t>
      </w:r>
    </w:p>
    <w:p w14:paraId="54558160"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כאמור, הצדדים הגיעו להסדר טיעון עונשי סגור לפיו ככל שהתסקיר יהיה חיובי ושירות המבחן ימליץ על הארכת המאסר המותנה, הצדדים יעתרו להארכת המאסר המותנה, קנס מתון ופסילת רישיון נהיגה מותנית. ככל שהתסקיר יהיה לא חיובי, הם יסכימו לעונש של 3 חודשי מאסר, שכוללים את הפעלת המאסר המותנה, וירוצו בעבודות שירות וקנס. התביעה תטען  לפסילת רישיון נהיגה בפועל וההגנה תטען לפסילה על תנאי.</w:t>
      </w:r>
    </w:p>
    <w:p w14:paraId="6F512EFE"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 xml:space="preserve">שירות המבחן לא בא בהמלצה על הארכת המאסר המותנה, די בכך כדי לקבוע שלא מתקיימים התנאים עליהם הוסכם להארכת המאסר המותנה. </w:t>
      </w:r>
    </w:p>
    <w:p w14:paraId="1884AE6D"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כמו כן, מעיון בתסקיר עולה שהתסקיר הוא תסקיר לא חיובי. הנאשם אמנם טען שהפסיק את השימוש בסמים בשל ההליך המשפטי המתנהל נגדו וב – 3 בדיקות שמסר לא נמצאו שרידי סם, אולם על פי התרשמותו המקצועית של שירות המבחן לנאשם דפוסים התמכרותיים, הוא מצמצם את דפוסי השימוש שלו בסמים, מתקשה בזיהוי הבעייתיות שבשימוש בסמים, מתקשה בבחינת דפוסיו המכשילים, נוטה להשליך אחריות מעשיו על גורמים חיצוניים, לא מבין לעומק את חומרת מעשיו, עסוק בדימויו העצמי ובאופן בו נתפס על ידי סביבתו, זקוק לטיפול בתחום הסמים כדי למנוע המשך שימוש לרעה בסמים ומסרב להשתלב בטיפול.</w:t>
      </w:r>
    </w:p>
    <w:p w14:paraId="352451A8"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באחד מגזרי הדין שהנאשם הגיש ב</w:t>
      </w:r>
      <w:hyperlink r:id="rId11" w:history="1">
        <w:r w:rsidR="00F763DD" w:rsidRPr="00F763DD">
          <w:rPr>
            <w:rFonts w:ascii="David" w:hAnsi="David"/>
            <w:color w:val="0000FF"/>
            <w:u w:val="single"/>
            <w:rtl/>
          </w:rPr>
          <w:t>ת"פ 41902-03-21</w:t>
        </w:r>
      </w:hyperlink>
      <w:r>
        <w:rPr>
          <w:rFonts w:ascii="David" w:hAnsi="David"/>
          <w:rtl/>
        </w:rPr>
        <w:t xml:space="preserve"> </w:t>
      </w:r>
      <w:r>
        <w:rPr>
          <w:rFonts w:ascii="David" w:hAnsi="David"/>
          <w:b/>
          <w:bCs/>
          <w:rtl/>
        </w:rPr>
        <w:t>מדינת ישראל נ' אדמוב</w:t>
      </w:r>
      <w:r>
        <w:rPr>
          <w:rFonts w:ascii="David" w:hAnsi="David"/>
          <w:rtl/>
        </w:rPr>
        <w:t xml:space="preserve"> (נבו, 05.06.23) בית המשפט קבע כי אין לזקוף לחובת הנאשם את העובדה שהוא שלל צורך טיפולי נוכח העובדה ששלילת צורך טיפולי מתיישבת עם אורח חיים נורמטיבי משך שנים רבות וארוכות, עם שאיפה להמשך ניהול אורח חיים נורמטיבי ועם התרשמות שירות המבחן שהנאשם בעל מערכת ערכים תקינה לרוב והתנהלותו באירוע נשוא כתב האישום אינה מאפיינת את התנהלותו בדרך כלל. </w:t>
      </w:r>
    </w:p>
    <w:p w14:paraId="4D5D6D80" w14:textId="77777777" w:rsidR="00D23B0B" w:rsidRDefault="00D23B0B" w:rsidP="00D23B0B">
      <w:pPr>
        <w:pStyle w:val="a9"/>
        <w:spacing w:before="120" w:after="120" w:line="360" w:lineRule="auto"/>
        <w:ind w:left="360"/>
        <w:contextualSpacing w:val="0"/>
        <w:jc w:val="both"/>
        <w:rPr>
          <w:rFonts w:ascii="David" w:hAnsi="David"/>
        </w:rPr>
      </w:pPr>
      <w:r>
        <w:rPr>
          <w:rFonts w:ascii="David" w:hAnsi="David"/>
          <w:rtl/>
        </w:rPr>
        <w:t>בענייננו המצב שונה -  שירות המבחן התרשם שהנאשם הוא בעל דפוסים התמכרותיים וסבר שהנאשם זקוק להתערבות טיפולית, חרף זאת הנאשם שלל צורך טיפולי.</w:t>
      </w:r>
    </w:p>
    <w:p w14:paraId="143EAEAE"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בהתאם להסדר בין הצדדים,</w:t>
      </w:r>
      <w:r>
        <w:rPr>
          <w:rFonts w:ascii="David" w:hAnsi="David" w:hint="cs"/>
          <w:rtl/>
        </w:rPr>
        <w:t xml:space="preserve"> ככל שהתסקיר לא חיובי ולא ימליץ על הארכת המאסר המותנה, </w:t>
      </w:r>
      <w:r>
        <w:rPr>
          <w:rFonts w:ascii="David" w:hAnsi="David"/>
          <w:rtl/>
        </w:rPr>
        <w:t xml:space="preserve"> הצדדים הסכימו על השתת עונש הכולל 3 חודשי מאסר בפועל, </w:t>
      </w:r>
      <w:r>
        <w:rPr>
          <w:rFonts w:ascii="David" w:hAnsi="David" w:hint="cs"/>
          <w:rtl/>
        </w:rPr>
        <w:t xml:space="preserve">שירוצו בעבודות שירות, </w:t>
      </w:r>
      <w:r>
        <w:rPr>
          <w:rFonts w:ascii="David" w:hAnsi="David"/>
          <w:rtl/>
        </w:rPr>
        <w:t>הכוללים הפעלת המאסר המותנה</w:t>
      </w:r>
      <w:r>
        <w:rPr>
          <w:rFonts w:ascii="David" w:hAnsi="David" w:hint="cs"/>
          <w:rtl/>
        </w:rPr>
        <w:t>,</w:t>
      </w:r>
      <w:r>
        <w:rPr>
          <w:rFonts w:ascii="David" w:hAnsi="David"/>
          <w:rtl/>
        </w:rPr>
        <w:t xml:space="preserve"> קנס</w:t>
      </w:r>
      <w:r>
        <w:rPr>
          <w:rFonts w:ascii="David" w:hAnsi="David" w:hint="cs"/>
          <w:rtl/>
        </w:rPr>
        <w:t xml:space="preserve"> התביעה תטען לפסילה בפועל. </w:t>
      </w:r>
    </w:p>
    <w:p w14:paraId="43C00142"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 xml:space="preserve"> דין והלכה פסוקה, כי ככלל, יכבד בית המשפט הסכמות אליהן הגיעו הצדדים במסגרת הסדר טיעון, כל עוד מצא כי שיקולי התביעה סבירים וכל עוד ההסדר עונה על האיזון הראוי בין האינטרסים והשיקולים השונים. </w:t>
      </w:r>
    </w:p>
    <w:p w14:paraId="37FD15B9" w14:textId="77777777" w:rsidR="00D23B0B" w:rsidRDefault="00D23B0B" w:rsidP="00D23B0B">
      <w:pPr>
        <w:pStyle w:val="a9"/>
        <w:numPr>
          <w:ilvl w:val="0"/>
          <w:numId w:val="1"/>
        </w:numPr>
        <w:spacing w:before="120" w:after="120" w:line="360" w:lineRule="auto"/>
        <w:contextualSpacing w:val="0"/>
        <w:jc w:val="both"/>
        <w:rPr>
          <w:rFonts w:ascii="David" w:hAnsi="David"/>
        </w:rPr>
      </w:pPr>
      <w:r>
        <w:rPr>
          <w:rFonts w:ascii="David" w:hAnsi="David"/>
          <w:rtl/>
        </w:rPr>
        <w:t xml:space="preserve">לאחר ששקלתי את מכלול השיקולים – </w:t>
      </w:r>
    </w:p>
    <w:p w14:paraId="03371E65" w14:textId="77777777" w:rsidR="00D23B0B" w:rsidRDefault="00D23B0B" w:rsidP="00D23B0B">
      <w:pPr>
        <w:pStyle w:val="a9"/>
        <w:spacing w:before="120" w:after="120" w:line="360" w:lineRule="auto"/>
        <w:ind w:left="360"/>
        <w:contextualSpacing w:val="0"/>
        <w:jc w:val="both"/>
        <w:rPr>
          <w:rFonts w:ascii="David" w:eastAsia="Calibri" w:hAnsi="David"/>
        </w:rPr>
      </w:pPr>
      <w:r>
        <w:rPr>
          <w:rFonts w:ascii="David" w:hAnsi="David"/>
          <w:rtl/>
        </w:rPr>
        <w:t xml:space="preserve"> את הערכים החברתיים שנפגעו כתוצאה מביצוע העבירה ובכללם פגיעה בבריאות הציבור,  פגיעה בציבור כתוצאה מהנזקים החברתיים שנגרמים כתוצאה מסמים מסוכנים לרבות ביצוע עבירות נלוות ע"י מי שמשתמש בסמים ופגיעה בשלטון החוק.</w:t>
      </w:r>
    </w:p>
    <w:p w14:paraId="7495C767" w14:textId="77777777" w:rsidR="00D23B0B" w:rsidRDefault="00D23B0B" w:rsidP="00D23B0B">
      <w:pPr>
        <w:pStyle w:val="a9"/>
        <w:spacing w:before="120" w:after="120" w:line="360" w:lineRule="auto"/>
        <w:ind w:left="360"/>
        <w:contextualSpacing w:val="0"/>
        <w:jc w:val="both"/>
        <w:rPr>
          <w:rFonts w:ascii="David" w:hAnsi="David"/>
          <w:rtl/>
        </w:rPr>
      </w:pPr>
      <w:r>
        <w:rPr>
          <w:rFonts w:ascii="David" w:hAnsi="David"/>
          <w:rtl/>
        </w:rPr>
        <w:t>את הנסיבות הקשורות בביצוע העבירה, הרלוונטיות לעניינו של הנאשם, ובכלל</w:t>
      </w:r>
      <w:r>
        <w:rPr>
          <w:rFonts w:ascii="David" w:hAnsi="David"/>
        </w:rPr>
        <w:t xml:space="preserve"> </w:t>
      </w:r>
      <w:r>
        <w:rPr>
          <w:rFonts w:ascii="David" w:hAnsi="David"/>
          <w:rtl/>
        </w:rPr>
        <w:t xml:space="preserve">זה את סוג הסם, כמות הסם והעובדה שהנאשם החזיק בסמים לצריכתו העצמית. </w:t>
      </w:r>
    </w:p>
    <w:p w14:paraId="310FBBE6" w14:textId="77777777" w:rsidR="00D23B0B" w:rsidRDefault="00D23B0B" w:rsidP="00D23B0B">
      <w:pPr>
        <w:spacing w:before="120" w:after="120" w:line="360" w:lineRule="auto"/>
        <w:ind w:left="357"/>
        <w:jc w:val="both"/>
        <w:rPr>
          <w:rFonts w:ascii="David" w:hAnsi="David"/>
          <w:rtl/>
        </w:rPr>
      </w:pPr>
      <w:r>
        <w:rPr>
          <w:rFonts w:ascii="David" w:hAnsi="David"/>
          <w:rtl/>
        </w:rPr>
        <w:t>נסיבות שלא קשורות בביצוע העבירה ובהן עברו הפלילי של הנאשם הכולל הרשעה בעבירה של סיוע להחזקה/ שימוש בסמים שלא לצריכה עצמית, עברו התעבורתי של הנאשם הכולל 15 הרשעות בעבירות ברירת קנס, גורמי הסיכוי והסיכון המפורטים בתסקיר שירות המבחן,  הפגיעה של העונש בנאשם, הודאת הנאשם, שנמסרה בהזדמנות הראשונה וחסכה זמן שיפוטי, חלוף הזמן מעת ביצוע העבירה, שבמהלכן ה</w:t>
      </w:r>
      <w:r>
        <w:rPr>
          <w:rFonts w:ascii="David" w:hAnsi="David" w:hint="cs"/>
          <w:rtl/>
        </w:rPr>
        <w:t>נאשם</w:t>
      </w:r>
      <w:r>
        <w:rPr>
          <w:rFonts w:ascii="David" w:hAnsi="David"/>
          <w:rtl/>
        </w:rPr>
        <w:t xml:space="preserve"> לא עבר עבירות נוספות והעובדה שכנגד הנאשם תלוי ועומד מאסר מותנה</w:t>
      </w:r>
      <w:r>
        <w:rPr>
          <w:rFonts w:ascii="David" w:hAnsi="David" w:hint="cs"/>
          <w:rtl/>
        </w:rPr>
        <w:t xml:space="preserve">, </w:t>
      </w:r>
      <w:r>
        <w:rPr>
          <w:rFonts w:ascii="David" w:hAnsi="David"/>
          <w:rtl/>
        </w:rPr>
        <w:t>אש</w:t>
      </w:r>
      <w:r>
        <w:rPr>
          <w:rFonts w:ascii="David" w:hAnsi="David" w:hint="cs"/>
          <w:rtl/>
        </w:rPr>
        <w:t>ר</w:t>
      </w:r>
      <w:r>
        <w:rPr>
          <w:rFonts w:ascii="David" w:hAnsi="David"/>
          <w:rtl/>
        </w:rPr>
        <w:t xml:space="preserve"> לא היה בו כדי להרתיע אותו מלבצע עבירה נוספת. </w:t>
      </w:r>
    </w:p>
    <w:p w14:paraId="43A82C50" w14:textId="77777777" w:rsidR="00D23B0B" w:rsidRDefault="00D23B0B" w:rsidP="00D23B0B">
      <w:pPr>
        <w:spacing w:before="120" w:after="120" w:line="360" w:lineRule="auto"/>
        <w:ind w:left="357"/>
        <w:jc w:val="both"/>
        <w:rPr>
          <w:rFonts w:ascii="David" w:hAnsi="David"/>
          <w:rtl/>
        </w:rPr>
      </w:pPr>
      <w:r>
        <w:rPr>
          <w:rFonts w:ascii="David" w:hAnsi="David" w:hint="cs"/>
          <w:rtl/>
        </w:rPr>
        <w:t>ואת שיקולי הרתעת היחיד והרבים.</w:t>
      </w:r>
    </w:p>
    <w:p w14:paraId="25B8D706" w14:textId="77777777" w:rsidR="00D23B0B" w:rsidRDefault="00D23B0B" w:rsidP="00D23B0B">
      <w:pPr>
        <w:spacing w:before="120" w:after="120" w:line="360" w:lineRule="auto"/>
        <w:ind w:left="357"/>
        <w:jc w:val="both"/>
        <w:rPr>
          <w:rFonts w:ascii="David" w:hAnsi="David"/>
          <w:rtl/>
        </w:rPr>
      </w:pPr>
      <w:r>
        <w:rPr>
          <w:rFonts w:ascii="David" w:hAnsi="David"/>
          <w:rtl/>
        </w:rPr>
        <w:t>מצאתי כי ההסדר  הוא  סביר ומאוזן ועל כן מצאתי לנכון לכבדו.</w:t>
      </w:r>
    </w:p>
    <w:p w14:paraId="3F1DD27A" w14:textId="77777777" w:rsidR="00D23B0B" w:rsidRDefault="00D23B0B" w:rsidP="00D23B0B">
      <w:pPr>
        <w:pStyle w:val="a9"/>
        <w:numPr>
          <w:ilvl w:val="0"/>
          <w:numId w:val="1"/>
        </w:numPr>
        <w:spacing w:before="120" w:after="120" w:line="360" w:lineRule="auto"/>
        <w:contextualSpacing w:val="0"/>
        <w:jc w:val="both"/>
        <w:rPr>
          <w:rFonts w:ascii="David" w:hAnsi="David"/>
          <w:rtl/>
        </w:rPr>
      </w:pPr>
      <w:r>
        <w:rPr>
          <w:rFonts w:ascii="David" w:hAnsi="David"/>
          <w:rtl/>
        </w:rPr>
        <w:t xml:space="preserve">באשר לבקשת המאשימה להשית על הנאשם פסילת רישיון נהיגה בפועל – לאור כמות הסם שהנאשם החזיק לצריכתו העצמית, הזמן שחלף ממועד ביצוע העבירה במהלכו הוא לא ביצע עבירות נוספות בכלל ולפי </w:t>
      </w:r>
      <w:hyperlink r:id="rId12" w:history="1">
        <w:r w:rsidR="00F763DD" w:rsidRPr="00F763DD">
          <w:rPr>
            <w:rFonts w:ascii="David" w:hAnsi="David"/>
            <w:color w:val="0000FF"/>
            <w:u w:val="single"/>
            <w:rtl/>
          </w:rPr>
          <w:t>פקודת הסמים המסוכנים</w:t>
        </w:r>
      </w:hyperlink>
      <w:r>
        <w:rPr>
          <w:rFonts w:ascii="David" w:hAnsi="David"/>
          <w:rtl/>
        </w:rPr>
        <w:t xml:space="preserve"> בפרט, בדיקות שמסר שנמצאו ללא שרידי סם, טענת הנאשם שעבודתו תיפגע לו יפסל רישיון הנהיגה ופסיקה עניפה שב"כ הנאשם הגיש במסגרתה לא הושת עונש פסילת רישיון נהיגה בפועל במקרים חמורים יותר של גידול / סחר/ החזקה שלא לצריכה עצמית, אסתפק בהטלת עונש של פסילת רישיון נהיגה על תנאי בלבד.</w:t>
      </w:r>
    </w:p>
    <w:p w14:paraId="76206F3A" w14:textId="77777777" w:rsidR="00D23B0B" w:rsidRDefault="00D23B0B" w:rsidP="00D23B0B">
      <w:pPr>
        <w:numPr>
          <w:ilvl w:val="0"/>
          <w:numId w:val="1"/>
        </w:numPr>
        <w:spacing w:before="120" w:after="120" w:line="360" w:lineRule="auto"/>
        <w:jc w:val="both"/>
        <w:rPr>
          <w:rFonts w:ascii="David" w:eastAsia="Calibri" w:hAnsi="David"/>
        </w:rPr>
      </w:pPr>
      <w:r>
        <w:rPr>
          <w:rFonts w:ascii="David" w:hAnsi="David"/>
          <w:rtl/>
        </w:rPr>
        <w:t>לאור כל האמור , אני גוזרת על הנאשם את העונשים הבאים:</w:t>
      </w:r>
    </w:p>
    <w:p w14:paraId="55580D43" w14:textId="77777777" w:rsidR="00D23B0B" w:rsidRDefault="00D23B0B" w:rsidP="00D23B0B">
      <w:pPr>
        <w:pStyle w:val="a9"/>
        <w:numPr>
          <w:ilvl w:val="1"/>
          <w:numId w:val="2"/>
        </w:numPr>
        <w:snapToGrid w:val="0"/>
        <w:spacing w:before="120" w:after="120" w:line="360" w:lineRule="auto"/>
        <w:contextualSpacing w:val="0"/>
        <w:jc w:val="both"/>
        <w:rPr>
          <w:rFonts w:ascii="David" w:hAnsi="David"/>
        </w:rPr>
      </w:pPr>
      <w:r>
        <w:rPr>
          <w:rFonts w:ascii="David" w:hAnsi="David"/>
          <w:rtl/>
        </w:rPr>
        <w:t>חודש מאסר בפועל.</w:t>
      </w:r>
    </w:p>
    <w:p w14:paraId="2E01B3A9" w14:textId="77777777" w:rsidR="00D23B0B" w:rsidRDefault="00D23B0B" w:rsidP="00D23B0B">
      <w:pPr>
        <w:pStyle w:val="a9"/>
        <w:numPr>
          <w:ilvl w:val="1"/>
          <w:numId w:val="2"/>
        </w:numPr>
        <w:snapToGrid w:val="0"/>
        <w:spacing w:before="120" w:after="120" w:line="360" w:lineRule="auto"/>
        <w:contextualSpacing w:val="0"/>
        <w:jc w:val="both"/>
        <w:rPr>
          <w:rFonts w:ascii="David" w:hAnsi="David"/>
        </w:rPr>
      </w:pPr>
      <w:r>
        <w:rPr>
          <w:rFonts w:ascii="David" w:hAnsi="David"/>
          <w:rtl/>
        </w:rPr>
        <w:t>יופעל מאסר מותנה בן 3 חודשים שנגזר ב</w:t>
      </w:r>
      <w:hyperlink r:id="rId13" w:history="1">
        <w:r w:rsidR="00F763DD" w:rsidRPr="00F763DD">
          <w:rPr>
            <w:rFonts w:ascii="David" w:hAnsi="David"/>
            <w:color w:val="0000FF"/>
            <w:u w:val="single"/>
            <w:rtl/>
          </w:rPr>
          <w:t>ת"פ 37644-03-20</w:t>
        </w:r>
      </w:hyperlink>
      <w:r>
        <w:rPr>
          <w:rFonts w:ascii="David" w:hAnsi="David"/>
          <w:rtl/>
        </w:rPr>
        <w:t xml:space="preserve"> ביום 14.06.20, חודש בחופף ו – 2 חודשים במצטבר. </w:t>
      </w:r>
    </w:p>
    <w:p w14:paraId="12561897" w14:textId="77777777" w:rsidR="00D23B0B" w:rsidRDefault="00D23B0B" w:rsidP="00D23B0B">
      <w:pPr>
        <w:pStyle w:val="a9"/>
        <w:snapToGrid w:val="0"/>
        <w:spacing w:before="120" w:after="120" w:line="360" w:lineRule="auto"/>
        <w:ind w:left="785"/>
        <w:contextualSpacing w:val="0"/>
        <w:jc w:val="both"/>
        <w:rPr>
          <w:rFonts w:ascii="David" w:hAnsi="David"/>
        </w:rPr>
      </w:pPr>
      <w:r>
        <w:rPr>
          <w:rFonts w:ascii="David" w:hAnsi="David"/>
          <w:rtl/>
        </w:rPr>
        <w:t xml:space="preserve"> סך הכול יהיה על הנאשם לרצות 3 חודשי מאסר בפועל. </w:t>
      </w:r>
    </w:p>
    <w:p w14:paraId="0BFA0332" w14:textId="77777777" w:rsidR="00D23B0B" w:rsidRDefault="00D23B0B" w:rsidP="00D23B0B">
      <w:pPr>
        <w:pStyle w:val="a9"/>
        <w:snapToGrid w:val="0"/>
        <w:spacing w:before="120" w:after="120" w:line="360" w:lineRule="auto"/>
        <w:ind w:left="864"/>
        <w:contextualSpacing w:val="0"/>
        <w:jc w:val="both"/>
        <w:rPr>
          <w:rFonts w:ascii="David" w:hAnsi="David"/>
          <w:rtl/>
        </w:rPr>
      </w:pPr>
      <w:r>
        <w:rPr>
          <w:rFonts w:ascii="David" w:hAnsi="David"/>
          <w:rtl/>
        </w:rPr>
        <w:t>בהתאם לחוות דעת הממונה על עבודות שירות, הנאשם ירצה את עונש המאסר בישיבת באר התחיה.</w:t>
      </w:r>
    </w:p>
    <w:p w14:paraId="11593A55" w14:textId="77777777" w:rsidR="00D23B0B" w:rsidRDefault="00D23B0B" w:rsidP="00D23B0B">
      <w:pPr>
        <w:pStyle w:val="a9"/>
        <w:snapToGrid w:val="0"/>
        <w:spacing w:before="120" w:after="120" w:line="360" w:lineRule="auto"/>
        <w:ind w:left="864"/>
        <w:contextualSpacing w:val="0"/>
        <w:jc w:val="both"/>
        <w:rPr>
          <w:rFonts w:ascii="David" w:hAnsi="David"/>
          <w:rtl/>
        </w:rPr>
      </w:pPr>
      <w:r>
        <w:rPr>
          <w:rFonts w:ascii="David" w:hAnsi="David"/>
          <w:rtl/>
        </w:rPr>
        <w:t xml:space="preserve">המועד לתחילת ריצוי המאסר </w:t>
      </w:r>
      <w:r>
        <w:rPr>
          <w:rFonts w:ascii="David" w:hAnsi="David" w:hint="cs"/>
          <w:rtl/>
        </w:rPr>
        <w:t xml:space="preserve">בעבודות שירות </w:t>
      </w:r>
      <w:r>
        <w:rPr>
          <w:rFonts w:ascii="David" w:hAnsi="David"/>
          <w:rtl/>
        </w:rPr>
        <w:t>ביום 31.10.24.</w:t>
      </w:r>
    </w:p>
    <w:p w14:paraId="271F85F4" w14:textId="77777777" w:rsidR="00D23B0B" w:rsidRDefault="00D23B0B" w:rsidP="00D23B0B">
      <w:pPr>
        <w:pStyle w:val="a9"/>
        <w:snapToGrid w:val="0"/>
        <w:spacing w:before="120" w:after="120" w:line="360" w:lineRule="auto"/>
        <w:ind w:left="864"/>
        <w:contextualSpacing w:val="0"/>
        <w:jc w:val="both"/>
        <w:rPr>
          <w:rFonts w:ascii="David" w:hAnsi="David"/>
          <w:rtl/>
        </w:rPr>
      </w:pPr>
      <w:r>
        <w:rPr>
          <w:rFonts w:ascii="David" w:hAnsi="David"/>
          <w:rtl/>
        </w:rPr>
        <w:t xml:space="preserve">ביום 31.10.24 בשעה 08:00 הנאשם יתייצב לצורך קליטה והצבה ב-יחידת ברקאי - עבודות שירות - שלוחת דרום - סמוך לכלא באר שבע. </w:t>
      </w:r>
    </w:p>
    <w:p w14:paraId="7F62A885" w14:textId="77777777" w:rsidR="00D23B0B" w:rsidRDefault="00D23B0B" w:rsidP="00D23B0B">
      <w:pPr>
        <w:pStyle w:val="a9"/>
        <w:tabs>
          <w:tab w:val="left" w:pos="368"/>
        </w:tabs>
        <w:spacing w:before="120" w:after="120" w:line="360" w:lineRule="auto"/>
        <w:ind w:left="793"/>
        <w:contextualSpacing w:val="0"/>
        <w:jc w:val="both"/>
        <w:rPr>
          <w:rFonts w:ascii="David" w:hAnsi="David"/>
        </w:rPr>
      </w:pPr>
      <w:r>
        <w:rPr>
          <w:rFonts w:ascii="David" w:hAnsi="David"/>
          <w:rtl/>
        </w:rPr>
        <w:t xml:space="preserve">הנאשם מוזהר כי עליו לעדכן את משרד הממונה בכל שינוי, אם יחול, בכתובת מגוריו ובטלפון הנייד שלו. </w:t>
      </w:r>
    </w:p>
    <w:p w14:paraId="06E7F014" w14:textId="77777777" w:rsidR="00D23B0B" w:rsidRDefault="00D23B0B" w:rsidP="00D23B0B">
      <w:pPr>
        <w:pStyle w:val="a9"/>
        <w:tabs>
          <w:tab w:val="left" w:pos="368"/>
        </w:tabs>
        <w:spacing w:before="120" w:after="120" w:line="360" w:lineRule="auto"/>
        <w:ind w:left="793"/>
        <w:contextualSpacing w:val="0"/>
        <w:jc w:val="both"/>
        <w:rPr>
          <w:rFonts w:ascii="David" w:hAnsi="David"/>
          <w:rtl/>
        </w:rPr>
      </w:pPr>
      <w:r>
        <w:rPr>
          <w:rFonts w:ascii="David" w:hAnsi="David"/>
          <w:rtl/>
        </w:rPr>
        <w:t>הנאשם מוזהר,</w:t>
      </w:r>
      <w:r w:rsidR="00F763DD">
        <w:rPr>
          <w:rFonts w:ascii="David" w:hAnsi="David"/>
        </w:rPr>
        <w:t xml:space="preserve"> </w:t>
      </w:r>
      <w:r>
        <w:rPr>
          <w:rFonts w:ascii="David" w:hAnsi="David"/>
          <w:rtl/>
        </w:rPr>
        <w:t xml:space="preserve">כי עליו לעמוד בתנאי הפיקוח, שכן כל הפרה או אי מילוי עבודות השירות על פי הנחיות המפקח, עלולים להביא להפסקתן ולהמרתן בריצוי יתרת המאסר בפועל. </w:t>
      </w:r>
    </w:p>
    <w:p w14:paraId="0AF1E930" w14:textId="77777777" w:rsidR="00D23B0B" w:rsidRDefault="00D23B0B" w:rsidP="00D23B0B">
      <w:pPr>
        <w:pStyle w:val="a9"/>
        <w:numPr>
          <w:ilvl w:val="1"/>
          <w:numId w:val="2"/>
        </w:numPr>
        <w:snapToGrid w:val="0"/>
        <w:spacing w:before="120" w:after="120" w:line="360" w:lineRule="auto"/>
        <w:ind w:left="793" w:hanging="417"/>
        <w:contextualSpacing w:val="0"/>
        <w:jc w:val="both"/>
        <w:rPr>
          <w:rFonts w:ascii="David" w:hAnsi="David"/>
          <w:rtl/>
        </w:rPr>
      </w:pPr>
      <w:r>
        <w:rPr>
          <w:rFonts w:ascii="David" w:hAnsi="David"/>
          <w:rtl/>
        </w:rPr>
        <w:t xml:space="preserve">קנס כספי בסך </w:t>
      </w:r>
      <w:r>
        <w:rPr>
          <w:rFonts w:ascii="David" w:hAnsi="David" w:hint="cs"/>
          <w:rtl/>
        </w:rPr>
        <w:t>1,000</w:t>
      </w:r>
      <w:r>
        <w:rPr>
          <w:rFonts w:ascii="David" w:hAnsi="David"/>
          <w:rtl/>
        </w:rPr>
        <w:t xml:space="preserve"> ₪ או </w:t>
      </w:r>
      <w:r>
        <w:rPr>
          <w:rFonts w:ascii="David" w:hAnsi="David" w:hint="cs"/>
          <w:rtl/>
        </w:rPr>
        <w:t>10</w:t>
      </w:r>
      <w:r>
        <w:rPr>
          <w:rFonts w:ascii="David" w:hAnsi="David"/>
          <w:rtl/>
        </w:rPr>
        <w:t xml:space="preserve"> ימי מאסר תמורתו. הקנס ישולם עד ליום 15.11.24.</w:t>
      </w:r>
    </w:p>
    <w:p w14:paraId="7D8B9992" w14:textId="77777777" w:rsidR="00D23B0B" w:rsidRDefault="00D23B0B" w:rsidP="00D23B0B">
      <w:pPr>
        <w:snapToGrid w:val="0"/>
        <w:spacing w:before="120" w:after="120" w:line="360" w:lineRule="auto"/>
        <w:ind w:left="366" w:firstLine="482"/>
        <w:jc w:val="both"/>
        <w:rPr>
          <w:rFonts w:ascii="David" w:hAnsi="David"/>
        </w:rPr>
      </w:pPr>
      <w:r>
        <w:rPr>
          <w:rFonts w:ascii="David" w:hAnsi="David"/>
          <w:rtl/>
        </w:rPr>
        <w:t xml:space="preserve"> </w:t>
      </w:r>
      <w:r>
        <w:rPr>
          <w:rFonts w:ascii="David" w:hAnsi="David" w:hint="cs"/>
          <w:b/>
          <w:bCs/>
          <w:rtl/>
        </w:rPr>
        <w:t>את הקנס ניתן לשלם כעבור 3 ימים מהיום באחת מהדרכים הבאות:</w:t>
      </w:r>
    </w:p>
    <w:p w14:paraId="6F8F6CA6" w14:textId="77777777" w:rsidR="00D23B0B" w:rsidRDefault="00D23B0B" w:rsidP="00D23B0B">
      <w:pPr>
        <w:numPr>
          <w:ilvl w:val="0"/>
          <w:numId w:val="3"/>
        </w:numPr>
        <w:spacing w:before="120" w:after="120" w:line="360" w:lineRule="auto"/>
        <w:ind w:left="990" w:hanging="284"/>
        <w:jc w:val="both"/>
        <w:rPr>
          <w:rFonts w:ascii="David" w:hAnsi="David"/>
          <w:b/>
          <w:bCs/>
        </w:rPr>
      </w:pPr>
      <w:r>
        <w:rPr>
          <w:rFonts w:ascii="David" w:hAnsi="David"/>
          <w:b/>
          <w:bCs/>
          <w:rtl/>
        </w:rPr>
        <w:t xml:space="preserve">תשלום בכרטיס אשראי באמצעות האתר המקוון של רשות האכיפה והגבייה בכתובת: </w:t>
      </w:r>
      <w:hyperlink w:history="1">
        <w:r w:rsidRPr="00F763DD">
          <w:rPr>
            <w:rStyle w:val="Hyperlink"/>
            <w:rFonts w:ascii="David" w:hAnsi="David"/>
            <w:color w:val="000000"/>
            <w:u w:val="none"/>
          </w:rPr>
          <w:t>-Hyperlink Removed-</w:t>
        </w:r>
      </w:hyperlink>
      <w:r>
        <w:rPr>
          <w:rFonts w:ascii="David" w:hAnsi="David"/>
          <w:b/>
          <w:bCs/>
          <w:rtl/>
        </w:rPr>
        <w:t>.</w:t>
      </w:r>
    </w:p>
    <w:p w14:paraId="6C480AD2" w14:textId="77777777" w:rsidR="00D23B0B" w:rsidRDefault="00D23B0B" w:rsidP="00D23B0B">
      <w:pPr>
        <w:numPr>
          <w:ilvl w:val="0"/>
          <w:numId w:val="3"/>
        </w:numPr>
        <w:spacing w:before="120" w:after="120" w:line="360" w:lineRule="auto"/>
        <w:ind w:left="990" w:hanging="284"/>
        <w:jc w:val="both"/>
        <w:rPr>
          <w:rFonts w:ascii="David" w:hAnsi="David"/>
          <w:b/>
          <w:bCs/>
        </w:rPr>
      </w:pPr>
      <w:r>
        <w:rPr>
          <w:rFonts w:ascii="David" w:hAnsi="David"/>
          <w:b/>
          <w:bCs/>
          <w:rtl/>
        </w:rPr>
        <w:t>תשלום בשירות עצמי באמצעות מוקד שירות טלפוני של מרכז הגבייה, בטלפון שמספרו 35592* או, 073-205-5000.</w:t>
      </w:r>
    </w:p>
    <w:p w14:paraId="22D4177F" w14:textId="77777777" w:rsidR="00D23B0B" w:rsidRDefault="00D23B0B" w:rsidP="00D23B0B">
      <w:pPr>
        <w:numPr>
          <w:ilvl w:val="0"/>
          <w:numId w:val="3"/>
        </w:numPr>
        <w:spacing w:before="120" w:after="120" w:line="360" w:lineRule="auto"/>
        <w:ind w:left="990" w:hanging="284"/>
        <w:jc w:val="both"/>
        <w:rPr>
          <w:rFonts w:ascii="David" w:hAnsi="David"/>
          <w:b/>
          <w:bCs/>
          <w:rtl/>
        </w:rPr>
      </w:pPr>
      <w:r>
        <w:rPr>
          <w:rFonts w:ascii="David" w:hAnsi="David"/>
          <w:b/>
          <w:bCs/>
          <w:rtl/>
        </w:rPr>
        <w:t>תשלום במזומן בכל סניף של בנק הדואר, בהצגת תעודת זהות בלבד (אין צורך בהצגת שוברי תשלום)</w:t>
      </w:r>
    </w:p>
    <w:p w14:paraId="3D962AB2" w14:textId="77777777" w:rsidR="00D23B0B" w:rsidRDefault="00D23B0B" w:rsidP="00D23B0B">
      <w:pPr>
        <w:pStyle w:val="a9"/>
        <w:numPr>
          <w:ilvl w:val="1"/>
          <w:numId w:val="2"/>
        </w:numPr>
        <w:snapToGrid w:val="0"/>
        <w:spacing w:before="120" w:after="120" w:line="360" w:lineRule="auto"/>
        <w:ind w:left="793" w:hanging="417"/>
        <w:contextualSpacing w:val="0"/>
        <w:jc w:val="both"/>
        <w:rPr>
          <w:rFonts w:ascii="David" w:hAnsi="David"/>
        </w:rPr>
      </w:pPr>
      <w:r>
        <w:rPr>
          <w:rFonts w:ascii="David" w:hAnsi="David" w:hint="cs"/>
          <w:rtl/>
        </w:rPr>
        <w:t>3</w:t>
      </w:r>
      <w:r>
        <w:rPr>
          <w:rFonts w:ascii="David" w:hAnsi="David"/>
          <w:rtl/>
        </w:rPr>
        <w:t xml:space="preserve"> חודשי פסילת רישיון נהיגה על תנאי, שלא יעבור עבירה על </w:t>
      </w:r>
      <w:hyperlink r:id="rId14" w:history="1">
        <w:r w:rsidR="00F763DD" w:rsidRPr="00F763DD">
          <w:rPr>
            <w:rFonts w:ascii="David" w:hAnsi="David"/>
            <w:color w:val="0000FF"/>
            <w:u w:val="single"/>
            <w:rtl/>
          </w:rPr>
          <w:t>פקודת הסמים המסוכנים</w:t>
        </w:r>
      </w:hyperlink>
      <w:r>
        <w:rPr>
          <w:rFonts w:ascii="David" w:hAnsi="David"/>
          <w:rtl/>
        </w:rPr>
        <w:t xml:space="preserve"> </w:t>
      </w:r>
      <w:r>
        <w:rPr>
          <w:rFonts w:ascii="David" w:hAnsi="David" w:hint="cs"/>
          <w:rtl/>
        </w:rPr>
        <w:t xml:space="preserve">מסוג פשע </w:t>
      </w:r>
      <w:r>
        <w:rPr>
          <w:rFonts w:ascii="David" w:hAnsi="David"/>
          <w:rtl/>
        </w:rPr>
        <w:t>למשך 3 שנים מהיום.</w:t>
      </w:r>
    </w:p>
    <w:p w14:paraId="44F0B40C" w14:textId="77777777" w:rsidR="00D23B0B" w:rsidRDefault="00D23B0B" w:rsidP="00D23B0B">
      <w:pPr>
        <w:snapToGrid w:val="0"/>
        <w:spacing w:before="120" w:after="120" w:line="360" w:lineRule="auto"/>
        <w:ind w:left="425"/>
        <w:jc w:val="both"/>
        <w:rPr>
          <w:rFonts w:ascii="David" w:hAnsi="David"/>
        </w:rPr>
      </w:pPr>
      <w:r>
        <w:rPr>
          <w:rFonts w:ascii="David" w:hAnsi="David"/>
          <w:rtl/>
        </w:rPr>
        <w:t>ניתן צו להשמדת הסמים.</w:t>
      </w:r>
    </w:p>
    <w:p w14:paraId="613811D7" w14:textId="77777777" w:rsidR="00D23B0B" w:rsidRDefault="00F763DD" w:rsidP="00D23B0B">
      <w:pPr>
        <w:spacing w:before="120" w:after="120" w:line="360" w:lineRule="auto"/>
        <w:ind w:left="366"/>
        <w:jc w:val="both"/>
        <w:rPr>
          <w:rFonts w:ascii="David" w:hAnsi="David"/>
          <w:rtl/>
        </w:rPr>
      </w:pPr>
      <w:r w:rsidRPr="00F763DD">
        <w:rPr>
          <w:rFonts w:ascii="David" w:hAnsi="David"/>
          <w:b/>
          <w:bCs/>
          <w:color w:val="FFFFFF"/>
          <w:sz w:val="2"/>
          <w:szCs w:val="2"/>
          <w:u w:val="single"/>
          <w:rtl/>
        </w:rPr>
        <w:t>5129371</w:t>
      </w:r>
      <w:r w:rsidR="00D23B0B">
        <w:rPr>
          <w:rFonts w:ascii="David" w:hAnsi="David"/>
          <w:b/>
          <w:bCs/>
          <w:u w:val="single"/>
          <w:rtl/>
        </w:rPr>
        <w:t>המזכירות תשלח העתק גזר הדין לשירות המבחן ולממונה על עבודות השירות.</w:t>
      </w:r>
    </w:p>
    <w:p w14:paraId="3F114B02" w14:textId="77777777" w:rsidR="00D23B0B" w:rsidRDefault="00F763DD" w:rsidP="00D23B0B">
      <w:pPr>
        <w:spacing w:before="120" w:after="120" w:line="360" w:lineRule="auto"/>
        <w:ind w:left="366"/>
        <w:jc w:val="both"/>
        <w:rPr>
          <w:rFonts w:ascii="David" w:hAnsi="David"/>
          <w:b/>
          <w:bCs/>
          <w:u w:val="single"/>
        </w:rPr>
      </w:pPr>
      <w:r w:rsidRPr="00F763DD">
        <w:rPr>
          <w:rFonts w:ascii="David" w:hAnsi="David"/>
          <w:b/>
          <w:bCs/>
          <w:color w:val="FFFFFF"/>
          <w:sz w:val="2"/>
          <w:szCs w:val="2"/>
          <w:u w:val="single"/>
          <w:rtl/>
        </w:rPr>
        <w:t>54678313</w:t>
      </w:r>
      <w:r w:rsidR="00D23B0B">
        <w:rPr>
          <w:rFonts w:ascii="David" w:hAnsi="David"/>
          <w:b/>
          <w:bCs/>
          <w:u w:val="single"/>
          <w:rtl/>
        </w:rPr>
        <w:t>זכות ערעור תוך 45 יום מהיום לבית-המשפט המחוזי בבאר-שבע.</w:t>
      </w:r>
    </w:p>
    <w:p w14:paraId="157766C4" w14:textId="77777777" w:rsidR="00D23B0B" w:rsidRPr="00992E13" w:rsidRDefault="00D23B0B" w:rsidP="00D23B0B">
      <w:pPr>
        <w:rPr>
          <w:rFonts w:ascii="Arial" w:hAnsi="Arial"/>
          <w:b/>
          <w:bCs/>
          <w:sz w:val="26"/>
          <w:szCs w:val="26"/>
          <w:rtl/>
        </w:rPr>
      </w:pPr>
    </w:p>
    <w:p w14:paraId="20AE3B48" w14:textId="77777777" w:rsidR="00D23B0B" w:rsidRPr="000F2247" w:rsidRDefault="00F763DD" w:rsidP="00D23B0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אלול תשפ"ד, 23 ספטמבר 2024, במעמד הצדדים. </w:t>
      </w:r>
      <w:bookmarkEnd w:id="8"/>
      <w:r w:rsidR="00D23B0B">
        <w:rPr>
          <w:rFonts w:ascii="Arial" w:hAnsi="Arial"/>
          <w:b/>
          <w:bCs/>
          <w:sz w:val="26"/>
          <w:szCs w:val="26"/>
          <w:rtl/>
        </w:rPr>
        <w:tab/>
      </w:r>
      <w:r w:rsidR="00D23B0B">
        <w:rPr>
          <w:rFonts w:ascii="Arial" w:hAnsi="Arial"/>
          <w:b/>
          <w:bCs/>
          <w:sz w:val="26"/>
          <w:szCs w:val="26"/>
          <w:rtl/>
        </w:rPr>
        <w:tab/>
      </w:r>
      <w:r w:rsidR="00D23B0B">
        <w:rPr>
          <w:rFonts w:ascii="Arial" w:hAnsi="Arial"/>
          <w:b/>
          <w:bCs/>
          <w:sz w:val="26"/>
          <w:szCs w:val="26"/>
          <w:rtl/>
        </w:rPr>
        <w:tab/>
      </w:r>
      <w:r w:rsidR="00D23B0B">
        <w:rPr>
          <w:rFonts w:ascii="Arial" w:hAnsi="Arial"/>
          <w:b/>
          <w:bCs/>
          <w:sz w:val="26"/>
          <w:szCs w:val="26"/>
          <w:rtl/>
        </w:rPr>
        <w:tab/>
      </w:r>
      <w:r w:rsidR="00D23B0B">
        <w:rPr>
          <w:rFonts w:ascii="Arial" w:hAnsi="Arial"/>
          <w:b/>
          <w:bCs/>
          <w:sz w:val="26"/>
          <w:szCs w:val="26"/>
          <w:rtl/>
        </w:rPr>
        <w:tab/>
      </w:r>
      <w:r w:rsidR="00D23B0B">
        <w:rPr>
          <w:rFonts w:ascii="Arial" w:hAnsi="Arial"/>
          <w:b/>
          <w:bCs/>
          <w:sz w:val="26"/>
          <w:szCs w:val="26"/>
          <w:rtl/>
        </w:rPr>
        <w:tab/>
      </w:r>
      <w:r w:rsidR="00D23B0B">
        <w:rPr>
          <w:rFonts w:ascii="Arial" w:hAnsi="Arial"/>
          <w:b/>
          <w:bCs/>
          <w:sz w:val="26"/>
          <w:szCs w:val="26"/>
          <w:rtl/>
        </w:rPr>
        <w:tab/>
      </w:r>
      <w:r w:rsidR="00D23B0B">
        <w:rPr>
          <w:rFonts w:ascii="Arial" w:hAnsi="Arial" w:hint="cs"/>
          <w:b/>
          <w:bCs/>
          <w:sz w:val="26"/>
          <w:szCs w:val="26"/>
          <w:rtl/>
        </w:rPr>
        <w:t xml:space="preserve">         </w:t>
      </w:r>
    </w:p>
    <w:p w14:paraId="5724F6F9" w14:textId="77777777" w:rsidR="00D23B0B" w:rsidRPr="000F2247" w:rsidRDefault="00D23B0B" w:rsidP="00F763DD">
      <w:pPr>
        <w:bidi w:val="0"/>
        <w:jc w:val="both"/>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02382AD" w14:textId="77777777" w:rsidR="00D23B0B" w:rsidRPr="000F2247" w:rsidRDefault="00D23B0B" w:rsidP="00D23B0B">
      <w:pPr>
        <w:bidi w:val="0"/>
        <w:jc w:val="both"/>
        <w:rPr>
          <w:rFonts w:ascii="Arial" w:hAnsi="Arial"/>
          <w:b/>
          <w:bCs/>
          <w:sz w:val="26"/>
          <w:szCs w:val="26"/>
          <w:rtl/>
        </w:rPr>
      </w:pPr>
    </w:p>
    <w:p w14:paraId="2D5906FB" w14:textId="77777777" w:rsidR="00F10063" w:rsidRPr="00F763DD" w:rsidRDefault="00F10063" w:rsidP="00F763DD">
      <w:pPr>
        <w:keepNext/>
        <w:rPr>
          <w:rFonts w:ascii="David" w:hAnsi="David" w:hint="cs"/>
          <w:color w:val="000000"/>
          <w:sz w:val="22"/>
          <w:szCs w:val="22"/>
          <w:rtl/>
        </w:rPr>
      </w:pPr>
    </w:p>
    <w:p w14:paraId="4B6DA6BF" w14:textId="77777777" w:rsidR="00F763DD" w:rsidRPr="00F763DD" w:rsidRDefault="00F763DD" w:rsidP="00F763DD">
      <w:pPr>
        <w:keepNext/>
        <w:rPr>
          <w:rFonts w:ascii="David" w:hAnsi="David"/>
          <w:color w:val="000000"/>
          <w:sz w:val="22"/>
          <w:szCs w:val="22"/>
          <w:rtl/>
        </w:rPr>
      </w:pPr>
      <w:r w:rsidRPr="00F763DD">
        <w:rPr>
          <w:rFonts w:ascii="David" w:hAnsi="David"/>
          <w:color w:val="000000"/>
          <w:sz w:val="22"/>
          <w:szCs w:val="22"/>
          <w:rtl/>
        </w:rPr>
        <w:t>אורית קרץ 54678313</w:t>
      </w:r>
    </w:p>
    <w:p w14:paraId="48A2C5E0" w14:textId="77777777" w:rsidR="00F763DD" w:rsidRDefault="00F763DD" w:rsidP="00F763DD">
      <w:r w:rsidRPr="00F763DD">
        <w:rPr>
          <w:color w:val="000000"/>
          <w:rtl/>
        </w:rPr>
        <w:t>נוסח מסמך זה כפוף לשינויי ניסוח ועריכה</w:t>
      </w:r>
    </w:p>
    <w:p w14:paraId="278E1012" w14:textId="77777777" w:rsidR="00F763DD" w:rsidRDefault="00F763DD" w:rsidP="00F763DD">
      <w:pPr>
        <w:rPr>
          <w:rtl/>
        </w:rPr>
      </w:pPr>
    </w:p>
    <w:p w14:paraId="100B5962" w14:textId="77777777" w:rsidR="00F763DD" w:rsidRDefault="00F763DD" w:rsidP="00F763DD">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1E70CC16" w14:textId="77777777" w:rsidR="00F763DD" w:rsidRPr="00F763DD" w:rsidRDefault="00F763DD" w:rsidP="00F763DD">
      <w:pPr>
        <w:jc w:val="center"/>
        <w:rPr>
          <w:rFonts w:hint="cs"/>
          <w:color w:val="0000FF"/>
          <w:u w:val="single"/>
        </w:rPr>
      </w:pPr>
    </w:p>
    <w:sectPr w:rsidR="00F763DD" w:rsidRPr="00F763DD" w:rsidSect="00F763DD">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DAB71" w14:textId="77777777" w:rsidR="00AC5515" w:rsidRDefault="00AC5515" w:rsidP="00D86542">
      <w:r>
        <w:separator/>
      </w:r>
    </w:p>
  </w:endnote>
  <w:endnote w:type="continuationSeparator" w:id="0">
    <w:p w14:paraId="02171507" w14:textId="77777777" w:rsidR="00AC5515" w:rsidRDefault="00AC5515" w:rsidP="00D86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6F86D" w14:textId="77777777" w:rsidR="00F763DD" w:rsidRDefault="00F763DD" w:rsidP="00F763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C54855" w14:textId="77777777" w:rsidR="00BE0DF6" w:rsidRPr="00F763DD" w:rsidRDefault="00F763DD" w:rsidP="00F763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44AA7" w14:textId="77777777" w:rsidR="00F763DD" w:rsidRDefault="00F763DD" w:rsidP="00F763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7716">
      <w:rPr>
        <w:rFonts w:ascii="FrankRuehl" w:hAnsi="FrankRuehl" w:cs="FrankRuehl"/>
        <w:noProof/>
        <w:rtl/>
      </w:rPr>
      <w:t>1</w:t>
    </w:r>
    <w:r>
      <w:rPr>
        <w:rFonts w:ascii="FrankRuehl" w:hAnsi="FrankRuehl" w:cs="FrankRuehl"/>
        <w:rtl/>
      </w:rPr>
      <w:fldChar w:fldCharType="end"/>
    </w:r>
  </w:p>
  <w:p w14:paraId="68C0A2F6" w14:textId="77777777" w:rsidR="00BE0DF6" w:rsidRPr="00F763DD" w:rsidRDefault="00F763DD" w:rsidP="00F763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68CB2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84963" w14:textId="77777777" w:rsidR="00AC5515" w:rsidRDefault="00AC5515" w:rsidP="00D86542">
      <w:r>
        <w:separator/>
      </w:r>
    </w:p>
  </w:footnote>
  <w:footnote w:type="continuationSeparator" w:id="0">
    <w:p w14:paraId="2AAB428D" w14:textId="77777777" w:rsidR="00AC5515" w:rsidRDefault="00AC5515" w:rsidP="00D86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79BAE" w14:textId="77777777" w:rsidR="00F763DD" w:rsidRPr="00F763DD" w:rsidRDefault="00F763DD" w:rsidP="00F763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72603-01-23</w:t>
    </w:r>
    <w:r>
      <w:rPr>
        <w:rFonts w:ascii="David" w:hAnsi="David"/>
        <w:color w:val="000000"/>
        <w:sz w:val="22"/>
        <w:szCs w:val="22"/>
        <w:rtl/>
      </w:rPr>
      <w:tab/>
      <w:t xml:space="preserve"> מדינת ישראל נ' יעקב נזירוב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A8C4F" w14:textId="77777777" w:rsidR="00F763DD" w:rsidRPr="00F763DD" w:rsidRDefault="00F763DD" w:rsidP="00F763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72603-01-23</w:t>
    </w:r>
    <w:r>
      <w:rPr>
        <w:rFonts w:ascii="David" w:hAnsi="David"/>
        <w:color w:val="000000"/>
        <w:sz w:val="22"/>
        <w:szCs w:val="22"/>
        <w:rtl/>
      </w:rPr>
      <w:tab/>
      <w:t xml:space="preserve"> מדינת ישראל נ' יעקב נזירוב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C97"/>
    <w:multiLevelType w:val="hybridMultilevel"/>
    <w:tmpl w:val="C69014C0"/>
    <w:lvl w:ilvl="0" w:tplc="CDDAC2B4">
      <w:start w:val="1"/>
      <w:numFmt w:val="decimal"/>
      <w:lvlText w:val="%1."/>
      <w:lvlJc w:val="left"/>
      <w:pPr>
        <w:ind w:left="360" w:hanging="360"/>
      </w:pPr>
      <w:rPr>
        <w:rFonts w:ascii="Times New Roman" w:hAnsi="Times New Roman" w:cs="David" w:hint="default"/>
        <w:bCs w:val="0"/>
        <w:iCs w:val="0"/>
        <w:color w:val="auto"/>
        <w:szCs w:val="24"/>
        <w:lang w:bidi="he-IL"/>
      </w:rPr>
    </w:lvl>
    <w:lvl w:ilvl="1" w:tplc="429A6814">
      <w:start w:val="1"/>
      <w:numFmt w:val="hebrew1"/>
      <w:lvlText w:val="%2."/>
      <w:lvlJc w:val="center"/>
      <w:pPr>
        <w:ind w:left="785" w:hanging="360"/>
      </w:pPr>
      <w:rPr>
        <w:color w:val="auto"/>
      </w:rPr>
    </w:lvl>
    <w:lvl w:ilvl="2" w:tplc="E626EF10">
      <w:start w:val="1"/>
      <w:numFmt w:val="lowerRoman"/>
      <w:lvlText w:val="%3."/>
      <w:lvlJc w:val="right"/>
      <w:pPr>
        <w:ind w:left="2160" w:hanging="180"/>
      </w:pPr>
    </w:lvl>
    <w:lvl w:ilvl="3" w:tplc="B8203826">
      <w:start w:val="1"/>
      <w:numFmt w:val="decimal"/>
      <w:lvlText w:val="%4."/>
      <w:lvlJc w:val="left"/>
      <w:pPr>
        <w:ind w:left="2880" w:hanging="360"/>
      </w:pPr>
    </w:lvl>
    <w:lvl w:ilvl="4" w:tplc="749ABE70">
      <w:start w:val="1"/>
      <w:numFmt w:val="lowerLetter"/>
      <w:lvlText w:val="%5."/>
      <w:lvlJc w:val="left"/>
      <w:pPr>
        <w:ind w:left="3600" w:hanging="360"/>
      </w:pPr>
    </w:lvl>
    <w:lvl w:ilvl="5" w:tplc="7ED66430">
      <w:start w:val="1"/>
      <w:numFmt w:val="lowerRoman"/>
      <w:lvlText w:val="%6."/>
      <w:lvlJc w:val="right"/>
      <w:pPr>
        <w:ind w:left="4320" w:hanging="180"/>
      </w:pPr>
    </w:lvl>
    <w:lvl w:ilvl="6" w:tplc="E578D368">
      <w:start w:val="1"/>
      <w:numFmt w:val="decimal"/>
      <w:lvlText w:val="%7."/>
      <w:lvlJc w:val="left"/>
      <w:pPr>
        <w:ind w:left="5040" w:hanging="360"/>
      </w:pPr>
    </w:lvl>
    <w:lvl w:ilvl="7" w:tplc="FBD85150">
      <w:start w:val="1"/>
      <w:numFmt w:val="lowerLetter"/>
      <w:lvlText w:val="%8."/>
      <w:lvlJc w:val="left"/>
      <w:pPr>
        <w:ind w:left="5760" w:hanging="360"/>
      </w:pPr>
    </w:lvl>
    <w:lvl w:ilvl="8" w:tplc="D9BA3450">
      <w:start w:val="1"/>
      <w:numFmt w:val="lowerRoman"/>
      <w:lvlText w:val="%9."/>
      <w:lvlJc w:val="right"/>
      <w:pPr>
        <w:ind w:left="6480" w:hanging="180"/>
      </w:pPr>
    </w:lvl>
  </w:abstractNum>
  <w:abstractNum w:abstractNumId="1" w15:restartNumberingAfterBreak="0">
    <w:nsid w:val="5BFD4701"/>
    <w:multiLevelType w:val="hybridMultilevel"/>
    <w:tmpl w:val="45320168"/>
    <w:lvl w:ilvl="0" w:tplc="0D0E1998">
      <w:start w:val="1"/>
      <w:numFmt w:val="bullet"/>
      <w:lvlText w:val=""/>
      <w:lvlJc w:val="left"/>
      <w:pPr>
        <w:ind w:left="720" w:hanging="360"/>
      </w:pPr>
      <w:rPr>
        <w:rFonts w:ascii="Symbol" w:hAnsi="Symbol" w:hint="default"/>
      </w:rPr>
    </w:lvl>
    <w:lvl w:ilvl="1" w:tplc="63901912">
      <w:start w:val="1"/>
      <w:numFmt w:val="bullet"/>
      <w:lvlText w:val="o"/>
      <w:lvlJc w:val="left"/>
      <w:pPr>
        <w:ind w:left="1440" w:hanging="360"/>
      </w:pPr>
      <w:rPr>
        <w:rFonts w:ascii="Courier New" w:hAnsi="Courier New" w:cs="Times New Roman" w:hint="default"/>
      </w:rPr>
    </w:lvl>
    <w:lvl w:ilvl="2" w:tplc="4B8EFB68">
      <w:start w:val="1"/>
      <w:numFmt w:val="bullet"/>
      <w:lvlText w:val=""/>
      <w:lvlJc w:val="left"/>
      <w:pPr>
        <w:ind w:left="2160" w:hanging="360"/>
      </w:pPr>
      <w:rPr>
        <w:rFonts w:ascii="Wingdings" w:hAnsi="Wingdings" w:hint="default"/>
      </w:rPr>
    </w:lvl>
    <w:lvl w:ilvl="3" w:tplc="75ACC554">
      <w:start w:val="1"/>
      <w:numFmt w:val="bullet"/>
      <w:lvlText w:val=""/>
      <w:lvlJc w:val="left"/>
      <w:pPr>
        <w:ind w:left="2880" w:hanging="360"/>
      </w:pPr>
      <w:rPr>
        <w:rFonts w:ascii="Symbol" w:hAnsi="Symbol" w:hint="default"/>
      </w:rPr>
    </w:lvl>
    <w:lvl w:ilvl="4" w:tplc="ACB2ACEE">
      <w:start w:val="1"/>
      <w:numFmt w:val="bullet"/>
      <w:lvlText w:val="o"/>
      <w:lvlJc w:val="left"/>
      <w:pPr>
        <w:ind w:left="3600" w:hanging="360"/>
      </w:pPr>
      <w:rPr>
        <w:rFonts w:ascii="Courier New" w:hAnsi="Courier New" w:cs="Times New Roman" w:hint="default"/>
      </w:rPr>
    </w:lvl>
    <w:lvl w:ilvl="5" w:tplc="A5D0A97E">
      <w:start w:val="1"/>
      <w:numFmt w:val="bullet"/>
      <w:lvlText w:val=""/>
      <w:lvlJc w:val="left"/>
      <w:pPr>
        <w:ind w:left="4320" w:hanging="360"/>
      </w:pPr>
      <w:rPr>
        <w:rFonts w:ascii="Wingdings" w:hAnsi="Wingdings" w:hint="default"/>
      </w:rPr>
    </w:lvl>
    <w:lvl w:ilvl="6" w:tplc="D172AB76">
      <w:start w:val="1"/>
      <w:numFmt w:val="bullet"/>
      <w:lvlText w:val=""/>
      <w:lvlJc w:val="left"/>
      <w:pPr>
        <w:ind w:left="5040" w:hanging="360"/>
      </w:pPr>
      <w:rPr>
        <w:rFonts w:ascii="Symbol" w:hAnsi="Symbol" w:hint="default"/>
      </w:rPr>
    </w:lvl>
    <w:lvl w:ilvl="7" w:tplc="64129378">
      <w:start w:val="1"/>
      <w:numFmt w:val="bullet"/>
      <w:lvlText w:val="o"/>
      <w:lvlJc w:val="left"/>
      <w:pPr>
        <w:ind w:left="5760" w:hanging="360"/>
      </w:pPr>
      <w:rPr>
        <w:rFonts w:ascii="Courier New" w:hAnsi="Courier New" w:cs="Times New Roman" w:hint="default"/>
      </w:rPr>
    </w:lvl>
    <w:lvl w:ilvl="8" w:tplc="EA7C1E8A">
      <w:start w:val="1"/>
      <w:numFmt w:val="bullet"/>
      <w:lvlText w:val=""/>
      <w:lvlJc w:val="left"/>
      <w:pPr>
        <w:ind w:left="6480" w:hanging="360"/>
      </w:pPr>
      <w:rPr>
        <w:rFonts w:ascii="Wingdings" w:hAnsi="Wingdings" w:hint="default"/>
      </w:rPr>
    </w:lvl>
  </w:abstractNum>
  <w:abstractNum w:abstractNumId="2" w15:restartNumberingAfterBreak="0">
    <w:nsid w:val="5CC65894"/>
    <w:multiLevelType w:val="hybridMultilevel"/>
    <w:tmpl w:val="5C3A8380"/>
    <w:lvl w:ilvl="0" w:tplc="CDDAC2B4">
      <w:start w:val="1"/>
      <w:numFmt w:val="decimal"/>
      <w:lvlText w:val="%1."/>
      <w:lvlJc w:val="left"/>
      <w:pPr>
        <w:ind w:left="360" w:hanging="360"/>
      </w:pPr>
      <w:rPr>
        <w:rFonts w:ascii="Times New Roman" w:hAnsi="Times New Roman" w:cs="David" w:hint="default"/>
        <w:bCs w:val="0"/>
        <w:iCs w:val="0"/>
        <w:color w:val="auto"/>
        <w:szCs w:val="24"/>
        <w:lang w:bidi="he-IL"/>
      </w:rPr>
    </w:lvl>
    <w:lvl w:ilvl="1" w:tplc="429A6814">
      <w:start w:val="1"/>
      <w:numFmt w:val="hebrew1"/>
      <w:lvlText w:val="%2."/>
      <w:lvlJc w:val="center"/>
      <w:pPr>
        <w:ind w:left="785" w:hanging="360"/>
      </w:pPr>
      <w:rPr>
        <w:color w:val="auto"/>
      </w:rPr>
    </w:lvl>
    <w:lvl w:ilvl="2" w:tplc="E626EF10">
      <w:start w:val="1"/>
      <w:numFmt w:val="lowerRoman"/>
      <w:lvlText w:val="%3."/>
      <w:lvlJc w:val="right"/>
      <w:pPr>
        <w:ind w:left="2160" w:hanging="180"/>
      </w:pPr>
    </w:lvl>
    <w:lvl w:ilvl="3" w:tplc="B8203826">
      <w:start w:val="1"/>
      <w:numFmt w:val="decimal"/>
      <w:lvlText w:val="%4."/>
      <w:lvlJc w:val="left"/>
      <w:pPr>
        <w:ind w:left="2880" w:hanging="360"/>
      </w:pPr>
    </w:lvl>
    <w:lvl w:ilvl="4" w:tplc="749ABE70">
      <w:start w:val="1"/>
      <w:numFmt w:val="lowerLetter"/>
      <w:lvlText w:val="%5."/>
      <w:lvlJc w:val="left"/>
      <w:pPr>
        <w:ind w:left="3600" w:hanging="360"/>
      </w:pPr>
    </w:lvl>
    <w:lvl w:ilvl="5" w:tplc="7ED66430">
      <w:start w:val="1"/>
      <w:numFmt w:val="lowerRoman"/>
      <w:lvlText w:val="%6."/>
      <w:lvlJc w:val="right"/>
      <w:pPr>
        <w:ind w:left="4320" w:hanging="180"/>
      </w:pPr>
    </w:lvl>
    <w:lvl w:ilvl="6" w:tplc="E578D368">
      <w:start w:val="1"/>
      <w:numFmt w:val="decimal"/>
      <w:lvlText w:val="%7."/>
      <w:lvlJc w:val="left"/>
      <w:pPr>
        <w:ind w:left="5040" w:hanging="360"/>
      </w:pPr>
    </w:lvl>
    <w:lvl w:ilvl="7" w:tplc="FBD85150">
      <w:start w:val="1"/>
      <w:numFmt w:val="lowerLetter"/>
      <w:lvlText w:val="%8."/>
      <w:lvlJc w:val="left"/>
      <w:pPr>
        <w:ind w:left="5760" w:hanging="360"/>
      </w:pPr>
    </w:lvl>
    <w:lvl w:ilvl="8" w:tplc="D9BA3450">
      <w:start w:val="1"/>
      <w:numFmt w:val="lowerRoman"/>
      <w:lvlText w:val="%9."/>
      <w:lvlJc w:val="right"/>
      <w:pPr>
        <w:ind w:left="6480" w:hanging="180"/>
      </w:pPr>
    </w:lvl>
  </w:abstractNum>
  <w:num w:numId="1" w16cid:durableId="1662537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4030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8531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3B0B"/>
    <w:rsid w:val="00322869"/>
    <w:rsid w:val="00491225"/>
    <w:rsid w:val="00675B48"/>
    <w:rsid w:val="00960EE0"/>
    <w:rsid w:val="009E399E"/>
    <w:rsid w:val="00AC5515"/>
    <w:rsid w:val="00AE58D8"/>
    <w:rsid w:val="00B64594"/>
    <w:rsid w:val="00BE0DF6"/>
    <w:rsid w:val="00D23B0B"/>
    <w:rsid w:val="00D65429"/>
    <w:rsid w:val="00D86542"/>
    <w:rsid w:val="00D87716"/>
    <w:rsid w:val="00DC0734"/>
    <w:rsid w:val="00F10063"/>
    <w:rsid w:val="00F763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D777E6"/>
  <w15:chartTrackingRefBased/>
  <w15:docId w15:val="{E48E2BF4-6C5C-41F0-8A3B-2434AA51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3B0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3B0B"/>
    <w:pPr>
      <w:tabs>
        <w:tab w:val="center" w:pos="4153"/>
        <w:tab w:val="right" w:pos="8306"/>
      </w:tabs>
    </w:pPr>
  </w:style>
  <w:style w:type="character" w:customStyle="1" w:styleId="a4">
    <w:name w:val="כותרת עליונה תו"/>
    <w:link w:val="a3"/>
    <w:rsid w:val="00D23B0B"/>
    <w:rPr>
      <w:rFonts w:ascii="Times New Roman" w:eastAsia="Times New Roman" w:hAnsi="Times New Roman" w:cs="David"/>
      <w:sz w:val="24"/>
      <w:szCs w:val="24"/>
    </w:rPr>
  </w:style>
  <w:style w:type="paragraph" w:styleId="a5">
    <w:name w:val="footer"/>
    <w:basedOn w:val="a"/>
    <w:link w:val="a6"/>
    <w:rsid w:val="00D23B0B"/>
    <w:pPr>
      <w:tabs>
        <w:tab w:val="center" w:pos="4153"/>
        <w:tab w:val="right" w:pos="8306"/>
      </w:tabs>
    </w:pPr>
  </w:style>
  <w:style w:type="character" w:customStyle="1" w:styleId="a6">
    <w:name w:val="כותרת תחתונה תו"/>
    <w:link w:val="a5"/>
    <w:rsid w:val="00D23B0B"/>
    <w:rPr>
      <w:rFonts w:ascii="Times New Roman" w:eastAsia="Times New Roman" w:hAnsi="Times New Roman" w:cs="David"/>
      <w:sz w:val="24"/>
      <w:szCs w:val="24"/>
    </w:rPr>
  </w:style>
  <w:style w:type="table" w:styleId="a7">
    <w:name w:val="Table Grid"/>
    <w:basedOn w:val="a1"/>
    <w:rsid w:val="00D23B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3B0B"/>
  </w:style>
  <w:style w:type="paragraph" w:styleId="a9">
    <w:name w:val="List Paragraph"/>
    <w:basedOn w:val="a"/>
    <w:link w:val="aa"/>
    <w:qFormat/>
    <w:rsid w:val="00D23B0B"/>
    <w:pPr>
      <w:ind w:left="720"/>
      <w:contextualSpacing/>
    </w:pPr>
  </w:style>
  <w:style w:type="character" w:styleId="Hyperlink">
    <w:name w:val="Hyperlink"/>
    <w:rsid w:val="00D23B0B"/>
    <w:rPr>
      <w:color w:val="0000FF"/>
      <w:u w:val="single"/>
    </w:rPr>
  </w:style>
  <w:style w:type="character" w:customStyle="1" w:styleId="aa">
    <w:name w:val="פיסקת רשימה תו"/>
    <w:link w:val="a9"/>
    <w:locked/>
    <w:rsid w:val="00D23B0B"/>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37.a.a" TargetMode="External"/><Relationship Id="rId13" Type="http://schemas.openxmlformats.org/officeDocument/2006/relationships/hyperlink" Target="http://www.nevo.co.il/case/26548965"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485591"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37.a.a"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1980</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11858</CharactersWithSpaces>
  <SharedDoc>false</SharedDoc>
  <HLinks>
    <vt:vector size="54"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3735679</vt:i4>
      </vt:variant>
      <vt:variant>
        <vt:i4>18</vt:i4>
      </vt:variant>
      <vt:variant>
        <vt:i4>0</vt:i4>
      </vt:variant>
      <vt:variant>
        <vt:i4>5</vt:i4>
      </vt:variant>
      <vt:variant>
        <vt:lpwstr>http://www.nevo.co.il/case/26548965</vt:lpwstr>
      </vt:variant>
      <vt:variant>
        <vt:lpwstr/>
      </vt:variant>
      <vt:variant>
        <vt:i4>8257637</vt:i4>
      </vt:variant>
      <vt:variant>
        <vt:i4>15</vt:i4>
      </vt:variant>
      <vt:variant>
        <vt:i4>0</vt:i4>
      </vt:variant>
      <vt:variant>
        <vt:i4>5</vt:i4>
      </vt:variant>
      <vt:variant>
        <vt:lpwstr>http://www.nevo.co.il/law/4216</vt:lpwstr>
      </vt:variant>
      <vt:variant>
        <vt:lpwstr/>
      </vt:variant>
      <vt:variant>
        <vt:i4>3801214</vt:i4>
      </vt:variant>
      <vt:variant>
        <vt:i4>12</vt:i4>
      </vt:variant>
      <vt:variant>
        <vt:i4>0</vt:i4>
      </vt:variant>
      <vt:variant>
        <vt:i4>5</vt:i4>
      </vt:variant>
      <vt:variant>
        <vt:lpwstr>http://www.nevo.co.il/case/27485591</vt:lpwstr>
      </vt:variant>
      <vt:variant>
        <vt:lpwstr/>
      </vt:variant>
      <vt:variant>
        <vt:i4>8257637</vt:i4>
      </vt:variant>
      <vt:variant>
        <vt:i4>9</vt:i4>
      </vt:variant>
      <vt:variant>
        <vt:i4>0</vt:i4>
      </vt:variant>
      <vt:variant>
        <vt:i4>5</vt:i4>
      </vt:variant>
      <vt:variant>
        <vt:lpwstr>http://www.nevo.co.il/law/4216</vt:lpwstr>
      </vt:variant>
      <vt:variant>
        <vt:lpwstr/>
      </vt:variant>
      <vt:variant>
        <vt:i4>5046300</vt:i4>
      </vt:variant>
      <vt:variant>
        <vt:i4>6</vt:i4>
      </vt:variant>
      <vt:variant>
        <vt:i4>0</vt:i4>
      </vt:variant>
      <vt:variant>
        <vt:i4>5</vt:i4>
      </vt:variant>
      <vt:variant>
        <vt:lpwstr>http://www.nevo.co.il/law/4216/37.a.a</vt:lpwstr>
      </vt:variant>
      <vt:variant>
        <vt:lpwstr/>
      </vt:variant>
      <vt:variant>
        <vt:i4>5046300</vt:i4>
      </vt:variant>
      <vt:variant>
        <vt:i4>3</vt:i4>
      </vt:variant>
      <vt:variant>
        <vt:i4>0</vt:i4>
      </vt:variant>
      <vt:variant>
        <vt:i4>5</vt:i4>
      </vt:variant>
      <vt:variant>
        <vt:lpwstr>http://www.nevo.co.il/law/4216/37.a.a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2025-04-23T01:42:00Z</dcterms:created>
  <dcterms:modified xsi:type="dcterms:W3CDTF">2025-04-23T01:42:00Z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72603</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יעקב נזירוב</vt:lpwstr>
  </property>
  <property fmtid="{D5CDD505-2E9C-101B-9397-08002B2CF9AE}" pid="10" name="LAWYER">
    <vt:lpwstr>עידו פורת</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20240923</vt:lpwstr>
  </property>
  <property fmtid="{D5CDD505-2E9C-101B-9397-08002B2CF9AE}" pid="14" name="TYPE_N_DATE">
    <vt:lpwstr>38020240923</vt:lpwstr>
  </property>
  <property fmtid="{D5CDD505-2E9C-101B-9397-08002B2CF9AE}" pid="15" name="WORDNUMPAGES">
    <vt:lpwstr>7</vt:lpwstr>
  </property>
  <property fmtid="{D5CDD505-2E9C-101B-9397-08002B2CF9AE}" pid="16" name="TYPE_ABS_DATE">
    <vt:lpwstr>380020240923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27485591;26548965</vt:lpwstr>
  </property>
  <property fmtid="{D5CDD505-2E9C-101B-9397-08002B2CF9AE}" pid="36" name="LAWLISTTMP1">
    <vt:lpwstr>4216/037.a.a</vt:lpwstr>
  </property>
</Properties>
</file>