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E3EE4" w:rsidRPr="00FA548F" w14:paraId="48BFB3DB" w14:textId="77777777" w:rsidTr="00151A7F">
        <w:trPr>
          <w:trHeight w:hRule="exact" w:val="418"/>
          <w:jc w:val="center"/>
        </w:trPr>
        <w:tc>
          <w:tcPr>
            <w:tcW w:w="8721" w:type="dxa"/>
            <w:gridSpan w:val="2"/>
          </w:tcPr>
          <w:p w14:paraId="62C20827" w14:textId="77777777" w:rsidR="009E3EE4" w:rsidRPr="00FA548F" w:rsidRDefault="009E3EE4" w:rsidP="008E5355">
            <w:pPr>
              <w:pStyle w:val="a3"/>
              <w:jc w:val="center"/>
              <w:rPr>
                <w:rFonts w:ascii="Tahoma" w:hAnsi="Tahoma" w:cs="Tahoma"/>
                <w:color w:val="000080"/>
                <w:rtl/>
              </w:rPr>
            </w:pPr>
            <w:r w:rsidRPr="00FA548F">
              <w:rPr>
                <w:rFonts w:ascii="Tahoma" w:hAnsi="Tahoma" w:cs="Tahoma"/>
                <w:b/>
                <w:bCs/>
                <w:color w:val="000080"/>
                <w:rtl/>
              </w:rPr>
              <w:t>בית משפט השלום בקריות</w:t>
            </w:r>
          </w:p>
        </w:tc>
      </w:tr>
      <w:tr w:rsidR="009E3EE4" w:rsidRPr="00FA548F" w14:paraId="7BBFD672" w14:textId="77777777" w:rsidTr="00151A7F">
        <w:trPr>
          <w:trHeight w:val="337"/>
          <w:jc w:val="center"/>
        </w:trPr>
        <w:tc>
          <w:tcPr>
            <w:tcW w:w="5054" w:type="dxa"/>
          </w:tcPr>
          <w:p w14:paraId="7D63C3C7" w14:textId="77777777" w:rsidR="009E3EE4" w:rsidRPr="00FA548F" w:rsidRDefault="009E3EE4" w:rsidP="008E5355">
            <w:pPr>
              <w:rPr>
                <w:rFonts w:cs="FrankRuehl"/>
                <w:sz w:val="28"/>
                <w:szCs w:val="28"/>
                <w:rtl/>
              </w:rPr>
            </w:pPr>
            <w:r w:rsidRPr="00FA548F">
              <w:rPr>
                <w:rFonts w:cs="FrankRuehl"/>
                <w:sz w:val="28"/>
                <w:szCs w:val="28"/>
                <w:rtl/>
              </w:rPr>
              <w:t>ת"פ</w:t>
            </w:r>
            <w:r w:rsidRPr="00FA548F">
              <w:rPr>
                <w:rFonts w:cs="FrankRuehl" w:hint="cs"/>
                <w:sz w:val="28"/>
                <w:szCs w:val="28"/>
                <w:rtl/>
              </w:rPr>
              <w:t xml:space="preserve"> </w:t>
            </w:r>
            <w:r w:rsidRPr="00FA548F">
              <w:rPr>
                <w:rFonts w:cs="FrankRuehl"/>
                <w:sz w:val="28"/>
                <w:szCs w:val="28"/>
                <w:rtl/>
              </w:rPr>
              <w:t>76841-01-23</w:t>
            </w:r>
            <w:r w:rsidRPr="00FA548F">
              <w:rPr>
                <w:rFonts w:cs="FrankRuehl" w:hint="cs"/>
                <w:sz w:val="28"/>
                <w:szCs w:val="28"/>
                <w:rtl/>
              </w:rPr>
              <w:t xml:space="preserve"> </w:t>
            </w:r>
            <w:r w:rsidRPr="00FA548F">
              <w:rPr>
                <w:rFonts w:cs="FrankRuehl"/>
                <w:sz w:val="28"/>
                <w:szCs w:val="28"/>
                <w:rtl/>
              </w:rPr>
              <w:t>מדינת ישראל נ' בוזגלו</w:t>
            </w:r>
          </w:p>
          <w:p w14:paraId="775AA6B8" w14:textId="77777777" w:rsidR="009E3EE4" w:rsidRPr="00FA548F" w:rsidRDefault="009E3EE4" w:rsidP="008E5355">
            <w:pPr>
              <w:pStyle w:val="a3"/>
              <w:rPr>
                <w:rFonts w:cs="FrankRuehl"/>
                <w:sz w:val="28"/>
                <w:szCs w:val="28"/>
                <w:rtl/>
              </w:rPr>
            </w:pPr>
          </w:p>
        </w:tc>
        <w:tc>
          <w:tcPr>
            <w:tcW w:w="3667" w:type="dxa"/>
          </w:tcPr>
          <w:p w14:paraId="6BBAE3BE" w14:textId="77777777" w:rsidR="009E3EE4" w:rsidRPr="00FA548F" w:rsidRDefault="009E3EE4" w:rsidP="008E5355">
            <w:pPr>
              <w:pStyle w:val="a3"/>
              <w:jc w:val="right"/>
              <w:rPr>
                <w:rFonts w:cs="FrankRuehl"/>
                <w:sz w:val="28"/>
                <w:szCs w:val="28"/>
                <w:rtl/>
              </w:rPr>
            </w:pPr>
          </w:p>
        </w:tc>
      </w:tr>
    </w:tbl>
    <w:p w14:paraId="0992DF4F" w14:textId="77777777" w:rsidR="009E3EE4" w:rsidRPr="00FA548F" w:rsidRDefault="009E3EE4" w:rsidP="009E3EE4">
      <w:pPr>
        <w:pStyle w:val="a3"/>
        <w:rPr>
          <w:rtl/>
        </w:rPr>
      </w:pPr>
      <w:r w:rsidRPr="00FA548F">
        <w:rPr>
          <w:rFonts w:hint="cs"/>
          <w:rtl/>
        </w:rPr>
        <w:t xml:space="preserve"> </w:t>
      </w:r>
    </w:p>
    <w:p w14:paraId="628D91F8" w14:textId="77777777" w:rsidR="009E3EE4" w:rsidRPr="00FA548F" w:rsidRDefault="009E3EE4" w:rsidP="009E3EE4">
      <w:pPr>
        <w:rPr>
          <w:b/>
          <w:bCs/>
          <w:rtl/>
        </w:rPr>
      </w:pPr>
    </w:p>
    <w:p w14:paraId="6C25C0BE" w14:textId="77777777" w:rsidR="009E3EE4" w:rsidRPr="00FA548F" w:rsidRDefault="009E3EE4" w:rsidP="009E3EE4">
      <w:pPr>
        <w:rPr>
          <w:b/>
          <w:bCs/>
          <w:rtl/>
        </w:rPr>
      </w:pPr>
    </w:p>
    <w:tbl>
      <w:tblPr>
        <w:bidiVisual/>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939"/>
        <w:gridCol w:w="3679"/>
      </w:tblGrid>
      <w:tr w:rsidR="009E3EE4" w:rsidRPr="00FA548F" w14:paraId="7784B76F" w14:textId="77777777" w:rsidTr="009E3EE4">
        <w:trPr>
          <w:trHeight w:val="295"/>
          <w:jc w:val="center"/>
        </w:trPr>
        <w:tc>
          <w:tcPr>
            <w:tcW w:w="918" w:type="dxa"/>
            <w:tcBorders>
              <w:top w:val="nil"/>
              <w:left w:val="nil"/>
              <w:bottom w:val="nil"/>
              <w:right w:val="nil"/>
            </w:tcBorders>
            <w:shd w:val="clear" w:color="auto" w:fill="auto"/>
          </w:tcPr>
          <w:p w14:paraId="7F601734" w14:textId="77777777" w:rsidR="009E3EE4" w:rsidRPr="00FA548F" w:rsidRDefault="009E3EE4" w:rsidP="009E3EE4">
            <w:pPr>
              <w:jc w:val="both"/>
              <w:rPr>
                <w:rFonts w:ascii="David" w:hAnsi="David"/>
                <w:b/>
                <w:bCs/>
              </w:rPr>
            </w:pPr>
            <w:r w:rsidRPr="00FA548F">
              <w:rPr>
                <w:rFonts w:ascii="David" w:hAnsi="David"/>
                <w:b/>
                <w:bCs/>
                <w:rtl/>
              </w:rPr>
              <w:t xml:space="preserve">בפני </w:t>
            </w:r>
          </w:p>
        </w:tc>
        <w:tc>
          <w:tcPr>
            <w:tcW w:w="7618" w:type="dxa"/>
            <w:gridSpan w:val="2"/>
            <w:tcBorders>
              <w:top w:val="nil"/>
              <w:left w:val="nil"/>
              <w:bottom w:val="nil"/>
              <w:right w:val="nil"/>
            </w:tcBorders>
            <w:shd w:val="clear" w:color="auto" w:fill="auto"/>
          </w:tcPr>
          <w:p w14:paraId="24673288" w14:textId="77777777" w:rsidR="009E3EE4" w:rsidRPr="00FA548F" w:rsidRDefault="009E3EE4" w:rsidP="008E5355">
            <w:pPr>
              <w:rPr>
                <w:rFonts w:ascii="David" w:hAnsi="David"/>
                <w:b/>
                <w:bCs/>
                <w:rtl/>
              </w:rPr>
            </w:pPr>
            <w:r w:rsidRPr="00FA548F">
              <w:rPr>
                <w:rFonts w:ascii="Arial" w:hAnsi="Arial"/>
                <w:b/>
                <w:bCs/>
                <w:rtl/>
              </w:rPr>
              <w:t>כב' השופט יוסי טורס , סגן הנשיאה</w:t>
            </w:r>
          </w:p>
          <w:p w14:paraId="260A6300" w14:textId="77777777" w:rsidR="009E3EE4" w:rsidRPr="00FA548F" w:rsidRDefault="009E3EE4" w:rsidP="008E5355">
            <w:pPr>
              <w:rPr>
                <w:rFonts w:ascii="David" w:hAnsi="David"/>
                <w:b/>
                <w:bCs/>
              </w:rPr>
            </w:pPr>
          </w:p>
        </w:tc>
      </w:tr>
      <w:tr w:rsidR="009E3EE4" w:rsidRPr="00FA548F" w14:paraId="1F538041" w14:textId="77777777" w:rsidTr="009E3EE4">
        <w:trPr>
          <w:trHeight w:val="355"/>
          <w:jc w:val="center"/>
        </w:trPr>
        <w:tc>
          <w:tcPr>
            <w:tcW w:w="918" w:type="dxa"/>
            <w:tcBorders>
              <w:top w:val="nil"/>
              <w:left w:val="nil"/>
              <w:bottom w:val="nil"/>
              <w:right w:val="nil"/>
            </w:tcBorders>
            <w:shd w:val="clear" w:color="auto" w:fill="auto"/>
          </w:tcPr>
          <w:p w14:paraId="397E259F" w14:textId="77777777" w:rsidR="009E3EE4" w:rsidRPr="00FA548F" w:rsidRDefault="009E3EE4" w:rsidP="009E3EE4">
            <w:pPr>
              <w:jc w:val="both"/>
              <w:rPr>
                <w:rFonts w:ascii="David" w:hAnsi="David"/>
                <w:b/>
                <w:bCs/>
                <w:rtl/>
              </w:rPr>
            </w:pPr>
            <w:bookmarkStart w:id="0" w:name="FirstAppellant"/>
            <w:bookmarkStart w:id="1" w:name="LastJudge"/>
            <w:bookmarkEnd w:id="1"/>
          </w:p>
          <w:p w14:paraId="377607D3" w14:textId="77777777" w:rsidR="009E3EE4" w:rsidRPr="00FA548F" w:rsidRDefault="009E3EE4" w:rsidP="009E3EE4">
            <w:pPr>
              <w:jc w:val="both"/>
              <w:rPr>
                <w:rFonts w:ascii="David" w:hAnsi="David"/>
                <w:b/>
                <w:bCs/>
              </w:rPr>
            </w:pPr>
            <w:r w:rsidRPr="00FA548F">
              <w:rPr>
                <w:rFonts w:ascii="David" w:hAnsi="David"/>
                <w:b/>
                <w:bCs/>
                <w:rtl/>
              </w:rPr>
              <w:t>בעניין:</w:t>
            </w:r>
          </w:p>
        </w:tc>
        <w:tc>
          <w:tcPr>
            <w:tcW w:w="3939" w:type="dxa"/>
            <w:tcBorders>
              <w:top w:val="nil"/>
              <w:left w:val="nil"/>
              <w:bottom w:val="nil"/>
              <w:right w:val="nil"/>
            </w:tcBorders>
            <w:shd w:val="clear" w:color="auto" w:fill="auto"/>
          </w:tcPr>
          <w:p w14:paraId="4616F2EF" w14:textId="77777777" w:rsidR="009E3EE4" w:rsidRPr="00FA548F" w:rsidRDefault="009E3EE4" w:rsidP="008E5355">
            <w:pPr>
              <w:rPr>
                <w:rFonts w:ascii="David" w:hAnsi="David"/>
                <w:b/>
                <w:bCs/>
              </w:rPr>
            </w:pPr>
            <w:r w:rsidRPr="00FA548F">
              <w:rPr>
                <w:rFonts w:ascii="David" w:hAnsi="David"/>
                <w:b/>
                <w:bCs/>
                <w:rtl/>
              </w:rPr>
              <w:br/>
              <w:t>מדינת ישראל</w:t>
            </w:r>
          </w:p>
        </w:tc>
        <w:tc>
          <w:tcPr>
            <w:tcW w:w="3679" w:type="dxa"/>
            <w:tcBorders>
              <w:top w:val="nil"/>
              <w:left w:val="nil"/>
              <w:bottom w:val="nil"/>
              <w:right w:val="nil"/>
            </w:tcBorders>
            <w:shd w:val="clear" w:color="auto" w:fill="auto"/>
          </w:tcPr>
          <w:p w14:paraId="79728706" w14:textId="77777777" w:rsidR="009E3EE4" w:rsidRPr="00FA548F" w:rsidRDefault="009E3EE4" w:rsidP="009E3EE4">
            <w:pPr>
              <w:ind w:left="2526"/>
              <w:jc w:val="both"/>
              <w:rPr>
                <w:rFonts w:ascii="David" w:hAnsi="David"/>
                <w:b/>
                <w:bCs/>
                <w:rtl/>
              </w:rPr>
            </w:pPr>
          </w:p>
          <w:p w14:paraId="39B2E6F8" w14:textId="77777777" w:rsidR="009E3EE4" w:rsidRPr="00FA548F" w:rsidRDefault="009E3EE4" w:rsidP="009E3EE4">
            <w:pPr>
              <w:ind w:left="2526"/>
              <w:jc w:val="both"/>
              <w:rPr>
                <w:rFonts w:ascii="David" w:hAnsi="David"/>
                <w:b/>
                <w:bCs/>
              </w:rPr>
            </w:pPr>
            <w:r w:rsidRPr="00FA548F">
              <w:rPr>
                <w:rFonts w:ascii="David" w:hAnsi="David" w:hint="cs"/>
                <w:b/>
                <w:bCs/>
                <w:rtl/>
              </w:rPr>
              <w:t>המאשימה</w:t>
            </w:r>
          </w:p>
        </w:tc>
      </w:tr>
      <w:bookmarkEnd w:id="0"/>
      <w:tr w:rsidR="009E3EE4" w:rsidRPr="00FA548F" w14:paraId="5E11E558" w14:textId="77777777" w:rsidTr="009E3EE4">
        <w:trPr>
          <w:trHeight w:val="355"/>
          <w:jc w:val="center"/>
        </w:trPr>
        <w:tc>
          <w:tcPr>
            <w:tcW w:w="918" w:type="dxa"/>
            <w:tcBorders>
              <w:top w:val="nil"/>
              <w:left w:val="nil"/>
              <w:bottom w:val="nil"/>
              <w:right w:val="nil"/>
            </w:tcBorders>
            <w:shd w:val="clear" w:color="auto" w:fill="auto"/>
          </w:tcPr>
          <w:p w14:paraId="616BEE04" w14:textId="77777777" w:rsidR="009E3EE4" w:rsidRPr="00FA548F" w:rsidRDefault="009E3EE4" w:rsidP="009E3EE4">
            <w:pPr>
              <w:jc w:val="both"/>
              <w:rPr>
                <w:rFonts w:ascii="David" w:hAnsi="David"/>
                <w:b/>
                <w:bCs/>
                <w:rtl/>
              </w:rPr>
            </w:pPr>
          </w:p>
        </w:tc>
        <w:tc>
          <w:tcPr>
            <w:tcW w:w="7618" w:type="dxa"/>
            <w:gridSpan w:val="2"/>
            <w:tcBorders>
              <w:top w:val="nil"/>
              <w:left w:val="nil"/>
              <w:bottom w:val="nil"/>
              <w:right w:val="nil"/>
            </w:tcBorders>
            <w:shd w:val="clear" w:color="auto" w:fill="auto"/>
          </w:tcPr>
          <w:p w14:paraId="0496F655" w14:textId="77777777" w:rsidR="009E3EE4" w:rsidRPr="00FA548F" w:rsidRDefault="009E3EE4" w:rsidP="009E3EE4">
            <w:pPr>
              <w:jc w:val="center"/>
              <w:rPr>
                <w:rFonts w:ascii="David" w:hAnsi="David"/>
                <w:b/>
                <w:bCs/>
                <w:rtl/>
              </w:rPr>
            </w:pPr>
          </w:p>
          <w:p w14:paraId="2E74DD6B" w14:textId="77777777" w:rsidR="009E3EE4" w:rsidRPr="00FA548F" w:rsidRDefault="009E3EE4" w:rsidP="009E3EE4">
            <w:pPr>
              <w:jc w:val="center"/>
              <w:rPr>
                <w:rFonts w:ascii="David" w:hAnsi="David"/>
                <w:b/>
                <w:bCs/>
                <w:rtl/>
              </w:rPr>
            </w:pPr>
            <w:r w:rsidRPr="00FA548F">
              <w:rPr>
                <w:rFonts w:ascii="David" w:hAnsi="David"/>
                <w:b/>
                <w:bCs/>
                <w:rtl/>
              </w:rPr>
              <w:t>נגד</w:t>
            </w:r>
          </w:p>
          <w:p w14:paraId="545F10BC" w14:textId="77777777" w:rsidR="009E3EE4" w:rsidRPr="00FA548F" w:rsidRDefault="009E3EE4" w:rsidP="009E3EE4">
            <w:pPr>
              <w:jc w:val="both"/>
              <w:rPr>
                <w:rFonts w:ascii="David" w:hAnsi="David"/>
                <w:b/>
                <w:bCs/>
              </w:rPr>
            </w:pPr>
          </w:p>
        </w:tc>
      </w:tr>
      <w:tr w:rsidR="009E3EE4" w:rsidRPr="00FA548F" w14:paraId="7976FE2D" w14:textId="77777777" w:rsidTr="009E3EE4">
        <w:trPr>
          <w:trHeight w:val="355"/>
          <w:jc w:val="center"/>
        </w:trPr>
        <w:tc>
          <w:tcPr>
            <w:tcW w:w="918" w:type="dxa"/>
            <w:tcBorders>
              <w:top w:val="nil"/>
              <w:left w:val="nil"/>
              <w:bottom w:val="nil"/>
              <w:right w:val="nil"/>
            </w:tcBorders>
            <w:shd w:val="clear" w:color="auto" w:fill="auto"/>
          </w:tcPr>
          <w:p w14:paraId="6F985422" w14:textId="77777777" w:rsidR="009E3EE4" w:rsidRPr="00FA548F" w:rsidRDefault="009E3EE4" w:rsidP="008E5355">
            <w:pPr>
              <w:rPr>
                <w:rFonts w:ascii="David" w:hAnsi="David"/>
                <w:b/>
                <w:bCs/>
                <w:rtl/>
              </w:rPr>
            </w:pPr>
          </w:p>
        </w:tc>
        <w:tc>
          <w:tcPr>
            <w:tcW w:w="3939" w:type="dxa"/>
            <w:tcBorders>
              <w:top w:val="nil"/>
              <w:left w:val="nil"/>
              <w:bottom w:val="nil"/>
              <w:right w:val="nil"/>
            </w:tcBorders>
            <w:shd w:val="clear" w:color="auto" w:fill="auto"/>
          </w:tcPr>
          <w:p w14:paraId="41E07D29" w14:textId="77777777" w:rsidR="009E3EE4" w:rsidRPr="00FA548F" w:rsidRDefault="009E3EE4" w:rsidP="008E5355">
            <w:pPr>
              <w:rPr>
                <w:rFonts w:ascii="David" w:hAnsi="David"/>
                <w:b/>
                <w:bCs/>
                <w:rtl/>
              </w:rPr>
            </w:pPr>
            <w:r w:rsidRPr="00FA548F">
              <w:rPr>
                <w:rFonts w:ascii="David" w:hAnsi="David"/>
                <w:b/>
                <w:bCs/>
                <w:rtl/>
              </w:rPr>
              <w:t>יניב בוזגלו</w:t>
            </w:r>
          </w:p>
        </w:tc>
        <w:tc>
          <w:tcPr>
            <w:tcW w:w="3679" w:type="dxa"/>
            <w:tcBorders>
              <w:top w:val="nil"/>
              <w:left w:val="nil"/>
              <w:bottom w:val="nil"/>
              <w:right w:val="nil"/>
            </w:tcBorders>
            <w:shd w:val="clear" w:color="auto" w:fill="auto"/>
          </w:tcPr>
          <w:p w14:paraId="5C2E5B72" w14:textId="77777777" w:rsidR="009E3EE4" w:rsidRPr="00FA548F" w:rsidRDefault="009E3EE4" w:rsidP="009E3EE4">
            <w:pPr>
              <w:jc w:val="right"/>
              <w:rPr>
                <w:rFonts w:ascii="David" w:hAnsi="David"/>
                <w:b/>
                <w:bCs/>
              </w:rPr>
            </w:pPr>
            <w:r w:rsidRPr="00FA548F">
              <w:rPr>
                <w:rFonts w:ascii="David" w:hAnsi="David" w:hint="cs"/>
                <w:b/>
                <w:bCs/>
                <w:rtl/>
              </w:rPr>
              <w:t xml:space="preserve">הנאשם </w:t>
            </w:r>
          </w:p>
        </w:tc>
      </w:tr>
    </w:tbl>
    <w:p w14:paraId="6501F56A" w14:textId="77777777" w:rsidR="009E3EE4" w:rsidRPr="00FA548F" w:rsidRDefault="009E3EE4" w:rsidP="009E3EE4">
      <w:pPr>
        <w:rPr>
          <w:b/>
          <w:bCs/>
          <w:rtl/>
        </w:rPr>
      </w:pPr>
    </w:p>
    <w:p w14:paraId="1730C119" w14:textId="77777777" w:rsidR="00FA548F" w:rsidRPr="00FA548F" w:rsidRDefault="00FA548F" w:rsidP="00FA548F">
      <w:pPr>
        <w:spacing w:before="120" w:after="120" w:line="240" w:lineRule="exact"/>
        <w:ind w:left="283" w:hanging="283"/>
        <w:jc w:val="both"/>
        <w:rPr>
          <w:rFonts w:ascii="FrankRuehl" w:hAnsi="FrankRuehl" w:cs="FrankRuehl"/>
          <w:rtl/>
        </w:rPr>
      </w:pPr>
    </w:p>
    <w:p w14:paraId="446C8A8A" w14:textId="77777777" w:rsidR="00FA548F" w:rsidRPr="00FA548F" w:rsidRDefault="00FA548F" w:rsidP="00FA548F">
      <w:pPr>
        <w:rPr>
          <w:rFonts w:ascii="David" w:hAnsi="David"/>
          <w:sz w:val="26"/>
          <w:szCs w:val="26"/>
          <w:rtl/>
        </w:rPr>
      </w:pPr>
    </w:p>
    <w:p w14:paraId="130B9B4A" w14:textId="77777777" w:rsidR="00151A7F" w:rsidRPr="00151A7F" w:rsidRDefault="00151A7F" w:rsidP="00151A7F">
      <w:pPr>
        <w:spacing w:before="120" w:after="120" w:line="240" w:lineRule="exact"/>
        <w:ind w:left="283" w:hanging="283"/>
        <w:jc w:val="both"/>
        <w:rPr>
          <w:rFonts w:ascii="FrankRuehl" w:hAnsi="FrankRuehl" w:cs="FrankRuehl"/>
          <w:rtl/>
        </w:rPr>
      </w:pPr>
    </w:p>
    <w:p w14:paraId="3F51207A" w14:textId="77777777" w:rsidR="00915732" w:rsidRPr="00915732" w:rsidRDefault="00915732" w:rsidP="00915732">
      <w:pPr>
        <w:spacing w:before="120" w:after="120" w:line="240" w:lineRule="exact"/>
        <w:ind w:left="283" w:hanging="283"/>
        <w:jc w:val="both"/>
        <w:rPr>
          <w:rFonts w:ascii="FrankRuehl" w:hAnsi="FrankRuehl" w:cs="FrankRuehl"/>
          <w:rtl/>
        </w:rPr>
      </w:pPr>
    </w:p>
    <w:p w14:paraId="2657C3CF" w14:textId="77777777" w:rsidR="00BD419E" w:rsidRDefault="00BD419E" w:rsidP="00BD419E">
      <w:pPr>
        <w:rPr>
          <w:rFonts w:ascii="David" w:hAnsi="David"/>
          <w:sz w:val="26"/>
          <w:szCs w:val="26"/>
          <w:rtl/>
        </w:rPr>
      </w:pPr>
      <w:bookmarkStart w:id="2" w:name="LawTable"/>
      <w:bookmarkEnd w:id="2"/>
    </w:p>
    <w:p w14:paraId="0FFFADB9" w14:textId="77777777" w:rsidR="00BD419E" w:rsidRPr="00BD419E" w:rsidRDefault="00BD419E" w:rsidP="00BD419E">
      <w:pPr>
        <w:spacing w:before="120" w:after="120" w:line="240" w:lineRule="exact"/>
        <w:ind w:left="283" w:hanging="283"/>
        <w:jc w:val="both"/>
        <w:rPr>
          <w:rFonts w:ascii="FrankRuehl" w:hAnsi="FrankRuehl" w:cs="FrankRuehl"/>
          <w:rtl/>
        </w:rPr>
      </w:pPr>
    </w:p>
    <w:p w14:paraId="5EB85DA9" w14:textId="77777777" w:rsidR="00BD419E" w:rsidRPr="00BD419E" w:rsidRDefault="00BD419E" w:rsidP="00BD419E">
      <w:pPr>
        <w:spacing w:before="120" w:after="120" w:line="240" w:lineRule="exact"/>
        <w:ind w:left="283" w:hanging="283"/>
        <w:jc w:val="both"/>
        <w:rPr>
          <w:rFonts w:ascii="FrankRuehl" w:hAnsi="FrankRuehl" w:cs="FrankRuehl"/>
          <w:rtl/>
        </w:rPr>
      </w:pPr>
    </w:p>
    <w:p w14:paraId="61EDF2DC" w14:textId="77777777" w:rsidR="00BD419E" w:rsidRPr="00BD419E" w:rsidRDefault="00BD419E" w:rsidP="00BD419E">
      <w:pPr>
        <w:spacing w:before="120" w:after="120" w:line="240" w:lineRule="exact"/>
        <w:ind w:left="283" w:hanging="283"/>
        <w:jc w:val="both"/>
        <w:rPr>
          <w:rFonts w:ascii="FrankRuehl" w:hAnsi="FrankRuehl" w:cs="FrankRuehl"/>
          <w:rtl/>
        </w:rPr>
      </w:pPr>
      <w:r w:rsidRPr="00BD419E">
        <w:rPr>
          <w:rFonts w:ascii="FrankRuehl" w:hAnsi="FrankRuehl" w:cs="FrankRuehl"/>
          <w:rtl/>
        </w:rPr>
        <w:t xml:space="preserve">חקיקה שאוזכרה: </w:t>
      </w:r>
    </w:p>
    <w:p w14:paraId="008AD34B" w14:textId="77777777" w:rsidR="00BD419E" w:rsidRPr="00BD419E" w:rsidRDefault="00BD419E" w:rsidP="00BD419E">
      <w:pPr>
        <w:spacing w:before="120" w:after="120" w:line="240" w:lineRule="exact"/>
        <w:ind w:left="283" w:hanging="283"/>
        <w:jc w:val="both"/>
        <w:rPr>
          <w:rFonts w:ascii="FrankRuehl" w:hAnsi="FrankRuehl" w:cs="FrankRuehl"/>
          <w:rtl/>
        </w:rPr>
      </w:pPr>
      <w:hyperlink r:id="rId7" w:history="1">
        <w:r w:rsidRPr="00BD419E">
          <w:rPr>
            <w:rFonts w:ascii="FrankRuehl" w:hAnsi="FrankRuehl" w:cs="FrankRuehl"/>
            <w:color w:val="0000FF"/>
            <w:rtl/>
          </w:rPr>
          <w:t>חוק העונשין, תשל"ז-1977</w:t>
        </w:r>
      </w:hyperlink>
      <w:r w:rsidRPr="00BD419E">
        <w:rPr>
          <w:rFonts w:ascii="FrankRuehl" w:hAnsi="FrankRuehl" w:cs="FrankRuehl"/>
          <w:rtl/>
        </w:rPr>
        <w:t xml:space="preserve">: סע'  </w:t>
      </w:r>
      <w:hyperlink r:id="rId8" w:history="1">
        <w:r w:rsidRPr="00BD419E">
          <w:rPr>
            <w:rFonts w:ascii="FrankRuehl" w:hAnsi="FrankRuehl" w:cs="FrankRuehl"/>
            <w:color w:val="0000FF"/>
            <w:rtl/>
          </w:rPr>
          <w:t>192</w:t>
        </w:r>
      </w:hyperlink>
    </w:p>
    <w:p w14:paraId="68D890E7" w14:textId="77777777" w:rsidR="00BD419E" w:rsidRPr="00BD419E" w:rsidRDefault="00BD419E" w:rsidP="00BD419E">
      <w:pPr>
        <w:spacing w:before="120" w:after="120" w:line="240" w:lineRule="exact"/>
        <w:ind w:left="283" w:hanging="283"/>
        <w:jc w:val="both"/>
        <w:rPr>
          <w:rFonts w:ascii="FrankRuehl" w:hAnsi="FrankRuehl" w:cs="FrankRuehl"/>
          <w:rtl/>
        </w:rPr>
      </w:pPr>
      <w:hyperlink r:id="rId9" w:history="1">
        <w:r w:rsidRPr="00BD419E">
          <w:rPr>
            <w:rFonts w:ascii="FrankRuehl" w:hAnsi="FrankRuehl" w:cs="FrankRuehl"/>
            <w:color w:val="0000FF"/>
            <w:rtl/>
          </w:rPr>
          <w:t>פקודת הסמים המסוכנים [נוסח חדש], תשל"ג-1973</w:t>
        </w:r>
      </w:hyperlink>
      <w:r w:rsidRPr="00BD419E">
        <w:rPr>
          <w:rFonts w:ascii="FrankRuehl" w:hAnsi="FrankRuehl" w:cs="FrankRuehl"/>
          <w:rtl/>
        </w:rPr>
        <w:t xml:space="preserve">: סע'  </w:t>
      </w:r>
      <w:hyperlink r:id="rId10" w:history="1">
        <w:r w:rsidRPr="00BD419E">
          <w:rPr>
            <w:rFonts w:ascii="FrankRuehl" w:hAnsi="FrankRuehl" w:cs="FrankRuehl"/>
            <w:color w:val="0000FF"/>
            <w:rtl/>
          </w:rPr>
          <w:t>7.א.</w:t>
        </w:r>
      </w:hyperlink>
      <w:r w:rsidRPr="00BD419E">
        <w:rPr>
          <w:rFonts w:ascii="FrankRuehl" w:hAnsi="FrankRuehl" w:cs="FrankRuehl"/>
          <w:rtl/>
        </w:rPr>
        <w:t xml:space="preserve">, </w:t>
      </w:r>
      <w:hyperlink r:id="rId11" w:history="1">
        <w:r w:rsidRPr="00BD419E">
          <w:rPr>
            <w:rFonts w:ascii="FrankRuehl" w:hAnsi="FrankRuehl" w:cs="FrankRuehl"/>
            <w:color w:val="0000FF"/>
            <w:rtl/>
          </w:rPr>
          <w:t>7.ג</w:t>
        </w:r>
      </w:hyperlink>
    </w:p>
    <w:p w14:paraId="573BD1A6" w14:textId="77777777" w:rsidR="00BD419E" w:rsidRPr="00BD419E" w:rsidRDefault="00BD419E" w:rsidP="00BD419E">
      <w:pPr>
        <w:rPr>
          <w:rFonts w:ascii="David" w:hAnsi="David"/>
          <w:sz w:val="26"/>
          <w:szCs w:val="26"/>
          <w:rtl/>
        </w:rPr>
      </w:pPr>
      <w:bookmarkStart w:id="3" w:name="LawTable_End"/>
      <w:bookmarkEnd w:id="3"/>
    </w:p>
    <w:p w14:paraId="2CE6A98B" w14:textId="77777777" w:rsidR="009E3EE4" w:rsidRPr="00915732" w:rsidRDefault="009E3EE4" w:rsidP="00915732">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3EE4" w14:paraId="524C6DCF" w14:textId="77777777" w:rsidTr="009E3EE4">
        <w:trPr>
          <w:trHeight w:val="355"/>
          <w:jc w:val="center"/>
        </w:trPr>
        <w:tc>
          <w:tcPr>
            <w:tcW w:w="8820" w:type="dxa"/>
            <w:tcBorders>
              <w:top w:val="nil"/>
              <w:left w:val="nil"/>
              <w:bottom w:val="nil"/>
              <w:right w:val="nil"/>
            </w:tcBorders>
            <w:shd w:val="clear" w:color="auto" w:fill="auto"/>
          </w:tcPr>
          <w:p w14:paraId="280303FA" w14:textId="77777777" w:rsidR="00FA548F" w:rsidRPr="00FA548F" w:rsidRDefault="00FA548F" w:rsidP="00FA548F">
            <w:pPr>
              <w:jc w:val="center"/>
              <w:rPr>
                <w:rFonts w:ascii="David" w:hAnsi="David"/>
                <w:b/>
                <w:bCs/>
                <w:sz w:val="32"/>
                <w:szCs w:val="32"/>
                <w:u w:val="single"/>
                <w:rtl/>
              </w:rPr>
            </w:pPr>
            <w:bookmarkStart w:id="4" w:name="PsakDin" w:colFirst="0" w:colLast="0"/>
            <w:r w:rsidRPr="00FA548F">
              <w:rPr>
                <w:rFonts w:ascii="David" w:hAnsi="David"/>
                <w:b/>
                <w:bCs/>
                <w:sz w:val="32"/>
                <w:szCs w:val="32"/>
                <w:u w:val="single"/>
                <w:rtl/>
              </w:rPr>
              <w:t>גזר דין</w:t>
            </w:r>
          </w:p>
          <w:p w14:paraId="16BC566E" w14:textId="77777777" w:rsidR="009E3EE4" w:rsidRPr="00FA548F" w:rsidRDefault="009E3EE4" w:rsidP="00FA548F">
            <w:pPr>
              <w:jc w:val="center"/>
              <w:rPr>
                <w:rFonts w:ascii="David" w:hAnsi="David"/>
                <w:bCs/>
                <w:sz w:val="32"/>
                <w:szCs w:val="32"/>
                <w:u w:val="single"/>
                <w:rtl/>
              </w:rPr>
            </w:pPr>
          </w:p>
        </w:tc>
      </w:tr>
      <w:bookmarkEnd w:id="4"/>
    </w:tbl>
    <w:p w14:paraId="591D92B6" w14:textId="77777777" w:rsidR="009E3EE4" w:rsidRDefault="009E3EE4" w:rsidP="009E3EE4">
      <w:pPr>
        <w:rPr>
          <w:rFonts w:ascii="David" w:hAnsi="David"/>
          <w:sz w:val="26"/>
          <w:szCs w:val="26"/>
          <w:rtl/>
        </w:rPr>
      </w:pPr>
    </w:p>
    <w:p w14:paraId="5E923B43" w14:textId="77777777" w:rsidR="009E3EE4" w:rsidRPr="00AF4453" w:rsidRDefault="009E3EE4" w:rsidP="009E3EE4">
      <w:pPr>
        <w:rPr>
          <w:rFonts w:ascii="David" w:hAnsi="David"/>
          <w:b/>
          <w:bCs/>
          <w:u w:val="single"/>
          <w:rtl/>
        </w:rPr>
      </w:pPr>
      <w:r w:rsidRPr="00AF4453">
        <w:rPr>
          <w:rFonts w:ascii="David" w:hAnsi="David" w:hint="cs"/>
          <w:b/>
          <w:bCs/>
          <w:u w:val="single"/>
          <w:rtl/>
        </w:rPr>
        <w:t>כתבי האישום וההליכים</w:t>
      </w:r>
    </w:p>
    <w:p w14:paraId="2AF86FCE" w14:textId="77777777" w:rsidR="009E3EE4" w:rsidRDefault="009E3EE4" w:rsidP="009E3EE4">
      <w:pPr>
        <w:rPr>
          <w:rFonts w:ascii="David" w:hAnsi="David"/>
          <w:sz w:val="26"/>
          <w:szCs w:val="26"/>
          <w:rtl/>
        </w:rPr>
      </w:pPr>
    </w:p>
    <w:p w14:paraId="17E5EBFC" w14:textId="77777777" w:rsidR="009E3EE4" w:rsidRDefault="009E3EE4" w:rsidP="009E3EE4">
      <w:pPr>
        <w:pStyle w:val="a9"/>
        <w:numPr>
          <w:ilvl w:val="0"/>
          <w:numId w:val="1"/>
        </w:numPr>
        <w:spacing w:line="360" w:lineRule="auto"/>
        <w:jc w:val="both"/>
        <w:rPr>
          <w:rFonts w:ascii="David" w:hAnsi="David"/>
        </w:rPr>
      </w:pPr>
      <w:bookmarkStart w:id="5" w:name="ABSTRACT_START"/>
      <w:bookmarkEnd w:id="5"/>
      <w:r>
        <w:rPr>
          <w:rFonts w:ascii="David" w:hAnsi="David"/>
          <w:rtl/>
        </w:rPr>
        <w:t xml:space="preserve">הנאשם הורשע על פי הודאתו </w:t>
      </w:r>
      <w:r>
        <w:rPr>
          <w:rFonts w:ascii="David" w:hAnsi="David" w:hint="cs"/>
          <w:rtl/>
        </w:rPr>
        <w:t xml:space="preserve">בשני כתבי אישום במסגרת צירוף תיקים, כמפורט להלן </w:t>
      </w:r>
      <w:r>
        <w:rPr>
          <w:rFonts w:ascii="David" w:hAnsi="David"/>
          <w:rtl/>
        </w:rPr>
        <w:t>–</w:t>
      </w:r>
      <w:r>
        <w:rPr>
          <w:rFonts w:ascii="David" w:hAnsi="David" w:hint="cs"/>
          <w:rtl/>
        </w:rPr>
        <w:t xml:space="preserve"> </w:t>
      </w:r>
    </w:p>
    <w:p w14:paraId="6A9AD439" w14:textId="77777777" w:rsidR="009E3EE4" w:rsidRPr="00AF4453" w:rsidRDefault="009E3EE4" w:rsidP="009E3EE4">
      <w:pPr>
        <w:spacing w:before="240" w:after="240" w:line="360" w:lineRule="auto"/>
        <w:ind w:left="720"/>
        <w:jc w:val="both"/>
        <w:rPr>
          <w:rFonts w:ascii="Miriam" w:hAnsi="Miriam" w:cs="Miriam"/>
        </w:rPr>
      </w:pPr>
      <w:r>
        <w:rPr>
          <w:rFonts w:ascii="David" w:hAnsi="David" w:hint="cs"/>
          <w:rtl/>
        </w:rPr>
        <w:t>(-)</w:t>
      </w:r>
      <w:r>
        <w:rPr>
          <w:rFonts w:ascii="David" w:hAnsi="David"/>
          <w:rtl/>
        </w:rPr>
        <w:tab/>
      </w:r>
      <w:r w:rsidRPr="00AF4453">
        <w:rPr>
          <w:rFonts w:ascii="David" w:hAnsi="David" w:hint="cs"/>
          <w:rtl/>
        </w:rPr>
        <w:t xml:space="preserve">בתיק העיקרי הורשע הנאשם </w:t>
      </w:r>
      <w:r w:rsidRPr="00AF4453">
        <w:rPr>
          <w:rFonts w:ascii="David" w:hAnsi="David"/>
          <w:rtl/>
        </w:rPr>
        <w:t>בעביר</w:t>
      </w:r>
      <w:r w:rsidRPr="00AF4453">
        <w:rPr>
          <w:rFonts w:ascii="David" w:hAnsi="David" w:hint="cs"/>
          <w:rtl/>
        </w:rPr>
        <w:t>ת</w:t>
      </w:r>
      <w:r w:rsidRPr="00AF4453">
        <w:rPr>
          <w:rFonts w:ascii="David" w:hAnsi="David"/>
          <w:rtl/>
        </w:rPr>
        <w:t xml:space="preserve"> איומים, לפי </w:t>
      </w:r>
      <w:hyperlink r:id="rId12" w:history="1">
        <w:r w:rsidR="00151A7F" w:rsidRPr="00151A7F">
          <w:rPr>
            <w:rStyle w:val="Hyperlink"/>
            <w:rFonts w:ascii="David" w:hAnsi="David"/>
            <w:rtl/>
          </w:rPr>
          <w:t>סעיף 192</w:t>
        </w:r>
      </w:hyperlink>
      <w:r w:rsidRPr="00AF4453">
        <w:rPr>
          <w:rFonts w:ascii="David" w:hAnsi="David"/>
          <w:rtl/>
        </w:rPr>
        <w:t xml:space="preserve"> ל</w:t>
      </w:r>
      <w:hyperlink r:id="rId13" w:history="1">
        <w:r w:rsidR="00FA548F" w:rsidRPr="00FA548F">
          <w:rPr>
            <w:rFonts w:ascii="David" w:hAnsi="David"/>
            <w:color w:val="0000FF"/>
            <w:u w:val="single"/>
            <w:rtl/>
          </w:rPr>
          <w:t>חוק העונשין</w:t>
        </w:r>
      </w:hyperlink>
      <w:r w:rsidRPr="00AF4453">
        <w:rPr>
          <w:rFonts w:ascii="David" w:hAnsi="David"/>
          <w:rtl/>
        </w:rPr>
        <w:t xml:space="preserve">, תשל"ז- 1977 (להלן – </w:t>
      </w:r>
      <w:r w:rsidRPr="00AF4453">
        <w:rPr>
          <w:rFonts w:ascii="Miriam" w:hAnsi="Miriam" w:cs="Miriam"/>
          <w:rtl/>
        </w:rPr>
        <w:t>חוק העונשין</w:t>
      </w:r>
      <w:r w:rsidRPr="00AF4453">
        <w:rPr>
          <w:rFonts w:ascii="David" w:hAnsi="David"/>
          <w:rtl/>
        </w:rPr>
        <w:t>)</w:t>
      </w:r>
      <w:r w:rsidRPr="00AF4453">
        <w:rPr>
          <w:rFonts w:ascii="David" w:hAnsi="David" w:hint="cs"/>
          <w:rtl/>
        </w:rPr>
        <w:t xml:space="preserve">. </w:t>
      </w:r>
      <w:bookmarkStart w:id="6" w:name="ABSTRACT_END"/>
      <w:bookmarkEnd w:id="6"/>
      <w:r w:rsidRPr="00AF4453">
        <w:rPr>
          <w:rFonts w:ascii="David" w:hAnsi="David" w:hint="cs"/>
          <w:rtl/>
        </w:rPr>
        <w:t>בהתאם לעובדות כתב האישום</w:t>
      </w:r>
      <w:r>
        <w:rPr>
          <w:rFonts w:ascii="David" w:hAnsi="David" w:hint="cs"/>
          <w:rtl/>
        </w:rPr>
        <w:t xml:space="preserve"> המתוקן</w:t>
      </w:r>
      <w:r w:rsidRPr="00AF4453">
        <w:rPr>
          <w:rFonts w:ascii="David" w:hAnsi="David" w:hint="cs"/>
          <w:rtl/>
        </w:rPr>
        <w:t>, ביום 04.12.</w:t>
      </w:r>
      <w:r>
        <w:rPr>
          <w:rFonts w:ascii="David" w:hAnsi="David" w:hint="cs"/>
          <w:rtl/>
        </w:rPr>
        <w:t>21</w:t>
      </w:r>
      <w:r w:rsidRPr="00AF4453">
        <w:rPr>
          <w:rFonts w:ascii="David" w:hAnsi="David" w:hint="cs"/>
          <w:rtl/>
        </w:rPr>
        <w:t xml:space="preserve">, הגיע הנאשם לביתו של </w:t>
      </w:r>
      <w:r>
        <w:rPr>
          <w:rFonts w:ascii="David" w:hAnsi="David" w:hint="cs"/>
          <w:rtl/>
        </w:rPr>
        <w:t xml:space="preserve">מר ו.מ </w:t>
      </w:r>
      <w:r w:rsidRPr="00AF4453">
        <w:rPr>
          <w:rFonts w:ascii="David" w:hAnsi="David" w:hint="cs"/>
          <w:rtl/>
        </w:rPr>
        <w:t>ה</w:t>
      </w:r>
      <w:r>
        <w:rPr>
          <w:rFonts w:ascii="David" w:hAnsi="David" w:hint="cs"/>
          <w:rtl/>
        </w:rPr>
        <w:t>מ</w:t>
      </w:r>
      <w:r w:rsidRPr="00AF4453">
        <w:rPr>
          <w:rFonts w:ascii="David" w:hAnsi="David" w:hint="cs"/>
          <w:rtl/>
        </w:rPr>
        <w:t xml:space="preserve">תגורר </w:t>
      </w:r>
      <w:r>
        <w:rPr>
          <w:rFonts w:ascii="David" w:hAnsi="David" w:hint="cs"/>
          <w:rtl/>
        </w:rPr>
        <w:t>ב</w:t>
      </w:r>
      <w:r w:rsidRPr="00AF4453">
        <w:rPr>
          <w:rFonts w:ascii="David" w:hAnsi="David" w:hint="cs"/>
          <w:rtl/>
        </w:rPr>
        <w:t>סמוך לבית אמו של הנאשם, וביקש לשוחח עמו בעקבות תלונות</w:t>
      </w:r>
      <w:r>
        <w:rPr>
          <w:rFonts w:ascii="David" w:hAnsi="David" w:hint="cs"/>
          <w:rtl/>
        </w:rPr>
        <w:t>יו</w:t>
      </w:r>
      <w:r w:rsidRPr="00AF4453">
        <w:rPr>
          <w:rFonts w:ascii="David" w:hAnsi="David" w:hint="cs"/>
          <w:rtl/>
        </w:rPr>
        <w:t xml:space="preserve"> על רעש מדירת האם. משסירב </w:t>
      </w:r>
      <w:r>
        <w:rPr>
          <w:rFonts w:ascii="David" w:hAnsi="David" w:hint="cs"/>
          <w:rtl/>
        </w:rPr>
        <w:t xml:space="preserve">מר ו.מ </w:t>
      </w:r>
      <w:r w:rsidRPr="00AF4453">
        <w:rPr>
          <w:rFonts w:ascii="David" w:hAnsi="David" w:hint="cs"/>
          <w:rtl/>
        </w:rPr>
        <w:t>לשוחח עמו</w:t>
      </w:r>
      <w:r>
        <w:rPr>
          <w:rFonts w:ascii="David" w:hAnsi="David" w:hint="cs"/>
          <w:rtl/>
        </w:rPr>
        <w:t xml:space="preserve">, איים עליו </w:t>
      </w:r>
      <w:r w:rsidRPr="00AF4453">
        <w:rPr>
          <w:rFonts w:ascii="David" w:hAnsi="David" w:hint="cs"/>
          <w:rtl/>
        </w:rPr>
        <w:t xml:space="preserve">הנאשם באומרו: </w:t>
      </w:r>
      <w:r w:rsidRPr="00AF4453">
        <w:rPr>
          <w:rFonts w:ascii="Miriam" w:hAnsi="Miriam" w:cs="Miriam"/>
          <w:rtl/>
        </w:rPr>
        <w:t>"אתה תקבל כדור בראש</w:t>
      </w:r>
      <w:r>
        <w:rPr>
          <w:rFonts w:ascii="Miriam" w:hAnsi="Miriam" w:cs="Miriam" w:hint="cs"/>
          <w:rtl/>
        </w:rPr>
        <w:t>...</w:t>
      </w:r>
      <w:r w:rsidRPr="00AF4453">
        <w:rPr>
          <w:rFonts w:ascii="Miriam" w:hAnsi="Miriam" w:cs="Miriam"/>
          <w:rtl/>
        </w:rPr>
        <w:t xml:space="preserve"> תוך שבועיים אתה לא תהיה </w:t>
      </w:r>
      <w:r>
        <w:rPr>
          <w:rFonts w:ascii="Miriam" w:hAnsi="Miriam" w:cs="Miriam" w:hint="cs"/>
          <w:rtl/>
        </w:rPr>
        <w:t>...</w:t>
      </w:r>
      <w:r w:rsidRPr="00AF4453">
        <w:rPr>
          <w:rFonts w:ascii="Miriam" w:hAnsi="Miriam" w:cs="Miriam"/>
          <w:rtl/>
        </w:rPr>
        <w:t>חודש ימים אתה תזדיין מפה חודש אני נותן לך ".</w:t>
      </w:r>
      <w:r w:rsidRPr="00AF4453">
        <w:rPr>
          <w:rFonts w:ascii="David" w:hAnsi="David" w:hint="cs"/>
          <w:rtl/>
        </w:rPr>
        <w:t xml:space="preserve"> שוטרים </w:t>
      </w:r>
      <w:r>
        <w:rPr>
          <w:rFonts w:ascii="David" w:hAnsi="David" w:hint="cs"/>
          <w:rtl/>
        </w:rPr>
        <w:t>ש</w:t>
      </w:r>
      <w:r w:rsidRPr="00AF4453">
        <w:rPr>
          <w:rFonts w:ascii="David" w:hAnsi="David" w:hint="cs"/>
          <w:rtl/>
        </w:rPr>
        <w:t xml:space="preserve">הגיעו למקום </w:t>
      </w:r>
      <w:r>
        <w:rPr>
          <w:rFonts w:ascii="David" w:hAnsi="David" w:hint="cs"/>
          <w:rtl/>
        </w:rPr>
        <w:t xml:space="preserve">הזהירו את הנאשם אך </w:t>
      </w:r>
      <w:r>
        <w:rPr>
          <w:rFonts w:ascii="David" w:hAnsi="David" w:hint="cs"/>
          <w:rtl/>
        </w:rPr>
        <w:lastRenderedPageBreak/>
        <w:t xml:space="preserve">הוא </w:t>
      </w:r>
      <w:r w:rsidRPr="00AF4453">
        <w:rPr>
          <w:rFonts w:ascii="David" w:hAnsi="David" w:hint="cs"/>
          <w:rtl/>
        </w:rPr>
        <w:t xml:space="preserve">המשיך לאיים על </w:t>
      </w:r>
      <w:r>
        <w:rPr>
          <w:rFonts w:ascii="David" w:hAnsi="David" w:hint="cs"/>
          <w:rtl/>
        </w:rPr>
        <w:t xml:space="preserve">מר ו.מ </w:t>
      </w:r>
      <w:r w:rsidRPr="00AF4453">
        <w:rPr>
          <w:rFonts w:ascii="David" w:hAnsi="David" w:hint="cs"/>
          <w:rtl/>
        </w:rPr>
        <w:t xml:space="preserve">בנוכחותם באומרו: </w:t>
      </w:r>
      <w:r w:rsidRPr="00AF4453">
        <w:rPr>
          <w:rFonts w:ascii="Miriam" w:hAnsi="Miriam" w:cs="Miriam"/>
          <w:rtl/>
        </w:rPr>
        <w:t xml:space="preserve">"אתה </w:t>
      </w:r>
      <w:r>
        <w:rPr>
          <w:rFonts w:ascii="Miriam" w:hAnsi="Miriam" w:cs="Miriam"/>
          <w:rtl/>
        </w:rPr>
        <w:t>לא תהיה פה יותר, אני אקטוף אותך</w:t>
      </w:r>
      <w:r>
        <w:rPr>
          <w:rFonts w:ascii="Miriam" w:hAnsi="Miriam" w:cs="Miriam" w:hint="cs"/>
          <w:rtl/>
        </w:rPr>
        <w:t xml:space="preserve"> </w:t>
      </w:r>
      <w:r w:rsidRPr="00AF4453">
        <w:rPr>
          <w:rFonts w:ascii="Miriam" w:hAnsi="Miriam" w:cs="Miriam"/>
          <w:rtl/>
        </w:rPr>
        <w:t xml:space="preserve">אישית אני אקטוף אותך כמו פרח, אני אעשה אותך עיוור". </w:t>
      </w:r>
    </w:p>
    <w:p w14:paraId="50CC78F4" w14:textId="77777777" w:rsidR="009E3EE4" w:rsidRDefault="009E3EE4" w:rsidP="009E3EE4">
      <w:pPr>
        <w:pStyle w:val="a9"/>
        <w:spacing w:before="240" w:after="240" w:line="360" w:lineRule="auto"/>
        <w:jc w:val="both"/>
        <w:rPr>
          <w:rFonts w:ascii="Miriam" w:hAnsi="Miriam" w:cs="Miriam"/>
        </w:rPr>
      </w:pPr>
      <w:r>
        <w:rPr>
          <w:rFonts w:ascii="David" w:hAnsi="David" w:hint="cs"/>
          <w:rtl/>
        </w:rPr>
        <w:t>(-)</w:t>
      </w:r>
      <w:r>
        <w:rPr>
          <w:rFonts w:ascii="David" w:hAnsi="David"/>
          <w:rtl/>
        </w:rPr>
        <w:tab/>
        <w:t xml:space="preserve">במסגרת </w:t>
      </w:r>
      <w:hyperlink r:id="rId14" w:history="1">
        <w:r w:rsidR="00FA548F" w:rsidRPr="00FA548F">
          <w:rPr>
            <w:rFonts w:ascii="David" w:hAnsi="David"/>
            <w:color w:val="0000FF"/>
            <w:u w:val="single"/>
            <w:rtl/>
          </w:rPr>
          <w:t>ת"פ 5454-06-21</w:t>
        </w:r>
      </w:hyperlink>
      <w:r>
        <w:rPr>
          <w:rFonts w:ascii="David" w:hAnsi="David" w:hint="cs"/>
          <w:rtl/>
        </w:rPr>
        <w:t xml:space="preserve">, </w:t>
      </w:r>
      <w:r>
        <w:rPr>
          <w:rFonts w:ascii="David" w:hAnsi="David"/>
          <w:rtl/>
        </w:rPr>
        <w:t xml:space="preserve">הורשע הנאשם </w:t>
      </w:r>
      <w:r w:rsidRPr="00350381">
        <w:rPr>
          <w:rFonts w:ascii="David" w:hAnsi="David"/>
          <w:rtl/>
        </w:rPr>
        <w:t>בעבירות</w:t>
      </w:r>
      <w:r>
        <w:rPr>
          <w:rFonts w:ascii="David" w:hAnsi="David"/>
          <w:rtl/>
        </w:rPr>
        <w:t xml:space="preserve"> איומים לפי </w:t>
      </w:r>
      <w:hyperlink r:id="rId15" w:history="1">
        <w:r w:rsidR="00151A7F" w:rsidRPr="00151A7F">
          <w:rPr>
            <w:rStyle w:val="Hyperlink"/>
            <w:rFonts w:ascii="David" w:hAnsi="David" w:hint="eastAsia"/>
            <w:rtl/>
          </w:rPr>
          <w:t>סעיף</w:t>
        </w:r>
        <w:r w:rsidR="00151A7F" w:rsidRPr="00151A7F">
          <w:rPr>
            <w:rStyle w:val="Hyperlink"/>
            <w:rFonts w:ascii="David" w:hAnsi="David"/>
            <w:rtl/>
          </w:rPr>
          <w:t xml:space="preserve"> 192</w:t>
        </w:r>
      </w:hyperlink>
      <w:r>
        <w:rPr>
          <w:rFonts w:ascii="David" w:hAnsi="David" w:hint="cs"/>
          <w:rtl/>
        </w:rPr>
        <w:t xml:space="preserve"> ל</w:t>
      </w:r>
      <w:hyperlink r:id="rId16" w:history="1">
        <w:r w:rsidR="00FA548F" w:rsidRPr="00FA548F">
          <w:rPr>
            <w:rFonts w:ascii="David" w:hAnsi="David"/>
            <w:color w:val="0000FF"/>
            <w:u w:val="single"/>
            <w:rtl/>
          </w:rPr>
          <w:t>חוק העונשין</w:t>
        </w:r>
      </w:hyperlink>
      <w:r>
        <w:rPr>
          <w:rFonts w:ascii="David" w:hAnsi="David" w:hint="cs"/>
          <w:rtl/>
        </w:rPr>
        <w:t xml:space="preserve"> (3 עבירות) והחזקת סם לצריכה עצמית לפי </w:t>
      </w:r>
      <w:hyperlink r:id="rId17" w:history="1">
        <w:r w:rsidR="00151A7F" w:rsidRPr="00151A7F">
          <w:rPr>
            <w:rStyle w:val="Hyperlink"/>
            <w:rFonts w:ascii="David" w:hAnsi="David" w:hint="eastAsia"/>
            <w:rtl/>
          </w:rPr>
          <w:t>סעיפים</w:t>
        </w:r>
        <w:r w:rsidR="00151A7F" w:rsidRPr="00151A7F">
          <w:rPr>
            <w:rStyle w:val="Hyperlink"/>
            <w:rFonts w:ascii="David" w:hAnsi="David"/>
            <w:rtl/>
          </w:rPr>
          <w:t xml:space="preserve"> 7(א)+7(ג)</w:t>
        </w:r>
      </w:hyperlink>
      <w:r>
        <w:rPr>
          <w:rFonts w:ascii="David" w:hAnsi="David" w:hint="cs"/>
          <w:rtl/>
        </w:rPr>
        <w:t xml:space="preserve"> סיפא ל</w:t>
      </w:r>
      <w:hyperlink r:id="rId18" w:history="1">
        <w:r w:rsidR="00FA548F" w:rsidRPr="00FA548F">
          <w:rPr>
            <w:rFonts w:ascii="David" w:hAnsi="David"/>
            <w:color w:val="0000FF"/>
            <w:u w:val="single"/>
            <w:rtl/>
          </w:rPr>
          <w:t>פקודת הסמים המסוכנים</w:t>
        </w:r>
      </w:hyperlink>
      <w:r>
        <w:rPr>
          <w:rFonts w:ascii="David" w:hAnsi="David" w:hint="cs"/>
          <w:rtl/>
        </w:rPr>
        <w:t xml:space="preserve"> (נוסח חדש), תשל"ג- 1973. בהתאם לעובדות כתב האישום המתוקן, ביום 20.05.20 הלם הנאשם בדלתו של מר א.א המתגורר בשכנות לאמו וצעק שיפתח את הדלת וכי הוא מרעיש וכי הדבר מפריע לאמו החולה. משסרב מר א.א לפתוח את הדלת, בעט הנאשם בדלת ואיים עליו באומרו: </w:t>
      </w:r>
      <w:r w:rsidRPr="001C61CF">
        <w:rPr>
          <w:rFonts w:ascii="Miriam" w:hAnsi="Miriam" w:cs="Miriam"/>
          <w:rtl/>
        </w:rPr>
        <w:t>"אני אשחט אותך בן זונה, אני אגמור אותך, יא ב</w:t>
      </w:r>
      <w:r>
        <w:rPr>
          <w:rFonts w:ascii="Miriam" w:hAnsi="Miriam" w:cs="Miriam" w:hint="cs"/>
          <w:rtl/>
        </w:rPr>
        <w:t>ן</w:t>
      </w:r>
      <w:r w:rsidRPr="001C61CF">
        <w:rPr>
          <w:rFonts w:ascii="Miriam" w:hAnsi="Miriam" w:cs="Miriam"/>
          <w:rtl/>
        </w:rPr>
        <w:t xml:space="preserve"> שרמוטה"</w:t>
      </w:r>
      <w:r>
        <w:rPr>
          <w:rFonts w:ascii="David" w:hAnsi="David" w:hint="cs"/>
          <w:rtl/>
        </w:rPr>
        <w:t xml:space="preserve">. שוטרים שהגיעו למקום ניסו להרגיע את הנאשם ולמנוע ממנו להמשיך לבעוט בדלת אך הוא המשיך ואיים על מר א.א ועל השוטרים באומרו: </w:t>
      </w:r>
      <w:r w:rsidRPr="00995931">
        <w:rPr>
          <w:rFonts w:ascii="Miriam" w:hAnsi="Miriam" w:cs="Miriam"/>
          <w:rtl/>
        </w:rPr>
        <w:t>"בא לי לזיין אותם בתחת, אני אלך עליהם בית סוהר, שאני לא אלך גם עליך בית סוהר, אני ישבתי 16 שנים בית סוהר".</w:t>
      </w:r>
      <w:r>
        <w:rPr>
          <w:rFonts w:ascii="David" w:hAnsi="David" w:hint="cs"/>
          <w:rtl/>
        </w:rPr>
        <w:t xml:space="preserve"> בעקבות כך, עוכב הנאשם לתחנת המשטרה, שם איים על שוטר באומרו:" </w:t>
      </w:r>
      <w:r w:rsidRPr="00995931">
        <w:rPr>
          <w:rFonts w:ascii="Miriam" w:hAnsi="Miriam" w:cs="Miriam"/>
          <w:rtl/>
        </w:rPr>
        <w:t>יא בן זונה, ממליץ לך לא לגעת בי, קח טיפ"</w:t>
      </w:r>
      <w:r>
        <w:rPr>
          <w:rFonts w:ascii="David" w:hAnsi="David" w:hint="cs"/>
          <w:rtl/>
        </w:rPr>
        <w:t xml:space="preserve">, התקרב לשוטרת אחרת תוך הנפת ידיים לעברה באומרו </w:t>
      </w:r>
      <w:r w:rsidRPr="00E612A6">
        <w:rPr>
          <w:rFonts w:ascii="Miriam" w:hAnsi="Miriam" w:cs="Miriam"/>
          <w:rtl/>
        </w:rPr>
        <w:t>"מי את בכלל"</w:t>
      </w:r>
      <w:r>
        <w:rPr>
          <w:rFonts w:ascii="David" w:hAnsi="David" w:hint="cs"/>
          <w:rtl/>
        </w:rPr>
        <w:t xml:space="preserve">  ואיים על שוטר נוסף באמרו:" </w:t>
      </w:r>
      <w:r w:rsidRPr="00995931">
        <w:rPr>
          <w:rFonts w:ascii="Miriam" w:hAnsi="Miriam" w:cs="Miriam"/>
          <w:rtl/>
        </w:rPr>
        <w:t>אנחנו ניפגש בחוץ, תוריד את המדים, שים מכנס קצר, נראה מה אתה מסוגל, בוא בחוץ, שם זין עליך".</w:t>
      </w:r>
      <w:r>
        <w:rPr>
          <w:rFonts w:ascii="David" w:hAnsi="David" w:hint="cs"/>
          <w:rtl/>
        </w:rPr>
        <w:t xml:space="preserve"> עת נערך חיפוש על גופו, נמצא שהוא מחזיק 0.41 גרם סם קנבוס לצריכה עצמית ללא היתר כדין. </w:t>
      </w:r>
    </w:p>
    <w:p w14:paraId="4F491835" w14:textId="77777777" w:rsidR="009E3EE4" w:rsidRDefault="009E3EE4" w:rsidP="009E3EE4">
      <w:pPr>
        <w:pStyle w:val="a9"/>
        <w:numPr>
          <w:ilvl w:val="0"/>
          <w:numId w:val="1"/>
        </w:numPr>
        <w:spacing w:before="240" w:after="240" w:line="360" w:lineRule="auto"/>
        <w:jc w:val="both"/>
        <w:rPr>
          <w:rFonts w:ascii="David" w:hAnsi="David"/>
        </w:rPr>
      </w:pPr>
      <w:r>
        <w:rPr>
          <w:rFonts w:ascii="David" w:hAnsi="David" w:hint="cs"/>
          <w:rtl/>
        </w:rPr>
        <w:t xml:space="preserve">להשלמת התמונה יצוין כי הודאת הנאשם באה אגב הסדר טיעון במסגרתו הוסכם שהמאשימה תטען לעונש מאסר של 9 חודשים שניתן לשאת בעבודות שירות ואילו ההגנה תטען באופן חופשי. עוד אציין כי התיק המצורף נידון בתחילה בפני מותב אחר ואף ניתנה בו הכרעת דין והוגשו תסקירים, אך במסגרת הסדר הטיעון הוסכם שהוא יועבר לטיפולי וכי יינתן גזר דין אחד בשני התיקים. </w:t>
      </w:r>
    </w:p>
    <w:p w14:paraId="423294DA" w14:textId="77777777" w:rsidR="009E3EE4" w:rsidRPr="00907BF6" w:rsidRDefault="009E3EE4" w:rsidP="009E3EE4">
      <w:pPr>
        <w:pStyle w:val="a9"/>
        <w:spacing w:before="240" w:after="240"/>
        <w:ind w:left="0"/>
        <w:jc w:val="both"/>
        <w:rPr>
          <w:rFonts w:ascii="David" w:hAnsi="David"/>
          <w:rtl/>
        </w:rPr>
      </w:pPr>
    </w:p>
    <w:p w14:paraId="298542BE" w14:textId="77777777" w:rsidR="009E3EE4" w:rsidRPr="00F40154" w:rsidRDefault="009E3EE4" w:rsidP="009E3EE4">
      <w:pPr>
        <w:pStyle w:val="a9"/>
        <w:spacing w:before="240" w:after="240" w:line="360" w:lineRule="auto"/>
        <w:ind w:left="0"/>
        <w:jc w:val="both"/>
        <w:rPr>
          <w:rFonts w:ascii="David" w:hAnsi="David"/>
          <w:b/>
          <w:bCs/>
          <w:u w:val="single"/>
          <w:rtl/>
        </w:rPr>
      </w:pPr>
      <w:r w:rsidRPr="00F40154">
        <w:rPr>
          <w:rFonts w:ascii="David" w:hAnsi="David" w:hint="cs"/>
          <w:b/>
          <w:bCs/>
          <w:u w:val="single"/>
          <w:rtl/>
        </w:rPr>
        <w:t xml:space="preserve">תסקיר שירות המבחן </w:t>
      </w:r>
    </w:p>
    <w:p w14:paraId="785E3ACD" w14:textId="77777777" w:rsidR="009E3EE4" w:rsidRDefault="009E3EE4" w:rsidP="009E3EE4">
      <w:pPr>
        <w:pStyle w:val="a9"/>
        <w:spacing w:before="240" w:after="240"/>
        <w:ind w:left="0"/>
        <w:jc w:val="both"/>
        <w:rPr>
          <w:rFonts w:ascii="David" w:hAnsi="David"/>
        </w:rPr>
      </w:pPr>
    </w:p>
    <w:p w14:paraId="5202CB20" w14:textId="77777777" w:rsidR="009E3EE4" w:rsidRDefault="009E3EE4" w:rsidP="009E3EE4">
      <w:pPr>
        <w:pStyle w:val="a9"/>
        <w:numPr>
          <w:ilvl w:val="0"/>
          <w:numId w:val="1"/>
        </w:numPr>
        <w:spacing w:before="240" w:after="240" w:line="360" w:lineRule="auto"/>
        <w:jc w:val="both"/>
        <w:rPr>
          <w:rFonts w:ascii="David" w:hAnsi="David"/>
        </w:rPr>
      </w:pPr>
      <w:r>
        <w:rPr>
          <w:rFonts w:ascii="David" w:hAnsi="David" w:hint="cs"/>
          <w:rtl/>
        </w:rPr>
        <w:t>במסגרת התיק המצורף הופנה הנאשם לשירות המבחן אשר הגיש מספר תסקירים בעניינו (שעסקו בתיק המצורף בלבד). בתסקיר הראשון נסקרו תולדות חייו ומטעמים של צנעת הפרט לא ארחיב בנושא. אציין רק שהנאשם, כבן 42, גרוש ואב לשבעה ילדים הנמצא בזוגיות שנים רבות. הנאשם תיאר שימוש מזדמן בקנביס ולא התייצב למספר בדיקות. הנאשם קיבל אחריות למעשיו אך שירות המבחן התרשם מהיעדר אמפטיה כלפי המתלונן. כן התרשם שירות המבחן מסיכון להישנות והציע לנאשם להשתלב בטיפול בתחום השליטה בכעסים אך הוא לא ראה צורך בכך, כמו גם בטיפול בתחום ההתמכרות. לאור כך לא בא שירות המבחן בהמלצה טיפולית והמליץ להטיל עונש מאסר בעבודות שירות. בית המשפט (במותב אחר) העניק לנאשם הזדמנות נוספת להשתלב בהליך טיפולי אך הנאשם שוב לא התייצב לבדיקות סמים ושירות המבחן סבר שמדובר בתנאי לשילובו בהליך לטיפול בשליטה וכעסים. משכך, לא בא שירות המבחן בהמלצה כלשהי.</w:t>
      </w:r>
    </w:p>
    <w:p w14:paraId="50375FD1" w14:textId="77777777" w:rsidR="009E3EE4" w:rsidRPr="003E202F" w:rsidRDefault="009E3EE4" w:rsidP="009E3EE4">
      <w:pPr>
        <w:pStyle w:val="a9"/>
        <w:ind w:left="0"/>
        <w:jc w:val="both"/>
        <w:rPr>
          <w:rFonts w:ascii="David" w:hAnsi="David"/>
          <w:b/>
          <w:bCs/>
          <w:u w:val="single"/>
          <w:rtl/>
        </w:rPr>
      </w:pPr>
    </w:p>
    <w:p w14:paraId="7763C2EB" w14:textId="77777777" w:rsidR="009E3EE4" w:rsidRDefault="009E3EE4" w:rsidP="009E3EE4">
      <w:pPr>
        <w:pStyle w:val="a9"/>
        <w:spacing w:line="360" w:lineRule="auto"/>
        <w:ind w:left="0"/>
        <w:jc w:val="both"/>
        <w:rPr>
          <w:rFonts w:ascii="David" w:hAnsi="David"/>
          <w:b/>
          <w:bCs/>
          <w:u w:val="single"/>
        </w:rPr>
      </w:pPr>
      <w:r>
        <w:rPr>
          <w:rFonts w:ascii="David" w:hAnsi="David"/>
          <w:b/>
          <w:bCs/>
          <w:u w:val="single"/>
          <w:rtl/>
        </w:rPr>
        <w:t>טיעוני הצדדים והראיות לעונש</w:t>
      </w:r>
    </w:p>
    <w:p w14:paraId="4939A416" w14:textId="77777777" w:rsidR="009E3EE4" w:rsidRDefault="009E3EE4" w:rsidP="009E3EE4">
      <w:pPr>
        <w:pStyle w:val="a9"/>
        <w:spacing w:before="240" w:after="240"/>
        <w:ind w:left="0"/>
        <w:jc w:val="both"/>
        <w:rPr>
          <w:rFonts w:ascii="David" w:hAnsi="David"/>
        </w:rPr>
      </w:pPr>
    </w:p>
    <w:p w14:paraId="4358BD6E" w14:textId="77777777" w:rsidR="009E3EE4" w:rsidRPr="008217D8" w:rsidRDefault="009E3EE4" w:rsidP="009E3EE4">
      <w:pPr>
        <w:pStyle w:val="a9"/>
        <w:numPr>
          <w:ilvl w:val="0"/>
          <w:numId w:val="1"/>
        </w:numPr>
        <w:spacing w:before="240" w:after="240" w:line="360" w:lineRule="auto"/>
        <w:jc w:val="both"/>
        <w:rPr>
          <w:rFonts w:ascii="David" w:hAnsi="David"/>
        </w:rPr>
      </w:pPr>
      <w:r>
        <w:rPr>
          <w:rFonts w:ascii="David" w:hAnsi="David" w:hint="cs"/>
          <w:rtl/>
        </w:rPr>
        <w:t xml:space="preserve">ב"כ המאשימה טענה כי הנאשם  חטא בשני מקרים של איומים חמורים על שכני אמו וכן איים על שוטרים. עוד נטען שניתנו לו מספר הזדמנויות להשתלב בהליך טיפולי אך הוא סרב. לאור כך טענה המאשימה שהעונש ההולם את המעשים הוא מאסר ממש אך בשל חלוף הזמן והעובדה שמדובר באב לשבעה ילדים, ניתן להסתפק בעונש מאסר בן 9 חודשים בעבודות שירות </w:t>
      </w:r>
      <w:r w:rsidRPr="008217D8">
        <w:rPr>
          <w:rFonts w:ascii="David" w:hAnsi="David" w:hint="cs"/>
          <w:rtl/>
        </w:rPr>
        <w:t xml:space="preserve">לצד ענישה נלווית. </w:t>
      </w:r>
    </w:p>
    <w:p w14:paraId="3E67EBD8" w14:textId="77777777" w:rsidR="009E3EE4" w:rsidRDefault="009E3EE4" w:rsidP="009E3EE4">
      <w:pPr>
        <w:pStyle w:val="a9"/>
        <w:spacing w:before="240" w:after="240"/>
        <w:ind w:left="0"/>
        <w:jc w:val="both"/>
        <w:rPr>
          <w:rFonts w:ascii="David" w:hAnsi="David"/>
        </w:rPr>
      </w:pPr>
    </w:p>
    <w:p w14:paraId="33CF90DD" w14:textId="77777777" w:rsidR="009E3EE4" w:rsidRDefault="009E3EE4" w:rsidP="009E3EE4">
      <w:pPr>
        <w:pStyle w:val="a9"/>
        <w:numPr>
          <w:ilvl w:val="0"/>
          <w:numId w:val="1"/>
        </w:numPr>
        <w:spacing w:before="240" w:after="240" w:line="360" w:lineRule="auto"/>
        <w:jc w:val="both"/>
        <w:rPr>
          <w:rFonts w:ascii="David" w:hAnsi="David"/>
        </w:rPr>
      </w:pPr>
      <w:r>
        <w:rPr>
          <w:rFonts w:ascii="David" w:hAnsi="David" w:hint="cs"/>
          <w:rtl/>
        </w:rPr>
        <w:t xml:space="preserve">ב"כ הנאשם טען כי מדובר באירועים ספונטניים שלא גרמו נזק גופני. לאור כך עתר הסנגור למתחם ענישה שתחילתו במאסר מותנה ועד מספר חודשי מאסר בעבודות שירות. ביחס לעונש הקונקרטי נטען כי עברו הפלילי של הנאשם ישן יחסית, הוא אב לשבעה ילדים ומנסה לקיים אורח חיים נורמטיבי. לאור כך ביקש הסנגור לנהוג עמו במידת הרחמים ולהטיל עונש שלא יעלה על שלושה חודשי מאסר בעבודות שירות. </w:t>
      </w:r>
    </w:p>
    <w:p w14:paraId="3CF54E7E" w14:textId="77777777" w:rsidR="009E3EE4" w:rsidRPr="00AD1078" w:rsidRDefault="009E3EE4" w:rsidP="009E3EE4">
      <w:pPr>
        <w:pStyle w:val="a9"/>
        <w:rPr>
          <w:rFonts w:ascii="David" w:hAnsi="David"/>
          <w:rtl/>
        </w:rPr>
      </w:pPr>
    </w:p>
    <w:p w14:paraId="29D11A4E" w14:textId="77777777" w:rsidR="009E3EE4" w:rsidRDefault="009E3EE4" w:rsidP="009E3EE4">
      <w:pPr>
        <w:pStyle w:val="a9"/>
        <w:numPr>
          <w:ilvl w:val="0"/>
          <w:numId w:val="1"/>
        </w:numPr>
        <w:spacing w:before="240" w:after="240" w:line="360" w:lineRule="auto"/>
        <w:jc w:val="both"/>
        <w:rPr>
          <w:rFonts w:ascii="David" w:hAnsi="David"/>
        </w:rPr>
      </w:pPr>
      <w:r>
        <w:rPr>
          <w:rFonts w:ascii="David" w:hAnsi="David" w:hint="cs"/>
          <w:rtl/>
        </w:rPr>
        <w:t xml:space="preserve">הנאשם בדברו האחרון ביקש התחשבות ותיאר את הקושי שעבר מאז הגשת כתבי האישום. </w:t>
      </w:r>
    </w:p>
    <w:p w14:paraId="55EAF6B4" w14:textId="77777777" w:rsidR="009E3EE4" w:rsidRDefault="009E3EE4" w:rsidP="009E3EE4">
      <w:pPr>
        <w:spacing w:line="360" w:lineRule="auto"/>
        <w:jc w:val="both"/>
        <w:rPr>
          <w:b/>
          <w:bCs/>
          <w:u w:val="single"/>
          <w:rtl/>
        </w:rPr>
      </w:pPr>
    </w:p>
    <w:p w14:paraId="32074576" w14:textId="77777777" w:rsidR="009E3EE4" w:rsidRDefault="009E3EE4" w:rsidP="009E3EE4">
      <w:pPr>
        <w:spacing w:line="360" w:lineRule="auto"/>
        <w:jc w:val="both"/>
        <w:rPr>
          <w:b/>
          <w:bCs/>
          <w:u w:val="single"/>
          <w:rtl/>
        </w:rPr>
      </w:pPr>
    </w:p>
    <w:p w14:paraId="5C009330" w14:textId="77777777" w:rsidR="009E3EE4" w:rsidRDefault="009E3EE4" w:rsidP="009E3EE4">
      <w:pPr>
        <w:spacing w:line="360" w:lineRule="auto"/>
        <w:jc w:val="both"/>
        <w:rPr>
          <w:b/>
          <w:bCs/>
          <w:u w:val="single"/>
          <w:rtl/>
        </w:rPr>
      </w:pPr>
    </w:p>
    <w:p w14:paraId="1D1B71AE" w14:textId="77777777" w:rsidR="009E3EE4" w:rsidRDefault="009E3EE4" w:rsidP="009E3EE4">
      <w:pPr>
        <w:spacing w:line="360" w:lineRule="auto"/>
        <w:jc w:val="both"/>
        <w:rPr>
          <w:b/>
          <w:bCs/>
          <w:u w:val="single"/>
        </w:rPr>
      </w:pPr>
      <w:r>
        <w:rPr>
          <w:b/>
          <w:bCs/>
          <w:u w:val="single"/>
          <w:rtl/>
        </w:rPr>
        <w:t>דיון והכרעה</w:t>
      </w:r>
    </w:p>
    <w:p w14:paraId="40E4E080" w14:textId="77777777" w:rsidR="009E3EE4" w:rsidRDefault="009E3EE4" w:rsidP="009E3EE4">
      <w:pPr>
        <w:spacing w:line="360" w:lineRule="auto"/>
        <w:jc w:val="both"/>
        <w:rPr>
          <w:b/>
          <w:bCs/>
          <w:u w:val="single"/>
        </w:rPr>
      </w:pPr>
      <w:r>
        <w:rPr>
          <w:b/>
          <w:bCs/>
          <w:u w:val="single"/>
          <w:rtl/>
        </w:rPr>
        <w:t>קביעת מתחם הענישה</w:t>
      </w:r>
    </w:p>
    <w:p w14:paraId="2785627F" w14:textId="77777777" w:rsidR="009E3EE4" w:rsidRDefault="009E3EE4" w:rsidP="009E3EE4">
      <w:pPr>
        <w:rPr>
          <w:rFonts w:ascii="David" w:hAnsi="David"/>
        </w:rPr>
      </w:pPr>
    </w:p>
    <w:p w14:paraId="43206D5D" w14:textId="77777777" w:rsidR="009E3EE4" w:rsidRPr="005610D6" w:rsidRDefault="009E3EE4" w:rsidP="009E3EE4">
      <w:pPr>
        <w:pStyle w:val="a9"/>
        <w:numPr>
          <w:ilvl w:val="0"/>
          <w:numId w:val="1"/>
        </w:numPr>
        <w:spacing w:line="360" w:lineRule="auto"/>
        <w:jc w:val="both"/>
        <w:rPr>
          <w:rtl/>
        </w:rPr>
      </w:pPr>
      <w:r>
        <w:rPr>
          <w:rFonts w:hint="cs"/>
          <w:rtl/>
        </w:rPr>
        <w:t xml:space="preserve">המאשימה לא התייחסה למתחם הענישה ההולם ואילו הסנגור ביקש לקבוע מתחם אחד, </w:t>
      </w:r>
      <w:r>
        <w:rPr>
          <w:rtl/>
        </w:rPr>
        <w:t xml:space="preserve">הגם שמדובר בריבוי עבירות שנעברו במקומות שונים, בזמנים שונים וכלפי מתלוננים שונים. כן מדובר </w:t>
      </w:r>
      <w:r>
        <w:rPr>
          <w:rFonts w:hint="cs"/>
          <w:rtl/>
        </w:rPr>
        <w:t xml:space="preserve">בשני </w:t>
      </w:r>
      <w:r>
        <w:rPr>
          <w:rtl/>
        </w:rPr>
        <w:t>כתבי אישום שונים. עמדה זו אינה מובנת מאליה ויתכנו בנושא פנים לכאן ולכאן. עם זאת, במקרה זה סברתי שיש</w:t>
      </w:r>
      <w:r>
        <w:rPr>
          <w:rFonts w:hint="cs"/>
          <w:rtl/>
        </w:rPr>
        <w:t xml:space="preserve"> לקבוע מתחם עונש אחד</w:t>
      </w:r>
      <w:r>
        <w:rPr>
          <w:rtl/>
        </w:rPr>
        <w:t xml:space="preserve">. </w:t>
      </w:r>
      <w:r>
        <w:rPr>
          <w:rFonts w:ascii="David" w:hAnsi="David"/>
          <w:rtl/>
        </w:rPr>
        <w:t xml:space="preserve">מדובר בעבירות זהות יחסית שבוצעו בנסיבות דומות </w:t>
      </w:r>
      <w:r>
        <w:rPr>
          <w:rFonts w:ascii="David" w:hAnsi="David" w:hint="cs"/>
          <w:rtl/>
        </w:rPr>
        <w:t xml:space="preserve">מאוד ועל רקע דומה. אכן, בין האירועים השונים מפרידים מספר חודשים </w:t>
      </w:r>
      <w:r>
        <w:rPr>
          <w:rFonts w:hint="cs"/>
          <w:rtl/>
        </w:rPr>
        <w:t xml:space="preserve">ואולם </w:t>
      </w:r>
      <w:r>
        <w:rPr>
          <w:rtl/>
        </w:rPr>
        <w:t>מדובר בסמיכות זמנים המתיישבת עם התכלית העומדת בבסיס הפרשנות שניתנה בפסיקה למונח "אירוע" (</w:t>
      </w:r>
      <w:hyperlink r:id="rId19" w:history="1">
        <w:r w:rsidR="00FA548F" w:rsidRPr="00FA548F">
          <w:rPr>
            <w:color w:val="0000FF"/>
            <w:u w:val="single"/>
            <w:rtl/>
          </w:rPr>
          <w:t>ע"פ 5643/14</w:t>
        </w:r>
      </w:hyperlink>
      <w:r>
        <w:rPr>
          <w:rtl/>
        </w:rPr>
        <w:t xml:space="preserve"> </w:t>
      </w:r>
      <w:r w:rsidRPr="009A2E87">
        <w:rPr>
          <w:b/>
          <w:bCs/>
          <w:rtl/>
        </w:rPr>
        <w:t>אחמד עיסא נ' מדינת ישראל</w:t>
      </w:r>
      <w:r>
        <w:rPr>
          <w:rtl/>
        </w:rPr>
        <w:t xml:space="preserve"> (23.6.2015)</w:t>
      </w:r>
      <w:r>
        <w:rPr>
          <w:rFonts w:hint="cs"/>
          <w:rtl/>
        </w:rPr>
        <w:t xml:space="preserve">; </w:t>
      </w:r>
      <w:hyperlink r:id="rId20" w:history="1">
        <w:r w:rsidR="00FA548F" w:rsidRPr="00FA548F">
          <w:rPr>
            <w:color w:val="0000FF"/>
            <w:u w:val="single"/>
            <w:rtl/>
          </w:rPr>
          <w:t>ע"פ 4910/13</w:t>
        </w:r>
      </w:hyperlink>
      <w:r>
        <w:rPr>
          <w:rtl/>
        </w:rPr>
        <w:t xml:space="preserve"> </w:t>
      </w:r>
      <w:r w:rsidRPr="009A2E87">
        <w:rPr>
          <w:b/>
          <w:bCs/>
          <w:rtl/>
        </w:rPr>
        <w:t>ג'אבר נ' מדינת ישראל</w:t>
      </w:r>
      <w:r>
        <w:rPr>
          <w:rtl/>
        </w:rPr>
        <w:t xml:space="preserve"> (29.10.2014)</w:t>
      </w:r>
      <w:r>
        <w:rPr>
          <w:rFonts w:hint="cs"/>
          <w:rtl/>
        </w:rPr>
        <w:t>).</w:t>
      </w:r>
    </w:p>
    <w:p w14:paraId="4E1070B6" w14:textId="77777777" w:rsidR="009E3EE4" w:rsidRDefault="009E3EE4" w:rsidP="009E3EE4">
      <w:pPr>
        <w:pStyle w:val="a9"/>
        <w:ind w:left="0"/>
        <w:jc w:val="both"/>
        <w:rPr>
          <w:rtl/>
        </w:rPr>
      </w:pPr>
    </w:p>
    <w:p w14:paraId="67C0CD7B" w14:textId="77777777" w:rsidR="009E3EE4" w:rsidRPr="00DF6E49" w:rsidRDefault="009E3EE4" w:rsidP="009E3EE4">
      <w:pPr>
        <w:pStyle w:val="a9"/>
        <w:numPr>
          <w:ilvl w:val="0"/>
          <w:numId w:val="1"/>
        </w:numPr>
        <w:spacing w:line="360" w:lineRule="auto"/>
        <w:jc w:val="both"/>
        <w:rPr>
          <w:rFonts w:ascii="David" w:hAnsi="David"/>
        </w:rPr>
      </w:pPr>
      <w:r w:rsidRPr="00D36EB9">
        <w:rPr>
          <w:rtl/>
        </w:rPr>
        <w:t>הערכים המוגנים בבסיס העבירות</w:t>
      </w:r>
      <w:r>
        <w:rPr>
          <w:rFonts w:ascii="David" w:hAnsi="David"/>
          <w:rtl/>
        </w:rPr>
        <w:t xml:space="preserve"> </w:t>
      </w:r>
      <w:r>
        <w:rPr>
          <w:rFonts w:ascii="David" w:hAnsi="David" w:hint="cs"/>
          <w:rtl/>
        </w:rPr>
        <w:t xml:space="preserve">שנפגעו ברורים. </w:t>
      </w:r>
      <w:r>
        <w:rPr>
          <w:rFonts w:ascii="David" w:hAnsi="David"/>
          <w:color w:val="000000"/>
          <w:rtl/>
        </w:rPr>
        <w:t>עבירת האיומים פוגעת בכבוד, בביטחון ובאוטונומיה של הפרט</w:t>
      </w:r>
      <w:r>
        <w:rPr>
          <w:rFonts w:ascii="David" w:hAnsi="David"/>
          <w:color w:val="000000"/>
        </w:rPr>
        <w:t>.</w:t>
      </w:r>
      <w:r>
        <w:rPr>
          <w:rFonts w:ascii="David" w:hAnsi="David"/>
          <w:rtl/>
        </w:rPr>
        <w:t xml:space="preserve"> במקרה זה הופנו האיומים</w:t>
      </w:r>
      <w:r>
        <w:rPr>
          <w:rFonts w:ascii="David" w:hAnsi="David" w:hint="cs"/>
          <w:rtl/>
        </w:rPr>
        <w:t xml:space="preserve"> גם</w:t>
      </w:r>
      <w:r>
        <w:rPr>
          <w:rFonts w:ascii="David" w:hAnsi="David"/>
          <w:rtl/>
        </w:rPr>
        <w:t xml:space="preserve"> כלפי שוטרים וקיים אפוא ערך נוסף שנפגע והוא </w:t>
      </w:r>
      <w:r w:rsidRPr="00DF6E49">
        <w:rPr>
          <w:rFonts w:ascii="David" w:hAnsi="David"/>
          <w:rtl/>
        </w:rPr>
        <w:t>שלטון החוק ויכולת רשויות אכיפת החוק למלא את תפקידם ללא מורא פן יפגעו</w:t>
      </w:r>
      <w:r>
        <w:rPr>
          <w:rFonts w:ascii="David" w:hAnsi="David" w:hint="cs"/>
          <w:rtl/>
        </w:rPr>
        <w:t xml:space="preserve"> (ראו</w:t>
      </w:r>
      <w:r>
        <w:rPr>
          <w:rFonts w:hint="cs"/>
          <w:rtl/>
        </w:rPr>
        <w:t xml:space="preserve"> </w:t>
      </w:r>
      <w:hyperlink r:id="rId21" w:history="1">
        <w:r w:rsidR="00FA548F" w:rsidRPr="00FA548F">
          <w:rPr>
            <w:rFonts w:ascii="David" w:hAnsi="David"/>
            <w:color w:val="0000FF"/>
            <w:u w:val="single"/>
            <w:rtl/>
          </w:rPr>
          <w:t>ע"פ 9878/09</w:t>
        </w:r>
      </w:hyperlink>
      <w:r w:rsidRPr="00DF6E49">
        <w:rPr>
          <w:rFonts w:ascii="David" w:hAnsi="David"/>
          <w:rtl/>
        </w:rPr>
        <w:t xml:space="preserve"> </w:t>
      </w:r>
      <w:r w:rsidRPr="00DF6E49">
        <w:rPr>
          <w:rFonts w:ascii="David" w:hAnsi="David" w:hint="cs"/>
          <w:b/>
          <w:bCs/>
          <w:rtl/>
        </w:rPr>
        <w:t>מדינת ישראל נ' מוסא</w:t>
      </w:r>
      <w:r>
        <w:rPr>
          <w:rFonts w:ascii="David" w:hAnsi="David" w:hint="cs"/>
          <w:rtl/>
        </w:rPr>
        <w:t xml:space="preserve"> (20.9.2010)). ביחס לעבירת הסמים הרי שהפגיעה היא בשלום הציבור ובבריאותו.</w:t>
      </w:r>
    </w:p>
    <w:p w14:paraId="6A97DFF1" w14:textId="77777777" w:rsidR="009E3EE4" w:rsidRPr="003E202F" w:rsidRDefault="009E3EE4" w:rsidP="009E3EE4">
      <w:pPr>
        <w:jc w:val="both"/>
        <w:rPr>
          <w:rFonts w:ascii="David" w:hAnsi="David"/>
          <w:rtl/>
        </w:rPr>
      </w:pPr>
    </w:p>
    <w:p w14:paraId="5F770ED8" w14:textId="77777777" w:rsidR="009E3EE4" w:rsidRDefault="009E3EE4" w:rsidP="009E3EE4">
      <w:pPr>
        <w:pStyle w:val="a9"/>
        <w:numPr>
          <w:ilvl w:val="0"/>
          <w:numId w:val="1"/>
        </w:numPr>
        <w:spacing w:line="360" w:lineRule="auto"/>
        <w:jc w:val="both"/>
        <w:rPr>
          <w:rFonts w:ascii="David" w:hAnsi="David"/>
        </w:rPr>
      </w:pPr>
      <w:r>
        <w:rPr>
          <w:rFonts w:ascii="David" w:hAnsi="David" w:hint="cs"/>
          <w:rtl/>
        </w:rPr>
        <w:t xml:space="preserve">ביחס </w:t>
      </w:r>
      <w:r>
        <w:rPr>
          <w:rFonts w:hint="cs"/>
          <w:rtl/>
        </w:rPr>
        <w:t>ל</w:t>
      </w:r>
      <w:r w:rsidRPr="000E07E3">
        <w:rPr>
          <w:rtl/>
        </w:rPr>
        <w:t>נסיבות הקשורות לביצוע העבירות</w:t>
      </w:r>
      <w:r w:rsidRPr="000E07E3">
        <w:rPr>
          <w:rFonts w:ascii="David" w:hAnsi="David"/>
          <w:rtl/>
        </w:rPr>
        <w:t xml:space="preserve"> אציין </w:t>
      </w:r>
      <w:r>
        <w:rPr>
          <w:rFonts w:ascii="David" w:hAnsi="David" w:hint="cs"/>
          <w:rtl/>
        </w:rPr>
        <w:t xml:space="preserve">שמדובר באיומים קשים ובוטים אשר כללו מעשי בריוניות כגון </w:t>
      </w:r>
      <w:r>
        <w:rPr>
          <w:rFonts w:ascii="David" w:hAnsi="David" w:hint="cs"/>
          <w:color w:val="000000"/>
          <w:rtl/>
        </w:rPr>
        <w:t xml:space="preserve">דפיקות חזקות על הדלת ובעיטות בה. הנאשם לא נרגע ולא נרתע אף כאשר הגיעו למקום שוטרים ואף עליהם איים באיומים קשים לרבות בתחנת המשטרה. מדובר אפוא בהתנהגות משוללת רסן לחלוטין שחזרה על עצמה. </w:t>
      </w:r>
    </w:p>
    <w:p w14:paraId="75815CB1" w14:textId="77777777" w:rsidR="009E3EE4" w:rsidRPr="003E202F" w:rsidRDefault="009E3EE4" w:rsidP="009E3EE4">
      <w:pPr>
        <w:pStyle w:val="a9"/>
        <w:rPr>
          <w:rFonts w:ascii="David" w:hAnsi="David"/>
          <w:rtl/>
        </w:rPr>
      </w:pPr>
    </w:p>
    <w:p w14:paraId="7ECDE589" w14:textId="77777777" w:rsidR="009E3EE4" w:rsidRDefault="009E3EE4" w:rsidP="009E3EE4">
      <w:pPr>
        <w:pStyle w:val="a9"/>
        <w:numPr>
          <w:ilvl w:val="0"/>
          <w:numId w:val="1"/>
        </w:numPr>
        <w:spacing w:line="360" w:lineRule="auto"/>
        <w:jc w:val="both"/>
      </w:pPr>
      <w:r w:rsidRPr="00DE67A8">
        <w:rPr>
          <w:rFonts w:ascii="David" w:hAnsi="David"/>
          <w:rtl/>
        </w:rPr>
        <w:t xml:space="preserve">ביחס למדיניות הענישה בעבירות איומים אציין שהיא בעלת מנעד רחב ותלויה במהות האיום, מיהות המאוים, נסיבות העניין הכוללות ונסיבות העושה עצמו. לצורך הדגמה אפנה לפסקי הדין הבאים: </w:t>
      </w:r>
      <w:hyperlink r:id="rId22" w:history="1">
        <w:r w:rsidR="00FA548F" w:rsidRPr="00FA548F">
          <w:rPr>
            <w:rFonts w:ascii="David" w:hAnsi="David"/>
            <w:color w:val="0000FF"/>
            <w:u w:val="single"/>
            <w:rtl/>
          </w:rPr>
          <w:t>ע"פ 38269-12-18</w:t>
        </w:r>
      </w:hyperlink>
      <w:r w:rsidRPr="00DE67A8">
        <w:rPr>
          <w:rFonts w:ascii="David" w:hAnsi="David"/>
          <w:rtl/>
        </w:rPr>
        <w:t xml:space="preserve"> </w:t>
      </w:r>
      <w:r w:rsidRPr="00DE67A8">
        <w:rPr>
          <w:rFonts w:ascii="David" w:hAnsi="David"/>
          <w:b/>
          <w:bCs/>
          <w:rtl/>
        </w:rPr>
        <w:t>משולמי נ' מדינת ישראל</w:t>
      </w:r>
      <w:r w:rsidRPr="00DE67A8">
        <w:rPr>
          <w:rFonts w:ascii="David" w:hAnsi="David"/>
          <w:rtl/>
        </w:rPr>
        <w:t xml:space="preserve"> (6.10.2019), בו נדחה ערעור נאשם שהורשע בעבירות איומים כלפי שכניו כי </w:t>
      </w:r>
      <w:r w:rsidRPr="00DE67A8">
        <w:rPr>
          <w:rFonts w:ascii="Miriam" w:hAnsi="Miriam" w:cs="Miriam"/>
          <w:rtl/>
        </w:rPr>
        <w:t>"ישרוף וישחט אותם"</w:t>
      </w:r>
      <w:r w:rsidRPr="00DE67A8">
        <w:rPr>
          <w:rFonts w:ascii="David" w:hAnsi="David"/>
          <w:rtl/>
        </w:rPr>
        <w:t xml:space="preserve"> וזאת על רקע סכסוך מתמשך בנוגע לזכויות רכושיות בקרקע. על הנאשם, בעל עבר צבאי ממשי שעברו נקי, הוטל מאסר על תנאי והתחייבות ובית המשפט המחוזי ציין כי "</w:t>
      </w:r>
      <w:r w:rsidRPr="00DE67A8">
        <w:rPr>
          <w:rFonts w:ascii="Miriam" w:hAnsi="Miriam" w:cs="Miriam"/>
          <w:rtl/>
        </w:rPr>
        <w:t>מדובר במי שהורשע בעבירת איומים ברף הגבוה שלה, והעונש שהושת עליו הוא מקל ביותר</w:t>
      </w:r>
      <w:r w:rsidRPr="00DE67A8">
        <w:rPr>
          <w:rFonts w:ascii="David" w:hAnsi="David"/>
          <w:rtl/>
        </w:rPr>
        <w:t xml:space="preserve">"; </w:t>
      </w:r>
      <w:hyperlink r:id="rId23" w:history="1">
        <w:r w:rsidR="00FA548F" w:rsidRPr="00FA548F">
          <w:rPr>
            <w:rFonts w:ascii="David" w:hAnsi="David"/>
            <w:color w:val="0000FF"/>
            <w:u w:val="single"/>
            <w:rtl/>
          </w:rPr>
          <w:t>ת"פ 28311-06-21</w:t>
        </w:r>
      </w:hyperlink>
      <w:r w:rsidRPr="00DE67A8">
        <w:rPr>
          <w:rFonts w:ascii="David" w:hAnsi="David"/>
          <w:rtl/>
        </w:rPr>
        <w:t xml:space="preserve"> </w:t>
      </w:r>
      <w:r w:rsidRPr="00DE67A8">
        <w:rPr>
          <w:rFonts w:ascii="David" w:hAnsi="David"/>
          <w:b/>
          <w:bCs/>
          <w:rtl/>
        </w:rPr>
        <w:t>מדינת ישראל נ' צרפתי</w:t>
      </w:r>
      <w:r w:rsidRPr="00DE67A8">
        <w:rPr>
          <w:rFonts w:ascii="David" w:hAnsi="David"/>
          <w:rtl/>
        </w:rPr>
        <w:t xml:space="preserve"> (16.12.2021), בו נידון עניינו של נאשם שהורשע בעבירת איומים על נציגת וועד הבית המשותף</w:t>
      </w:r>
      <w:r w:rsidRPr="00DE67A8">
        <w:rPr>
          <w:rFonts w:ascii="David" w:hAnsi="David" w:hint="cs"/>
          <w:rtl/>
        </w:rPr>
        <w:t xml:space="preserve"> בנסיבות דומות יחסית</w:t>
      </w:r>
      <w:r w:rsidRPr="00DE67A8">
        <w:rPr>
          <w:rFonts w:ascii="David" w:hAnsi="David"/>
          <w:rtl/>
        </w:rPr>
        <w:t xml:space="preserve"> (</w:t>
      </w:r>
      <w:r w:rsidRPr="00DE67A8">
        <w:rPr>
          <w:rFonts w:ascii="Miriam" w:hAnsi="Miriam" w:cs="Miriam"/>
          <w:rtl/>
        </w:rPr>
        <w:t>"תקשיבי יא מזדיינת אני אאנוס אותך ואת הבנות שלך ואני ארצח אותך. אני ישבתי בכלא על אונס ואני אאנוס את כל אחת מהבנות שלך ואני ארצח אותן ואאנוס אותן ואפתח אותן ... איפה שהילדים שלך ילכו אני ארצח אותם ישבתי על אונס אני משוגע ופסיכופת אני שם זין על השוטרים"</w:t>
      </w:r>
      <w:r w:rsidRPr="00DE67A8">
        <w:rPr>
          <w:rFonts w:ascii="David" w:hAnsi="David"/>
          <w:rtl/>
        </w:rPr>
        <w:t>). נקבע כי מתחם העונש ההולם נע בין מאסר מותנה ועד 12 חודשי מאסר בפועל ועל הנאשם, בעל עבר פלילי מכביד, נגזרו חמישה חודשי מאסר בפועל והופעל מאסר מותנה כך שסה"כ הוטלו עליו 8 חודשי מאסר בפועל</w:t>
      </w:r>
      <w:r>
        <w:rPr>
          <w:rtl/>
        </w:rPr>
        <w:t xml:space="preserve">; </w:t>
      </w:r>
      <w:hyperlink r:id="rId24" w:history="1">
        <w:r w:rsidR="00FA548F" w:rsidRPr="00FA548F">
          <w:rPr>
            <w:color w:val="0000FF"/>
            <w:u w:val="single"/>
            <w:rtl/>
          </w:rPr>
          <w:t>ת"פ 10141-03-21</w:t>
        </w:r>
      </w:hyperlink>
      <w:r>
        <w:rPr>
          <w:rtl/>
        </w:rPr>
        <w:t xml:space="preserve"> </w:t>
      </w:r>
      <w:r w:rsidRPr="00DE67A8">
        <w:rPr>
          <w:b/>
          <w:bCs/>
          <w:rtl/>
        </w:rPr>
        <w:t>מדינת ישראל נ' זועבי</w:t>
      </w:r>
      <w:r>
        <w:rPr>
          <w:rtl/>
        </w:rPr>
        <w:t xml:space="preserve"> (3.5.2021), בו נידון נאשם לחודשיים מאסר בדרך של עבודות שירות בגין עבירת איומים כלפי עורכת דינו וזאת על רקע חוסר שביעות רצון מאופן טיפולה</w:t>
      </w:r>
      <w:r>
        <w:rPr>
          <w:rFonts w:ascii="David" w:hAnsi="David" w:hint="cs"/>
          <w:rtl/>
        </w:rPr>
        <w:t xml:space="preserve">. </w:t>
      </w:r>
    </w:p>
    <w:p w14:paraId="3BEBC70F" w14:textId="77777777" w:rsidR="009E3EE4" w:rsidRPr="0063581C" w:rsidRDefault="009E3EE4" w:rsidP="009E3EE4">
      <w:pPr>
        <w:pStyle w:val="a9"/>
        <w:ind w:left="0"/>
        <w:jc w:val="both"/>
      </w:pPr>
    </w:p>
    <w:p w14:paraId="5F4061E4" w14:textId="77777777" w:rsidR="009E3EE4" w:rsidRPr="00203EF1" w:rsidRDefault="009E3EE4" w:rsidP="009E3EE4">
      <w:pPr>
        <w:pStyle w:val="a9"/>
        <w:numPr>
          <w:ilvl w:val="0"/>
          <w:numId w:val="1"/>
        </w:numPr>
        <w:spacing w:line="360" w:lineRule="auto"/>
        <w:jc w:val="both"/>
      </w:pPr>
      <w:r>
        <w:rPr>
          <w:rFonts w:ascii="David" w:hAnsi="David" w:hint="cs"/>
          <w:rtl/>
        </w:rPr>
        <w:t xml:space="preserve">ביחס לעבירות המשלבות איומים על שוטרים אפנה לפסקי הדין הבאים: </w:t>
      </w:r>
      <w:hyperlink r:id="rId25" w:history="1">
        <w:r w:rsidR="00FA548F" w:rsidRPr="00FA548F">
          <w:rPr>
            <w:rFonts w:ascii="David" w:hAnsi="David"/>
            <w:color w:val="0000FF"/>
            <w:u w:val="single"/>
            <w:rtl/>
          </w:rPr>
          <w:t>רע"פ 2014/21</w:t>
        </w:r>
      </w:hyperlink>
      <w:r w:rsidRPr="0063581C">
        <w:rPr>
          <w:rFonts w:ascii="David" w:hAnsi="David"/>
          <w:rtl/>
        </w:rPr>
        <w:t xml:space="preserve"> </w:t>
      </w:r>
      <w:r w:rsidRPr="0063581C">
        <w:rPr>
          <w:rFonts w:ascii="David" w:hAnsi="David" w:hint="cs"/>
          <w:b/>
          <w:bCs/>
          <w:rtl/>
        </w:rPr>
        <w:t>אביהו חיון נ' מדינת ישראל</w:t>
      </w:r>
      <w:r w:rsidRPr="0063581C">
        <w:rPr>
          <w:rFonts w:ascii="David" w:hAnsi="David" w:hint="cs"/>
          <w:rtl/>
        </w:rPr>
        <w:t xml:space="preserve"> (22.3.2021), בו נידון עניינו של נאשם שהורשע בעבירות איומים והפרעה לשוטר בכך שצפר לניידת משטרה שעצרה בכביש לפניו וכשניגשו אליו השוטרים איים עליהם. על הנאשם הוטלו חודשיים מאסר לריצוי בעבודות שירות. ערעורו נדחה וכך גם בקשת רשות ערעור שהגיש ובית המשפט העליון ציין כי "</w:t>
      </w:r>
      <w:r w:rsidRPr="0063581C">
        <w:rPr>
          <w:rFonts w:ascii="Miriam" w:hAnsi="Miriam" w:cs="Miriam"/>
          <w:rtl/>
        </w:rPr>
        <w:t>העונש שהושת על המבקש מידתי</w:t>
      </w:r>
      <w:r w:rsidRPr="0063581C">
        <w:rPr>
          <w:rFonts w:ascii="David" w:hAnsi="David"/>
          <w:rtl/>
        </w:rPr>
        <w:t>"</w:t>
      </w:r>
      <w:r>
        <w:rPr>
          <w:rFonts w:hint="cs"/>
          <w:rtl/>
        </w:rPr>
        <w:t xml:space="preserve">; </w:t>
      </w:r>
      <w:hyperlink r:id="rId26" w:history="1">
        <w:r w:rsidR="00FA548F" w:rsidRPr="00FA548F">
          <w:rPr>
            <w:color w:val="0000FF"/>
            <w:u w:val="single"/>
            <w:rtl/>
          </w:rPr>
          <w:t>ע"פ 28726-12-14</w:t>
        </w:r>
      </w:hyperlink>
      <w:r>
        <w:rPr>
          <w:rtl/>
        </w:rPr>
        <w:t xml:space="preserve"> </w:t>
      </w:r>
      <w:r w:rsidRPr="0063581C">
        <w:rPr>
          <w:b/>
          <w:bCs/>
          <w:rtl/>
        </w:rPr>
        <w:t>ויאצסלב לוקובסקי נגד מדינת ישראל</w:t>
      </w:r>
      <w:r>
        <w:rPr>
          <w:rtl/>
        </w:rPr>
        <w:t xml:space="preserve"> (19.2.2015), בו </w:t>
      </w:r>
      <w:r>
        <w:rPr>
          <w:rFonts w:hint="cs"/>
          <w:rtl/>
        </w:rPr>
        <w:t>הוטלו על נאשם 60 ימי מאסר בעבודות שירות בגין כך ש</w:t>
      </w:r>
      <w:r>
        <w:rPr>
          <w:rtl/>
        </w:rPr>
        <w:t>איים על שוטר, נצמד אליו</w:t>
      </w:r>
      <w:r>
        <w:rPr>
          <w:rFonts w:hint="cs"/>
          <w:rtl/>
        </w:rPr>
        <w:t>,</w:t>
      </w:r>
      <w:r>
        <w:rPr>
          <w:rtl/>
        </w:rPr>
        <w:t xml:space="preserve"> </w:t>
      </w:r>
      <w:r>
        <w:rPr>
          <w:rFonts w:hint="cs"/>
          <w:rtl/>
        </w:rPr>
        <w:t>ה</w:t>
      </w:r>
      <w:r>
        <w:rPr>
          <w:rtl/>
        </w:rPr>
        <w:t xml:space="preserve">ניף את ידו לעברו ואחז במכנסיו במהלך התנגדותו לכבילה. </w:t>
      </w:r>
      <w:r>
        <w:rPr>
          <w:rFonts w:hint="cs"/>
          <w:rtl/>
        </w:rPr>
        <w:t>גם ב</w:t>
      </w:r>
      <w:r>
        <w:rPr>
          <w:rtl/>
        </w:rPr>
        <w:t>מהלך הנסיעה בניידת איים על שוטר אחר</w:t>
      </w:r>
      <w:r>
        <w:rPr>
          <w:rFonts w:hint="cs"/>
          <w:rtl/>
        </w:rPr>
        <w:t xml:space="preserve"> ועשה כן </w:t>
      </w:r>
      <w:r>
        <w:rPr>
          <w:rtl/>
        </w:rPr>
        <w:t>גם בתחנת המשטרה</w:t>
      </w:r>
      <w:r>
        <w:rPr>
          <w:rFonts w:hint="cs"/>
          <w:rtl/>
        </w:rPr>
        <w:t xml:space="preserve">; </w:t>
      </w:r>
      <w:hyperlink r:id="rId27" w:history="1">
        <w:r w:rsidR="00FA548F" w:rsidRPr="00FA548F">
          <w:rPr>
            <w:rFonts w:ascii="David" w:hAnsi="David"/>
            <w:color w:val="0000FF"/>
            <w:u w:val="single"/>
            <w:rtl/>
          </w:rPr>
          <w:t>עפ"ג 14791-02-22</w:t>
        </w:r>
      </w:hyperlink>
      <w:r w:rsidRPr="0063581C">
        <w:rPr>
          <w:rFonts w:ascii="David" w:hAnsi="David"/>
          <w:rtl/>
        </w:rPr>
        <w:t xml:space="preserve"> </w:t>
      </w:r>
      <w:r w:rsidRPr="0063581C">
        <w:rPr>
          <w:rFonts w:ascii="David" w:hAnsi="David" w:hint="cs"/>
          <w:b/>
          <w:bCs/>
          <w:rtl/>
        </w:rPr>
        <w:t>מוסא מוחמד עלי נ' מדינת ישראל</w:t>
      </w:r>
      <w:r w:rsidRPr="0063581C">
        <w:rPr>
          <w:rFonts w:ascii="David" w:hAnsi="David"/>
          <w:rtl/>
        </w:rPr>
        <w:t xml:space="preserve"> (18.5.2022), בו הוטלו על נאשם ארבעה חודשי מאסר בעבודות שירות (הכוללים הפעלת מאסר מותנה) לאחר שהורשע בעבירות איומים והפרעה לשוטר, בכך שבעת שהיה מאושפז התנהג שלא כראוי בבית החולים ומאבטח במקום הזעיק את המשטרה. שוטרת שניגשה אליו ביקשה שיזדהה והוא בתגובה קילל אותה, איים עליה וירק לעברה. נקבע כי מתחם הענישה נע בין חודש מאסר בפועל ועד שמונה חודשי מאסר בפועל</w:t>
      </w:r>
      <w:r>
        <w:rPr>
          <w:rFonts w:hint="cs"/>
          <w:rtl/>
        </w:rPr>
        <w:t xml:space="preserve">; </w:t>
      </w:r>
      <w:hyperlink r:id="rId28" w:history="1">
        <w:r w:rsidR="00FA548F" w:rsidRPr="00FA548F">
          <w:rPr>
            <w:rFonts w:ascii="David" w:hAnsi="David"/>
            <w:color w:val="0000FF"/>
            <w:u w:val="single"/>
            <w:rtl/>
          </w:rPr>
          <w:t>ת"פ 65383-08-21</w:t>
        </w:r>
      </w:hyperlink>
      <w:r w:rsidRPr="0063581C">
        <w:rPr>
          <w:rFonts w:ascii="David" w:hAnsi="David"/>
          <w:rtl/>
        </w:rPr>
        <w:t xml:space="preserve"> </w:t>
      </w:r>
      <w:r w:rsidRPr="0063581C">
        <w:rPr>
          <w:rFonts w:ascii="David" w:hAnsi="David"/>
          <w:b/>
          <w:bCs/>
          <w:rtl/>
        </w:rPr>
        <w:t>מדינת ישראל נ' אקנין</w:t>
      </w:r>
      <w:r w:rsidRPr="0063581C">
        <w:rPr>
          <w:rFonts w:ascii="David" w:hAnsi="David"/>
        </w:rPr>
        <w:t xml:space="preserve"> </w:t>
      </w:r>
      <w:r w:rsidRPr="0063581C">
        <w:rPr>
          <w:rFonts w:ascii="David" w:hAnsi="David"/>
          <w:rtl/>
        </w:rPr>
        <w:t>(24.4.2023), בו נגזרו על נאשם חודשיים מאסר לריצוי בעבודות שירות ועונשים נלווים בגין שלוש עבירות איומים כלפי אימו, בן זוגה ושוטר שהגיע למקום</w:t>
      </w:r>
      <w:r>
        <w:rPr>
          <w:rFonts w:ascii="David" w:hAnsi="David" w:hint="cs"/>
          <w:rtl/>
        </w:rPr>
        <w:t>.</w:t>
      </w:r>
    </w:p>
    <w:p w14:paraId="43F840B1" w14:textId="77777777" w:rsidR="009E3EE4" w:rsidRPr="0063581C" w:rsidRDefault="009E3EE4" w:rsidP="009E3EE4">
      <w:pPr>
        <w:pStyle w:val="a9"/>
        <w:ind w:left="0"/>
        <w:jc w:val="both"/>
      </w:pPr>
    </w:p>
    <w:p w14:paraId="25D6B07A" w14:textId="77777777" w:rsidR="009E3EE4" w:rsidRDefault="009E3EE4" w:rsidP="009E3EE4">
      <w:pPr>
        <w:pStyle w:val="a9"/>
        <w:numPr>
          <w:ilvl w:val="0"/>
          <w:numId w:val="1"/>
        </w:numPr>
        <w:spacing w:line="360" w:lineRule="auto"/>
        <w:jc w:val="both"/>
      </w:pPr>
      <w:r>
        <w:rPr>
          <w:rFonts w:hint="cs"/>
          <w:rtl/>
        </w:rPr>
        <w:t>לאור כך אני בדעה כי מתחם הענישה ההולם את העבירה בנסיבותיה נע בין חודשיים מאסר ועד 12 חודשי מאסר בפועל, לצד ענישה נלווית.</w:t>
      </w:r>
    </w:p>
    <w:p w14:paraId="383CFA8F" w14:textId="77777777" w:rsidR="009E3EE4" w:rsidRPr="00203EF1" w:rsidRDefault="009E3EE4" w:rsidP="009E3EE4">
      <w:pPr>
        <w:pStyle w:val="a9"/>
        <w:rPr>
          <w:rtl/>
        </w:rPr>
      </w:pPr>
    </w:p>
    <w:p w14:paraId="1665094F" w14:textId="77777777" w:rsidR="009E3EE4" w:rsidRDefault="009E3EE4" w:rsidP="009E3EE4">
      <w:pPr>
        <w:pStyle w:val="a9"/>
        <w:spacing w:line="360" w:lineRule="auto"/>
        <w:ind w:left="0"/>
        <w:jc w:val="both"/>
        <w:rPr>
          <w:rFonts w:ascii="David" w:hAnsi="David"/>
        </w:rPr>
      </w:pPr>
      <w:r>
        <w:rPr>
          <w:rFonts w:ascii="David" w:hAnsi="David"/>
          <w:b/>
          <w:bCs/>
          <w:color w:val="000000"/>
          <w:u w:val="single"/>
          <w:rtl/>
        </w:rPr>
        <w:t>קביעת עונשו של הנאשם</w:t>
      </w:r>
    </w:p>
    <w:p w14:paraId="3D22C882" w14:textId="77777777" w:rsidR="009E3EE4" w:rsidRDefault="009E3EE4" w:rsidP="009E3EE4">
      <w:pPr>
        <w:pStyle w:val="a9"/>
        <w:ind w:left="0"/>
        <w:jc w:val="both"/>
        <w:rPr>
          <w:rFonts w:ascii="David" w:hAnsi="David"/>
          <w:rtl/>
        </w:rPr>
      </w:pPr>
    </w:p>
    <w:p w14:paraId="7A72EE87" w14:textId="77777777" w:rsidR="009E3EE4" w:rsidRDefault="009E3EE4" w:rsidP="009E3EE4">
      <w:pPr>
        <w:pStyle w:val="a9"/>
        <w:numPr>
          <w:ilvl w:val="0"/>
          <w:numId w:val="1"/>
        </w:numPr>
        <w:spacing w:line="360" w:lineRule="auto"/>
        <w:jc w:val="both"/>
      </w:pPr>
      <w:r>
        <w:rPr>
          <w:rFonts w:hint="cs"/>
          <w:rtl/>
        </w:rPr>
        <w:t xml:space="preserve">ההגנה מסכימה שהעונש הראוי הוא מאסר בעבודת שירות והמחלוקת בין הצדדים מסתכמת בשאלת אורכו של עונש זה. כידוע, עונש מאסר בעבודות שירות אינו עונש קל והוא משלב אף פגיעה כלכלית לא מבוטלת בשל חוסר היכולת לעבוד בתקופה זו. לצורך בחינת היקף העונש ההולם עבירות אלו, הבאתי בחשבון </w:t>
      </w:r>
      <w:r w:rsidRPr="0054478F">
        <w:rPr>
          <w:rFonts w:ascii="David" w:hAnsi="David"/>
          <w:color w:val="000000"/>
          <w:rtl/>
        </w:rPr>
        <w:t>את</w:t>
      </w:r>
      <w:r w:rsidR="00FA548F">
        <w:rPr>
          <w:rFonts w:ascii="David" w:hAnsi="David"/>
          <w:color w:val="000000"/>
          <w:rtl/>
        </w:rPr>
        <w:t xml:space="preserve"> </w:t>
      </w:r>
      <w:r w:rsidRPr="0054478F">
        <w:rPr>
          <w:rFonts w:ascii="David" w:hAnsi="David" w:hint="cs"/>
          <w:color w:val="000000"/>
          <w:rtl/>
        </w:rPr>
        <w:t xml:space="preserve">הודאת הנאשם </w:t>
      </w:r>
      <w:r w:rsidRPr="0054478F">
        <w:rPr>
          <w:rFonts w:ascii="David" w:hAnsi="David"/>
          <w:color w:val="000000"/>
          <w:rtl/>
        </w:rPr>
        <w:t xml:space="preserve">אשר חסכה </w:t>
      </w:r>
      <w:r w:rsidRPr="0054478F">
        <w:rPr>
          <w:rFonts w:ascii="David" w:hAnsi="David" w:hint="cs"/>
          <w:color w:val="000000"/>
          <w:rtl/>
        </w:rPr>
        <w:t>ב</w:t>
      </w:r>
      <w:r w:rsidRPr="0054478F">
        <w:rPr>
          <w:rFonts w:ascii="David" w:hAnsi="David"/>
          <w:color w:val="000000"/>
          <w:rtl/>
        </w:rPr>
        <w:t xml:space="preserve">זמן, כמו גם את עדות </w:t>
      </w:r>
      <w:r w:rsidRPr="0054478F">
        <w:rPr>
          <w:rFonts w:ascii="David" w:hAnsi="David" w:hint="cs"/>
          <w:color w:val="000000"/>
          <w:rtl/>
        </w:rPr>
        <w:t>המתלוננים</w:t>
      </w:r>
      <w:r w:rsidRPr="0054478F">
        <w:rPr>
          <w:rFonts w:ascii="David" w:hAnsi="David"/>
          <w:color w:val="000000"/>
          <w:rtl/>
        </w:rPr>
        <w:t xml:space="preserve"> והשוטרים וביטאה קבלת אחריות וחרטה. עוד הבאתי בחשבון את נסיבותיו האישיות</w:t>
      </w:r>
      <w:r w:rsidRPr="0054478F">
        <w:rPr>
          <w:rFonts w:ascii="David" w:hAnsi="David" w:hint="cs"/>
          <w:color w:val="000000"/>
          <w:rtl/>
        </w:rPr>
        <w:t xml:space="preserve"> והעובדה שהו</w:t>
      </w:r>
      <w:r>
        <w:rPr>
          <w:rFonts w:ascii="David" w:hAnsi="David" w:hint="cs"/>
          <w:color w:val="000000"/>
          <w:rtl/>
        </w:rPr>
        <w:t>א</w:t>
      </w:r>
      <w:r w:rsidRPr="0054478F">
        <w:rPr>
          <w:rFonts w:ascii="David" w:hAnsi="David" w:hint="cs"/>
          <w:color w:val="000000"/>
          <w:rtl/>
        </w:rPr>
        <w:t xml:space="preserve"> אב לשבעה ילדים. הבאתי גם בחשבון את חלוף הזמן והעובדה שמאז לא נפתחו תיקים נוספים.</w:t>
      </w:r>
      <w:r>
        <w:rPr>
          <w:rFonts w:ascii="David" w:hAnsi="David" w:hint="cs"/>
          <w:color w:val="000000"/>
          <w:rtl/>
        </w:rPr>
        <w:t xml:space="preserve"> </w:t>
      </w:r>
      <w:r w:rsidRPr="0054478F">
        <w:rPr>
          <w:rFonts w:ascii="David" w:hAnsi="David" w:hint="cs"/>
          <w:color w:val="000000"/>
          <w:rtl/>
        </w:rPr>
        <w:t>מנגד, הבאתי בחשבון את העבר הפלילי המכביד אם כי הרשעתו האחרונה של הנאשם היא משנת 2014. כן הבאתי בחשבון שהנאשם סירב ליטול חלק בהליך טיפולי</w:t>
      </w:r>
      <w:r>
        <w:rPr>
          <w:rFonts w:ascii="David" w:hAnsi="David" w:hint="cs"/>
          <w:color w:val="000000"/>
          <w:rtl/>
        </w:rPr>
        <w:t xml:space="preserve"> ומשמעות הדבר מבחינת הסיכון הנשקף ממנו</w:t>
      </w:r>
      <w:r w:rsidRPr="0054478F">
        <w:rPr>
          <w:rFonts w:ascii="David" w:hAnsi="David" w:hint="cs"/>
          <w:color w:val="000000"/>
          <w:rtl/>
        </w:rPr>
        <w:t>.</w:t>
      </w:r>
    </w:p>
    <w:p w14:paraId="26359FF0" w14:textId="77777777" w:rsidR="009E3EE4" w:rsidRPr="00226F4B" w:rsidRDefault="009E3EE4" w:rsidP="009E3EE4">
      <w:pPr>
        <w:pStyle w:val="a9"/>
        <w:ind w:left="0"/>
        <w:jc w:val="both"/>
      </w:pPr>
    </w:p>
    <w:p w14:paraId="72458D6E" w14:textId="77777777" w:rsidR="009E3EE4" w:rsidRDefault="009E3EE4" w:rsidP="009E3EE4">
      <w:pPr>
        <w:pStyle w:val="a9"/>
        <w:numPr>
          <w:ilvl w:val="0"/>
          <w:numId w:val="1"/>
        </w:numPr>
        <w:spacing w:before="120" w:after="120" w:line="360" w:lineRule="auto"/>
        <w:jc w:val="both"/>
      </w:pPr>
      <w:r>
        <w:rPr>
          <w:rtl/>
        </w:rPr>
        <w:t>סיכומו של דבר, לאחר שבחנתי את מכלול השיקולים, הן לקולה והן לחומרה, אני מטיל על הנאשם את העונשים הבאים:</w:t>
      </w:r>
    </w:p>
    <w:p w14:paraId="714FAD98" w14:textId="77777777" w:rsidR="009E3EE4" w:rsidRDefault="009E3EE4" w:rsidP="009E3EE4">
      <w:pPr>
        <w:pStyle w:val="a9"/>
        <w:spacing w:before="120" w:after="120"/>
        <w:ind w:left="0"/>
        <w:jc w:val="both"/>
      </w:pPr>
    </w:p>
    <w:p w14:paraId="18C38B25" w14:textId="77777777" w:rsidR="009E3EE4" w:rsidRDefault="009E3EE4" w:rsidP="009E3EE4">
      <w:pPr>
        <w:pStyle w:val="a9"/>
        <w:numPr>
          <w:ilvl w:val="0"/>
          <w:numId w:val="2"/>
        </w:numPr>
        <w:spacing w:before="120" w:after="120" w:line="360" w:lineRule="auto"/>
        <w:jc w:val="both"/>
      </w:pPr>
      <w:r>
        <w:rPr>
          <w:rFonts w:hint="cs"/>
          <w:b/>
          <w:bCs/>
          <w:rtl/>
        </w:rPr>
        <w:t>3</w:t>
      </w:r>
      <w:r>
        <w:rPr>
          <w:b/>
          <w:bCs/>
          <w:rtl/>
        </w:rPr>
        <w:t xml:space="preserve"> חודשי מאסר</w:t>
      </w:r>
      <w:r>
        <w:rPr>
          <w:rtl/>
        </w:rPr>
        <w:t>. הנאשם יישא עונש זה בעבודות שירות בהתאם לחוות דעת הממונה. מובהר לנאשם שעליו לבצע את העבודות לשביעות רצון הממונה וכי אם לא יעשה כן ניתן יהיה להפקיע את העבודות והוא יאלץ לשאת ביתרת התקופה בבית מאסר.</w:t>
      </w:r>
      <w:r>
        <w:rPr>
          <w:rFonts w:hint="cs"/>
          <w:rtl/>
        </w:rPr>
        <w:t xml:space="preserve"> </w:t>
      </w:r>
    </w:p>
    <w:p w14:paraId="20BDC5B6" w14:textId="77777777" w:rsidR="009E3EE4" w:rsidRPr="00B237DB" w:rsidRDefault="009E3EE4" w:rsidP="009E3EE4">
      <w:pPr>
        <w:pStyle w:val="a9"/>
        <w:spacing w:before="120" w:after="120" w:line="360" w:lineRule="auto"/>
        <w:ind w:left="1080"/>
        <w:jc w:val="both"/>
        <w:rPr>
          <w:u w:val="single"/>
        </w:rPr>
      </w:pPr>
      <w:r w:rsidRPr="00B237DB">
        <w:rPr>
          <w:rFonts w:hint="cs"/>
          <w:u w:val="single"/>
          <w:rtl/>
        </w:rPr>
        <w:t>היות שמועד תחילת העבודה שצוין בחוות הדעת חלף, יקבע הממונה מועד חדש.</w:t>
      </w:r>
    </w:p>
    <w:p w14:paraId="2B56A498" w14:textId="77777777" w:rsidR="009E3EE4" w:rsidRDefault="009E3EE4" w:rsidP="009E3EE4">
      <w:pPr>
        <w:pStyle w:val="a9"/>
        <w:spacing w:before="120" w:after="120"/>
        <w:jc w:val="both"/>
      </w:pPr>
    </w:p>
    <w:p w14:paraId="35F52E04" w14:textId="77777777" w:rsidR="009E3EE4" w:rsidRDefault="009E3EE4" w:rsidP="009E3EE4">
      <w:pPr>
        <w:pStyle w:val="a9"/>
        <w:numPr>
          <w:ilvl w:val="0"/>
          <w:numId w:val="2"/>
        </w:numPr>
        <w:spacing w:line="360" w:lineRule="auto"/>
        <w:jc w:val="both"/>
      </w:pPr>
      <w:r>
        <w:rPr>
          <w:rtl/>
        </w:rPr>
        <w:t xml:space="preserve">מאסר על תנאי למשך </w:t>
      </w:r>
      <w:r>
        <w:rPr>
          <w:rFonts w:hint="cs"/>
          <w:rtl/>
        </w:rPr>
        <w:t>4</w:t>
      </w:r>
      <w:r>
        <w:rPr>
          <w:rtl/>
        </w:rPr>
        <w:t xml:space="preserve"> חודשים והתנאי הוא שהנאשם לא יעבור במשך שנתיים </w:t>
      </w:r>
      <w:r>
        <w:rPr>
          <w:rFonts w:hint="cs"/>
          <w:rtl/>
        </w:rPr>
        <w:t xml:space="preserve">עבירת איומים לפי </w:t>
      </w:r>
      <w:hyperlink r:id="rId29" w:history="1">
        <w:r w:rsidR="00151A7F" w:rsidRPr="00151A7F">
          <w:rPr>
            <w:rStyle w:val="Hyperlink"/>
            <w:rFonts w:hint="eastAsia"/>
            <w:rtl/>
          </w:rPr>
          <w:t>סעיף</w:t>
        </w:r>
        <w:r w:rsidR="00151A7F" w:rsidRPr="00151A7F">
          <w:rPr>
            <w:rStyle w:val="Hyperlink"/>
            <w:rtl/>
          </w:rPr>
          <w:t xml:space="preserve"> 192</w:t>
        </w:r>
      </w:hyperlink>
      <w:r>
        <w:rPr>
          <w:rFonts w:hint="cs"/>
          <w:rtl/>
        </w:rPr>
        <w:t xml:space="preserve"> ל</w:t>
      </w:r>
      <w:hyperlink r:id="rId30" w:history="1">
        <w:r w:rsidR="00FA548F" w:rsidRPr="00FA548F">
          <w:rPr>
            <w:color w:val="0000FF"/>
            <w:u w:val="single"/>
            <w:rtl/>
          </w:rPr>
          <w:t>חוק העונשין</w:t>
        </w:r>
      </w:hyperlink>
      <w:r>
        <w:rPr>
          <w:rFonts w:hint="cs"/>
          <w:rtl/>
        </w:rPr>
        <w:t>.</w:t>
      </w:r>
    </w:p>
    <w:p w14:paraId="19F31E48" w14:textId="77777777" w:rsidR="009E3EE4" w:rsidRDefault="009E3EE4" w:rsidP="009E3EE4">
      <w:pPr>
        <w:pStyle w:val="a9"/>
        <w:rPr>
          <w:rtl/>
        </w:rPr>
      </w:pPr>
    </w:p>
    <w:p w14:paraId="1EDD66EE" w14:textId="77777777" w:rsidR="009E3EE4" w:rsidRDefault="00FA548F" w:rsidP="009E3EE4">
      <w:pPr>
        <w:spacing w:line="360" w:lineRule="auto"/>
        <w:ind w:left="720"/>
        <w:jc w:val="both"/>
        <w:rPr>
          <w:b/>
          <w:bCs/>
          <w:u w:val="single"/>
          <w:rtl/>
        </w:rPr>
      </w:pPr>
      <w:r w:rsidRPr="00FA548F">
        <w:rPr>
          <w:b/>
          <w:bCs/>
          <w:color w:val="FFFFFF"/>
          <w:sz w:val="2"/>
          <w:szCs w:val="2"/>
          <w:u w:val="single"/>
          <w:rtl/>
        </w:rPr>
        <w:t>5129371</w:t>
      </w:r>
      <w:r w:rsidR="009E3EE4">
        <w:rPr>
          <w:b/>
          <w:bCs/>
          <w:u w:val="single"/>
          <w:rtl/>
        </w:rPr>
        <w:t xml:space="preserve">הודעה זכות ערעור לבית המשפט המחוזי בתוך 45 ימים. </w:t>
      </w:r>
    </w:p>
    <w:p w14:paraId="2EC289D6" w14:textId="77777777" w:rsidR="009E3EE4" w:rsidRDefault="00FA548F" w:rsidP="009E3EE4">
      <w:pPr>
        <w:spacing w:line="360" w:lineRule="auto"/>
        <w:ind w:left="720"/>
        <w:jc w:val="both"/>
        <w:rPr>
          <w:b/>
          <w:bCs/>
          <w:u w:val="single"/>
        </w:rPr>
      </w:pPr>
      <w:r w:rsidRPr="00FA548F">
        <w:rPr>
          <w:b/>
          <w:bCs/>
          <w:color w:val="FFFFFF"/>
          <w:sz w:val="2"/>
          <w:szCs w:val="2"/>
          <w:u w:val="single"/>
          <w:rtl/>
        </w:rPr>
        <w:t>54678313</w:t>
      </w:r>
      <w:r w:rsidR="009E3EE4">
        <w:rPr>
          <w:b/>
          <w:bCs/>
          <w:u w:val="single"/>
          <w:rtl/>
        </w:rPr>
        <w:t xml:space="preserve">המזכירות תשלח את גזר הדין לשירות המבחן ולממונה על עבודות השירות. </w:t>
      </w:r>
    </w:p>
    <w:p w14:paraId="782E9441" w14:textId="77777777" w:rsidR="009E3EE4" w:rsidRPr="0054478F" w:rsidRDefault="009E3EE4" w:rsidP="009E3EE4">
      <w:pPr>
        <w:pStyle w:val="a9"/>
        <w:spacing w:line="360" w:lineRule="auto"/>
        <w:ind w:left="0"/>
        <w:jc w:val="both"/>
      </w:pPr>
    </w:p>
    <w:p w14:paraId="2DFA86B0" w14:textId="77777777" w:rsidR="009E3EE4" w:rsidRPr="0054478F" w:rsidRDefault="00FA548F" w:rsidP="009E3EE4">
      <w:pPr>
        <w:rPr>
          <w:rFonts w:ascii="David" w:hAnsi="David"/>
          <w:rtl/>
        </w:rPr>
      </w:pPr>
      <w:bookmarkStart w:id="7" w:name="Nitan"/>
      <w:r>
        <w:rPr>
          <w:rFonts w:ascii="David" w:hAnsi="David"/>
          <w:rtl/>
        </w:rPr>
        <w:t xml:space="preserve">ניתן היום,  י"ב טבת תשפ"ד, 24 דצמבר 2023, בהעדר הצדדים. </w:t>
      </w:r>
      <w:bookmarkEnd w:id="7"/>
    </w:p>
    <w:p w14:paraId="7F0DD830" w14:textId="77777777" w:rsidR="009E3EE4" w:rsidRPr="0054478F" w:rsidRDefault="009E3EE4" w:rsidP="00FA548F">
      <w:pPr>
        <w:jc w:val="center"/>
      </w:pPr>
      <w:r w:rsidRPr="0054478F">
        <w:rPr>
          <w:rFonts w:ascii="David" w:hAnsi="David"/>
          <w:rtl/>
        </w:rPr>
        <w:t xml:space="preserve">   </w:t>
      </w:r>
      <w:r w:rsidRPr="0054478F">
        <w:rPr>
          <w:rFonts w:ascii="David" w:hAnsi="David"/>
          <w:rtl/>
        </w:rPr>
        <w:tab/>
      </w:r>
      <w:r w:rsidRPr="0054478F">
        <w:rPr>
          <w:rFonts w:ascii="David" w:hAnsi="David"/>
          <w:rtl/>
        </w:rPr>
        <w:tab/>
      </w:r>
      <w:r w:rsidRPr="0054478F">
        <w:rPr>
          <w:rFonts w:ascii="David" w:hAnsi="David"/>
          <w:rtl/>
        </w:rPr>
        <w:tab/>
      </w:r>
      <w:r w:rsidRPr="0054478F">
        <w:rPr>
          <w:rFonts w:ascii="David" w:hAnsi="David"/>
          <w:rtl/>
        </w:rPr>
        <w:tab/>
      </w:r>
      <w:r w:rsidRPr="0054478F">
        <w:rPr>
          <w:rFonts w:ascii="David" w:hAnsi="David"/>
          <w:rtl/>
        </w:rPr>
        <w:tab/>
      </w:r>
    </w:p>
    <w:p w14:paraId="512BA9DD" w14:textId="77777777" w:rsidR="009E3EE4" w:rsidRPr="0054478F" w:rsidRDefault="009E3EE4" w:rsidP="009E3EE4">
      <w:pPr>
        <w:jc w:val="center"/>
        <w:rPr>
          <w:rFonts w:ascii="David" w:hAnsi="David"/>
          <w:rtl/>
        </w:rPr>
      </w:pPr>
    </w:p>
    <w:p w14:paraId="13206A04" w14:textId="77777777" w:rsidR="0028077A" w:rsidRPr="00FA548F" w:rsidRDefault="0028077A" w:rsidP="00FA548F">
      <w:pPr>
        <w:keepNext/>
        <w:rPr>
          <w:rFonts w:ascii="David" w:hAnsi="David"/>
          <w:color w:val="000000"/>
          <w:sz w:val="22"/>
          <w:szCs w:val="22"/>
          <w:rtl/>
        </w:rPr>
      </w:pPr>
    </w:p>
    <w:p w14:paraId="5D8FD00D" w14:textId="77777777" w:rsidR="00FA548F" w:rsidRPr="00FA548F" w:rsidRDefault="00FA548F" w:rsidP="00FA548F">
      <w:pPr>
        <w:keepNext/>
        <w:rPr>
          <w:rFonts w:ascii="David" w:hAnsi="David"/>
          <w:color w:val="000000"/>
          <w:sz w:val="22"/>
          <w:szCs w:val="22"/>
          <w:rtl/>
        </w:rPr>
      </w:pPr>
      <w:r w:rsidRPr="00FA548F">
        <w:rPr>
          <w:rFonts w:ascii="David" w:hAnsi="David"/>
          <w:color w:val="000000"/>
          <w:sz w:val="22"/>
          <w:szCs w:val="22"/>
          <w:rtl/>
        </w:rPr>
        <w:t>יוסי טורס 54678313</w:t>
      </w:r>
    </w:p>
    <w:p w14:paraId="712D7031" w14:textId="77777777" w:rsidR="00FA548F" w:rsidRDefault="00FA548F" w:rsidP="00FA548F">
      <w:r w:rsidRPr="00FA548F">
        <w:rPr>
          <w:color w:val="000000"/>
          <w:rtl/>
        </w:rPr>
        <w:t>נוסח מסמך זה כפוף לשינויי ניסוח ועריכה</w:t>
      </w:r>
    </w:p>
    <w:p w14:paraId="7735F019" w14:textId="77777777" w:rsidR="00FA548F" w:rsidRDefault="00FA548F" w:rsidP="00FA548F">
      <w:pPr>
        <w:rPr>
          <w:rtl/>
        </w:rPr>
      </w:pPr>
    </w:p>
    <w:p w14:paraId="6B48E94A" w14:textId="77777777" w:rsidR="00FA548F" w:rsidRDefault="00FA548F" w:rsidP="00FA548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72A9F9C" w14:textId="77777777" w:rsidR="00FA548F" w:rsidRPr="00FA548F" w:rsidRDefault="00FA548F" w:rsidP="00FA548F">
      <w:pPr>
        <w:jc w:val="center"/>
        <w:rPr>
          <w:color w:val="0000FF"/>
          <w:u w:val="single"/>
        </w:rPr>
      </w:pPr>
    </w:p>
    <w:sectPr w:rsidR="00FA548F" w:rsidRPr="00FA548F" w:rsidSect="00FA548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EB87F" w14:textId="77777777" w:rsidR="002F77CC" w:rsidRDefault="002F77CC" w:rsidP="00F1558F">
      <w:r>
        <w:separator/>
      </w:r>
    </w:p>
  </w:endnote>
  <w:endnote w:type="continuationSeparator" w:id="0">
    <w:p w14:paraId="140F0761" w14:textId="77777777" w:rsidR="002F77CC" w:rsidRDefault="002F77CC" w:rsidP="00F1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416C4" w14:textId="77777777" w:rsidR="00FA548F" w:rsidRDefault="00FA548F" w:rsidP="00FA54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FA2A15" w14:textId="77777777" w:rsidR="008E5355" w:rsidRPr="00FA548F" w:rsidRDefault="00FA548F" w:rsidP="00FA54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C546E" w14:textId="77777777" w:rsidR="00FA548F" w:rsidRDefault="00FA548F" w:rsidP="00FA54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66C7">
      <w:rPr>
        <w:rFonts w:ascii="FrankRuehl" w:hAnsi="FrankRuehl" w:cs="FrankRuehl"/>
        <w:noProof/>
        <w:rtl/>
      </w:rPr>
      <w:t>1</w:t>
    </w:r>
    <w:r>
      <w:rPr>
        <w:rFonts w:ascii="FrankRuehl" w:hAnsi="FrankRuehl" w:cs="FrankRuehl"/>
        <w:rtl/>
      </w:rPr>
      <w:fldChar w:fldCharType="end"/>
    </w:r>
  </w:p>
  <w:p w14:paraId="078FCABE" w14:textId="77777777" w:rsidR="008E5355" w:rsidRPr="00FA548F" w:rsidRDefault="00FA548F" w:rsidP="00FA54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30A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62990" w14:textId="77777777" w:rsidR="002F77CC" w:rsidRDefault="002F77CC" w:rsidP="00F1558F">
      <w:r>
        <w:separator/>
      </w:r>
    </w:p>
  </w:footnote>
  <w:footnote w:type="continuationSeparator" w:id="0">
    <w:p w14:paraId="563156B8" w14:textId="77777777" w:rsidR="002F77CC" w:rsidRDefault="002F77CC" w:rsidP="00F1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C029" w14:textId="77777777" w:rsidR="00FA548F" w:rsidRPr="00FA548F" w:rsidRDefault="00FA548F" w:rsidP="00FA54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76841-01-23</w:t>
    </w:r>
    <w:r>
      <w:rPr>
        <w:rFonts w:ascii="David" w:hAnsi="David"/>
        <w:color w:val="000000"/>
        <w:sz w:val="22"/>
        <w:szCs w:val="22"/>
        <w:rtl/>
      </w:rPr>
      <w:tab/>
      <w:t xml:space="preserve"> מדינת ישראל נ' יניב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E6A74" w14:textId="77777777" w:rsidR="00FA548F" w:rsidRPr="00FA548F" w:rsidRDefault="00FA548F" w:rsidP="00FA54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76841-01-23</w:t>
    </w:r>
    <w:r>
      <w:rPr>
        <w:rFonts w:ascii="David" w:hAnsi="David"/>
        <w:color w:val="000000"/>
        <w:sz w:val="22"/>
        <w:szCs w:val="22"/>
        <w:rtl/>
      </w:rPr>
      <w:tab/>
      <w:t xml:space="preserve"> מדינת ישראל נ' יניב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A5"/>
    <w:multiLevelType w:val="hybridMultilevel"/>
    <w:tmpl w:val="17B04226"/>
    <w:lvl w:ilvl="0" w:tplc="12500926">
      <w:start w:val="1"/>
      <w:numFmt w:val="decimal"/>
      <w:lvlText w:val="%1."/>
      <w:lvlJc w:val="left"/>
      <w:pPr>
        <w:tabs>
          <w:tab w:val="num" w:pos="567"/>
        </w:tabs>
        <w:ind w:left="0" w:firstLine="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B48B4"/>
    <w:multiLevelType w:val="hybridMultilevel"/>
    <w:tmpl w:val="48BCD838"/>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73681755">
    <w:abstractNumId w:val="0"/>
  </w:num>
  <w:num w:numId="2" w16cid:durableId="929313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3EE4"/>
    <w:rsid w:val="00014B3C"/>
    <w:rsid w:val="00151A7F"/>
    <w:rsid w:val="001B5A3B"/>
    <w:rsid w:val="0028077A"/>
    <w:rsid w:val="002B6814"/>
    <w:rsid w:val="002F77CC"/>
    <w:rsid w:val="005A628A"/>
    <w:rsid w:val="00862CC7"/>
    <w:rsid w:val="008E5355"/>
    <w:rsid w:val="00915732"/>
    <w:rsid w:val="009666C7"/>
    <w:rsid w:val="009E3EE4"/>
    <w:rsid w:val="00A26F66"/>
    <w:rsid w:val="00BD419E"/>
    <w:rsid w:val="00F1558F"/>
    <w:rsid w:val="00FA5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869B98"/>
  <w15:chartTrackingRefBased/>
  <w15:docId w15:val="{4010CB8B-351F-4A73-BE2D-1B244935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3E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3EE4"/>
    <w:pPr>
      <w:tabs>
        <w:tab w:val="center" w:pos="4153"/>
        <w:tab w:val="right" w:pos="8306"/>
      </w:tabs>
    </w:pPr>
  </w:style>
  <w:style w:type="character" w:customStyle="1" w:styleId="a4">
    <w:name w:val="כותרת עליונה תו"/>
    <w:link w:val="a3"/>
    <w:rsid w:val="009E3EE4"/>
    <w:rPr>
      <w:rFonts w:ascii="Times New Roman" w:eastAsia="Times New Roman" w:hAnsi="Times New Roman" w:cs="David"/>
      <w:sz w:val="24"/>
      <w:szCs w:val="24"/>
    </w:rPr>
  </w:style>
  <w:style w:type="paragraph" w:styleId="a5">
    <w:name w:val="footer"/>
    <w:basedOn w:val="a"/>
    <w:link w:val="a6"/>
    <w:rsid w:val="009E3EE4"/>
    <w:pPr>
      <w:tabs>
        <w:tab w:val="center" w:pos="4153"/>
        <w:tab w:val="right" w:pos="8306"/>
      </w:tabs>
    </w:pPr>
  </w:style>
  <w:style w:type="character" w:customStyle="1" w:styleId="a6">
    <w:name w:val="כותרת תחתונה תו"/>
    <w:link w:val="a5"/>
    <w:rsid w:val="009E3EE4"/>
    <w:rPr>
      <w:rFonts w:ascii="Times New Roman" w:eastAsia="Times New Roman" w:hAnsi="Times New Roman" w:cs="David"/>
      <w:sz w:val="24"/>
      <w:szCs w:val="24"/>
    </w:rPr>
  </w:style>
  <w:style w:type="table" w:styleId="a7">
    <w:name w:val="Table Grid"/>
    <w:basedOn w:val="a1"/>
    <w:rsid w:val="009E3E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3EE4"/>
  </w:style>
  <w:style w:type="paragraph" w:styleId="a9">
    <w:name w:val="List Paragraph"/>
    <w:basedOn w:val="a"/>
    <w:qFormat/>
    <w:rsid w:val="009E3EE4"/>
    <w:pPr>
      <w:ind w:left="720"/>
      <w:contextualSpacing/>
    </w:pPr>
  </w:style>
  <w:style w:type="character" w:styleId="Hyperlink">
    <w:name w:val="Hyperlink"/>
    <w:rsid w:val="00FA5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731340" TargetMode="External"/><Relationship Id="rId21" Type="http://schemas.openxmlformats.org/officeDocument/2006/relationships/hyperlink" Target="http://www.nevo.co.il/case/5723807"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49115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29" Type="http://schemas.openxmlformats.org/officeDocument/2006/relationships/hyperlink" Target="http://www.nevo.co.il/law/70301/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74484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92" TargetMode="External"/><Relationship Id="rId23" Type="http://schemas.openxmlformats.org/officeDocument/2006/relationships/hyperlink" Target="http://www.nevo.co.il/case/27700092" TargetMode="External"/><Relationship Id="rId28" Type="http://schemas.openxmlformats.org/officeDocument/2006/relationships/hyperlink" Target="http://www.nevo.co.il/case/27903297" TargetMode="External"/><Relationship Id="rId36"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17954235"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7671965" TargetMode="External"/><Relationship Id="rId22" Type="http://schemas.openxmlformats.org/officeDocument/2006/relationships/hyperlink" Target="http://www.nevo.co.il/case/25236780" TargetMode="External"/><Relationship Id="rId27" Type="http://schemas.openxmlformats.org/officeDocument/2006/relationships/hyperlink" Target="http://www.nevo.co.il/case/28299240"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19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1781</Words>
  <Characters>8907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3211377</vt:i4>
      </vt:variant>
      <vt:variant>
        <vt:i4>63</vt:i4>
      </vt:variant>
      <vt:variant>
        <vt:i4>0</vt:i4>
      </vt:variant>
      <vt:variant>
        <vt:i4>5</vt:i4>
      </vt:variant>
      <vt:variant>
        <vt:lpwstr>http://www.nevo.co.il/case/27903297</vt:lpwstr>
      </vt:variant>
      <vt:variant>
        <vt:lpwstr/>
      </vt:variant>
      <vt:variant>
        <vt:i4>3997815</vt:i4>
      </vt:variant>
      <vt:variant>
        <vt:i4>60</vt:i4>
      </vt:variant>
      <vt:variant>
        <vt:i4>0</vt:i4>
      </vt:variant>
      <vt:variant>
        <vt:i4>5</vt:i4>
      </vt:variant>
      <vt:variant>
        <vt:lpwstr>http://www.nevo.co.il/case/28299240</vt:lpwstr>
      </vt:variant>
      <vt:variant>
        <vt:lpwstr/>
      </vt:variant>
      <vt:variant>
        <vt:i4>3342460</vt:i4>
      </vt:variant>
      <vt:variant>
        <vt:i4>57</vt:i4>
      </vt:variant>
      <vt:variant>
        <vt:i4>0</vt:i4>
      </vt:variant>
      <vt:variant>
        <vt:i4>5</vt:i4>
      </vt:variant>
      <vt:variant>
        <vt:lpwstr>http://www.nevo.co.il/case/18731340</vt:lpwstr>
      </vt:variant>
      <vt:variant>
        <vt:lpwstr/>
      </vt:variant>
      <vt:variant>
        <vt:i4>3276923</vt:i4>
      </vt:variant>
      <vt:variant>
        <vt:i4>54</vt:i4>
      </vt:variant>
      <vt:variant>
        <vt:i4>0</vt:i4>
      </vt:variant>
      <vt:variant>
        <vt:i4>5</vt:i4>
      </vt:variant>
      <vt:variant>
        <vt:lpwstr>http://www.nevo.co.il/case/27491152</vt:lpwstr>
      </vt:variant>
      <vt:variant>
        <vt:lpwstr/>
      </vt:variant>
      <vt:variant>
        <vt:i4>3866739</vt:i4>
      </vt:variant>
      <vt:variant>
        <vt:i4>51</vt:i4>
      </vt:variant>
      <vt:variant>
        <vt:i4>0</vt:i4>
      </vt:variant>
      <vt:variant>
        <vt:i4>5</vt:i4>
      </vt:variant>
      <vt:variant>
        <vt:lpwstr>http://www.nevo.co.il/case/27448458</vt:lpwstr>
      </vt:variant>
      <vt:variant>
        <vt:lpwstr/>
      </vt:variant>
      <vt:variant>
        <vt:i4>3932275</vt:i4>
      </vt:variant>
      <vt:variant>
        <vt:i4>48</vt:i4>
      </vt:variant>
      <vt:variant>
        <vt:i4>0</vt:i4>
      </vt:variant>
      <vt:variant>
        <vt:i4>5</vt:i4>
      </vt:variant>
      <vt:variant>
        <vt:lpwstr>http://www.nevo.co.il/case/27700092</vt:lpwstr>
      </vt:variant>
      <vt:variant>
        <vt:lpwstr/>
      </vt:variant>
      <vt:variant>
        <vt:i4>4063349</vt:i4>
      </vt:variant>
      <vt:variant>
        <vt:i4>45</vt:i4>
      </vt:variant>
      <vt:variant>
        <vt:i4>0</vt:i4>
      </vt:variant>
      <vt:variant>
        <vt:i4>5</vt:i4>
      </vt:variant>
      <vt:variant>
        <vt:lpwstr>http://www.nevo.co.il/case/25236780</vt:lpwstr>
      </vt:variant>
      <vt:variant>
        <vt:lpwstr/>
      </vt:variant>
      <vt:variant>
        <vt:i4>3670128</vt:i4>
      </vt:variant>
      <vt:variant>
        <vt:i4>42</vt:i4>
      </vt:variant>
      <vt:variant>
        <vt:i4>0</vt:i4>
      </vt:variant>
      <vt:variant>
        <vt:i4>5</vt:i4>
      </vt:variant>
      <vt:variant>
        <vt:lpwstr>http://www.nevo.co.il/case/5723807</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4128884</vt:i4>
      </vt:variant>
      <vt:variant>
        <vt:i4>36</vt:i4>
      </vt:variant>
      <vt:variant>
        <vt:i4>0</vt:i4>
      </vt:variant>
      <vt:variant>
        <vt:i4>5</vt:i4>
      </vt:variant>
      <vt:variant>
        <vt:lpwstr>http://www.nevo.co.il/case/17954235</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3342461</vt:i4>
      </vt:variant>
      <vt:variant>
        <vt:i4>21</vt:i4>
      </vt:variant>
      <vt:variant>
        <vt:i4>0</vt:i4>
      </vt:variant>
      <vt:variant>
        <vt:i4>5</vt:i4>
      </vt:variant>
      <vt:variant>
        <vt:lpwstr>http://www.nevo.co.il/case/27671965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76841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יניב בוזגלו</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20231224</vt:lpwstr>
  </property>
  <property fmtid="{D5CDD505-2E9C-101B-9397-08002B2CF9AE}" pid="13" name="TYPE_N_DATE">
    <vt:lpwstr>38020231224</vt:lpwstr>
  </property>
  <property fmtid="{D5CDD505-2E9C-101B-9397-08002B2CF9AE}" pid="14" name="WORDNUMPAGES">
    <vt:lpwstr>5</vt:lpwstr>
  </property>
  <property fmtid="{D5CDD505-2E9C-101B-9397-08002B2CF9AE}" pid="15" name="TYPE_ABS_DATE">
    <vt:lpwstr>380020231224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27671965;17954235;13093721;5723807;25236780;27700092;27448458;27491152;18731340;28299240;27903297</vt:lpwstr>
  </property>
  <property fmtid="{D5CDD505-2E9C-101B-9397-08002B2CF9AE}" pid="36" name="LAWLISTTMP1">
    <vt:lpwstr>70301/192:3</vt:lpwstr>
  </property>
  <property fmtid="{D5CDD505-2E9C-101B-9397-08002B2CF9AE}" pid="37" name="LAWLISTTMP2">
    <vt:lpwstr>4216/007.a;007.c</vt:lpwstr>
  </property>
</Properties>
</file>