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BD0128" w:rsidRPr="003450D2" w14:paraId="2FF7F445" w14:textId="77777777" w:rsidTr="00CA73B0">
        <w:trPr>
          <w:trHeight w:hRule="exact" w:val="704"/>
          <w:jc w:val="center"/>
        </w:trPr>
        <w:tc>
          <w:tcPr>
            <w:tcW w:w="8523" w:type="dxa"/>
          </w:tcPr>
          <w:p w14:paraId="7477B8C3" w14:textId="77777777" w:rsidR="00BD0128" w:rsidRPr="003450D2" w:rsidRDefault="00BD0128" w:rsidP="007A41EB">
            <w:pPr>
              <w:pStyle w:val="a3"/>
              <w:jc w:val="center"/>
              <w:rPr>
                <w:rFonts w:ascii="Tahoma" w:hAnsi="Tahoma"/>
                <w:noProof w:val="0"/>
                <w:color w:val="000080"/>
                <w:sz w:val="32"/>
                <w:szCs w:val="32"/>
                <w:rtl/>
              </w:rPr>
            </w:pPr>
            <w:bookmarkStart w:id="0" w:name="FirstLawyer"/>
            <w:bookmarkStart w:id="1" w:name="LastJudge"/>
            <w:r w:rsidRPr="003450D2">
              <w:rPr>
                <w:rFonts w:ascii="Tahoma" w:hAnsi="Tahoma"/>
                <w:color w:val="000080"/>
                <w:sz w:val="32"/>
                <w:szCs w:val="32"/>
                <w:rtl/>
              </w:rPr>
              <w:t>בית משפט השלום ברמלה</w:t>
            </w:r>
          </w:p>
        </w:tc>
      </w:tr>
      <w:tr w:rsidR="00BD0128" w:rsidRPr="003450D2" w14:paraId="403E4B7C" w14:textId="77777777" w:rsidTr="00CA73B0">
        <w:trPr>
          <w:trHeight w:val="337"/>
          <w:jc w:val="center"/>
        </w:trPr>
        <w:tc>
          <w:tcPr>
            <w:tcW w:w="8523" w:type="dxa"/>
          </w:tcPr>
          <w:p w14:paraId="5662D667" w14:textId="77777777" w:rsidR="00BD0128" w:rsidRPr="003450D2" w:rsidRDefault="00BD0128" w:rsidP="007A41EB">
            <w:pPr>
              <w:rPr>
                <w:b/>
                <w:bCs/>
                <w:noProof w:val="0"/>
                <w:sz w:val="26"/>
                <w:szCs w:val="26"/>
                <w:rtl/>
              </w:rPr>
            </w:pPr>
            <w:r w:rsidRPr="003450D2">
              <w:rPr>
                <w:b/>
                <w:bCs/>
                <w:noProof w:val="0"/>
                <w:sz w:val="26"/>
                <w:szCs w:val="26"/>
                <w:rtl/>
              </w:rPr>
              <w:t xml:space="preserve">תפ"ק 11489-02-23 מדינת ישראל נ' לנקרי </w:t>
            </w:r>
          </w:p>
          <w:p w14:paraId="28C8175E" w14:textId="77777777" w:rsidR="00BD0128" w:rsidRPr="003450D2" w:rsidRDefault="00BD0128" w:rsidP="007A41EB">
            <w:pPr>
              <w:rPr>
                <w:b/>
                <w:bCs/>
                <w:noProof w:val="0"/>
                <w:sz w:val="2"/>
                <w:szCs w:val="2"/>
                <w:rtl/>
              </w:rPr>
            </w:pPr>
          </w:p>
          <w:p w14:paraId="1F3544D8" w14:textId="77777777" w:rsidR="00BD0128" w:rsidRPr="003450D2" w:rsidRDefault="00BD0128" w:rsidP="007A41EB">
            <w:pPr>
              <w:rPr>
                <w:sz w:val="20"/>
                <w:szCs w:val="20"/>
                <w:rtl/>
              </w:rPr>
            </w:pPr>
            <w:r w:rsidRPr="003450D2">
              <w:rPr>
                <w:rFonts w:hint="cs"/>
                <w:rtl/>
              </w:rPr>
              <w:t xml:space="preserve">                           </w:t>
            </w:r>
            <w:r w:rsidRPr="003450D2">
              <w:rPr>
                <w:rFonts w:hint="cs"/>
                <w:sz w:val="20"/>
                <w:szCs w:val="20"/>
                <w:rtl/>
              </w:rPr>
              <w:t xml:space="preserve">                                       </w:t>
            </w:r>
          </w:p>
          <w:p w14:paraId="599EE82F" w14:textId="77777777" w:rsidR="00BD0128" w:rsidRPr="003450D2" w:rsidRDefault="00BD0128" w:rsidP="007A41EB">
            <w:pPr>
              <w:rPr>
                <w:sz w:val="20"/>
                <w:szCs w:val="20"/>
                <w:rtl/>
              </w:rPr>
            </w:pPr>
            <w:r w:rsidRPr="003450D2">
              <w:rPr>
                <w:rFonts w:hint="cs"/>
                <w:sz w:val="20"/>
                <w:szCs w:val="20"/>
                <w:rtl/>
              </w:rPr>
              <w:t xml:space="preserve">תיק חיצוני:  </w:t>
            </w:r>
            <w:r w:rsidRPr="003450D2">
              <w:rPr>
                <w:sz w:val="20"/>
                <w:szCs w:val="20"/>
                <w:rtl/>
              </w:rPr>
              <w:t xml:space="preserve">  </w:t>
            </w:r>
          </w:p>
        </w:tc>
      </w:tr>
    </w:tbl>
    <w:p w14:paraId="30E2A9EA" w14:textId="77777777" w:rsidR="00BD0128" w:rsidRPr="003450D2" w:rsidRDefault="00BD0128" w:rsidP="00CA73B0">
      <w:pPr>
        <w:pStyle w:val="a3"/>
        <w:rPr>
          <w:rtl/>
        </w:rPr>
      </w:pPr>
      <w:r w:rsidRPr="003450D2">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BD0128" w:rsidRPr="003450D2" w14:paraId="53EE1A78" w14:textId="77777777" w:rsidTr="00BD0128">
        <w:trPr>
          <w:jc w:val="center"/>
        </w:trPr>
        <w:tc>
          <w:tcPr>
            <w:tcW w:w="743" w:type="dxa"/>
            <w:shd w:val="clear" w:color="auto" w:fill="auto"/>
          </w:tcPr>
          <w:p w14:paraId="029D55FF" w14:textId="77777777" w:rsidR="00BD0128" w:rsidRPr="003450D2" w:rsidRDefault="00BD0128" w:rsidP="00BD0128">
            <w:pPr>
              <w:suppressLineNumbers/>
              <w:jc w:val="both"/>
              <w:rPr>
                <w:rFonts w:ascii="Arial" w:hAnsi="Arial"/>
                <w:b/>
                <w:bCs/>
                <w:sz w:val="26"/>
                <w:szCs w:val="26"/>
                <w:rtl/>
              </w:rPr>
            </w:pPr>
            <w:r w:rsidRPr="003450D2">
              <w:rPr>
                <w:rFonts w:ascii="Arial" w:hAnsi="Arial" w:hint="cs"/>
                <w:b/>
                <w:bCs/>
                <w:sz w:val="26"/>
                <w:szCs w:val="26"/>
                <w:rtl/>
              </w:rPr>
              <w:t>ל</w:t>
            </w:r>
            <w:r w:rsidRPr="003450D2">
              <w:rPr>
                <w:rFonts w:ascii="Arial" w:hAnsi="Arial"/>
                <w:b/>
                <w:bCs/>
                <w:sz w:val="26"/>
                <w:szCs w:val="26"/>
                <w:rtl/>
              </w:rPr>
              <w:t xml:space="preserve">פני </w:t>
            </w:r>
          </w:p>
        </w:tc>
        <w:tc>
          <w:tcPr>
            <w:tcW w:w="8077" w:type="dxa"/>
            <w:gridSpan w:val="2"/>
            <w:shd w:val="clear" w:color="auto" w:fill="auto"/>
          </w:tcPr>
          <w:p w14:paraId="68F8BEE6" w14:textId="77777777" w:rsidR="00BD0128" w:rsidRPr="003450D2" w:rsidRDefault="00BD0128" w:rsidP="00BD0128">
            <w:pPr>
              <w:suppressLineNumbers/>
              <w:rPr>
                <w:rFonts w:ascii="Arial" w:hAnsi="Arial"/>
                <w:b/>
                <w:bCs/>
                <w:sz w:val="26"/>
                <w:szCs w:val="26"/>
                <w:rtl/>
              </w:rPr>
            </w:pPr>
            <w:r w:rsidRPr="003450D2">
              <w:rPr>
                <w:rFonts w:ascii="Arial" w:hAnsi="Arial" w:hint="cs"/>
                <w:b/>
                <w:bCs/>
                <w:sz w:val="26"/>
                <w:szCs w:val="26"/>
                <w:rtl/>
              </w:rPr>
              <w:t>כב' ה</w:t>
            </w:r>
            <w:r w:rsidRPr="003450D2">
              <w:rPr>
                <w:rFonts w:ascii="Arial" w:hAnsi="Arial"/>
                <w:b/>
                <w:bCs/>
                <w:sz w:val="26"/>
                <w:szCs w:val="26"/>
                <w:rtl/>
              </w:rPr>
              <w:t>שופטת</w:t>
            </w:r>
            <w:r w:rsidRPr="003450D2">
              <w:rPr>
                <w:rFonts w:ascii="Arial" w:hAnsi="Arial" w:hint="cs"/>
                <w:b/>
                <w:bCs/>
                <w:sz w:val="26"/>
                <w:szCs w:val="26"/>
                <w:rtl/>
              </w:rPr>
              <w:t xml:space="preserve"> </w:t>
            </w:r>
            <w:r w:rsidRPr="003450D2">
              <w:rPr>
                <w:rFonts w:ascii="Arial" w:hAnsi="Arial"/>
                <w:b/>
                <w:bCs/>
                <w:sz w:val="26"/>
                <w:szCs w:val="26"/>
                <w:rtl/>
              </w:rPr>
              <w:t>רבקה גלט</w:t>
            </w:r>
          </w:p>
          <w:p w14:paraId="29C05E4B" w14:textId="77777777" w:rsidR="00BD0128" w:rsidRPr="003450D2" w:rsidRDefault="00BD0128" w:rsidP="00BD0128">
            <w:pPr>
              <w:suppressLineNumbers/>
              <w:rPr>
                <w:sz w:val="26"/>
                <w:szCs w:val="26"/>
              </w:rPr>
            </w:pPr>
          </w:p>
        </w:tc>
      </w:tr>
      <w:tr w:rsidR="00BD0128" w:rsidRPr="003450D2" w14:paraId="6674557C" w14:textId="77777777" w:rsidTr="00BD0128">
        <w:trPr>
          <w:jc w:val="center"/>
        </w:trPr>
        <w:tc>
          <w:tcPr>
            <w:tcW w:w="3249" w:type="dxa"/>
            <w:gridSpan w:val="2"/>
            <w:shd w:val="clear" w:color="auto" w:fill="auto"/>
          </w:tcPr>
          <w:p w14:paraId="707A4269" w14:textId="77777777" w:rsidR="00BD0128" w:rsidRPr="003450D2" w:rsidRDefault="00BD0128" w:rsidP="00BD0128">
            <w:pPr>
              <w:suppressLineNumbers/>
              <w:rPr>
                <w:rtl/>
              </w:rPr>
            </w:pPr>
            <w:bookmarkStart w:id="2" w:name="FirstAppellant"/>
          </w:p>
          <w:p w14:paraId="1D52A7AA" w14:textId="77777777" w:rsidR="00BD0128" w:rsidRPr="003450D2" w:rsidRDefault="00BD0128" w:rsidP="00BD0128">
            <w:pPr>
              <w:suppressLineNumbers/>
              <w:rPr>
                <w:rFonts w:ascii="Arial" w:hAnsi="Arial"/>
                <w:b/>
                <w:bCs/>
                <w:noProof w:val="0"/>
                <w:sz w:val="26"/>
                <w:szCs w:val="26"/>
                <w:rtl/>
              </w:rPr>
            </w:pPr>
            <w:r w:rsidRPr="003450D2">
              <w:rPr>
                <w:rFonts w:ascii="Arial" w:hAnsi="Arial" w:hint="cs"/>
                <w:b/>
                <w:bCs/>
                <w:noProof w:val="0"/>
                <w:sz w:val="26"/>
                <w:szCs w:val="26"/>
                <w:rtl/>
              </w:rPr>
              <w:t>ה</w:t>
            </w:r>
            <w:r w:rsidRPr="003450D2">
              <w:rPr>
                <w:rFonts w:ascii="Arial" w:hAnsi="Arial"/>
                <w:b/>
                <w:bCs/>
                <w:noProof w:val="0"/>
                <w:sz w:val="26"/>
                <w:szCs w:val="26"/>
                <w:rtl/>
              </w:rPr>
              <w:t>מאשימה</w:t>
            </w:r>
          </w:p>
        </w:tc>
        <w:tc>
          <w:tcPr>
            <w:tcW w:w="5571" w:type="dxa"/>
            <w:shd w:val="clear" w:color="auto" w:fill="auto"/>
          </w:tcPr>
          <w:p w14:paraId="06F6DF6E" w14:textId="77777777" w:rsidR="00BD0128" w:rsidRPr="003450D2" w:rsidRDefault="00BD0128" w:rsidP="00BD0128">
            <w:pPr>
              <w:suppressLineNumbers/>
              <w:rPr>
                <w:rtl/>
              </w:rPr>
            </w:pPr>
          </w:p>
          <w:p w14:paraId="47E63B0E" w14:textId="77777777" w:rsidR="00BD0128" w:rsidRPr="003450D2" w:rsidRDefault="00BD0128" w:rsidP="00BD0128">
            <w:pPr>
              <w:suppressLineNumbers/>
              <w:rPr>
                <w:b/>
                <w:bCs/>
                <w:noProof w:val="0"/>
                <w:sz w:val="26"/>
                <w:szCs w:val="26"/>
              </w:rPr>
            </w:pPr>
            <w:r w:rsidRPr="003450D2">
              <w:rPr>
                <w:rFonts w:ascii="Arial" w:hAnsi="Arial"/>
                <w:b/>
                <w:bCs/>
                <w:noProof w:val="0"/>
                <w:sz w:val="26"/>
                <w:szCs w:val="26"/>
                <w:rtl/>
              </w:rPr>
              <w:t>מדינת ישראל</w:t>
            </w:r>
            <w:r w:rsidRPr="003450D2">
              <w:rPr>
                <w:rFonts w:ascii="Arial" w:hAnsi="Arial" w:hint="cs"/>
                <w:b/>
                <w:bCs/>
                <w:noProof w:val="0"/>
                <w:sz w:val="26"/>
                <w:szCs w:val="26"/>
                <w:rtl/>
              </w:rPr>
              <w:t>-פרקליטות מחוז המרכז</w:t>
            </w:r>
            <w:r w:rsidRPr="003450D2">
              <w:rPr>
                <w:rFonts w:ascii="Arial" w:hAnsi="Arial"/>
                <w:b/>
                <w:bCs/>
                <w:noProof w:val="0"/>
                <w:sz w:val="26"/>
                <w:szCs w:val="26"/>
                <w:rtl/>
              </w:rPr>
              <w:br/>
            </w:r>
            <w:r w:rsidRPr="003450D2">
              <w:rPr>
                <w:rFonts w:ascii="Arial" w:hAnsi="Arial" w:hint="cs"/>
                <w:b/>
                <w:bCs/>
                <w:noProof w:val="0"/>
                <w:sz w:val="26"/>
                <w:szCs w:val="26"/>
                <w:rtl/>
              </w:rPr>
              <w:t>ע"י ב"כ עו"ד ספיר ארד</w:t>
            </w:r>
          </w:p>
        </w:tc>
      </w:tr>
      <w:bookmarkEnd w:id="2"/>
      <w:tr w:rsidR="00BD0128" w:rsidRPr="003450D2" w14:paraId="3892F4EF" w14:textId="77777777" w:rsidTr="00BD0128">
        <w:trPr>
          <w:jc w:val="center"/>
        </w:trPr>
        <w:tc>
          <w:tcPr>
            <w:tcW w:w="8820" w:type="dxa"/>
            <w:gridSpan w:val="3"/>
            <w:shd w:val="clear" w:color="auto" w:fill="auto"/>
          </w:tcPr>
          <w:p w14:paraId="1800683E" w14:textId="77777777" w:rsidR="00BD0128" w:rsidRPr="003450D2" w:rsidRDefault="00BD0128" w:rsidP="00BD0128">
            <w:pPr>
              <w:suppressLineNumbers/>
              <w:rPr>
                <w:rFonts w:ascii="Arial" w:hAnsi="Arial"/>
                <w:b/>
                <w:bCs/>
                <w:noProof w:val="0"/>
                <w:sz w:val="26"/>
                <w:szCs w:val="26"/>
                <w:rtl/>
              </w:rPr>
            </w:pPr>
          </w:p>
          <w:p w14:paraId="62ABBF1B" w14:textId="77777777" w:rsidR="00BD0128" w:rsidRPr="003450D2" w:rsidRDefault="00BD0128" w:rsidP="00BD0128">
            <w:pPr>
              <w:suppressLineNumbers/>
              <w:jc w:val="center"/>
              <w:rPr>
                <w:rFonts w:ascii="Arial" w:hAnsi="Arial"/>
                <w:b/>
                <w:bCs/>
                <w:noProof w:val="0"/>
                <w:sz w:val="26"/>
                <w:szCs w:val="26"/>
                <w:rtl/>
              </w:rPr>
            </w:pPr>
            <w:r w:rsidRPr="003450D2">
              <w:rPr>
                <w:rFonts w:ascii="Arial" w:hAnsi="Arial"/>
                <w:b/>
                <w:bCs/>
                <w:noProof w:val="0"/>
                <w:sz w:val="26"/>
                <w:szCs w:val="26"/>
                <w:rtl/>
              </w:rPr>
              <w:t>נגד</w:t>
            </w:r>
          </w:p>
          <w:p w14:paraId="71CF4B91" w14:textId="77777777" w:rsidR="00BD0128" w:rsidRPr="003450D2" w:rsidRDefault="00BD0128" w:rsidP="00BD0128">
            <w:pPr>
              <w:suppressLineNumbers/>
              <w:rPr>
                <w:rFonts w:ascii="Arial" w:hAnsi="Arial"/>
                <w:b/>
                <w:bCs/>
                <w:noProof w:val="0"/>
                <w:sz w:val="26"/>
                <w:szCs w:val="26"/>
              </w:rPr>
            </w:pPr>
          </w:p>
        </w:tc>
      </w:tr>
      <w:tr w:rsidR="00BD0128" w:rsidRPr="003450D2" w14:paraId="5950A180" w14:textId="77777777" w:rsidTr="00BD0128">
        <w:trPr>
          <w:jc w:val="center"/>
        </w:trPr>
        <w:tc>
          <w:tcPr>
            <w:tcW w:w="3249" w:type="dxa"/>
            <w:gridSpan w:val="2"/>
            <w:shd w:val="clear" w:color="auto" w:fill="auto"/>
          </w:tcPr>
          <w:p w14:paraId="78CB4704" w14:textId="77777777" w:rsidR="00BD0128" w:rsidRPr="003450D2" w:rsidRDefault="00BD0128" w:rsidP="00BD0128">
            <w:pPr>
              <w:suppressLineNumbers/>
              <w:rPr>
                <w:rFonts w:ascii="Arial" w:hAnsi="Arial"/>
                <w:b/>
                <w:bCs/>
                <w:noProof w:val="0"/>
                <w:sz w:val="26"/>
                <w:szCs w:val="26"/>
              </w:rPr>
            </w:pPr>
            <w:r w:rsidRPr="003450D2">
              <w:rPr>
                <w:rFonts w:ascii="Arial" w:hAnsi="Arial" w:hint="cs"/>
                <w:b/>
                <w:bCs/>
                <w:noProof w:val="0"/>
                <w:sz w:val="26"/>
                <w:szCs w:val="26"/>
                <w:rtl/>
              </w:rPr>
              <w:t>ה</w:t>
            </w:r>
            <w:r w:rsidRPr="003450D2">
              <w:rPr>
                <w:rFonts w:ascii="Arial" w:hAnsi="Arial"/>
                <w:b/>
                <w:bCs/>
                <w:noProof w:val="0"/>
                <w:sz w:val="26"/>
                <w:szCs w:val="26"/>
                <w:rtl/>
              </w:rPr>
              <w:t>נאשם</w:t>
            </w:r>
          </w:p>
        </w:tc>
        <w:tc>
          <w:tcPr>
            <w:tcW w:w="5571" w:type="dxa"/>
            <w:shd w:val="clear" w:color="auto" w:fill="auto"/>
          </w:tcPr>
          <w:p w14:paraId="29706E9F" w14:textId="77777777" w:rsidR="00BD0128" w:rsidRPr="003450D2" w:rsidRDefault="00BD0128" w:rsidP="00BD0128">
            <w:pPr>
              <w:suppressLineNumbers/>
              <w:rPr>
                <w:rFonts w:ascii="Arial" w:hAnsi="Arial"/>
                <w:b/>
                <w:bCs/>
                <w:noProof w:val="0"/>
                <w:sz w:val="26"/>
                <w:szCs w:val="26"/>
                <w:rtl/>
              </w:rPr>
            </w:pPr>
            <w:r w:rsidRPr="003450D2">
              <w:rPr>
                <w:rFonts w:ascii="Arial" w:hAnsi="Arial"/>
                <w:b/>
                <w:bCs/>
                <w:noProof w:val="0"/>
                <w:sz w:val="26"/>
                <w:szCs w:val="26"/>
                <w:rtl/>
              </w:rPr>
              <w:t>אביחי לנקרי</w:t>
            </w:r>
            <w:r w:rsidRPr="003450D2">
              <w:rPr>
                <w:rFonts w:ascii="Arial" w:hAnsi="Arial"/>
                <w:b/>
                <w:bCs/>
                <w:noProof w:val="0"/>
                <w:sz w:val="26"/>
                <w:szCs w:val="26"/>
                <w:rtl/>
              </w:rPr>
              <w:br/>
            </w:r>
            <w:r w:rsidRPr="003450D2">
              <w:rPr>
                <w:rFonts w:ascii="Arial" w:hAnsi="Arial" w:hint="cs"/>
                <w:b/>
                <w:bCs/>
                <w:noProof w:val="0"/>
                <w:sz w:val="26"/>
                <w:szCs w:val="26"/>
                <w:rtl/>
              </w:rPr>
              <w:t>ע"י ב"כ עו"ד ניר רהט</w:t>
            </w:r>
          </w:p>
        </w:tc>
      </w:tr>
    </w:tbl>
    <w:p w14:paraId="0550A03E" w14:textId="77777777" w:rsidR="000645D6" w:rsidRDefault="000645D6" w:rsidP="006E542D">
      <w:pPr>
        <w:jc w:val="center"/>
        <w:rPr>
          <w:rFonts w:ascii="David" w:hAnsi="David"/>
          <w:sz w:val="28"/>
          <w:szCs w:val="28"/>
          <w:rtl/>
        </w:rPr>
      </w:pPr>
      <w:bookmarkStart w:id="3" w:name="NGCSBookmark"/>
      <w:bookmarkStart w:id="4" w:name="Links_Kitvei_Start"/>
      <w:bookmarkEnd w:id="3"/>
    </w:p>
    <w:p w14:paraId="01201DDA" w14:textId="77777777" w:rsidR="000645D6" w:rsidRPr="000645D6" w:rsidRDefault="000645D6" w:rsidP="000645D6">
      <w:pPr>
        <w:spacing w:after="120" w:line="240" w:lineRule="exact"/>
        <w:ind w:left="283" w:hanging="283"/>
        <w:jc w:val="both"/>
        <w:rPr>
          <w:rFonts w:ascii="FrankRuehl" w:hAnsi="FrankRuehl" w:cs="FrankRuehl"/>
          <w:rtl/>
        </w:rPr>
      </w:pPr>
    </w:p>
    <w:bookmarkEnd w:id="4"/>
    <w:p w14:paraId="4825F7EE" w14:textId="77777777" w:rsidR="000645D6" w:rsidRPr="000645D6" w:rsidRDefault="000645D6" w:rsidP="000645D6">
      <w:pPr>
        <w:spacing w:after="120" w:line="240" w:lineRule="exact"/>
        <w:ind w:left="283" w:hanging="283"/>
        <w:jc w:val="both"/>
        <w:rPr>
          <w:rStyle w:val="Hyperlink"/>
          <w:rFonts w:ascii="FrankRuehl" w:hAnsi="FrankRuehl" w:cs="FrankRuehl"/>
          <w:u w:val="none"/>
          <w:rtl/>
        </w:rPr>
      </w:pPr>
      <w:r w:rsidRPr="000645D6">
        <w:rPr>
          <w:rFonts w:ascii="FrankRuehl" w:hAnsi="FrankRuehl" w:cs="FrankRuehl"/>
          <w:rtl/>
        </w:rPr>
        <w:t>כתבי עת:</w:t>
      </w:r>
      <w:r w:rsidRPr="000645D6">
        <w:rPr>
          <w:rFonts w:ascii="FrankRuehl" w:hAnsi="FrankRuehl" w:cs="FrankRuehl"/>
          <w:color w:val="0000FF"/>
          <w:rtl/>
        </w:rPr>
        <w:fldChar w:fldCharType="begin"/>
      </w:r>
      <w:r w:rsidRPr="000645D6">
        <w:rPr>
          <w:rFonts w:ascii="FrankRuehl" w:hAnsi="FrankRuehl" w:cs="FrankRuehl"/>
          <w:color w:val="0000FF"/>
          <w:rtl/>
        </w:rPr>
        <w:instrText xml:space="preserve"> </w:instrText>
      </w:r>
      <w:r w:rsidRPr="000645D6">
        <w:rPr>
          <w:rFonts w:ascii="FrankRuehl" w:hAnsi="FrankRuehl" w:cs="FrankRuehl"/>
          <w:color w:val="0000FF"/>
        </w:rPr>
        <w:instrText xml:space="preserve">HYPERLINK </w:instrText>
      </w:r>
      <w:r w:rsidRPr="000645D6">
        <w:rPr>
          <w:rFonts w:ascii="FrankRuehl" w:hAnsi="FrankRuehl" w:cs="FrankRuehl"/>
          <w:color w:val="0000FF"/>
          <w:rtl/>
        </w:rPr>
        <w:instrText>"</w:instrText>
      </w:r>
      <w:r w:rsidRPr="000645D6">
        <w:rPr>
          <w:rFonts w:ascii="FrankRuehl" w:hAnsi="FrankRuehl" w:cs="FrankRuehl"/>
          <w:color w:val="0000FF"/>
        </w:rPr>
        <w:instrText>http://www.nevo.co.il/safrut/book/52448"</w:instrText>
      </w:r>
      <w:r w:rsidRPr="000645D6">
        <w:rPr>
          <w:rFonts w:ascii="FrankRuehl" w:hAnsi="FrankRuehl" w:cs="FrankRuehl"/>
          <w:color w:val="0000FF"/>
          <w:rtl/>
        </w:rPr>
        <w:instrText xml:space="preserve"> </w:instrText>
      </w:r>
      <w:r w:rsidRPr="000645D6">
        <w:rPr>
          <w:rFonts w:ascii="FrankRuehl" w:hAnsi="FrankRuehl" w:cs="FrankRuehl"/>
          <w:color w:val="0000FF"/>
          <w:rtl/>
        </w:rPr>
      </w:r>
      <w:r w:rsidRPr="000645D6">
        <w:rPr>
          <w:rFonts w:ascii="FrankRuehl" w:hAnsi="FrankRuehl" w:cs="FrankRuehl"/>
          <w:color w:val="0000FF"/>
          <w:rtl/>
        </w:rPr>
        <w:fldChar w:fldCharType="separate"/>
      </w:r>
    </w:p>
    <w:p w14:paraId="73A54717" w14:textId="77777777" w:rsidR="000645D6" w:rsidRPr="000645D6" w:rsidRDefault="000645D6" w:rsidP="000645D6">
      <w:pPr>
        <w:spacing w:after="120" w:line="240" w:lineRule="exact"/>
        <w:ind w:left="283" w:hanging="283"/>
        <w:jc w:val="both"/>
        <w:rPr>
          <w:rFonts w:ascii="FrankRuehl" w:hAnsi="FrankRuehl" w:cs="FrankRuehl"/>
          <w:rtl/>
        </w:rPr>
      </w:pPr>
      <w:r w:rsidRPr="000645D6">
        <w:rPr>
          <w:rStyle w:val="Hyperlink"/>
          <w:rFonts w:ascii="FrankRuehl" w:hAnsi="FrankRuehl" w:cs="FrankRuehl"/>
          <w:u w:val="none"/>
          <w:rtl/>
        </w:rPr>
        <w:t>שמואל מלמד, "השופט הקהילתי", מעשי משפט, יד (2023) 221</w:t>
      </w:r>
      <w:r w:rsidRPr="000645D6">
        <w:rPr>
          <w:rFonts w:ascii="FrankRuehl" w:hAnsi="FrankRuehl" w:cs="FrankRuehl"/>
          <w:color w:val="0000FF"/>
          <w:rtl/>
        </w:rPr>
        <w:fldChar w:fldCharType="end"/>
      </w:r>
    </w:p>
    <w:p w14:paraId="26A53CA9" w14:textId="77777777" w:rsidR="000645D6" w:rsidRDefault="000645D6" w:rsidP="000645D6">
      <w:pPr>
        <w:jc w:val="center"/>
        <w:rPr>
          <w:rFonts w:ascii="David" w:hAnsi="David"/>
          <w:sz w:val="28"/>
          <w:szCs w:val="28"/>
          <w:rtl/>
        </w:rPr>
      </w:pPr>
      <w:bookmarkStart w:id="5" w:name="Links_Kitvei_End"/>
      <w:bookmarkStart w:id="6" w:name="LawTable"/>
      <w:bookmarkEnd w:id="5"/>
      <w:bookmarkEnd w:id="6"/>
    </w:p>
    <w:p w14:paraId="2C14EA40" w14:textId="77777777" w:rsidR="000645D6" w:rsidRPr="000645D6" w:rsidRDefault="000645D6" w:rsidP="000645D6">
      <w:pPr>
        <w:spacing w:before="120" w:after="120" w:line="240" w:lineRule="exact"/>
        <w:ind w:left="283" w:hanging="283"/>
        <w:jc w:val="both"/>
        <w:rPr>
          <w:rFonts w:ascii="FrankRuehl" w:hAnsi="FrankRuehl" w:cs="FrankRuehl"/>
          <w:rtl/>
        </w:rPr>
      </w:pPr>
    </w:p>
    <w:p w14:paraId="396B5E56" w14:textId="77777777" w:rsidR="000645D6" w:rsidRPr="000645D6" w:rsidRDefault="000645D6" w:rsidP="000645D6">
      <w:pPr>
        <w:spacing w:before="120" w:after="120" w:line="240" w:lineRule="exact"/>
        <w:ind w:left="283" w:hanging="283"/>
        <w:jc w:val="both"/>
        <w:rPr>
          <w:rFonts w:ascii="FrankRuehl" w:hAnsi="FrankRuehl" w:cs="FrankRuehl"/>
          <w:rtl/>
        </w:rPr>
      </w:pPr>
    </w:p>
    <w:p w14:paraId="670ECED9" w14:textId="77777777" w:rsidR="000645D6" w:rsidRPr="000645D6" w:rsidRDefault="000645D6" w:rsidP="000645D6">
      <w:pPr>
        <w:spacing w:before="120" w:after="120" w:line="240" w:lineRule="exact"/>
        <w:ind w:left="283" w:hanging="283"/>
        <w:jc w:val="both"/>
        <w:rPr>
          <w:rFonts w:ascii="FrankRuehl" w:hAnsi="FrankRuehl" w:cs="FrankRuehl"/>
          <w:rtl/>
        </w:rPr>
      </w:pPr>
      <w:r w:rsidRPr="000645D6">
        <w:rPr>
          <w:rFonts w:ascii="FrankRuehl" w:hAnsi="FrankRuehl" w:cs="FrankRuehl"/>
          <w:rtl/>
        </w:rPr>
        <w:t xml:space="preserve">חקיקה שאוזכרה: </w:t>
      </w:r>
    </w:p>
    <w:p w14:paraId="3E225138" w14:textId="77777777" w:rsidR="000645D6" w:rsidRPr="000645D6" w:rsidRDefault="000645D6" w:rsidP="000645D6">
      <w:pPr>
        <w:spacing w:before="120" w:after="120" w:line="240" w:lineRule="exact"/>
        <w:ind w:left="283" w:hanging="283"/>
        <w:jc w:val="both"/>
        <w:rPr>
          <w:rFonts w:ascii="FrankRuehl" w:hAnsi="FrankRuehl" w:cs="FrankRuehl"/>
          <w:rtl/>
        </w:rPr>
      </w:pPr>
      <w:hyperlink r:id="rId7" w:history="1">
        <w:r w:rsidRPr="000645D6">
          <w:rPr>
            <w:rFonts w:ascii="FrankRuehl" w:hAnsi="FrankRuehl" w:cs="FrankRuehl"/>
            <w:color w:val="0000FF"/>
            <w:rtl/>
          </w:rPr>
          <w:t>פקודת הסמים המסוכנים [נוסח חדש], תשל"ג-1973</w:t>
        </w:r>
      </w:hyperlink>
      <w:r w:rsidRPr="000645D6">
        <w:rPr>
          <w:rFonts w:ascii="FrankRuehl" w:hAnsi="FrankRuehl" w:cs="FrankRuehl"/>
          <w:rtl/>
        </w:rPr>
        <w:t xml:space="preserve">: סע'  </w:t>
      </w:r>
      <w:hyperlink r:id="rId8" w:history="1">
        <w:r w:rsidRPr="000645D6">
          <w:rPr>
            <w:rFonts w:ascii="FrankRuehl" w:hAnsi="FrankRuehl" w:cs="FrankRuehl"/>
            <w:color w:val="0000FF"/>
            <w:rtl/>
          </w:rPr>
          <w:t>6</w:t>
        </w:r>
      </w:hyperlink>
      <w:r w:rsidRPr="000645D6">
        <w:rPr>
          <w:rFonts w:ascii="FrankRuehl" w:hAnsi="FrankRuehl" w:cs="FrankRuehl"/>
          <w:rtl/>
        </w:rPr>
        <w:t xml:space="preserve">, </w:t>
      </w:r>
      <w:hyperlink r:id="rId9" w:history="1">
        <w:r w:rsidRPr="000645D6">
          <w:rPr>
            <w:rFonts w:ascii="FrankRuehl" w:hAnsi="FrankRuehl" w:cs="FrankRuehl"/>
            <w:color w:val="0000FF"/>
            <w:rtl/>
          </w:rPr>
          <w:t>7א</w:t>
        </w:r>
      </w:hyperlink>
    </w:p>
    <w:p w14:paraId="4592AAE2" w14:textId="77777777" w:rsidR="000645D6" w:rsidRPr="000645D6" w:rsidRDefault="000645D6" w:rsidP="000645D6">
      <w:pPr>
        <w:spacing w:before="120" w:after="120" w:line="240" w:lineRule="exact"/>
        <w:ind w:left="283" w:hanging="283"/>
        <w:jc w:val="both"/>
        <w:rPr>
          <w:rFonts w:ascii="FrankRuehl" w:hAnsi="FrankRuehl" w:cs="FrankRuehl"/>
          <w:rtl/>
        </w:rPr>
      </w:pPr>
      <w:hyperlink r:id="rId10" w:history="1">
        <w:r w:rsidRPr="000645D6">
          <w:rPr>
            <w:rFonts w:ascii="FrankRuehl" w:hAnsi="FrankRuehl" w:cs="FrankRuehl"/>
            <w:color w:val="0000FF"/>
            <w:rtl/>
          </w:rPr>
          <w:t>חוק העונשין, תשל"ז-1977</w:t>
        </w:r>
      </w:hyperlink>
      <w:r w:rsidRPr="000645D6">
        <w:rPr>
          <w:rFonts w:ascii="FrankRuehl" w:hAnsi="FrankRuehl" w:cs="FrankRuehl"/>
          <w:rtl/>
        </w:rPr>
        <w:t xml:space="preserve">: סע'  </w:t>
      </w:r>
      <w:hyperlink r:id="rId11" w:history="1">
        <w:r w:rsidRPr="000645D6">
          <w:rPr>
            <w:rFonts w:ascii="FrankRuehl" w:hAnsi="FrankRuehl" w:cs="FrankRuehl"/>
            <w:color w:val="0000FF"/>
            <w:rtl/>
          </w:rPr>
          <w:t>31</w:t>
        </w:r>
      </w:hyperlink>
    </w:p>
    <w:p w14:paraId="26B27C44" w14:textId="77777777" w:rsidR="000645D6" w:rsidRPr="000645D6" w:rsidRDefault="000645D6" w:rsidP="000645D6">
      <w:pPr>
        <w:spacing w:before="120" w:after="120" w:line="240" w:lineRule="exact"/>
        <w:ind w:left="283" w:hanging="283"/>
        <w:jc w:val="both"/>
        <w:rPr>
          <w:rFonts w:ascii="FrankRuehl" w:hAnsi="FrankRuehl" w:cs="FrankRuehl"/>
          <w:rtl/>
        </w:rPr>
      </w:pPr>
      <w:hyperlink r:id="rId12" w:history="1">
        <w:r w:rsidRPr="000645D6">
          <w:rPr>
            <w:rFonts w:ascii="FrankRuehl" w:hAnsi="FrankRuehl" w:cs="FrankRuehl"/>
            <w:color w:val="0000FF"/>
            <w:rtl/>
          </w:rPr>
          <w:t>חוק סדר הדין הפלילי [נוסח משולב], תשמ"ב-1982</w:t>
        </w:r>
      </w:hyperlink>
    </w:p>
    <w:p w14:paraId="28560037" w14:textId="77777777" w:rsidR="000645D6" w:rsidRPr="000645D6" w:rsidRDefault="000645D6" w:rsidP="000645D6">
      <w:pPr>
        <w:jc w:val="center"/>
        <w:rPr>
          <w:rFonts w:ascii="David" w:hAnsi="David"/>
          <w:sz w:val="28"/>
          <w:szCs w:val="28"/>
          <w:rtl/>
        </w:rPr>
      </w:pPr>
      <w:bookmarkStart w:id="7" w:name="LawTable_End"/>
      <w:bookmarkEnd w:id="7"/>
    </w:p>
    <w:p w14:paraId="06530AB6" w14:textId="77777777" w:rsidR="00CA73B0" w:rsidRPr="000645D6" w:rsidRDefault="00CA73B0" w:rsidP="006E542D">
      <w:pPr>
        <w:jc w:val="center"/>
        <w:rPr>
          <w:rFonts w:ascii="David" w:hAnsi="David" w:hint="cs"/>
          <w:sz w:val="28"/>
          <w:szCs w:val="28"/>
          <w:rtl/>
        </w:rPr>
      </w:pPr>
    </w:p>
    <w:p w14:paraId="3ACE9B98" w14:textId="77777777" w:rsidR="003450D2" w:rsidRPr="003450D2" w:rsidRDefault="003450D2" w:rsidP="003450D2">
      <w:pPr>
        <w:jc w:val="center"/>
        <w:rPr>
          <w:rFonts w:ascii="David" w:hAnsi="David"/>
          <w:b/>
          <w:bCs/>
          <w:sz w:val="28"/>
          <w:szCs w:val="28"/>
          <w:u w:val="single"/>
          <w:rtl/>
        </w:rPr>
      </w:pPr>
      <w:bookmarkStart w:id="8" w:name="PsakDin"/>
      <w:bookmarkEnd w:id="0"/>
      <w:bookmarkEnd w:id="1"/>
      <w:r w:rsidRPr="003450D2">
        <w:rPr>
          <w:rFonts w:ascii="David" w:hAnsi="David"/>
          <w:b/>
          <w:bCs/>
          <w:sz w:val="28"/>
          <w:szCs w:val="28"/>
          <w:u w:val="single"/>
          <w:rtl/>
        </w:rPr>
        <w:t>גזר דין</w:t>
      </w:r>
    </w:p>
    <w:bookmarkEnd w:id="8"/>
    <w:p w14:paraId="2333E7E5" w14:textId="77777777" w:rsidR="00BD0128" w:rsidRPr="00407855" w:rsidRDefault="00BD0128" w:rsidP="00BD0128">
      <w:pPr>
        <w:jc w:val="center"/>
        <w:rPr>
          <w:rFonts w:ascii="David" w:hAnsi="David"/>
          <w:b/>
          <w:bCs/>
          <w:noProof w:val="0"/>
          <w:sz w:val="28"/>
          <w:szCs w:val="28"/>
          <w:u w:val="single"/>
        </w:rPr>
      </w:pPr>
    </w:p>
    <w:p w14:paraId="1953EF38" w14:textId="77777777" w:rsidR="00BD0128" w:rsidRDefault="00BD0128" w:rsidP="00BD0128">
      <w:pPr>
        <w:rPr>
          <w:rFonts w:ascii="David" w:hAnsi="David"/>
          <w:b/>
          <w:bCs/>
          <w:u w:val="single"/>
          <w:rtl/>
        </w:rPr>
      </w:pPr>
      <w:r>
        <w:rPr>
          <w:rFonts w:ascii="David" w:hAnsi="David"/>
          <w:b/>
          <w:bCs/>
          <w:u w:val="single"/>
          <w:rtl/>
        </w:rPr>
        <w:t>מבוא</w:t>
      </w:r>
    </w:p>
    <w:p w14:paraId="440D0592" w14:textId="77777777" w:rsidR="00BD0128" w:rsidRDefault="00BD0128" w:rsidP="00BD0128">
      <w:pPr>
        <w:rPr>
          <w:rFonts w:ascii="David" w:hAnsi="David"/>
          <w:b/>
          <w:bCs/>
          <w:u w:val="single"/>
          <w:rtl/>
        </w:rPr>
      </w:pPr>
      <w:bookmarkStart w:id="9" w:name="ABSTRACT_START"/>
      <w:bookmarkEnd w:id="9"/>
    </w:p>
    <w:p w14:paraId="429B7DCB" w14:textId="77777777" w:rsidR="00BD0128" w:rsidRDefault="00BD0128" w:rsidP="00BD0128">
      <w:pPr>
        <w:spacing w:line="360" w:lineRule="auto"/>
        <w:jc w:val="both"/>
        <w:rPr>
          <w:rFonts w:ascii="David" w:hAnsi="David"/>
          <w:rtl/>
        </w:rPr>
      </w:pPr>
      <w:r>
        <w:rPr>
          <w:rFonts w:ascii="David" w:hAnsi="David"/>
          <w:rtl/>
        </w:rPr>
        <w:tab/>
        <w:t xml:space="preserve">הנאשם, כבן 29 שנים, נותן את הדין בגין עבירות של הכנה והפקת סם מסוכן לפי </w:t>
      </w:r>
      <w:hyperlink r:id="rId13" w:history="1">
        <w:r w:rsidR="00CA73B0" w:rsidRPr="00CA73B0">
          <w:rPr>
            <w:rStyle w:val="Hyperlink"/>
            <w:rFonts w:ascii="David" w:hAnsi="David"/>
            <w:rtl/>
          </w:rPr>
          <w:t>סעיף 6</w:t>
        </w:r>
      </w:hyperlink>
      <w:r>
        <w:rPr>
          <w:rFonts w:ascii="David" w:hAnsi="David"/>
          <w:rtl/>
        </w:rPr>
        <w:t xml:space="preserve"> ל</w:t>
      </w:r>
      <w:hyperlink r:id="rId14" w:history="1">
        <w:r w:rsidR="003450D2" w:rsidRPr="003450D2">
          <w:rPr>
            <w:rFonts w:ascii="David" w:hAnsi="David"/>
            <w:color w:val="0000FF"/>
            <w:u w:val="single"/>
            <w:rtl/>
          </w:rPr>
          <w:t>פקודת הסמים המסוכנים</w:t>
        </w:r>
      </w:hyperlink>
      <w:r>
        <w:rPr>
          <w:rFonts w:ascii="David" w:hAnsi="David"/>
          <w:rtl/>
        </w:rPr>
        <w:t xml:space="preserve"> [נוסח חדש] התשל"ג-1973 (להלן: הפקודה), שתי עבירות של סיוע להכנה והפקת סם לפי </w:t>
      </w:r>
      <w:hyperlink r:id="rId15" w:history="1">
        <w:r w:rsidR="00CA73B0" w:rsidRPr="00CA73B0">
          <w:rPr>
            <w:rStyle w:val="Hyperlink"/>
            <w:rFonts w:ascii="David" w:hAnsi="David"/>
            <w:rtl/>
          </w:rPr>
          <w:t>סעיף 6</w:t>
        </w:r>
      </w:hyperlink>
      <w:r>
        <w:rPr>
          <w:rFonts w:ascii="David" w:hAnsi="David"/>
          <w:rtl/>
        </w:rPr>
        <w:t xml:space="preserve"> לפקודה, בצירוף </w:t>
      </w:r>
      <w:hyperlink r:id="rId16" w:history="1">
        <w:r w:rsidR="00CA73B0" w:rsidRPr="00CA73B0">
          <w:rPr>
            <w:rStyle w:val="Hyperlink"/>
            <w:rFonts w:ascii="David" w:hAnsi="David"/>
            <w:rtl/>
          </w:rPr>
          <w:t>סעיף 31</w:t>
        </w:r>
      </w:hyperlink>
      <w:r>
        <w:rPr>
          <w:rFonts w:ascii="David" w:hAnsi="David"/>
          <w:rtl/>
        </w:rPr>
        <w:t xml:space="preserve"> ל</w:t>
      </w:r>
      <w:hyperlink r:id="rId17" w:history="1">
        <w:r w:rsidR="003450D2" w:rsidRPr="003450D2">
          <w:rPr>
            <w:rFonts w:ascii="David" w:hAnsi="David"/>
            <w:color w:val="0000FF"/>
            <w:u w:val="single"/>
            <w:rtl/>
          </w:rPr>
          <w:t>חוק העונשין</w:t>
        </w:r>
      </w:hyperlink>
      <w:r>
        <w:rPr>
          <w:rFonts w:ascii="David" w:hAnsi="David"/>
          <w:rtl/>
        </w:rPr>
        <w:t xml:space="preserve">, התשל"ז-1977, והחזקת סמים שלא לצריכה עצמית לפי </w:t>
      </w:r>
      <w:hyperlink r:id="rId18" w:history="1">
        <w:r w:rsidR="00CA73B0" w:rsidRPr="00CA73B0">
          <w:rPr>
            <w:rStyle w:val="Hyperlink"/>
            <w:rFonts w:ascii="David" w:hAnsi="David"/>
            <w:rtl/>
          </w:rPr>
          <w:t>סעיף 7א</w:t>
        </w:r>
      </w:hyperlink>
      <w:r>
        <w:rPr>
          <w:rFonts w:ascii="David" w:hAnsi="David"/>
          <w:rtl/>
        </w:rPr>
        <w:t xml:space="preserve"> (רישא) לפקודה</w:t>
      </w:r>
      <w:r>
        <w:rPr>
          <w:rFonts w:ascii="David" w:hAnsi="David" w:hint="cs"/>
          <w:rtl/>
        </w:rPr>
        <w:t>.</w:t>
      </w:r>
    </w:p>
    <w:p w14:paraId="6235A0B9" w14:textId="77777777" w:rsidR="00BD0128" w:rsidRDefault="00BD0128" w:rsidP="00BD0128">
      <w:pPr>
        <w:jc w:val="both"/>
        <w:rPr>
          <w:rFonts w:ascii="David" w:hAnsi="David"/>
          <w:rtl/>
        </w:rPr>
      </w:pPr>
    </w:p>
    <w:p w14:paraId="3E63BA17" w14:textId="77777777" w:rsidR="00BD0128" w:rsidRDefault="00BD0128" w:rsidP="00BD0128">
      <w:pPr>
        <w:spacing w:line="360" w:lineRule="auto"/>
        <w:jc w:val="both"/>
        <w:rPr>
          <w:rFonts w:ascii="David" w:hAnsi="David"/>
          <w:rtl/>
        </w:rPr>
      </w:pPr>
      <w:bookmarkStart w:id="10" w:name="ABSTRACT_END"/>
      <w:bookmarkEnd w:id="10"/>
      <w:r>
        <w:rPr>
          <w:rFonts w:ascii="David" w:hAnsi="David"/>
          <w:rtl/>
        </w:rPr>
        <w:tab/>
        <w:t>ייחודו של המקרה הוא בכך שגזר הדין ניתן לאחר תהליך שיקומי עמוק ומרשים, שעבר הנאשם בבית המשפט הקהילתי, והגיע לסיומו בהצלחה.</w:t>
      </w:r>
    </w:p>
    <w:p w14:paraId="12E6D8E1" w14:textId="77777777" w:rsidR="00BD0128" w:rsidRDefault="00BD0128" w:rsidP="00BD0128">
      <w:pPr>
        <w:jc w:val="both"/>
        <w:rPr>
          <w:rFonts w:ascii="David" w:hAnsi="David"/>
          <w:rtl/>
        </w:rPr>
      </w:pPr>
    </w:p>
    <w:p w14:paraId="3D1ADF05" w14:textId="77777777" w:rsidR="00BD0128" w:rsidRDefault="00BD0128" w:rsidP="00BD0128">
      <w:pPr>
        <w:spacing w:line="360" w:lineRule="auto"/>
        <w:jc w:val="both"/>
        <w:rPr>
          <w:rFonts w:ascii="David" w:hAnsi="David"/>
          <w:rtl/>
        </w:rPr>
      </w:pPr>
      <w:r>
        <w:rPr>
          <w:rFonts w:ascii="David" w:hAnsi="David"/>
          <w:rtl/>
        </w:rPr>
        <w:tab/>
        <w:t>המחלוקת העומדת בין הצדדים מתייחסת לשאלה האם יש מקום לסיים את ההליך ללא הרשעה כעתירת הנאשם, או שמא יש לאמץ את עמדת התביעה, להותיר את ההרשעה על כנה, ולהטיל עונש של מאסר על תנאי, בנוסף על הענישה המוסכמת בדמות צו מבחן ושל"צ.</w:t>
      </w:r>
    </w:p>
    <w:p w14:paraId="4AEA8DE5" w14:textId="77777777" w:rsidR="00BD0128" w:rsidRDefault="00BD0128" w:rsidP="00BD0128">
      <w:pPr>
        <w:jc w:val="both"/>
        <w:rPr>
          <w:rFonts w:ascii="David" w:hAnsi="David"/>
          <w:rtl/>
        </w:rPr>
      </w:pPr>
    </w:p>
    <w:p w14:paraId="2352642F" w14:textId="77777777" w:rsidR="00BD0128" w:rsidRDefault="00BD0128" w:rsidP="00BD0128">
      <w:pPr>
        <w:spacing w:line="360" w:lineRule="auto"/>
        <w:jc w:val="both"/>
        <w:rPr>
          <w:rFonts w:ascii="David" w:hAnsi="David"/>
          <w:rtl/>
        </w:rPr>
      </w:pPr>
      <w:r>
        <w:rPr>
          <w:rFonts w:ascii="David" w:hAnsi="David"/>
          <w:rtl/>
        </w:rPr>
        <w:lastRenderedPageBreak/>
        <w:tab/>
        <w:t>לנאשם אין כל עבר פלילי.</w:t>
      </w:r>
    </w:p>
    <w:p w14:paraId="2ADA1852" w14:textId="77777777" w:rsidR="00BD0128" w:rsidRDefault="00BD0128" w:rsidP="00BD0128">
      <w:pPr>
        <w:jc w:val="both"/>
        <w:rPr>
          <w:rFonts w:ascii="David" w:hAnsi="David"/>
          <w:rtl/>
        </w:rPr>
      </w:pPr>
    </w:p>
    <w:p w14:paraId="0BE3D2F1" w14:textId="77777777" w:rsidR="00BD0128" w:rsidRDefault="00BD0128" w:rsidP="00BD0128">
      <w:pPr>
        <w:spacing w:line="360" w:lineRule="auto"/>
        <w:jc w:val="both"/>
        <w:rPr>
          <w:rFonts w:ascii="David" w:hAnsi="David"/>
          <w:b/>
          <w:bCs/>
          <w:u w:val="single"/>
          <w:rtl/>
        </w:rPr>
      </w:pPr>
      <w:r>
        <w:rPr>
          <w:rFonts w:ascii="David" w:hAnsi="David"/>
          <w:b/>
          <w:bCs/>
          <w:u w:val="single"/>
          <w:rtl/>
        </w:rPr>
        <w:t>העבירות</w:t>
      </w:r>
    </w:p>
    <w:p w14:paraId="3E20102A" w14:textId="77777777" w:rsidR="00BD0128" w:rsidRDefault="00BD0128" w:rsidP="00BD0128">
      <w:pPr>
        <w:jc w:val="both"/>
        <w:rPr>
          <w:rFonts w:ascii="David" w:hAnsi="David"/>
          <w:b/>
          <w:bCs/>
          <w:u w:val="single"/>
          <w:rtl/>
        </w:rPr>
      </w:pPr>
    </w:p>
    <w:p w14:paraId="6F18DFF7" w14:textId="77777777" w:rsidR="00BD0128" w:rsidRDefault="00BD0128" w:rsidP="00BD0128">
      <w:pPr>
        <w:spacing w:line="360" w:lineRule="auto"/>
        <w:jc w:val="both"/>
        <w:rPr>
          <w:rFonts w:ascii="David" w:hAnsi="David"/>
          <w:rtl/>
        </w:rPr>
      </w:pPr>
      <w:r>
        <w:rPr>
          <w:rFonts w:ascii="David" w:hAnsi="David"/>
          <w:rtl/>
        </w:rPr>
        <w:tab/>
        <w:t xml:space="preserve">בכתב האישום הואשמו יחד עם הנאשם שני אחרים, אשר אף הם נטלו אחריות לעבירות, ועניינם </w:t>
      </w:r>
      <w:r>
        <w:rPr>
          <w:rFonts w:ascii="David" w:hAnsi="David" w:hint="cs"/>
          <w:rtl/>
        </w:rPr>
        <w:t xml:space="preserve">עודנו </w:t>
      </w:r>
      <w:r>
        <w:rPr>
          <w:rFonts w:ascii="David" w:hAnsi="David"/>
          <w:rtl/>
        </w:rPr>
        <w:t>מתנהל בבית המשפט הקהילתי.</w:t>
      </w:r>
    </w:p>
    <w:p w14:paraId="2854F63A" w14:textId="77777777" w:rsidR="00BD0128" w:rsidRDefault="00BD0128" w:rsidP="00BD0128">
      <w:pPr>
        <w:jc w:val="both"/>
        <w:rPr>
          <w:rFonts w:ascii="David" w:hAnsi="David"/>
          <w:rtl/>
        </w:rPr>
      </w:pPr>
    </w:p>
    <w:p w14:paraId="5E76CD56" w14:textId="77777777" w:rsidR="00BD0128" w:rsidRDefault="00BD0128" w:rsidP="00BD0128">
      <w:pPr>
        <w:spacing w:line="360" w:lineRule="auto"/>
        <w:ind w:firstLine="720"/>
        <w:jc w:val="both"/>
        <w:rPr>
          <w:rFonts w:ascii="David" w:hAnsi="David"/>
          <w:rtl/>
        </w:rPr>
      </w:pPr>
      <w:r>
        <w:rPr>
          <w:rFonts w:ascii="David" w:hAnsi="David"/>
          <w:rtl/>
        </w:rPr>
        <w:t>כתב האישום המתוקן מחזיק שלושה אישומים.</w:t>
      </w:r>
    </w:p>
    <w:p w14:paraId="0EB033E9" w14:textId="77777777" w:rsidR="00BD0128" w:rsidRDefault="00BD0128" w:rsidP="00BD0128">
      <w:pPr>
        <w:ind w:firstLine="720"/>
        <w:jc w:val="both"/>
        <w:rPr>
          <w:rFonts w:ascii="David" w:hAnsi="David"/>
          <w:rtl/>
        </w:rPr>
      </w:pPr>
    </w:p>
    <w:p w14:paraId="18C4390E" w14:textId="77777777" w:rsidR="00BD0128" w:rsidRDefault="00BD0128" w:rsidP="00BD0128">
      <w:pPr>
        <w:spacing w:line="360" w:lineRule="auto"/>
        <w:jc w:val="both"/>
        <w:rPr>
          <w:rFonts w:ascii="David" w:hAnsi="David"/>
          <w:rtl/>
        </w:rPr>
      </w:pPr>
      <w:r>
        <w:rPr>
          <w:rFonts w:ascii="David" w:hAnsi="David"/>
          <w:rtl/>
        </w:rPr>
        <w:tab/>
        <w:t xml:space="preserve">על פי עובדות החלק הכללי, במועד שאינו ידוע במדויק, עובר ליום 30.11.21, הקים הנאשם  מעבדה לגידול סם מסוכן מסוג קנבוס, בדירה ששכר לשם כך, בעיר גני תקוה, כששני הנאשמים האחרים מסייעים לו בהקמה ובתפעול. באותם מועדים, הקים אחד הנאשמים האחרים שתי מעבדות גידול סמים, בדירות ששכר לשם כך בבאר יעקב ובראשל"צ, כשהנאשם דנן מסייע לו יחד עם הנאשם השלישי, בהקמה ובתפעול. הנאשמים ציידו את הדירות בציוד מתאים ולכל אחד מהם היתה גישה לדירות. </w:t>
      </w:r>
    </w:p>
    <w:p w14:paraId="3ACD8589" w14:textId="77777777" w:rsidR="00BD0128" w:rsidRDefault="00BD0128" w:rsidP="00BD0128">
      <w:pPr>
        <w:jc w:val="both"/>
        <w:rPr>
          <w:rFonts w:ascii="David" w:hAnsi="David"/>
          <w:rtl/>
        </w:rPr>
      </w:pPr>
    </w:p>
    <w:p w14:paraId="79889C20" w14:textId="77777777" w:rsidR="00BD0128" w:rsidRDefault="00BD0128" w:rsidP="00BD0128">
      <w:pPr>
        <w:spacing w:line="360" w:lineRule="auto"/>
        <w:jc w:val="both"/>
        <w:rPr>
          <w:rFonts w:ascii="David" w:hAnsi="David"/>
          <w:rtl/>
        </w:rPr>
      </w:pPr>
      <w:r>
        <w:rPr>
          <w:rFonts w:ascii="David" w:hAnsi="David"/>
          <w:rtl/>
        </w:rPr>
        <w:tab/>
        <w:t>על פי עובדות האישום הראשון, החל מיום 27.5.21 שכר הנאשם דירה בת 5 חדרים, בה אחסנו הנאשמים בצוותא ציוד לצורך הקמת והפעלת המעבדה, כדלהלן: 12 שקי חומר דישון, 4 מנורות, 5 שנאים, מפוח, מאוורר, 6 שנאים, 6 מנורות ובתי נורה, מפוח, משקל אלקטרוני, מערכת השקייה, 2 מזגנים, 99 אדניות ובהן שתילי סמים. במהלך תקופה ועד למעצרו ביום 30.11.21, גידל הנאשם בדירה 102 שתילים במשקל כולל של 32.62 ק"ג נטו, בסיוע הנאשמים האחרים. בנוסף, החזיק בדירה בשקיות ניילון נפרדות: שקית קנבוס במשקל נטו 290.28 גרם, קנבוס במשקל נטו 158.22 גרם, קנבוס במשקל נטו 224.96 גרם. בגין מעשים אלה, הורשע בעבירות של ייצור הכנה ואספקה, והחזקה שלא לצריכה עצמית.</w:t>
      </w:r>
    </w:p>
    <w:p w14:paraId="08DA8325" w14:textId="77777777" w:rsidR="00BD0128" w:rsidRDefault="00BD0128" w:rsidP="00BD0128">
      <w:pPr>
        <w:jc w:val="both"/>
        <w:rPr>
          <w:rFonts w:ascii="David" w:hAnsi="David"/>
          <w:rtl/>
        </w:rPr>
      </w:pPr>
    </w:p>
    <w:p w14:paraId="41E5DE4F" w14:textId="77777777" w:rsidR="00BD0128" w:rsidRDefault="00BD0128" w:rsidP="00BD0128">
      <w:pPr>
        <w:spacing w:line="360" w:lineRule="auto"/>
        <w:jc w:val="both"/>
        <w:rPr>
          <w:rFonts w:ascii="David" w:hAnsi="David"/>
          <w:rtl/>
        </w:rPr>
      </w:pPr>
      <w:r>
        <w:rPr>
          <w:rFonts w:ascii="David" w:hAnsi="David"/>
          <w:rtl/>
        </w:rPr>
        <w:tab/>
        <w:t>על פי עובדות האישום השני, בחודש ינואר 2019, שכר הנאשם השני דירה בת 5 חדרים. במועדים שאינם ידועים לאחר מכן, ציידו הנאשמים בצוותא את הדירה לצורך הקמת מעבדה, בציוד שלהלן: 9 שנאי חום, 2 מנורות, 2 מאיידי מזגן, 4 מפוחים, 1 מטהר אוויר, מזגן נייד, 4 מנועי מזגן, 112 אדניות, מדי חום ולחות, חומרי דישון. מהמחצית השנייה של שנת 2021 ועד 1.12.21, גידל הנאשם השני בדירה 112 שתילי קנבוס במשקל 4.6 ק"ג נטו, כאשר הנאשם והנאשם השלישי סייעו לו בגידול ובתפעול המעבדה. בגין מעשים אלה הורשע הנאשם בעבירה של סיוע לייצור הכנה והפקת סם מסוכן.</w:t>
      </w:r>
    </w:p>
    <w:p w14:paraId="2A8E5B8F" w14:textId="77777777" w:rsidR="00BD0128" w:rsidRDefault="00BD0128" w:rsidP="00BD0128">
      <w:pPr>
        <w:jc w:val="both"/>
        <w:rPr>
          <w:rFonts w:ascii="David" w:hAnsi="David"/>
          <w:rtl/>
        </w:rPr>
      </w:pPr>
    </w:p>
    <w:p w14:paraId="325B5524" w14:textId="77777777" w:rsidR="00BD0128" w:rsidRDefault="00BD0128" w:rsidP="00BD0128">
      <w:pPr>
        <w:spacing w:line="360" w:lineRule="auto"/>
        <w:jc w:val="both"/>
        <w:rPr>
          <w:rFonts w:ascii="David" w:hAnsi="David"/>
          <w:rtl/>
        </w:rPr>
      </w:pPr>
      <w:r>
        <w:rPr>
          <w:rFonts w:ascii="David" w:hAnsi="David"/>
          <w:rtl/>
        </w:rPr>
        <w:tab/>
        <w:t>על פי עובדות האישום השלישי, החל מיום 1.10.18 שכר הנאשם השני דירה בת 3 חדרים. במחצית השנייה של 2021 ועד יום 4.12.21 ציידו הנאשמים את הדירה באוהלי גידול המאובזרים במערכות תאורה, חימום, וויסות טמפרטורה, רשתות לייבוש הסמים, 5 שנאים, 5 בתי מנורות, 3 מפוחים, 3 פילטרים, 2 תאורת לד, 2 מכשירי אל פסק, מפוח, פילטרים, מזגן ו-50 אדניות. בחדר השירותים התקינו מערכת השקייה מאובזרת בחומרי דישון. בהמשך, גידל הנאשם השני 32 שתילי קנבוס במשקל כולל של 8.8 ק"ג נטו, בעוד הנאשם סייע בכך. בגין מעשים אלה הורשע הנאשם בעבירה של סיוע לייצור הכנה והפקת סם מסוכן.</w:t>
      </w:r>
    </w:p>
    <w:p w14:paraId="74DE17E6" w14:textId="77777777" w:rsidR="00BD0128" w:rsidRDefault="00BD0128" w:rsidP="00BD0128">
      <w:pPr>
        <w:jc w:val="both"/>
        <w:rPr>
          <w:rFonts w:ascii="David" w:hAnsi="David"/>
          <w:b/>
          <w:bCs/>
          <w:u w:val="single"/>
          <w:rtl/>
        </w:rPr>
      </w:pPr>
    </w:p>
    <w:p w14:paraId="0747B9E2" w14:textId="77777777" w:rsidR="00BD0128" w:rsidRDefault="00BD0128" w:rsidP="00BD0128">
      <w:pPr>
        <w:spacing w:line="360" w:lineRule="auto"/>
        <w:jc w:val="both"/>
        <w:rPr>
          <w:rFonts w:ascii="David" w:hAnsi="David"/>
          <w:b/>
          <w:bCs/>
          <w:u w:val="single"/>
          <w:rtl/>
        </w:rPr>
      </w:pPr>
      <w:r>
        <w:rPr>
          <w:rFonts w:ascii="David" w:hAnsi="David"/>
          <w:b/>
          <w:bCs/>
          <w:u w:val="single"/>
          <w:rtl/>
        </w:rPr>
        <w:lastRenderedPageBreak/>
        <w:t>טיעוני הצדדים</w:t>
      </w:r>
    </w:p>
    <w:p w14:paraId="65B2D928" w14:textId="77777777" w:rsidR="00BD0128" w:rsidRDefault="00BD0128" w:rsidP="00BD0128">
      <w:pPr>
        <w:jc w:val="both"/>
        <w:rPr>
          <w:rFonts w:ascii="David" w:hAnsi="David"/>
          <w:b/>
          <w:bCs/>
          <w:u w:val="single"/>
          <w:rtl/>
        </w:rPr>
      </w:pPr>
    </w:p>
    <w:p w14:paraId="1941CD5E" w14:textId="77777777" w:rsidR="00BD0128" w:rsidRDefault="00BD0128" w:rsidP="00BD0128">
      <w:pPr>
        <w:spacing w:line="360" w:lineRule="auto"/>
        <w:ind w:firstLine="720"/>
        <w:jc w:val="both"/>
        <w:rPr>
          <w:rFonts w:ascii="David" w:hAnsi="David"/>
          <w:rtl/>
        </w:rPr>
      </w:pPr>
      <w:r>
        <w:rPr>
          <w:rFonts w:ascii="David" w:hAnsi="David"/>
          <w:rtl/>
        </w:rPr>
        <w:t xml:space="preserve">ב"כ התביעה פתחה טיעוניה בציון התהליך החיובי שעבר הנאשם בבית המשפט הקהילתי, אך טענה כי הסוגיה שבמחלוקת אינה נוגעת לשאלת הצלחת ההליך הקהילתי שאינה שנויה במחלוקת, כי אם לסוגיית ההרשעה שכלליה שונים. התביעה מכירה בכך שהנאשם הראה לאורך ההליך רצינות ומחויבות רבה, והשיג את מטרות השיקום. לכן, בכל הנוגע לענישה המומלצת על ידי שרות מבחן, קיימת הסכמה. עם זאת, נטען כי חומרת העבירות, של הקמת 3 מעבדות סמים, וכמויות הסמים שנתפסו, אינן מאפשרות סיום ללא הרשעה. עוד נטען כי מדובר בעבירות שבוצעו בתחכום ולפי תכנון מראש, והעבירה שבאישום הראשון, בה מילא הנאשם תפקיד מוביל, הניבה כמות סם גדולה במיוחד. התביעה טוענת כי לא מצאה תקדים שבו הסתיים ההליך בגין גידול סמים ללא הרשעה, וודאי לא ביחס לכמויות סמים כה גדולות, וכי הפסיקה אליה מפנה ההגנה מתייחסת למקרים מינוריים יותר. אשר לנסיבותיו האישיות של הנאשם, נטען כי לא הראה נזק קונקרטי שייגרם לו מן ההרשעה, שכן הוא פוטר בזמן המעצר, והשכלתו כוללת 600 שעות לימודים בלבד. נטען כי הנאשם אינו חסום באופן מלא מלמצוא עבודה בתחומו, ובכל מקרה חומרת העבירה אינה מאפשרת להימנע מהרשעה. בסיום טיעוניה הודיעה התביעה כי היא מוותרת על עתירתה לחילוט סכום הכסף שנתפס. </w:t>
      </w:r>
    </w:p>
    <w:p w14:paraId="0C704FF7" w14:textId="77777777" w:rsidR="00BD0128" w:rsidRDefault="00BD0128" w:rsidP="00BD0128">
      <w:pPr>
        <w:ind w:firstLine="720"/>
        <w:jc w:val="both"/>
        <w:rPr>
          <w:rFonts w:ascii="David" w:hAnsi="David"/>
          <w:rtl/>
        </w:rPr>
      </w:pPr>
    </w:p>
    <w:p w14:paraId="4BB86EC7" w14:textId="77777777" w:rsidR="00BD0128" w:rsidRDefault="00BD0128" w:rsidP="00BD0128">
      <w:pPr>
        <w:spacing w:line="360" w:lineRule="auto"/>
        <w:ind w:firstLine="720"/>
        <w:jc w:val="both"/>
        <w:rPr>
          <w:rFonts w:ascii="David" w:hAnsi="David"/>
          <w:rtl/>
        </w:rPr>
      </w:pPr>
      <w:r>
        <w:rPr>
          <w:rFonts w:ascii="David" w:hAnsi="David"/>
          <w:rtl/>
        </w:rPr>
        <w:t xml:space="preserve">ב"כ הנאשם טען כי לא זו בלבד שהנאשם סיים בהצלחה את ההליך הקהילתי, אלא שמדובר במשתתף חריג ומרשים. העבירות בוצעו בעת שהיה כבן 26 שנים בלבד, אב לילד קטן, </w:t>
      </w:r>
      <w:r>
        <w:rPr>
          <w:rFonts w:ascii="David" w:hAnsi="David" w:hint="cs"/>
          <w:rtl/>
        </w:rPr>
        <w:t>ש</w:t>
      </w:r>
      <w:r>
        <w:rPr>
          <w:rFonts w:ascii="David" w:hAnsi="David"/>
          <w:rtl/>
        </w:rPr>
        <w:t>נקלע לקשיים כלכליים שהובילו אותו לחבירה עם גורמים שוליים. לעניין נסיבות העבירות, נטען כי הנאשם היה המבצע העיקרי באישום הראשון בלבד, בעוד שבאישומים האחרים היה מסייע. כמו כן, לא נטען כי בוצע סחר בסמים או שהושג רווח כלשהו. כמות הסמים הגדולה, נובעת מן העובדה שמדובר בשתילים חיים, שעמדו לפני הקטיף. אשר לנסיבות האישיות, הפנה ב"כ הנאשם לתהליך השיקומי המוצלח, במהלכו גילה הנאשם רצינות ועקביות, ללא מעידות כפי שקורה במקרים אחרים במסגרת ההליך הקהילתי. נטען כי ההליך הקהילתי מחייב התייחסות שונה מזו הנוהגת בהליך ה"רגיל" על פי הלכת כתב. היות שמטרת ההליך הקהילתי היא השיקום, וזוהי גם מטרת המוסד של אי הרשעה,  נטען כי אך מתבקש לאפשר שימוש בכלי זה לשם שיקומו של הנאשם, שפרנסתו היא חלק משיקומו. למול טענות התביעה, אמר ב"כ הנאשם כי לא קיים חשש לפגיעה במדיניות הענישה באם יסתיים ההליך ללא הרשעה, שכן רק מיעוט ממשתתפי ההליך הקהילתי מסיימים ללא הרשעה, ולו מן הטעם שהם בעלי עבר פלילי, ותנאי להשתתפותם הוא היותם נתונים בסיכון להטלת מאסר בפועל ולא בעבודות שירות, כאמור ב</w:t>
      </w:r>
      <w:hyperlink r:id="rId19" w:history="1">
        <w:r w:rsidR="003450D2" w:rsidRPr="003450D2">
          <w:rPr>
            <w:rFonts w:ascii="David" w:hAnsi="David"/>
            <w:color w:val="0000FF"/>
            <w:u w:val="single"/>
            <w:rtl/>
          </w:rPr>
          <w:t>חסד"פ</w:t>
        </w:r>
      </w:hyperlink>
      <w:r>
        <w:rPr>
          <w:rFonts w:ascii="David" w:hAnsi="David"/>
          <w:rtl/>
        </w:rPr>
        <w:t>.  עוד הביע פליאתו על סירוב המדינה, שאינו מתיישב עם נכונותה להגמיש עמדתה לטובת הנאשם בסוגיית המאסר, שהיא משמעותית יותר. אשר לנזק הקונקרטי שנדרש הנאשם להראות, אין מחלוקת על כך שהוא בעל תעודת יועץ אבטחת מידע (סייבר), וכי פוטר מעבודתו בעקבות ההרשעה. נטען כי הנאשם פנה למקומות עבודה רבים בתחום אבטחת המידע, אך כולם סירבו לקבלו בעקבות הגילוי אודות הרשעתו, לכן אין המדובר בנזק ערטילאי, אלא נזק מוכח בפועל. מבחינה עקרונית נטען כי פסיקת בתי המשפט מאפשרת הגמשת הכללים במסגרת ההליך הקהילתי, וסיום ללא הרשעה גם בעבירות חמורות. אמנם לא קיימת עדיין פסיקה בעניין אי הרשעה לגבי גידול סם בכמות המדוברת, אך קיימת פסיקה במקרים שווי ערך, ובענייננו ישנה המלצת שרות המבחן, והנאשם הוא בגדר "בגיר צעיר". לפיכך, עתר ב"כ הנאשם לסיים ללא הרשעה.</w:t>
      </w:r>
    </w:p>
    <w:p w14:paraId="7D7E9D09" w14:textId="77777777" w:rsidR="00BD0128" w:rsidRDefault="00BD0128" w:rsidP="00BD0128">
      <w:pPr>
        <w:ind w:firstLine="720"/>
        <w:jc w:val="both"/>
        <w:rPr>
          <w:rFonts w:ascii="David" w:hAnsi="David"/>
          <w:rtl/>
        </w:rPr>
      </w:pPr>
    </w:p>
    <w:p w14:paraId="7D5B4CD0" w14:textId="77777777" w:rsidR="00BD0128" w:rsidRDefault="00BD0128" w:rsidP="00BD0128">
      <w:pPr>
        <w:spacing w:line="360" w:lineRule="auto"/>
        <w:ind w:firstLine="720"/>
        <w:jc w:val="both"/>
        <w:rPr>
          <w:rFonts w:ascii="David" w:hAnsi="David"/>
          <w:rtl/>
        </w:rPr>
      </w:pPr>
      <w:r>
        <w:rPr>
          <w:rFonts w:ascii="David" w:hAnsi="David"/>
          <w:rtl/>
        </w:rPr>
        <w:t xml:space="preserve">הנאשם בדברו האחרון הודה על קבלת ההזדמנות לשקם עצמו בהליך הקהילתי. לדבריו, ההרשעה פוגעת בו בפועל כבר עתה, מאחר שבעטיה אינו מצליח למצוא מקום עבודה, למרות חיפושים רבים. בנסיבות, הוא נאלץ להסתפק בעבודות מזדמנות, ולא במקצועו. עוד אמר כי ההרשעה תפגע גם בסיכוייו בהליך המשפטי המתנהל מול מי שהיתה בעבר בת זוגו, לגבי משמורת בנו הקטן. בסיום דבריו אמר כי הוא מבין את גודל הטעות שעשה, וביקש התחשבות בית המשפט. </w:t>
      </w:r>
    </w:p>
    <w:p w14:paraId="329ED328" w14:textId="77777777" w:rsidR="00BD0128" w:rsidRDefault="00BD0128" w:rsidP="00BD0128">
      <w:pPr>
        <w:ind w:firstLine="720"/>
        <w:jc w:val="both"/>
        <w:rPr>
          <w:rFonts w:ascii="David" w:hAnsi="David"/>
          <w:rtl/>
        </w:rPr>
      </w:pPr>
    </w:p>
    <w:p w14:paraId="1217684C" w14:textId="77777777" w:rsidR="00BD0128" w:rsidRDefault="00BD0128" w:rsidP="00BD0128">
      <w:pPr>
        <w:spacing w:line="360" w:lineRule="auto"/>
        <w:jc w:val="both"/>
        <w:rPr>
          <w:rFonts w:ascii="David" w:hAnsi="David"/>
          <w:b/>
          <w:bCs/>
          <w:u w:val="single"/>
          <w:rtl/>
        </w:rPr>
      </w:pPr>
      <w:r>
        <w:rPr>
          <w:rFonts w:ascii="David" w:hAnsi="David"/>
          <w:b/>
          <w:bCs/>
          <w:u w:val="single"/>
          <w:rtl/>
        </w:rPr>
        <w:t>מתחם העונש ההולם</w:t>
      </w:r>
    </w:p>
    <w:p w14:paraId="2708D905" w14:textId="77777777" w:rsidR="00BD0128" w:rsidRDefault="00BD0128" w:rsidP="00BD0128">
      <w:pPr>
        <w:jc w:val="both"/>
        <w:rPr>
          <w:rFonts w:ascii="David" w:hAnsi="David"/>
          <w:b/>
          <w:bCs/>
          <w:u w:val="single"/>
          <w:rtl/>
        </w:rPr>
      </w:pPr>
    </w:p>
    <w:p w14:paraId="197A4B24" w14:textId="77777777" w:rsidR="00BD0128" w:rsidRDefault="00BD0128" w:rsidP="00BD0128">
      <w:pPr>
        <w:spacing w:line="360" w:lineRule="auto"/>
        <w:ind w:firstLine="720"/>
        <w:jc w:val="both"/>
        <w:rPr>
          <w:rFonts w:ascii="David" w:hAnsi="David"/>
          <w:rtl/>
        </w:rPr>
      </w:pPr>
      <w:r>
        <w:rPr>
          <w:rFonts w:ascii="David" w:hAnsi="David"/>
          <w:rtl/>
        </w:rPr>
        <w:t>אין צורך להכביר מילים אודות העניין הציבורי הרב באכיפה נגד עבירות סמים. בעניין זה אמר בית המשפט העליון ב</w:t>
      </w:r>
      <w:hyperlink r:id="rId20" w:history="1">
        <w:r w:rsidR="003450D2" w:rsidRPr="003450D2">
          <w:rPr>
            <w:rFonts w:ascii="David" w:hAnsi="David"/>
            <w:color w:val="0000FF"/>
            <w:u w:val="single"/>
            <w:rtl/>
          </w:rPr>
          <w:t>רע"פ 4512/15</w:t>
        </w:r>
      </w:hyperlink>
      <w:r>
        <w:rPr>
          <w:rFonts w:ascii="David" w:hAnsi="David"/>
          <w:rtl/>
        </w:rPr>
        <w:t xml:space="preserve"> </w:t>
      </w:r>
      <w:r>
        <w:rPr>
          <w:rFonts w:ascii="David" w:hAnsi="David"/>
          <w:b/>
          <w:bCs/>
          <w:rtl/>
        </w:rPr>
        <w:t>הרוש נ' מד"י</w:t>
      </w:r>
      <w:r>
        <w:rPr>
          <w:rFonts w:ascii="David" w:hAnsi="David"/>
        </w:rPr>
        <w:t xml:space="preserve"> </w:t>
      </w:r>
      <w:r>
        <w:rPr>
          <w:rFonts w:ascii="David" w:hAnsi="David"/>
          <w:rtl/>
        </w:rPr>
        <w:t>(6/7/15), שם נדון עניינו של מי שהקים מעבדה לגידול קנבוס:</w:t>
      </w:r>
    </w:p>
    <w:p w14:paraId="03A17202" w14:textId="77777777" w:rsidR="00BD0128" w:rsidRDefault="00BD0128" w:rsidP="00BD0128">
      <w:pPr>
        <w:ind w:firstLine="720"/>
        <w:jc w:val="both"/>
        <w:rPr>
          <w:rFonts w:ascii="David" w:hAnsi="David"/>
          <w:rtl/>
        </w:rPr>
      </w:pPr>
    </w:p>
    <w:p w14:paraId="639F669B" w14:textId="77777777" w:rsidR="00BD0128" w:rsidRDefault="00BD0128" w:rsidP="00BD0128">
      <w:pPr>
        <w:pStyle w:val="1"/>
        <w:numPr>
          <w:ilvl w:val="0"/>
          <w:numId w:val="0"/>
        </w:numPr>
        <w:tabs>
          <w:tab w:val="left" w:pos="720"/>
        </w:tabs>
        <w:spacing w:line="240" w:lineRule="auto"/>
        <w:ind w:left="793" w:right="1276"/>
        <w:rPr>
          <w:rStyle w:val="10"/>
          <w:rFonts w:ascii="David" w:hAnsi="David" w:cs="David"/>
          <w:b/>
          <w:bCs/>
          <w:sz w:val="24"/>
          <w:szCs w:val="24"/>
          <w:rtl/>
        </w:rPr>
      </w:pPr>
      <w:r>
        <w:rPr>
          <w:rStyle w:val="10"/>
          <w:rFonts w:ascii="David" w:hAnsi="David" w:cs="David"/>
          <w:b/>
          <w:bCs/>
          <w:sz w:val="24"/>
          <w:szCs w:val="24"/>
          <w:rtl/>
        </w:rPr>
        <w:t>ועוד ראוי להזכיר, כי כאשר בעבירות סמים עסקינן, על בית המשפט לנקוט ביד קשה כדי להרתיע עבריינים פוטנציאליים מפני ביצוען. כפי שנאמר ב</w:t>
      </w:r>
      <w:hyperlink r:id="rId21" w:history="1">
        <w:r w:rsidR="003450D2" w:rsidRPr="003450D2">
          <w:rPr>
            <w:rStyle w:val="10"/>
            <w:rFonts w:ascii="David" w:hAnsi="David" w:cs="David"/>
            <w:b/>
            <w:bCs/>
            <w:color w:val="0000FF"/>
            <w:sz w:val="24"/>
            <w:szCs w:val="24"/>
            <w:u w:val="single"/>
            <w:rtl/>
          </w:rPr>
          <w:t>ע"פ 211/09</w:t>
        </w:r>
      </w:hyperlink>
      <w:r>
        <w:rPr>
          <w:rStyle w:val="10"/>
          <w:rFonts w:ascii="David" w:hAnsi="David" w:cs="David"/>
          <w:b/>
          <w:bCs/>
          <w:sz w:val="24"/>
          <w:szCs w:val="24"/>
          <w:rtl/>
        </w:rPr>
        <w:t xml:space="preserve"> </w:t>
      </w:r>
      <w:r>
        <w:rPr>
          <w:rStyle w:val="10"/>
          <w:rFonts w:ascii="David" w:hAnsi="David" w:cs="David"/>
          <w:b/>
          <w:bCs/>
          <w:spacing w:val="0"/>
          <w:sz w:val="24"/>
          <w:szCs w:val="24"/>
          <w:rtl/>
        </w:rPr>
        <w:t>אזולאי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t>(22.6.2010):</w:t>
      </w:r>
    </w:p>
    <w:p w14:paraId="753024C4" w14:textId="77777777" w:rsidR="00BD0128" w:rsidRDefault="00BD0128" w:rsidP="00BD0128">
      <w:pPr>
        <w:pStyle w:val="1"/>
        <w:numPr>
          <w:ilvl w:val="0"/>
          <w:numId w:val="0"/>
        </w:numPr>
        <w:tabs>
          <w:tab w:val="left" w:pos="720"/>
        </w:tabs>
        <w:spacing w:line="240" w:lineRule="auto"/>
        <w:ind w:left="793" w:right="1276"/>
        <w:rPr>
          <w:rStyle w:val="10"/>
          <w:rFonts w:ascii="David" w:hAnsi="David" w:cs="David"/>
          <w:b/>
          <w:bCs/>
          <w:sz w:val="24"/>
          <w:szCs w:val="24"/>
          <w:rtl/>
        </w:rPr>
      </w:pPr>
    </w:p>
    <w:p w14:paraId="52FF78F3" w14:textId="77777777" w:rsidR="00BD0128" w:rsidRDefault="00BD0128" w:rsidP="00BD0128">
      <w:pPr>
        <w:pStyle w:val="Ruller50"/>
        <w:ind w:left="793" w:right="1276"/>
        <w:rPr>
          <w:rStyle w:val="10"/>
          <w:rFonts w:ascii="David" w:hAnsi="David" w:cs="David"/>
          <w:b/>
          <w:bCs/>
          <w:sz w:val="24"/>
          <w:szCs w:val="24"/>
          <w:rtl/>
        </w:rPr>
      </w:pPr>
      <w:r>
        <w:rPr>
          <w:rFonts w:ascii="David" w:hAnsi="David" w:cs="David"/>
          <w:b/>
          <w:bCs/>
          <w:sz w:val="24"/>
          <w:szCs w:val="24"/>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Style w:val="10"/>
          <w:rFonts w:ascii="David" w:hAnsi="David" w:cs="David"/>
          <w:b/>
          <w:bCs/>
          <w:sz w:val="24"/>
          <w:szCs w:val="24"/>
          <w:rtl/>
        </w:rPr>
        <w:t>".</w:t>
      </w:r>
    </w:p>
    <w:p w14:paraId="2DCFE4F6" w14:textId="77777777" w:rsidR="00BD0128" w:rsidRDefault="00BD0128" w:rsidP="00BD0128">
      <w:pPr>
        <w:ind w:left="793" w:right="1276"/>
        <w:jc w:val="both"/>
        <w:rPr>
          <w:rtl/>
        </w:rPr>
      </w:pPr>
    </w:p>
    <w:p w14:paraId="1B8F6D50" w14:textId="77777777" w:rsidR="00BD0128" w:rsidRDefault="00BD0128" w:rsidP="00BD0128">
      <w:pPr>
        <w:spacing w:line="360" w:lineRule="auto"/>
        <w:ind w:firstLine="720"/>
        <w:jc w:val="both"/>
        <w:rPr>
          <w:rFonts w:ascii="David" w:hAnsi="David"/>
          <w:rtl/>
        </w:rPr>
      </w:pPr>
      <w:r>
        <w:rPr>
          <w:rFonts w:ascii="David" w:hAnsi="David"/>
          <w:rtl/>
        </w:rPr>
        <w:t>באותו עניין, הפנה בית המשפט העליון לסוג השיקולים, שיש בהם כדי ללמד על מידת החומרה שנלוותה לעבירת הגידול:</w:t>
      </w:r>
    </w:p>
    <w:p w14:paraId="68615586" w14:textId="77777777" w:rsidR="00BD0128" w:rsidRDefault="00BD0128" w:rsidP="00BD0128">
      <w:pPr>
        <w:pStyle w:val="Ruller50"/>
        <w:ind w:left="793" w:right="1276"/>
        <w:rPr>
          <w:rStyle w:val="10"/>
          <w:rFonts w:cs="David"/>
          <w:b/>
          <w:bCs/>
          <w:sz w:val="24"/>
          <w:szCs w:val="24"/>
          <w:rtl/>
        </w:rPr>
      </w:pPr>
    </w:p>
    <w:p w14:paraId="791AF01C" w14:textId="77777777" w:rsidR="00BD0128" w:rsidRDefault="00BD0128" w:rsidP="00BD0128">
      <w:pPr>
        <w:pStyle w:val="Ruller50"/>
        <w:ind w:left="793" w:right="1276"/>
        <w:rPr>
          <w:rStyle w:val="10"/>
          <w:rFonts w:cs="David"/>
          <w:b/>
          <w:bCs/>
          <w:sz w:val="24"/>
          <w:szCs w:val="24"/>
          <w:rtl/>
        </w:rPr>
      </w:pPr>
      <w:r>
        <w:rPr>
          <w:rStyle w:val="10"/>
          <w:rFonts w:cs="David"/>
          <w:b/>
          <w:bCs/>
          <w:sz w:val="24"/>
          <w:szCs w:val="24"/>
          <w:rtl/>
        </w:rPr>
        <w:t xml:space="preserve">ניתן לקבוע, אפוא, כי עונשו של המבקש נגזר, בסופו של יום, על בסיס כלל נסיבות המקרה, ובכללן, </w:t>
      </w:r>
      <w:r>
        <w:rPr>
          <w:rStyle w:val="10"/>
          <w:rFonts w:ascii="David" w:hAnsi="David" w:cs="David"/>
          <w:b/>
          <w:bCs/>
          <w:sz w:val="24"/>
          <w:szCs w:val="24"/>
          <w:rtl/>
        </w:rPr>
        <w:t>אופן</w:t>
      </w:r>
      <w:r>
        <w:rPr>
          <w:rStyle w:val="10"/>
          <w:rFonts w:cs="David"/>
          <w:b/>
          <w:bCs/>
          <w:sz w:val="24"/>
          <w:szCs w:val="24"/>
          <w:rtl/>
        </w:rPr>
        <w:t xml:space="preserve"> הקמת המעבדה; אבזורה של המעבדה; </w:t>
      </w:r>
      <w:r>
        <w:rPr>
          <w:rFonts w:ascii="David" w:hAnsi="David" w:cs="David"/>
          <w:b/>
          <w:bCs/>
          <w:sz w:val="24"/>
          <w:szCs w:val="24"/>
          <w:rtl/>
        </w:rPr>
        <w:t>שטחה</w:t>
      </w:r>
      <w:r>
        <w:rPr>
          <w:rStyle w:val="10"/>
          <w:rFonts w:cs="David"/>
          <w:b/>
          <w:bCs/>
          <w:sz w:val="24"/>
          <w:szCs w:val="24"/>
          <w:rtl/>
        </w:rPr>
        <w:t xml:space="preserve"> ...; היקף הייצור; כמות השתילים ומשקל הסם. נסיבות אלו נשקלו לצורך קביעת עונשו של המבקש, ובדין נעשה כן על-ידי הערכאות הקודמות.</w:t>
      </w:r>
    </w:p>
    <w:p w14:paraId="197A5ABC" w14:textId="77777777" w:rsidR="00BD0128" w:rsidRDefault="00BD0128" w:rsidP="00BD0128">
      <w:pPr>
        <w:spacing w:line="360" w:lineRule="auto"/>
        <w:jc w:val="both"/>
        <w:rPr>
          <w:rFonts w:ascii="David" w:hAnsi="David"/>
          <w:rtl/>
        </w:rPr>
      </w:pPr>
    </w:p>
    <w:p w14:paraId="05F79BD1" w14:textId="77777777" w:rsidR="00BD0128" w:rsidRDefault="00BD0128" w:rsidP="00BD0128">
      <w:pPr>
        <w:spacing w:line="360" w:lineRule="auto"/>
        <w:ind w:firstLine="720"/>
        <w:jc w:val="both"/>
        <w:rPr>
          <w:rFonts w:ascii="David" w:hAnsi="David"/>
          <w:rtl/>
        </w:rPr>
      </w:pPr>
      <w:r>
        <w:rPr>
          <w:rFonts w:ascii="David" w:hAnsi="David"/>
          <w:rtl/>
        </w:rPr>
        <w:t>ברוח זו, מקום בו נתפס קנבוס במשקל רב, משמשת נסיבה זו כנימוק מרכזי לענישה מחמירה, גם בהעדר עבר פלילי. כך, מקום בו נתפסו 97 ק"ג קנבוס, הוטל עונש בן 27 חודשי מאסר (</w:t>
      </w:r>
      <w:hyperlink r:id="rId22" w:history="1">
        <w:r w:rsidR="003450D2" w:rsidRPr="003450D2">
          <w:rPr>
            <w:rFonts w:ascii="David" w:hAnsi="David"/>
            <w:color w:val="0000FF"/>
            <w:u w:val="single"/>
            <w:rtl/>
          </w:rPr>
          <w:t>ת"פ (מח' ב"ש) 69278-05-18</w:t>
        </w:r>
      </w:hyperlink>
      <w:r>
        <w:rPr>
          <w:rFonts w:ascii="David" w:hAnsi="David"/>
          <w:rtl/>
        </w:rPr>
        <w:t xml:space="preserve"> </w:t>
      </w:r>
      <w:r>
        <w:rPr>
          <w:rFonts w:ascii="David" w:hAnsi="David"/>
          <w:b/>
          <w:bCs/>
          <w:rtl/>
        </w:rPr>
        <w:t>מד"י נ' אלוכילי</w:t>
      </w:r>
      <w:r>
        <w:rPr>
          <w:rFonts w:ascii="David" w:hAnsi="David"/>
          <w:rtl/>
        </w:rPr>
        <w:t xml:space="preserve"> (24.11.19)); מקום בו נתפסו 131 ק"ג קנבוס, הוטלו עונשי  מאסר בני 34 חודשים (</w:t>
      </w:r>
      <w:hyperlink r:id="rId23" w:history="1">
        <w:r w:rsidR="003450D2" w:rsidRPr="003450D2">
          <w:rPr>
            <w:rFonts w:ascii="David" w:hAnsi="David"/>
            <w:color w:val="0000FF"/>
            <w:u w:val="single"/>
            <w:rtl/>
          </w:rPr>
          <w:t>ע"פ 5103/17</w:t>
        </w:r>
      </w:hyperlink>
      <w:r>
        <w:rPr>
          <w:rFonts w:ascii="David" w:hAnsi="David"/>
          <w:rtl/>
        </w:rPr>
        <w:t xml:space="preserve"> </w:t>
      </w:r>
      <w:r>
        <w:rPr>
          <w:rFonts w:ascii="David" w:hAnsi="David"/>
          <w:b/>
          <w:bCs/>
          <w:rtl/>
        </w:rPr>
        <w:t>אליספוב נ' מד"י</w:t>
      </w:r>
      <w:r>
        <w:rPr>
          <w:rFonts w:ascii="David" w:hAnsi="David"/>
          <w:rtl/>
        </w:rPr>
        <w:t xml:space="preserve"> (1.1.18)); מקום בו נתפסו 80 ק"ג קנבוס וכן בוצעה גניבת חשמל בשווי עשרות אלפי שקלים, הוטל מאסר בן 25 חודשים (</w:t>
      </w:r>
      <w:hyperlink r:id="rId24" w:history="1">
        <w:r w:rsidR="003450D2" w:rsidRPr="003450D2">
          <w:rPr>
            <w:rFonts w:ascii="David" w:hAnsi="David"/>
            <w:color w:val="0000FF"/>
            <w:u w:val="single"/>
            <w:rtl/>
          </w:rPr>
          <w:t>ת"פ 25458-11-18</w:t>
        </w:r>
      </w:hyperlink>
      <w:r>
        <w:rPr>
          <w:rFonts w:ascii="David" w:hAnsi="David"/>
          <w:rtl/>
        </w:rPr>
        <w:t xml:space="preserve"> (מח' מרכז) </w:t>
      </w:r>
      <w:r>
        <w:rPr>
          <w:rFonts w:ascii="David" w:hAnsi="David"/>
          <w:b/>
          <w:bCs/>
          <w:rtl/>
        </w:rPr>
        <w:t>מד"י נ' אליאב</w:t>
      </w:r>
      <w:r>
        <w:rPr>
          <w:rFonts w:ascii="David" w:hAnsi="David"/>
          <w:rtl/>
        </w:rPr>
        <w:t xml:space="preserve"> (19.9.19)); מקום בו נתפסו 10 ק"ג קנבוס, הוחמר העונש שהוטל בבית משפט השלום, והועמד על 10 חודשי מאסר (</w:t>
      </w:r>
      <w:hyperlink r:id="rId25" w:history="1">
        <w:r w:rsidR="003450D2" w:rsidRPr="003450D2">
          <w:rPr>
            <w:rFonts w:ascii="David" w:hAnsi="David"/>
            <w:color w:val="0000FF"/>
            <w:u w:val="single"/>
            <w:rtl/>
          </w:rPr>
          <w:t>רע"פ 513/21</w:t>
        </w:r>
      </w:hyperlink>
      <w:r>
        <w:rPr>
          <w:rFonts w:ascii="David" w:hAnsi="David"/>
          <w:rtl/>
        </w:rPr>
        <w:t xml:space="preserve"> </w:t>
      </w:r>
      <w:r w:rsidRPr="00407855">
        <w:rPr>
          <w:rFonts w:ascii="David" w:hAnsi="David"/>
          <w:b/>
          <w:bCs/>
          <w:rtl/>
        </w:rPr>
        <w:t>יהושע נ' מד"י</w:t>
      </w:r>
      <w:r>
        <w:rPr>
          <w:rFonts w:ascii="David" w:hAnsi="David"/>
          <w:rtl/>
        </w:rPr>
        <w:t xml:space="preserve"> (4.3.21)). </w:t>
      </w:r>
    </w:p>
    <w:p w14:paraId="07215947" w14:textId="77777777" w:rsidR="00BD0128" w:rsidRDefault="00BD0128" w:rsidP="00BD0128">
      <w:pPr>
        <w:ind w:firstLine="720"/>
        <w:jc w:val="both"/>
        <w:rPr>
          <w:rFonts w:ascii="David" w:hAnsi="David"/>
          <w:rtl/>
        </w:rPr>
      </w:pPr>
    </w:p>
    <w:p w14:paraId="256A9CB0" w14:textId="77777777" w:rsidR="00BD0128" w:rsidRDefault="00BD0128" w:rsidP="00BD0128">
      <w:pPr>
        <w:spacing w:line="360" w:lineRule="auto"/>
        <w:ind w:firstLine="720"/>
        <w:jc w:val="both"/>
        <w:rPr>
          <w:rFonts w:ascii="David" w:hAnsi="David"/>
          <w:rtl/>
        </w:rPr>
      </w:pPr>
      <w:r>
        <w:rPr>
          <w:rFonts w:ascii="David" w:hAnsi="David"/>
          <w:rtl/>
        </w:rPr>
        <w:t>נימוק מובהק נוסף שיש בו כדי להביא להחמרה בענישה, נעוץ בכך שהנאשם השקיע כספים לצורך הקמת מקום הגידול, אם בשכירת המקום, ואם ברכישת ציוד יקר ערך, מערכות השקיה וחימום, וכלים להכנה וחלוקה של מנות סם (</w:t>
      </w:r>
      <w:hyperlink r:id="rId26" w:history="1">
        <w:r w:rsidR="003450D2" w:rsidRPr="003450D2">
          <w:rPr>
            <w:rFonts w:ascii="David" w:hAnsi="David"/>
            <w:color w:val="0000FF"/>
            <w:u w:val="single"/>
            <w:rtl/>
          </w:rPr>
          <w:t>רע"פ 666/20</w:t>
        </w:r>
      </w:hyperlink>
      <w:r>
        <w:rPr>
          <w:rFonts w:ascii="David" w:hAnsi="David"/>
          <w:rtl/>
        </w:rPr>
        <w:t xml:space="preserve"> </w:t>
      </w:r>
      <w:r>
        <w:rPr>
          <w:rFonts w:ascii="David" w:hAnsi="David"/>
          <w:b/>
          <w:bCs/>
          <w:rtl/>
        </w:rPr>
        <w:t>עמרם נ' מד"י</w:t>
      </w:r>
      <w:r>
        <w:rPr>
          <w:rFonts w:ascii="David" w:hAnsi="David"/>
          <w:rtl/>
        </w:rPr>
        <w:t xml:space="preserve"> (3.2.20));  </w:t>
      </w:r>
      <w:hyperlink r:id="rId27" w:history="1">
        <w:r w:rsidR="003450D2" w:rsidRPr="003450D2">
          <w:rPr>
            <w:rFonts w:ascii="David" w:hAnsi="David"/>
            <w:color w:val="0000FF"/>
            <w:u w:val="single"/>
            <w:rtl/>
          </w:rPr>
          <w:t>עפ"ג 55495-03-18</w:t>
        </w:r>
      </w:hyperlink>
      <w:r>
        <w:rPr>
          <w:rFonts w:ascii="David" w:hAnsi="David"/>
          <w:rtl/>
        </w:rPr>
        <w:t xml:space="preserve"> (מח' מרכז) </w:t>
      </w:r>
      <w:r>
        <w:rPr>
          <w:rFonts w:ascii="David" w:hAnsi="David"/>
          <w:b/>
          <w:bCs/>
          <w:rtl/>
        </w:rPr>
        <w:t>מד"י נ' כהן</w:t>
      </w:r>
      <w:r>
        <w:rPr>
          <w:rFonts w:ascii="David" w:hAnsi="David"/>
          <w:rtl/>
        </w:rPr>
        <w:t xml:space="preserve"> (8.5.18)); </w:t>
      </w:r>
      <w:hyperlink r:id="rId28" w:history="1">
        <w:r w:rsidR="003450D2" w:rsidRPr="003450D2">
          <w:rPr>
            <w:rFonts w:ascii="David" w:hAnsi="David"/>
            <w:color w:val="0000FF"/>
            <w:u w:val="single"/>
            <w:rtl/>
          </w:rPr>
          <w:t>עפ"ג 8693-09-18</w:t>
        </w:r>
      </w:hyperlink>
      <w:r>
        <w:rPr>
          <w:rFonts w:ascii="David" w:hAnsi="David"/>
          <w:rtl/>
        </w:rPr>
        <w:t xml:space="preserve"> </w:t>
      </w:r>
      <w:r>
        <w:rPr>
          <w:rFonts w:ascii="David" w:hAnsi="David"/>
          <w:b/>
          <w:bCs/>
          <w:rtl/>
        </w:rPr>
        <w:t>לירון כהן נ' מד"י</w:t>
      </w:r>
      <w:r>
        <w:rPr>
          <w:rFonts w:ascii="David" w:hAnsi="David"/>
          <w:rtl/>
        </w:rPr>
        <w:t xml:space="preserve"> (11.3.19); </w:t>
      </w:r>
      <w:hyperlink r:id="rId29" w:history="1">
        <w:r w:rsidR="003450D2" w:rsidRPr="003450D2">
          <w:rPr>
            <w:rFonts w:ascii="David" w:hAnsi="David"/>
            <w:color w:val="0000FF"/>
            <w:u w:val="single"/>
            <w:rtl/>
          </w:rPr>
          <w:t>עפ"ג 76025-01-19</w:t>
        </w:r>
      </w:hyperlink>
      <w:r>
        <w:rPr>
          <w:rFonts w:ascii="David" w:hAnsi="David"/>
          <w:rtl/>
        </w:rPr>
        <w:t xml:space="preserve"> </w:t>
      </w:r>
      <w:r>
        <w:rPr>
          <w:rFonts w:ascii="David" w:hAnsi="David"/>
          <w:b/>
          <w:bCs/>
          <w:rtl/>
        </w:rPr>
        <w:t>שובל נ' מד"י</w:t>
      </w:r>
      <w:r>
        <w:rPr>
          <w:rFonts w:ascii="David" w:hAnsi="David"/>
          <w:rtl/>
        </w:rPr>
        <w:t xml:space="preserve"> (15.7.19)). גידול שנועד למטרה מסחרית מובהקת, הוביל לענישה מחמירה, גם בהעדר עבר פלילי (</w:t>
      </w:r>
      <w:hyperlink r:id="rId30" w:history="1">
        <w:r w:rsidR="003450D2" w:rsidRPr="003450D2">
          <w:rPr>
            <w:rFonts w:ascii="David" w:hAnsi="David"/>
            <w:color w:val="0000FF"/>
            <w:u w:val="single"/>
            <w:rtl/>
          </w:rPr>
          <w:t>רע"פ 2870/18</w:t>
        </w:r>
      </w:hyperlink>
      <w:r>
        <w:rPr>
          <w:rFonts w:ascii="David" w:hAnsi="David"/>
          <w:rtl/>
        </w:rPr>
        <w:t xml:space="preserve"> </w:t>
      </w:r>
      <w:r>
        <w:rPr>
          <w:rFonts w:ascii="David" w:hAnsi="David"/>
          <w:b/>
          <w:bCs/>
          <w:rtl/>
        </w:rPr>
        <w:t>ניר כהן נ' מד"י</w:t>
      </w:r>
      <w:r>
        <w:rPr>
          <w:rFonts w:ascii="David" w:hAnsi="David"/>
          <w:rtl/>
        </w:rPr>
        <w:t xml:space="preserve"> (11.6.18)).  </w:t>
      </w:r>
    </w:p>
    <w:p w14:paraId="0609BFA4" w14:textId="77777777" w:rsidR="00BD0128" w:rsidRDefault="00BD0128" w:rsidP="00BD0128">
      <w:pPr>
        <w:ind w:firstLine="720"/>
        <w:jc w:val="both"/>
        <w:rPr>
          <w:rFonts w:ascii="David" w:hAnsi="David"/>
          <w:rtl/>
        </w:rPr>
      </w:pPr>
    </w:p>
    <w:p w14:paraId="3F09B6CB" w14:textId="77777777" w:rsidR="00BD0128" w:rsidRDefault="00BD0128" w:rsidP="00BD0128">
      <w:pPr>
        <w:spacing w:line="360" w:lineRule="auto"/>
        <w:ind w:firstLine="720"/>
        <w:jc w:val="both"/>
        <w:rPr>
          <w:rFonts w:ascii="David" w:hAnsi="David"/>
          <w:rtl/>
        </w:rPr>
      </w:pPr>
      <w:r>
        <w:rPr>
          <w:rFonts w:ascii="David" w:hAnsi="David"/>
          <w:rtl/>
        </w:rPr>
        <w:t>ואולם, לצד מדיניות זו, מגלים בתי המשפט נכונות להתחשב בשיקולי שיקומו של הנאשם, וגם כשדובר בגידול סמים בכמויות גדולות פי כמה לעומת כמויות הסמים בענייננו, הסתיים ההליך בעונש של עבודות שרות, כששיקולי השיקום הצדיקו זאת. כיוון שהדוגמאות לכך רבות מספור, אסתפק באחדות מביניהן: ב</w:t>
      </w:r>
      <w:hyperlink r:id="rId31" w:history="1">
        <w:r w:rsidR="003450D2" w:rsidRPr="003450D2">
          <w:rPr>
            <w:rFonts w:ascii="David" w:hAnsi="David"/>
            <w:color w:val="0000FF"/>
            <w:u w:val="single"/>
            <w:rtl/>
          </w:rPr>
          <w:t>ע"פ 861/18</w:t>
        </w:r>
      </w:hyperlink>
      <w:r>
        <w:rPr>
          <w:rFonts w:ascii="David" w:hAnsi="David"/>
          <w:rtl/>
        </w:rPr>
        <w:t xml:space="preserve"> </w:t>
      </w:r>
      <w:r>
        <w:rPr>
          <w:rFonts w:ascii="David" w:hAnsi="David"/>
          <w:b/>
          <w:bCs/>
          <w:rtl/>
        </w:rPr>
        <w:t>סבן נ' מד"י</w:t>
      </w:r>
      <w:r>
        <w:rPr>
          <w:rFonts w:ascii="David" w:hAnsi="David"/>
          <w:rtl/>
        </w:rPr>
        <w:t xml:space="preserve"> (15.11.18) הוטלו 9 חודשי עבודות שרות בגין גידול בצוותא של 92 ק"ג קנבוס, תוך שכירת דירה ורכישת ציוד רב; ב</w:t>
      </w:r>
      <w:hyperlink r:id="rId32" w:history="1">
        <w:r w:rsidR="003450D2" w:rsidRPr="003450D2">
          <w:rPr>
            <w:rFonts w:ascii="David" w:hAnsi="David"/>
            <w:color w:val="0000FF"/>
            <w:u w:val="single"/>
            <w:rtl/>
          </w:rPr>
          <w:t>ע"פ 4285/17</w:t>
        </w:r>
      </w:hyperlink>
      <w:r>
        <w:rPr>
          <w:rFonts w:ascii="David" w:hAnsi="David"/>
          <w:rtl/>
        </w:rPr>
        <w:t xml:space="preserve"> </w:t>
      </w:r>
      <w:r>
        <w:rPr>
          <w:rFonts w:ascii="David" w:hAnsi="David"/>
          <w:b/>
          <w:bCs/>
          <w:rtl/>
        </w:rPr>
        <w:t>יצחקי נ' מד"י</w:t>
      </w:r>
      <w:r>
        <w:rPr>
          <w:rFonts w:ascii="David" w:hAnsi="David"/>
          <w:rtl/>
        </w:rPr>
        <w:t xml:space="preserve"> (11.6.18) הוטלו 6 חודשי עבודות שירות, בגין גידול קנביס במשקל 100 ק"ג; ב</w:t>
      </w:r>
      <w:hyperlink r:id="rId33" w:history="1">
        <w:r w:rsidR="003450D2" w:rsidRPr="003450D2">
          <w:rPr>
            <w:rFonts w:ascii="David" w:hAnsi="David"/>
            <w:color w:val="0000FF"/>
            <w:u w:val="single"/>
            <w:rtl/>
          </w:rPr>
          <w:t>רע"פ 5293/18</w:t>
        </w:r>
      </w:hyperlink>
      <w:r>
        <w:rPr>
          <w:rFonts w:ascii="David" w:hAnsi="David"/>
          <w:rtl/>
        </w:rPr>
        <w:t xml:space="preserve"> </w:t>
      </w:r>
      <w:r>
        <w:rPr>
          <w:rFonts w:ascii="David" w:hAnsi="David"/>
          <w:b/>
          <w:bCs/>
          <w:rtl/>
        </w:rPr>
        <w:t>חכים נ' מד"י</w:t>
      </w:r>
      <w:r>
        <w:rPr>
          <w:rFonts w:ascii="David" w:hAnsi="David"/>
          <w:rtl/>
        </w:rPr>
        <w:t xml:space="preserve"> (12.7.18) הוטלו 6 חודשי עבודות שירות למרות חומרת הנסיבות, הקמת מעבדה גדולה ומצוידת בשווי רב מאד; ב</w:t>
      </w:r>
      <w:hyperlink r:id="rId34" w:history="1">
        <w:r w:rsidR="003450D2" w:rsidRPr="003450D2">
          <w:rPr>
            <w:rFonts w:ascii="David" w:hAnsi="David"/>
            <w:color w:val="0000FF"/>
            <w:u w:val="single"/>
            <w:rtl/>
          </w:rPr>
          <w:t>ת"פ (מח' ת"א) 39201-05-18</w:t>
        </w:r>
      </w:hyperlink>
      <w:r>
        <w:rPr>
          <w:rFonts w:ascii="David" w:hAnsi="David"/>
          <w:rtl/>
        </w:rPr>
        <w:t xml:space="preserve"> </w:t>
      </w:r>
      <w:r>
        <w:rPr>
          <w:rFonts w:ascii="David" w:hAnsi="David"/>
          <w:b/>
          <w:bCs/>
          <w:rtl/>
        </w:rPr>
        <w:t>מד"י נ' רפאל</w:t>
      </w:r>
      <w:r>
        <w:rPr>
          <w:rFonts w:ascii="David" w:hAnsi="David"/>
          <w:rtl/>
        </w:rPr>
        <w:t xml:space="preserve"> (23.6.19) הוטלו 9 חודשי עבודות שירות  בגין פרשת יבוא סמים מסוג </w:t>
      </w:r>
      <w:r>
        <w:rPr>
          <w:rFonts w:ascii="David" w:hAnsi="David"/>
        </w:rPr>
        <w:t>GBL</w:t>
      </w:r>
      <w:r>
        <w:rPr>
          <w:rFonts w:ascii="David" w:hAnsi="David"/>
          <w:rtl/>
        </w:rPr>
        <w:t xml:space="preserve"> בנפח 24 ליטר, וכן סחר בסמים, והחזקה שלא לצריכה עצמית; ב</w:t>
      </w:r>
      <w:hyperlink r:id="rId35" w:history="1">
        <w:r w:rsidR="003450D2" w:rsidRPr="003450D2">
          <w:rPr>
            <w:rFonts w:ascii="David" w:hAnsi="David"/>
            <w:color w:val="0000FF"/>
            <w:u w:val="single"/>
            <w:rtl/>
          </w:rPr>
          <w:t>עפ"ג (מח' חי') 26985-08-19</w:t>
        </w:r>
      </w:hyperlink>
      <w:r>
        <w:rPr>
          <w:rFonts w:ascii="David" w:hAnsi="David"/>
          <w:rtl/>
        </w:rPr>
        <w:t xml:space="preserve"> </w:t>
      </w:r>
      <w:r>
        <w:rPr>
          <w:rFonts w:ascii="David" w:hAnsi="David"/>
          <w:b/>
          <w:bCs/>
          <w:rtl/>
        </w:rPr>
        <w:t>שטנפר נ' מד"י</w:t>
      </w:r>
      <w:r>
        <w:rPr>
          <w:rFonts w:ascii="David" w:hAnsi="David"/>
          <w:rtl/>
        </w:rPr>
        <w:t xml:space="preserve"> (21.11.19) הוקל העונש בערכאת הערעור, והוטלו מאסר על תנאי ושל"צ בגין גידול של 113 ק"ג קנבוס במעבדה, תוך שכירת דירה. ב</w:t>
      </w:r>
      <w:hyperlink r:id="rId36" w:history="1">
        <w:r w:rsidR="003450D2" w:rsidRPr="003450D2">
          <w:rPr>
            <w:rFonts w:ascii="David" w:hAnsi="David"/>
            <w:color w:val="0000FF"/>
            <w:u w:val="single"/>
            <w:rtl/>
          </w:rPr>
          <w:t>ת"פ (מח' מרכז) 58591-08-18</w:t>
        </w:r>
      </w:hyperlink>
      <w:r>
        <w:rPr>
          <w:rFonts w:ascii="David" w:hAnsi="David"/>
          <w:rtl/>
        </w:rPr>
        <w:t xml:space="preserve"> </w:t>
      </w:r>
      <w:r>
        <w:rPr>
          <w:rFonts w:ascii="David" w:hAnsi="David"/>
          <w:b/>
          <w:bCs/>
          <w:rtl/>
        </w:rPr>
        <w:t>מד"י נ' גרייף</w:t>
      </w:r>
      <w:r>
        <w:rPr>
          <w:rFonts w:ascii="David" w:hAnsi="David"/>
          <w:rtl/>
        </w:rPr>
        <w:t xml:space="preserve"> (10.8.20) הוטלו 9 חודשי עבודות שרות בגין ייצור והפקה של 1.029 ק"ג קוקאין; ב</w:t>
      </w:r>
      <w:hyperlink r:id="rId37" w:history="1">
        <w:r w:rsidR="003450D2" w:rsidRPr="003450D2">
          <w:rPr>
            <w:rFonts w:ascii="David" w:hAnsi="David"/>
            <w:color w:val="0000FF"/>
            <w:u w:val="single"/>
            <w:rtl/>
          </w:rPr>
          <w:t>ת"פ 33806-01-16</w:t>
        </w:r>
      </w:hyperlink>
      <w:r>
        <w:rPr>
          <w:rFonts w:ascii="David" w:hAnsi="David"/>
          <w:rtl/>
        </w:rPr>
        <w:t xml:space="preserve"> (שלום כפ"ס) </w:t>
      </w:r>
      <w:r>
        <w:rPr>
          <w:rFonts w:ascii="David" w:hAnsi="David"/>
          <w:b/>
          <w:bCs/>
          <w:rtl/>
        </w:rPr>
        <w:t>מד"י נ' גולדנברג</w:t>
      </w:r>
      <w:r>
        <w:rPr>
          <w:rFonts w:ascii="David" w:hAnsi="David"/>
          <w:rtl/>
        </w:rPr>
        <w:t xml:space="preserve"> (11.12.18) הוטלו מאסר על תנאי ושל"צ בגין גידול 19 ק"ג קנבוס במעבדה, למרות קיומו של עבר פלילי מכביד בארה"ב. בת"פ (מח' י-ם) 38574 12 18 </w:t>
      </w:r>
      <w:r>
        <w:rPr>
          <w:rFonts w:ascii="David" w:hAnsi="David"/>
          <w:b/>
          <w:bCs/>
          <w:rtl/>
        </w:rPr>
        <w:t>מד"י נ' מנשרוב</w:t>
      </w:r>
      <w:r>
        <w:rPr>
          <w:rFonts w:ascii="David" w:hAnsi="David"/>
          <w:rtl/>
        </w:rPr>
        <w:t xml:space="preserve"> ואח' (14.1.20) הוטלו על אחד הנאשמים שנסיבותיו השיקומיות בלטו, 7 חודשי עבודות שירות, בגין הקמה וניהול מספר מעבדות סמים, תוך שכירת דירות ורכישת ציוד רב, וכן סחר בסמים; ב</w:t>
      </w:r>
      <w:hyperlink r:id="rId38" w:history="1">
        <w:r w:rsidR="003450D2" w:rsidRPr="003450D2">
          <w:rPr>
            <w:rFonts w:ascii="David" w:hAnsi="David"/>
            <w:color w:val="0000FF"/>
            <w:u w:val="single"/>
            <w:rtl/>
          </w:rPr>
          <w:t>ת"פ (מח' מרכז) 8843-02-15</w:t>
        </w:r>
      </w:hyperlink>
      <w:r>
        <w:rPr>
          <w:rFonts w:ascii="David" w:hAnsi="David"/>
          <w:rtl/>
        </w:rPr>
        <w:t xml:space="preserve"> </w:t>
      </w:r>
      <w:r>
        <w:rPr>
          <w:rFonts w:ascii="David" w:hAnsi="David"/>
          <w:b/>
          <w:bCs/>
          <w:rtl/>
        </w:rPr>
        <w:t>מד"י נ' בז'רנו</w:t>
      </w:r>
      <w:r>
        <w:rPr>
          <w:rFonts w:ascii="David" w:hAnsi="David"/>
          <w:rtl/>
        </w:rPr>
        <w:t xml:space="preserve"> (6.4.17) הוטלו 6 חודשי עבודות שירות בגין הקמה וניהול מעבדת קנבוס תוך שכירת המקום, נתפסו 92 ק"ג סמים. </w:t>
      </w:r>
    </w:p>
    <w:p w14:paraId="72B656C5" w14:textId="77777777" w:rsidR="00BD0128" w:rsidRDefault="00BD0128" w:rsidP="00BD0128">
      <w:pPr>
        <w:ind w:firstLine="720"/>
        <w:jc w:val="both"/>
        <w:rPr>
          <w:rFonts w:ascii="David" w:hAnsi="David"/>
          <w:rtl/>
        </w:rPr>
      </w:pPr>
    </w:p>
    <w:p w14:paraId="582BB947" w14:textId="77777777" w:rsidR="00BD0128" w:rsidRDefault="00BD0128" w:rsidP="00BD0128">
      <w:pPr>
        <w:spacing w:line="360" w:lineRule="auto"/>
        <w:ind w:firstLine="720"/>
        <w:jc w:val="both"/>
        <w:rPr>
          <w:rFonts w:ascii="David" w:hAnsi="David"/>
          <w:rtl/>
        </w:rPr>
      </w:pPr>
      <w:r>
        <w:rPr>
          <w:rFonts w:ascii="David" w:hAnsi="David"/>
          <w:rtl/>
        </w:rPr>
        <w:t>באופן דומה, לא פעם הסתיים ההליך בעבודות שירות משיקולי שיקום, בנוגע לעבירות חמורות של סחר בסמים. כך למשל, ב</w:t>
      </w:r>
      <w:hyperlink r:id="rId39" w:history="1">
        <w:r w:rsidR="003450D2" w:rsidRPr="003450D2">
          <w:rPr>
            <w:rFonts w:ascii="David" w:hAnsi="David"/>
            <w:color w:val="0000FF"/>
            <w:u w:val="single"/>
            <w:rtl/>
          </w:rPr>
          <w:t>ת"פ (מח' ת"א) 73652-01-18</w:t>
        </w:r>
      </w:hyperlink>
      <w:r>
        <w:rPr>
          <w:rFonts w:ascii="David" w:hAnsi="David"/>
          <w:rtl/>
        </w:rPr>
        <w:t xml:space="preserve"> </w:t>
      </w:r>
      <w:r>
        <w:rPr>
          <w:rFonts w:ascii="David" w:hAnsi="David"/>
          <w:b/>
          <w:bCs/>
          <w:rtl/>
        </w:rPr>
        <w:t xml:space="preserve">מד"י נ' מכאווי </w:t>
      </w:r>
      <w:r>
        <w:rPr>
          <w:rFonts w:ascii="David" w:hAnsi="David"/>
          <w:rtl/>
        </w:rPr>
        <w:t>(12.8.21) הוטלו 9 חודשי עבודות שירות על נאשם שהורשע במכירת 20 גרם קוקאין, ו-24 גרם קוקאין תמורת עשרות אלפי שקלים.</w:t>
      </w:r>
    </w:p>
    <w:p w14:paraId="206FC06C" w14:textId="77777777" w:rsidR="00BD0128" w:rsidRDefault="00BD0128" w:rsidP="00BD0128">
      <w:pPr>
        <w:ind w:firstLine="720"/>
        <w:jc w:val="both"/>
        <w:rPr>
          <w:rFonts w:ascii="David" w:hAnsi="David"/>
          <w:rtl/>
        </w:rPr>
      </w:pPr>
    </w:p>
    <w:p w14:paraId="7A35AAB9" w14:textId="77777777" w:rsidR="00BD0128" w:rsidRDefault="00BD0128" w:rsidP="00BD0128">
      <w:pPr>
        <w:spacing w:line="360" w:lineRule="auto"/>
        <w:ind w:firstLine="720"/>
        <w:jc w:val="both"/>
        <w:rPr>
          <w:rFonts w:ascii="David" w:hAnsi="David"/>
          <w:rtl/>
        </w:rPr>
      </w:pPr>
      <w:r>
        <w:rPr>
          <w:rFonts w:ascii="David" w:hAnsi="David"/>
          <w:rtl/>
        </w:rPr>
        <w:t>הנה כי כן, ענישה ללא רכיב מאסר מאחורי סורג ובריח, מקובלת ומוכרת בהתקיים נסיבות שיקום מתאימות, ואף הימנעות מכל רכיב של מאסר, אינה בלתי אפשרית.</w:t>
      </w:r>
    </w:p>
    <w:p w14:paraId="77E383F3" w14:textId="77777777" w:rsidR="00BD0128" w:rsidRDefault="00BD0128" w:rsidP="00BD0128">
      <w:pPr>
        <w:ind w:firstLine="720"/>
        <w:jc w:val="both"/>
        <w:rPr>
          <w:rFonts w:ascii="David" w:hAnsi="David"/>
          <w:rtl/>
        </w:rPr>
      </w:pPr>
    </w:p>
    <w:p w14:paraId="6E49EE25" w14:textId="77777777" w:rsidR="00BD0128" w:rsidRDefault="00BD0128" w:rsidP="00BD0128">
      <w:pPr>
        <w:spacing w:line="360" w:lineRule="auto"/>
        <w:ind w:firstLine="720"/>
        <w:jc w:val="both"/>
        <w:rPr>
          <w:rFonts w:ascii="David" w:hAnsi="David"/>
          <w:rtl/>
        </w:rPr>
      </w:pPr>
      <w:r>
        <w:rPr>
          <w:rFonts w:ascii="David" w:hAnsi="David"/>
          <w:rtl/>
        </w:rPr>
        <w:t>בענייננו, הנאשם חבר לשני הנאשמים האחרים לצורך העבירות. במקרה אחד, הוביל הקמה ותפעול של מעבדת סמים, ולצורך כך שכר דירה ורכש ציוד מתאים. בסופו של דבר נתפסו בדירה מעל 32 ק"ג סמים, וציוד רב. בנוסף, החזיק שלא לצריכה עצמית כ-674 גרם קנבוס. בשני המקרים האחרים, סייע לנאשם השני בהקמת מעבדות דומות בשתי דירות נוספות שנשכרו לשם כך. בדירות אלה נתפסו בסופו של יום סמים מסוג קנבוס במשקל 4.6 ו-8.8 ק"ג וציוד רב.</w:t>
      </w:r>
    </w:p>
    <w:p w14:paraId="2541FECC" w14:textId="77777777" w:rsidR="00BD0128" w:rsidRDefault="00BD0128" w:rsidP="00BD0128">
      <w:pPr>
        <w:ind w:firstLine="720"/>
        <w:jc w:val="both"/>
        <w:rPr>
          <w:rFonts w:ascii="David" w:hAnsi="David"/>
          <w:rtl/>
        </w:rPr>
      </w:pPr>
    </w:p>
    <w:p w14:paraId="6FD8AD9A" w14:textId="77777777" w:rsidR="00BD0128" w:rsidRDefault="00BD0128" w:rsidP="00BD0128">
      <w:pPr>
        <w:spacing w:line="360" w:lineRule="auto"/>
        <w:ind w:firstLine="720"/>
        <w:jc w:val="both"/>
        <w:rPr>
          <w:rFonts w:ascii="David" w:hAnsi="David"/>
          <w:rtl/>
        </w:rPr>
      </w:pPr>
      <w:r>
        <w:rPr>
          <w:rFonts w:ascii="David" w:hAnsi="David"/>
          <w:rtl/>
        </w:rPr>
        <w:t>ניתן להתרשם כי הנאשמים פעלו במשותף, באופן מאורגן לרכישת הציוד, ותפעלו את המעבדות על פני מספר חודשים. מצד שני, יש לזכור כי בשניים מבין המקרים, הנאשם שימש כמסייע בלבד.</w:t>
      </w:r>
    </w:p>
    <w:p w14:paraId="6688D073" w14:textId="77777777" w:rsidR="00BD0128" w:rsidRDefault="00BD0128" w:rsidP="00BD0128">
      <w:pPr>
        <w:ind w:firstLine="720"/>
        <w:jc w:val="both"/>
        <w:rPr>
          <w:rFonts w:ascii="David" w:hAnsi="David"/>
          <w:rtl/>
        </w:rPr>
      </w:pPr>
    </w:p>
    <w:p w14:paraId="29B1AE03" w14:textId="77777777" w:rsidR="00BD0128" w:rsidRDefault="00BD0128" w:rsidP="00BD0128">
      <w:pPr>
        <w:spacing w:line="360" w:lineRule="auto"/>
        <w:ind w:firstLine="720"/>
        <w:jc w:val="both"/>
        <w:rPr>
          <w:rFonts w:ascii="David" w:hAnsi="David"/>
          <w:rtl/>
        </w:rPr>
      </w:pPr>
      <w:r>
        <w:rPr>
          <w:rFonts w:ascii="David" w:hAnsi="David"/>
          <w:rtl/>
        </w:rPr>
        <w:t>בנוסף, יש משקל לכך שהנאשם והאחרים לא צברו שום רווח מפועלם, ולא נטען כי בוצעה מכירה כלשהי של היבול.</w:t>
      </w:r>
    </w:p>
    <w:p w14:paraId="206D6197" w14:textId="77777777" w:rsidR="00BD0128" w:rsidRDefault="00BD0128" w:rsidP="00BD0128">
      <w:pPr>
        <w:ind w:firstLine="720"/>
        <w:jc w:val="both"/>
        <w:rPr>
          <w:rFonts w:ascii="David" w:hAnsi="David"/>
          <w:rtl/>
        </w:rPr>
      </w:pPr>
    </w:p>
    <w:p w14:paraId="1F458FAF" w14:textId="77777777" w:rsidR="00BD0128" w:rsidRDefault="00BD0128" w:rsidP="00BD0128">
      <w:pPr>
        <w:spacing w:line="360" w:lineRule="auto"/>
        <w:ind w:firstLine="720"/>
        <w:jc w:val="both"/>
        <w:rPr>
          <w:rFonts w:ascii="David" w:hAnsi="David"/>
          <w:rtl/>
        </w:rPr>
      </w:pPr>
      <w:r>
        <w:rPr>
          <w:rFonts w:ascii="David" w:hAnsi="David"/>
          <w:rtl/>
        </w:rPr>
        <w:t xml:space="preserve">נוכח פרק הזמן שפעלו המעבדות על פי כתב האישום, ניתן להבין כי השתילים עלו ופרחו וזה הטעם למשקל הסמים שנתפסו. </w:t>
      </w:r>
    </w:p>
    <w:p w14:paraId="4AA5FE65" w14:textId="77777777" w:rsidR="00BD0128" w:rsidRDefault="00BD0128" w:rsidP="00BD0128">
      <w:pPr>
        <w:ind w:firstLine="720"/>
        <w:jc w:val="both"/>
        <w:rPr>
          <w:rFonts w:ascii="David" w:hAnsi="David"/>
          <w:rtl/>
        </w:rPr>
      </w:pPr>
    </w:p>
    <w:p w14:paraId="5D1D5004" w14:textId="77777777" w:rsidR="00BD0128" w:rsidRDefault="00BD0128" w:rsidP="00BD0128">
      <w:pPr>
        <w:spacing w:line="360" w:lineRule="auto"/>
        <w:ind w:firstLine="720"/>
        <w:jc w:val="both"/>
        <w:rPr>
          <w:rFonts w:ascii="David" w:hAnsi="David"/>
          <w:rtl/>
        </w:rPr>
      </w:pPr>
      <w:r>
        <w:rPr>
          <w:rFonts w:ascii="David" w:hAnsi="David"/>
          <w:rtl/>
        </w:rPr>
        <w:t>על פי ההלכה הפסוקה, במקרים דומים של הקמת מעבדת גידול סמים, כמות הסם שנתפסה בסופו של יום אינה חזות הכל, שכן ידוע הוא כי משקל הסמים מושפע בעיקר מעיתוי תפיסת הצמחים, ביחס לשלב הגידול. כמו כן, ידוע כי ריכוז החומר הפעיל אינו שווה בכל חלקי הצמח, אלא עיקרו מצוי בתפרחת ואילו ברוב רובו של הצמח קיימת כמות זעירה שאינה מצדיקה מיצוי. עם זאת, נקבע בפסיקה כי חומרת העבירות טמונה במכלול נסיבות הקמת המעבדה, השקעת הכספים, וכוונת המסחר בסם (</w:t>
      </w:r>
      <w:hyperlink r:id="rId40" w:history="1">
        <w:r w:rsidR="003450D2" w:rsidRPr="003450D2">
          <w:rPr>
            <w:rFonts w:ascii="David" w:hAnsi="David"/>
            <w:color w:val="0000FF"/>
            <w:u w:val="single"/>
            <w:rtl/>
          </w:rPr>
          <w:t>רע"פ 4512/15</w:t>
        </w:r>
      </w:hyperlink>
      <w:r>
        <w:rPr>
          <w:rFonts w:ascii="David" w:hAnsi="David"/>
          <w:rtl/>
        </w:rPr>
        <w:t xml:space="preserve"> </w:t>
      </w:r>
      <w:r>
        <w:rPr>
          <w:rFonts w:ascii="David" w:hAnsi="David"/>
          <w:b/>
          <w:bCs/>
          <w:rtl/>
        </w:rPr>
        <w:t>הרוש נ' מד"י</w:t>
      </w:r>
      <w:r>
        <w:rPr>
          <w:rFonts w:ascii="David" w:hAnsi="David"/>
          <w:rtl/>
        </w:rPr>
        <w:t xml:space="preserve"> (6.7.15); </w:t>
      </w:r>
      <w:hyperlink r:id="rId41" w:history="1">
        <w:r w:rsidR="003450D2" w:rsidRPr="003450D2">
          <w:rPr>
            <w:rFonts w:ascii="David" w:hAnsi="David"/>
            <w:color w:val="0000FF"/>
            <w:u w:val="single"/>
            <w:rtl/>
          </w:rPr>
          <w:t>ת"פ (מח' חי') 1187-04-22</w:t>
        </w:r>
      </w:hyperlink>
      <w:r>
        <w:rPr>
          <w:rFonts w:ascii="David" w:hAnsi="David"/>
          <w:rtl/>
        </w:rPr>
        <w:t xml:space="preserve"> </w:t>
      </w:r>
      <w:r>
        <w:rPr>
          <w:rFonts w:ascii="David" w:hAnsi="David"/>
          <w:b/>
          <w:bCs/>
          <w:rtl/>
        </w:rPr>
        <w:t>מד"י נ' יונה</w:t>
      </w:r>
      <w:r>
        <w:rPr>
          <w:rFonts w:ascii="David" w:hAnsi="David"/>
          <w:rtl/>
        </w:rPr>
        <w:t xml:space="preserve"> (21.12.22)). </w:t>
      </w:r>
    </w:p>
    <w:p w14:paraId="489395CD" w14:textId="77777777" w:rsidR="00BD0128" w:rsidRDefault="00BD0128" w:rsidP="00BD0128">
      <w:pPr>
        <w:ind w:firstLine="720"/>
        <w:jc w:val="both"/>
        <w:rPr>
          <w:rFonts w:ascii="David" w:hAnsi="David"/>
          <w:rtl/>
        </w:rPr>
      </w:pPr>
    </w:p>
    <w:p w14:paraId="60E6A5F9" w14:textId="77777777" w:rsidR="00BD0128" w:rsidRDefault="00BD0128" w:rsidP="00BD0128">
      <w:pPr>
        <w:spacing w:line="360" w:lineRule="auto"/>
        <w:ind w:firstLine="720"/>
        <w:jc w:val="both"/>
        <w:rPr>
          <w:rFonts w:ascii="David" w:hAnsi="David"/>
          <w:rtl/>
        </w:rPr>
      </w:pPr>
      <w:r>
        <w:rPr>
          <w:rFonts w:ascii="David" w:hAnsi="David"/>
          <w:rtl/>
        </w:rPr>
        <w:t xml:space="preserve">בשים לב לנסיבות האופפות את מעשי הנאשם, ולאור מדיניות הענישה גם בנוגע לכמויות חומר צמחי גדולות יותר כפי שהובא לעיל, אני קובעת כי המתחם ההולם למכלול כתב האישום נע בין 6 חודשי עבודות שירות ועד 24 חודשי מאסר. </w:t>
      </w:r>
    </w:p>
    <w:p w14:paraId="0B7A2CC2" w14:textId="77777777" w:rsidR="00BD0128" w:rsidRDefault="00BD0128" w:rsidP="00BD0128">
      <w:pPr>
        <w:jc w:val="both"/>
        <w:rPr>
          <w:rFonts w:ascii="David" w:hAnsi="David"/>
          <w:b/>
          <w:bCs/>
          <w:u w:val="single"/>
          <w:rtl/>
        </w:rPr>
      </w:pPr>
    </w:p>
    <w:p w14:paraId="6913C625" w14:textId="77777777" w:rsidR="00BD0128" w:rsidRDefault="00BD0128" w:rsidP="00BD0128">
      <w:pPr>
        <w:spacing w:line="360" w:lineRule="auto"/>
        <w:jc w:val="both"/>
        <w:rPr>
          <w:rFonts w:ascii="David" w:hAnsi="David"/>
          <w:b/>
          <w:bCs/>
          <w:u w:val="single"/>
          <w:rtl/>
        </w:rPr>
      </w:pPr>
    </w:p>
    <w:p w14:paraId="36A57812" w14:textId="77777777" w:rsidR="00BD0128" w:rsidRDefault="00BD0128" w:rsidP="00BD0128">
      <w:pPr>
        <w:spacing w:line="360" w:lineRule="auto"/>
        <w:jc w:val="both"/>
        <w:rPr>
          <w:rFonts w:ascii="David" w:hAnsi="David"/>
          <w:b/>
          <w:bCs/>
          <w:u w:val="single"/>
          <w:rtl/>
        </w:rPr>
      </w:pPr>
    </w:p>
    <w:p w14:paraId="04FC2355" w14:textId="77777777" w:rsidR="00BD0128" w:rsidRDefault="00BD0128" w:rsidP="00BD0128">
      <w:pPr>
        <w:spacing w:line="360" w:lineRule="auto"/>
        <w:jc w:val="both"/>
        <w:rPr>
          <w:rFonts w:ascii="David" w:hAnsi="David"/>
          <w:b/>
          <w:bCs/>
          <w:u w:val="single"/>
          <w:rtl/>
        </w:rPr>
      </w:pPr>
      <w:r>
        <w:rPr>
          <w:rFonts w:ascii="David" w:hAnsi="David"/>
          <w:b/>
          <w:bCs/>
          <w:u w:val="single"/>
          <w:rtl/>
        </w:rPr>
        <w:t>חריגה משיקולי שיקום – הליך קהילתי</w:t>
      </w:r>
    </w:p>
    <w:p w14:paraId="57E430B8" w14:textId="77777777" w:rsidR="00BD0128" w:rsidRDefault="00BD0128" w:rsidP="00BD0128">
      <w:pPr>
        <w:jc w:val="both"/>
        <w:rPr>
          <w:rFonts w:ascii="David" w:hAnsi="David"/>
          <w:b/>
          <w:bCs/>
          <w:u w:val="single"/>
          <w:rtl/>
        </w:rPr>
      </w:pPr>
      <w:r>
        <w:rPr>
          <w:rFonts w:ascii="David" w:hAnsi="David"/>
          <w:b/>
          <w:bCs/>
          <w:u w:val="single"/>
          <w:rtl/>
        </w:rPr>
        <w:t xml:space="preserve"> </w:t>
      </w:r>
    </w:p>
    <w:p w14:paraId="682DEF90" w14:textId="77777777" w:rsidR="00BD0128" w:rsidRDefault="00BD0128" w:rsidP="00BD0128">
      <w:pPr>
        <w:spacing w:line="360" w:lineRule="auto"/>
        <w:jc w:val="both"/>
        <w:rPr>
          <w:rFonts w:ascii="David" w:hAnsi="David"/>
          <w:rtl/>
        </w:rPr>
      </w:pPr>
      <w:r>
        <w:rPr>
          <w:rFonts w:ascii="David" w:hAnsi="David"/>
          <w:rtl/>
        </w:rPr>
        <w:tab/>
        <w:t>כאמור בפתח הדברים, אין לנאשם כל עבר פלילי, ופרשה זו היא הסתבכותו היחידה מעולם.</w:t>
      </w:r>
    </w:p>
    <w:p w14:paraId="454C56A8" w14:textId="77777777" w:rsidR="00BD0128" w:rsidRDefault="00BD0128" w:rsidP="00BD0128">
      <w:pPr>
        <w:jc w:val="both"/>
        <w:rPr>
          <w:rFonts w:ascii="David" w:hAnsi="David"/>
          <w:rtl/>
        </w:rPr>
      </w:pPr>
    </w:p>
    <w:p w14:paraId="1CA541BA" w14:textId="77777777" w:rsidR="00BD0128" w:rsidRDefault="00BD0128" w:rsidP="00BD0128">
      <w:pPr>
        <w:spacing w:line="360" w:lineRule="auto"/>
        <w:jc w:val="both"/>
        <w:rPr>
          <w:rFonts w:ascii="David" w:hAnsi="David"/>
          <w:rtl/>
        </w:rPr>
      </w:pPr>
      <w:r>
        <w:rPr>
          <w:rFonts w:ascii="David" w:hAnsi="David"/>
          <w:rtl/>
        </w:rPr>
        <w:tab/>
        <w:t xml:space="preserve">הנאשם סיים בהצלחה תהליך שיקומי אינטנסיבי, במסגרת בית המשפט הקהילתי. </w:t>
      </w:r>
    </w:p>
    <w:p w14:paraId="0AD7361E" w14:textId="77777777" w:rsidR="00BD0128" w:rsidRDefault="00BD0128" w:rsidP="00BD0128">
      <w:pPr>
        <w:spacing w:line="360" w:lineRule="auto"/>
        <w:jc w:val="both"/>
        <w:rPr>
          <w:rFonts w:ascii="David" w:hAnsi="David"/>
          <w:b/>
          <w:bCs/>
          <w:u w:val="single"/>
          <w:rtl/>
        </w:rPr>
      </w:pPr>
    </w:p>
    <w:p w14:paraId="7D43E38D" w14:textId="77777777" w:rsidR="00BD0128" w:rsidRDefault="00BD0128" w:rsidP="00BD0128">
      <w:pPr>
        <w:spacing w:line="360" w:lineRule="auto"/>
        <w:jc w:val="both"/>
        <w:rPr>
          <w:rFonts w:ascii="David" w:hAnsi="David"/>
          <w:b/>
          <w:bCs/>
          <w:u w:val="single"/>
          <w:rtl/>
        </w:rPr>
      </w:pPr>
      <w:r>
        <w:rPr>
          <w:rFonts w:ascii="David" w:hAnsi="David"/>
          <w:b/>
          <w:bCs/>
          <w:u w:val="single"/>
          <w:rtl/>
        </w:rPr>
        <w:t>מהות ההליך הקהילתי</w:t>
      </w:r>
    </w:p>
    <w:p w14:paraId="307DA371" w14:textId="77777777" w:rsidR="00BD0128" w:rsidRDefault="00BD0128" w:rsidP="00BD0128">
      <w:pPr>
        <w:jc w:val="both"/>
        <w:rPr>
          <w:rFonts w:ascii="David" w:hAnsi="David"/>
          <w:b/>
          <w:bCs/>
          <w:u w:val="single"/>
          <w:rtl/>
        </w:rPr>
      </w:pPr>
    </w:p>
    <w:p w14:paraId="5EF3EC68" w14:textId="77777777" w:rsidR="00BD0128" w:rsidRDefault="00BD0128" w:rsidP="00BD0128">
      <w:pPr>
        <w:spacing w:line="360" w:lineRule="auto"/>
        <w:ind w:firstLine="651"/>
        <w:jc w:val="both"/>
        <w:rPr>
          <w:rFonts w:ascii="David" w:hAnsi="David"/>
          <w:rtl/>
        </w:rPr>
      </w:pPr>
      <w:r>
        <w:rPr>
          <w:rFonts w:ascii="David" w:hAnsi="David"/>
          <w:rtl/>
        </w:rPr>
        <w:t xml:space="preserve"> על מהותו הייחודית ויוצאת הדופן של ההליך הקהילתי, ניתן ללמוד מעיון בתיקון 92 ל</w:t>
      </w:r>
      <w:hyperlink r:id="rId42" w:history="1">
        <w:r w:rsidR="003450D2" w:rsidRPr="003450D2">
          <w:rPr>
            <w:rFonts w:ascii="David" w:hAnsi="David"/>
            <w:color w:val="0000FF"/>
            <w:u w:val="single"/>
            <w:rtl/>
          </w:rPr>
          <w:t>חסד"פ</w:t>
        </w:r>
      </w:hyperlink>
      <w:r>
        <w:rPr>
          <w:rFonts w:ascii="David" w:hAnsi="David"/>
          <w:rtl/>
        </w:rPr>
        <w:t xml:space="preserve"> (פרק ו'1 "בתי משפט קהילתיים – הוראת שעה"), שם נקבעה המסגרת להתנהלות ההליך,  עם סיומו המוצלח של פיילוט ההפעלה בחסות ארגון הג'וינט. </w:t>
      </w:r>
    </w:p>
    <w:p w14:paraId="4EC14120" w14:textId="77777777" w:rsidR="00BD0128" w:rsidRDefault="00BD0128" w:rsidP="00BD0128">
      <w:pPr>
        <w:ind w:firstLine="651"/>
        <w:jc w:val="both"/>
        <w:rPr>
          <w:rFonts w:ascii="David" w:hAnsi="David"/>
          <w:rtl/>
        </w:rPr>
      </w:pPr>
    </w:p>
    <w:p w14:paraId="66EC3F51" w14:textId="77777777" w:rsidR="00BD0128" w:rsidRDefault="00BD0128" w:rsidP="00BD0128">
      <w:pPr>
        <w:spacing w:line="360" w:lineRule="auto"/>
        <w:ind w:firstLine="651"/>
        <w:jc w:val="both"/>
        <w:rPr>
          <w:rFonts w:ascii="David" w:hAnsi="David"/>
          <w:rtl/>
        </w:rPr>
      </w:pPr>
      <w:r>
        <w:rPr>
          <w:rFonts w:ascii="David" w:hAnsi="David"/>
          <w:rtl/>
        </w:rPr>
        <w:t>ב</w:t>
      </w:r>
      <w:hyperlink r:id="rId43" w:history="1">
        <w:r w:rsidR="003450D2" w:rsidRPr="003450D2">
          <w:rPr>
            <w:rFonts w:ascii="David" w:hAnsi="David"/>
            <w:color w:val="0000FF"/>
            <w:u w:val="single"/>
            <w:rtl/>
          </w:rPr>
          <w:t>רע"פ 26/23</w:t>
        </w:r>
      </w:hyperlink>
      <w:r>
        <w:rPr>
          <w:rFonts w:ascii="David" w:hAnsi="David"/>
          <w:rtl/>
        </w:rPr>
        <w:t xml:space="preserve"> </w:t>
      </w:r>
      <w:r>
        <w:rPr>
          <w:rFonts w:ascii="David" w:hAnsi="David"/>
          <w:b/>
          <w:bCs/>
          <w:rtl/>
        </w:rPr>
        <w:t>יז'כין נ' מד"י</w:t>
      </w:r>
      <w:r>
        <w:rPr>
          <w:rFonts w:ascii="David" w:hAnsi="David"/>
          <w:rtl/>
        </w:rPr>
        <w:t xml:space="preserve"> (31.1.23), התייחס בית המשפט העליון לייחודיות ההליך:</w:t>
      </w:r>
    </w:p>
    <w:p w14:paraId="1045E656" w14:textId="77777777" w:rsidR="00BD0128" w:rsidRDefault="00BD0128" w:rsidP="00BD0128">
      <w:pPr>
        <w:ind w:firstLine="651"/>
        <w:jc w:val="both"/>
        <w:rPr>
          <w:rFonts w:ascii="David" w:hAnsi="David"/>
          <w:rtl/>
        </w:rPr>
      </w:pPr>
    </w:p>
    <w:p w14:paraId="64A237E6" w14:textId="77777777" w:rsidR="00BD0128" w:rsidRDefault="00BD0128" w:rsidP="00BD0128">
      <w:pPr>
        <w:ind w:left="651" w:right="993"/>
        <w:jc w:val="both"/>
        <w:rPr>
          <w:rFonts w:ascii="David" w:hAnsi="David"/>
          <w:b/>
          <w:bCs/>
          <w:rtl/>
        </w:rPr>
      </w:pPr>
      <w:r>
        <w:rPr>
          <w:rFonts w:ascii="David" w:hAnsi="David"/>
          <w:b/>
          <w:bCs/>
          <w:color w:val="000000"/>
          <w:spacing w:val="10"/>
          <w:rtl/>
        </w:rPr>
        <w:t xml:space="preserve">בשנים האחרונות פועלים בתי משפט קהילתיים, אשר עיקר תכליתם שיקום נאשמים במסגרת הקהילה, על מנת למנוע פשיעה עתידית ולהפחית מוּעָדוּת (בלועזית רֵצִידִיבִיזְם) מטעם הנאשמים. בתי המשפט הקהילתיים פועלים תוך מטרה להשיב נאשמים אל דרך הישר, לשקמם ולשלבם כאנשים יצרניים אל תוך הקהילה – ומטרה זו מועדפת בהליכים אלו, על פני המטרה המסורתית של דיני העונשין שהיא ענישה בהתאם לעקרון ההלימה. זאת, מפני שנמצא כי הענישה, במקרים המגיעים אל בתי המשפט הקהילתיים, אינה מובילה להפחתת הסיכון להישנות העבירות, במה שמכונה תופעה של "דלת מסתובבת", בגדרה הנאשם מבלה חלק מזמנו בביצוע עבירות וחלק מזמנו בריצוי מאסר בגין כך – וחוזר חלילה. מטרת בתי המשפט לספק חלופה ל"דלת מסתובבת" זו, באמצעות גישה לא-יריבה, בה התביעה וההגנה מקדמות יחד את האינטרס הציבורי-קהילתי שהוא מניעת עבריינות, הפוגעת באיכות חיי הקהילה (להרחבה, ראו: שמואל </w:t>
      </w:r>
      <w:hyperlink r:id="rId44" w:history="1">
        <w:r w:rsidR="003450D2" w:rsidRPr="003450D2">
          <w:rPr>
            <w:rFonts w:ascii="David" w:hAnsi="David"/>
            <w:b/>
            <w:bCs/>
            <w:color w:val="0000FF"/>
            <w:spacing w:val="10"/>
            <w:u w:val="single"/>
            <w:rtl/>
          </w:rPr>
          <w:t>מלמד "השופט הקהילתי"</w:t>
        </w:r>
      </w:hyperlink>
      <w:r w:rsidR="003450D2">
        <w:rPr>
          <w:rFonts w:ascii="David" w:hAnsi="David"/>
          <w:b/>
          <w:bCs/>
          <w:color w:val="000000"/>
          <w:spacing w:val="10"/>
        </w:rPr>
        <w:t xml:space="preserve"> </w:t>
      </w:r>
      <w:r>
        <w:rPr>
          <w:rFonts w:ascii="David" w:hAnsi="David"/>
          <w:b/>
          <w:bCs/>
          <w:color w:val="000000"/>
          <w:rtl/>
        </w:rPr>
        <w:t>מעשי משפט</w:t>
      </w:r>
      <w:r w:rsidR="003450D2">
        <w:rPr>
          <w:rFonts w:ascii="David" w:hAnsi="David"/>
          <w:b/>
          <w:bCs/>
          <w:color w:val="000000"/>
          <w:spacing w:val="10"/>
          <w:rtl/>
        </w:rPr>
        <w:t xml:space="preserve"> </w:t>
      </w:r>
      <w:r>
        <w:rPr>
          <w:rFonts w:ascii="David" w:hAnsi="David"/>
          <w:b/>
          <w:bCs/>
          <w:color w:val="000000"/>
          <w:spacing w:val="10"/>
          <w:rtl/>
        </w:rPr>
        <w:t>יד, 22</w:t>
      </w:r>
      <w:r>
        <w:rPr>
          <w:rFonts w:ascii="David" w:hAnsi="David"/>
          <w:b/>
          <w:bCs/>
          <w:color w:val="000000"/>
          <w:spacing w:val="10"/>
        </w:rPr>
        <w:t>((2023)</w:t>
      </w:r>
    </w:p>
    <w:p w14:paraId="3E475769" w14:textId="77777777" w:rsidR="00BD0128" w:rsidRDefault="00BD0128" w:rsidP="00BD0128">
      <w:pPr>
        <w:spacing w:line="360" w:lineRule="auto"/>
        <w:jc w:val="both"/>
        <w:rPr>
          <w:rFonts w:ascii="David" w:hAnsi="David"/>
        </w:rPr>
      </w:pPr>
    </w:p>
    <w:p w14:paraId="51F11D5A" w14:textId="77777777" w:rsidR="00BD0128" w:rsidRDefault="00BD0128" w:rsidP="00BD0128">
      <w:pPr>
        <w:spacing w:line="360" w:lineRule="auto"/>
        <w:jc w:val="both"/>
        <w:rPr>
          <w:rFonts w:ascii="David" w:hAnsi="David"/>
          <w:rtl/>
        </w:rPr>
      </w:pPr>
      <w:r>
        <w:rPr>
          <w:rFonts w:ascii="David" w:hAnsi="David"/>
          <w:rtl/>
        </w:rPr>
        <w:tab/>
        <w:t>תהליך השיקום במסגרת בית המשפט הקהילתי, איננו סוג של "מסלול עוקף" או "קיצור דרך"</w:t>
      </w:r>
      <w:r>
        <w:rPr>
          <w:rFonts w:ascii="David" w:hAnsi="David" w:hint="cs"/>
          <w:rtl/>
        </w:rPr>
        <w:t xml:space="preserve"> בהליך הפלילי</w:t>
      </w:r>
      <w:r>
        <w:rPr>
          <w:rFonts w:ascii="David" w:hAnsi="David"/>
          <w:rtl/>
        </w:rPr>
        <w:t>, כי אם להיפך. המדובר בהליך ממושך ועמוק, על פני תקופה הנעה בין שנה לשנתיים, ובמקרים מסוימים אף מעבר לכך. במהלך התקופה, נערכות פגישות שבועיות של הנאשם (המשתתף) עם קצין המבחן, ובמקביל לכך הוא משולב בתכנית טיפולית על פי צרכיו, באמצעות גורמי טיפול ייעודיים, בחסות משרד העבודה והרווחה, או משרד הבריאות, או באמצעות יחידות הטיפול העירוניות במקום מגוריו. תכניות הטיפול הללו כוללות מפגשים שבועיים, סדנאות טיפוליות, טיפול רגשי פרטני, טיפול קבוצתי, וכן חובת מסירת בדיקות שתן, או מעקב רפואי נפשי</w:t>
      </w:r>
      <w:r>
        <w:rPr>
          <w:rFonts w:ascii="David" w:hAnsi="David" w:hint="cs"/>
          <w:rtl/>
        </w:rPr>
        <w:t>, על פי תפירה אישית</w:t>
      </w:r>
      <w:r>
        <w:rPr>
          <w:rFonts w:ascii="David" w:hAnsi="David"/>
          <w:rtl/>
        </w:rPr>
        <w:t xml:space="preserve">. בנוסף, במסגרת התהליך, ניתנת לנאשם תמיכה אישית לשם מיצוי זכויות סוציאליות, לרבות בדיקה וקידום זכאות לסל שיקום, וכן תמיכה וסיוע לשם הסדרת חובותיו, לרבות ליווי בהליכי חדל"פ במקרים המתאימים. זאת, על ידי צוות בית המשפט הקהילתי הכולל עובדים סוציאליים, או באמצעות יחידת הסיוע המשפטי של משרד המשפטים. מעטפת רחבה ורב תחומית זו, נועדה לסייע בפתרון בעיות </w:t>
      </w:r>
      <w:r>
        <w:rPr>
          <w:rFonts w:ascii="David" w:hAnsi="David" w:hint="cs"/>
          <w:rtl/>
        </w:rPr>
        <w:t>ש</w:t>
      </w:r>
      <w:r>
        <w:rPr>
          <w:rFonts w:ascii="David" w:hAnsi="David"/>
          <w:rtl/>
        </w:rPr>
        <w:t>ליוו את הנאשם במהלך חייו, אשר במקרים רבים היוו גורם מרכזי להתדרדרותו, והכל על מנת לאפשר לו להתמקד בשיקום, ולהעלותו על דרך חדשה. מעבר לתכנית הטיפולית האישית, בית המשפט הקהילתי – כשמו כן הוא – מהווה מוקד לפעילות קהילתית וחיזוק תחושת השייכות בקרב הנאשמים המשתתפים, אם בעריכת מפגשים חברתיים, אם בקיום פעולות התנדבות בקהילה, ואם בהעמדת מוקד פתוח להתייעצות.</w:t>
      </w:r>
    </w:p>
    <w:p w14:paraId="29FFE71B" w14:textId="77777777" w:rsidR="00BD0128" w:rsidRDefault="00BD0128" w:rsidP="00BD0128">
      <w:pPr>
        <w:jc w:val="both"/>
        <w:rPr>
          <w:rFonts w:ascii="David" w:hAnsi="David"/>
          <w:rtl/>
        </w:rPr>
      </w:pPr>
    </w:p>
    <w:p w14:paraId="5951AF61" w14:textId="77777777" w:rsidR="00BD0128" w:rsidRDefault="00BD0128" w:rsidP="00BD0128">
      <w:pPr>
        <w:spacing w:line="360" w:lineRule="auto"/>
        <w:jc w:val="both"/>
        <w:rPr>
          <w:rFonts w:ascii="David" w:hAnsi="David"/>
          <w:rtl/>
        </w:rPr>
      </w:pPr>
      <w:r>
        <w:rPr>
          <w:rFonts w:ascii="David" w:hAnsi="David"/>
          <w:rtl/>
        </w:rPr>
        <w:tab/>
        <w:t xml:space="preserve">בשנת 2023 פורסם </w:t>
      </w:r>
      <w:hyperlink r:id="rId45" w:history="1">
        <w:r>
          <w:rPr>
            <w:rStyle w:val="Hyperlink"/>
            <w:rFonts w:ascii="David" w:hAnsi="David"/>
            <w:rtl/>
          </w:rPr>
          <w:t>מחקר ההערכה</w:t>
        </w:r>
      </w:hyperlink>
      <w:r>
        <w:rPr>
          <w:rFonts w:ascii="David" w:hAnsi="David"/>
          <w:rtl/>
        </w:rPr>
        <w:t xml:space="preserve"> הראשון לתכנית בתי המשפט הקהילתיים בישראל, וניתן ללמוד ממנו על ערכה של התכנית, האפקטיביות והיעילות, בתום מספר שנות הפעלתה בישראל. על פי המחקר, עולה כי נאשמים רואים בתכנית נקודת תפנית משנת חיים, וכי חל שינוי חיובי בתפיסתם העצמית, בתחושת המסוגלות, ואף בתפיסת העולם ובגישה כלפי הממסד. נאשמים מדווחים כי באמצעות התכנית רכשו כלים להימנעות ממצבי סיכון ופגיעה באחרים, שיפור היחסים עם בני המשפחה והסמכות ההורית, שיפור בתקשורת הבינאישית, הפחתת חשדנות והסתגרות, ושיפור התפקוד האישי. במבחן התוצאה, עולה מן המחקר, כי התכנית מביאה לירידה משמעותית בשיעורי הרצידיביזם, ובעקבות כך היא עשויה להביא להקלה על העומס המוטל על רשויות האכיפה ובתי המשפט, ואף להביא להפחתה בשימוש בכליאה.</w:t>
      </w:r>
    </w:p>
    <w:p w14:paraId="2DC1FB66" w14:textId="77777777" w:rsidR="00BD0128" w:rsidRDefault="00BD0128" w:rsidP="00BD0128">
      <w:pPr>
        <w:jc w:val="both"/>
        <w:rPr>
          <w:rFonts w:ascii="David" w:hAnsi="David"/>
          <w:rtl/>
        </w:rPr>
      </w:pPr>
    </w:p>
    <w:p w14:paraId="05D645C2" w14:textId="77777777" w:rsidR="00BD0128" w:rsidRDefault="00BD0128" w:rsidP="00BD0128">
      <w:pPr>
        <w:spacing w:line="360" w:lineRule="auto"/>
        <w:jc w:val="both"/>
        <w:rPr>
          <w:rFonts w:ascii="David" w:hAnsi="David"/>
          <w:rtl/>
        </w:rPr>
      </w:pPr>
      <w:r>
        <w:rPr>
          <w:rFonts w:ascii="David" w:hAnsi="David"/>
          <w:rtl/>
        </w:rPr>
        <w:tab/>
      </w:r>
      <w:r>
        <w:rPr>
          <w:rFonts w:ascii="David" w:hAnsi="David" w:hint="cs"/>
          <w:rtl/>
        </w:rPr>
        <w:t>נקל להבין כי עסקינן בתכנית מקיפה ומעמיקה, הכרוכה בהשקעת משאבים רבים, לצורך שיקומו של המשתתף, הן למענו והן למען האינטרס הציבורי.</w:t>
      </w:r>
    </w:p>
    <w:p w14:paraId="083EE4D1" w14:textId="77777777" w:rsidR="00BD0128" w:rsidRDefault="00BD0128" w:rsidP="00BD0128">
      <w:pPr>
        <w:jc w:val="both"/>
        <w:rPr>
          <w:rFonts w:ascii="David" w:hAnsi="David"/>
          <w:rtl/>
        </w:rPr>
      </w:pPr>
    </w:p>
    <w:p w14:paraId="6FDCE862" w14:textId="77777777" w:rsidR="00BD0128" w:rsidRDefault="00BD0128" w:rsidP="00BD0128">
      <w:pPr>
        <w:spacing w:line="360" w:lineRule="auto"/>
        <w:jc w:val="both"/>
        <w:rPr>
          <w:rFonts w:ascii="David" w:hAnsi="David"/>
          <w:b/>
          <w:bCs/>
          <w:u w:val="single"/>
          <w:rtl/>
        </w:rPr>
      </w:pPr>
      <w:r>
        <w:rPr>
          <w:rFonts w:ascii="David" w:hAnsi="David"/>
          <w:b/>
          <w:bCs/>
          <w:u w:val="single"/>
          <w:rtl/>
        </w:rPr>
        <w:t>תהליך שיקומו של הנאשם</w:t>
      </w:r>
    </w:p>
    <w:p w14:paraId="08CBFC3A" w14:textId="77777777" w:rsidR="00BD0128" w:rsidRDefault="00BD0128" w:rsidP="00BD0128">
      <w:pPr>
        <w:jc w:val="both"/>
        <w:rPr>
          <w:rFonts w:ascii="David" w:hAnsi="David"/>
          <w:b/>
          <w:bCs/>
          <w:u w:val="single"/>
          <w:rtl/>
        </w:rPr>
      </w:pPr>
    </w:p>
    <w:p w14:paraId="14980408" w14:textId="77777777" w:rsidR="00BD0128" w:rsidRDefault="00BD0128" w:rsidP="00BD0128">
      <w:pPr>
        <w:spacing w:line="360" w:lineRule="auto"/>
        <w:ind w:firstLine="720"/>
        <w:jc w:val="both"/>
        <w:rPr>
          <w:rFonts w:ascii="David" w:hAnsi="David"/>
          <w:rtl/>
        </w:rPr>
      </w:pPr>
      <w:r>
        <w:rPr>
          <w:rFonts w:ascii="David" w:hAnsi="David"/>
          <w:rtl/>
        </w:rPr>
        <w:t>את דרכו בבית המשפט הקהילתי החל הנאשם בחודש פברואר 2023, ותהליך האבחון הראשוני הסתיים בחודש יוני 2023. על פי תסקיר העומק שהוגש, אותרו קשיים בהתמודדות</w:t>
      </w:r>
      <w:r>
        <w:rPr>
          <w:rFonts w:ascii="David" w:hAnsi="David" w:hint="cs"/>
          <w:rtl/>
        </w:rPr>
        <w:t>ו</w:t>
      </w:r>
      <w:r>
        <w:rPr>
          <w:rFonts w:ascii="David" w:hAnsi="David"/>
          <w:rtl/>
        </w:rPr>
        <w:t xml:space="preserve"> במצבי דחק, קשיים רגשיים, קושי הורי ביחס לבנו המצוי במשמורת משותפת </w:t>
      </w:r>
      <w:r>
        <w:rPr>
          <w:rFonts w:ascii="David" w:hAnsi="David" w:hint="cs"/>
          <w:rtl/>
        </w:rPr>
        <w:t xml:space="preserve">עם </w:t>
      </w:r>
      <w:r>
        <w:rPr>
          <w:rFonts w:ascii="David" w:hAnsi="David"/>
          <w:rtl/>
        </w:rPr>
        <w:t>פרודתו, וקושי בתחום התעסוקה בשל פיטוריו בעקבות העבירות, הדורשים הליך שיקומי עמוק, בכל מישורי חייו. לאחר איתור הצרכים, הוא שולב בתכנית טיפולית אינטנסיבית, הנמשכת עד היום.</w:t>
      </w:r>
    </w:p>
    <w:p w14:paraId="26DF5AE9" w14:textId="77777777" w:rsidR="00BD0128" w:rsidRDefault="00BD0128" w:rsidP="00BD0128">
      <w:pPr>
        <w:ind w:firstLine="720"/>
        <w:jc w:val="both"/>
        <w:rPr>
          <w:rFonts w:ascii="David" w:hAnsi="David"/>
          <w:rtl/>
        </w:rPr>
      </w:pPr>
    </w:p>
    <w:p w14:paraId="61AF525E" w14:textId="77777777" w:rsidR="00BD0128" w:rsidRDefault="00BD0128" w:rsidP="00BD0128">
      <w:pPr>
        <w:spacing w:line="360" w:lineRule="auto"/>
        <w:ind w:firstLine="720"/>
        <w:jc w:val="both"/>
        <w:rPr>
          <w:rFonts w:ascii="David" w:hAnsi="David"/>
          <w:rtl/>
        </w:rPr>
      </w:pPr>
      <w:r>
        <w:rPr>
          <w:rFonts w:ascii="David" w:hAnsi="David"/>
          <w:rtl/>
        </w:rPr>
        <w:t xml:space="preserve">הנאשם עמד בקשר רציף ועקבי עם שרות המבחן, רכש כלים להתייעץ ולהיעזר במצבי קושי, למד לזהות גורמי סיכון עבור עצמו, ומסר בדקות שתן מעקביות. הנאשם השתתף בקבוצה למניעת עבריינות, והעמיק בנסיבות חייו שהובילוהו לעבירות, למד לעבד רגשות באופן מקדם, ולדעת שירות המבחן חלה הפחתה של הסיכון במצבו. במקביל, לקח חלק בסדנת מיומנות תקשורת וגישור, וערך עבודה משמעותית במישור התקשורת במסגרת מערכות יחסים. עוד השתתף במפגשי הדרכה הורית, ואף השתלב בטיפול משפחתי עם פרודתו ובנם, לצורך ביסוס דפוסי תקשורת מיטיבים עם הבן, ומפגשים אלה נמשכים גם כיום. במהלך התקופה, הנאשם נטל חלק בארועים הקהילתיים, וחוזקה תחושת שייכותו. בכל שלבי התכנית, שמר הנאשם בעקביות על התייחסות רצינית, השקעת מאמץ, והתמדה. </w:t>
      </w:r>
    </w:p>
    <w:p w14:paraId="1DF7C30E" w14:textId="77777777" w:rsidR="00BD0128" w:rsidRDefault="00BD0128" w:rsidP="00BD0128">
      <w:pPr>
        <w:ind w:firstLine="720"/>
        <w:jc w:val="both"/>
        <w:rPr>
          <w:rFonts w:ascii="David" w:hAnsi="David"/>
          <w:rtl/>
        </w:rPr>
      </w:pPr>
    </w:p>
    <w:p w14:paraId="4502C0EF" w14:textId="77777777" w:rsidR="00BD0128" w:rsidRDefault="00BD0128" w:rsidP="00BD0128">
      <w:pPr>
        <w:spacing w:line="360" w:lineRule="auto"/>
        <w:ind w:firstLine="720"/>
        <w:jc w:val="both"/>
        <w:rPr>
          <w:rFonts w:ascii="David" w:hAnsi="David"/>
          <w:rtl/>
        </w:rPr>
      </w:pPr>
      <w:r>
        <w:rPr>
          <w:rFonts w:ascii="David" w:hAnsi="David"/>
          <w:rtl/>
        </w:rPr>
        <w:t>לאחרונה הוגש תסקיר המסכם את התהליך הטיפולי. קצין המבחן כתב כי עדיין קיים מקור סיכון מסוים בשל העדר יציבות כלכלית תעסוקתית, שכן הנאשם אינו מצליח למצוא עבודה בתחום עיסוקו, והדבר עלול לייצר מצבי דחק. צוין קיומו של פער משמעותי בין אורח חייו התקין טרם ביצוע העבירות, ובין ביצוען. לצד זה, נשקלו רצינותו, עומק התהליך הטיפולי שעבר, התייצבות ההימנעות מצריכת סמים, והאחריות ההורית. עוד נכתב כי הנאשם מגלה יכולות בולטות לניהול אורח חיים נורמטיבי, עצמאי ויצרני, תוך שאיפות גבוהות ברמה האישית והמקצועית. מכלול הנסיבות מצביעה על הפחתת הסיכון העתידי, ועל כן הומלץ לסיים את ההליך הקהילתי בהצלחה.</w:t>
      </w:r>
    </w:p>
    <w:p w14:paraId="15B06A4B" w14:textId="77777777" w:rsidR="00BD0128" w:rsidRDefault="00BD0128" w:rsidP="00BD0128">
      <w:pPr>
        <w:ind w:firstLine="720"/>
        <w:jc w:val="both"/>
        <w:rPr>
          <w:rFonts w:ascii="David" w:hAnsi="David"/>
          <w:rtl/>
        </w:rPr>
      </w:pPr>
    </w:p>
    <w:p w14:paraId="2BEA6E14" w14:textId="77777777" w:rsidR="00BD0128" w:rsidRDefault="00BD0128" w:rsidP="00BD0128">
      <w:pPr>
        <w:spacing w:line="360" w:lineRule="auto"/>
        <w:ind w:firstLine="720"/>
        <w:jc w:val="both"/>
        <w:rPr>
          <w:rFonts w:ascii="David" w:hAnsi="David"/>
          <w:rtl/>
        </w:rPr>
      </w:pPr>
      <w:r>
        <w:rPr>
          <w:rFonts w:ascii="David" w:hAnsi="David"/>
          <w:rtl/>
        </w:rPr>
        <w:t>אשר לסוגיית ההרשעה, בתחילה התקשה הנאשם להציג מסמכים לתמיכה בטענותיו בעניין הנזק הקונקרטי ש</w:t>
      </w:r>
      <w:r>
        <w:rPr>
          <w:rFonts w:ascii="David" w:hAnsi="David" w:hint="cs"/>
          <w:rtl/>
        </w:rPr>
        <w:t>ייגרם לו</w:t>
      </w:r>
      <w:r>
        <w:rPr>
          <w:rFonts w:ascii="David" w:hAnsi="David"/>
          <w:rtl/>
        </w:rPr>
        <w:t xml:space="preserve"> באם יורשע. ואולם, לקראת הדיון האחרון, הוגש תסקיר משלים ממנו עולה, כי הציג מסמכים המעידים על הכשרתו בתחום אבטחת מידע ועל פיטוריו בעקבות הפתיחה בהליך הפלילי. לאור אלה, מעריך קצין המבחן כי הרשעה תחסום בפניו אפשרויות תעסוקה בתחום, וייגרם לו נזק קונקרטי במצבו ובתהליך השיקום שעבר. לפיכך, על מנת לאפשר לו להשתלב במעגל התעסוקה, הומלץ לבטל את ההרשעה. בסיכומו של דבר, נכתב כי כיום, הנאשם אינו זקוק לפיקוח ארוך טווח ודי בצו מבחן למשך 6 חודשים, בצירוף של"צ בהיקף 200 שעות.</w:t>
      </w:r>
    </w:p>
    <w:p w14:paraId="5B8DBCE5" w14:textId="77777777" w:rsidR="00BD0128" w:rsidRDefault="00BD0128" w:rsidP="00BD0128">
      <w:pPr>
        <w:ind w:firstLine="720"/>
        <w:jc w:val="both"/>
        <w:rPr>
          <w:rFonts w:ascii="David" w:hAnsi="David"/>
          <w:rtl/>
        </w:rPr>
      </w:pPr>
    </w:p>
    <w:p w14:paraId="67948FE8" w14:textId="77777777" w:rsidR="00BD0128" w:rsidRDefault="00BD0128" w:rsidP="00BD0128">
      <w:pPr>
        <w:spacing w:line="360" w:lineRule="auto"/>
        <w:ind w:firstLine="720"/>
        <w:jc w:val="both"/>
        <w:rPr>
          <w:rFonts w:ascii="David" w:hAnsi="David"/>
          <w:rtl/>
        </w:rPr>
      </w:pPr>
      <w:r>
        <w:rPr>
          <w:rFonts w:ascii="David" w:hAnsi="David"/>
          <w:rtl/>
        </w:rPr>
        <w:t>למקרא הדברים, לא יכולה להתקיים מחלוקת על כך שבעניינו של הנאשם קיימים שיקולי שיקום כבדי משקל וחריגים, מעצם השתתפותו בהליך הקהילתי שייחודו תואר קודם. האם יש ב</w:t>
      </w:r>
      <w:r>
        <w:rPr>
          <w:rFonts w:ascii="David" w:hAnsi="David" w:hint="cs"/>
          <w:rtl/>
        </w:rPr>
        <w:t>כך</w:t>
      </w:r>
      <w:r>
        <w:rPr>
          <w:rFonts w:ascii="David" w:hAnsi="David"/>
          <w:rtl/>
        </w:rPr>
        <w:t xml:space="preserve"> כדי להביא לסיום ללא הרשעה? לשאלה זו אגש כעת</w:t>
      </w:r>
      <w:r>
        <w:rPr>
          <w:rFonts w:ascii="David" w:hAnsi="David" w:hint="cs"/>
          <w:rtl/>
        </w:rPr>
        <w:t>.</w:t>
      </w:r>
    </w:p>
    <w:p w14:paraId="496194A4" w14:textId="77777777" w:rsidR="00BD0128" w:rsidRDefault="00BD0128" w:rsidP="00BD0128">
      <w:pPr>
        <w:spacing w:line="360" w:lineRule="auto"/>
        <w:ind w:firstLine="720"/>
        <w:jc w:val="both"/>
        <w:rPr>
          <w:rFonts w:ascii="David" w:hAnsi="David"/>
          <w:rtl/>
        </w:rPr>
      </w:pPr>
    </w:p>
    <w:p w14:paraId="3F903DDB" w14:textId="77777777" w:rsidR="00BD0128" w:rsidRDefault="00BD0128" w:rsidP="00BD0128">
      <w:pPr>
        <w:spacing w:line="360" w:lineRule="auto"/>
        <w:jc w:val="both"/>
        <w:rPr>
          <w:rFonts w:ascii="David" w:hAnsi="David"/>
          <w:b/>
          <w:bCs/>
          <w:u w:val="single"/>
          <w:rtl/>
        </w:rPr>
      </w:pPr>
      <w:r>
        <w:rPr>
          <w:rFonts w:ascii="David" w:hAnsi="David"/>
          <w:b/>
          <w:bCs/>
          <w:u w:val="single"/>
          <w:rtl/>
        </w:rPr>
        <w:t>הימנעות מהרשעה</w:t>
      </w:r>
    </w:p>
    <w:p w14:paraId="1BA1D214" w14:textId="77777777" w:rsidR="00BD0128" w:rsidRDefault="00BD0128" w:rsidP="00BD0128">
      <w:pPr>
        <w:jc w:val="both"/>
        <w:rPr>
          <w:rFonts w:ascii="David" w:hAnsi="David"/>
          <w:b/>
          <w:bCs/>
          <w:u w:val="single"/>
          <w:rtl/>
        </w:rPr>
      </w:pPr>
    </w:p>
    <w:p w14:paraId="2A0502BD" w14:textId="77777777" w:rsidR="00BD0128" w:rsidRDefault="00BD0128" w:rsidP="00BD0128">
      <w:pPr>
        <w:pStyle w:val="a9"/>
        <w:spacing w:line="360" w:lineRule="auto"/>
        <w:ind w:left="-58" w:firstLine="778"/>
        <w:jc w:val="both"/>
        <w:rPr>
          <w:rFonts w:eastAsia="Times New Roman" w:cs="David"/>
          <w:sz w:val="24"/>
          <w:szCs w:val="24"/>
          <w:rtl/>
        </w:rPr>
      </w:pPr>
      <w:r>
        <w:rPr>
          <w:rFonts w:ascii="David" w:eastAsia="Times New Roman" w:hAnsi="David" w:cs="David"/>
          <w:sz w:val="24"/>
          <w:szCs w:val="24"/>
          <w:rtl/>
        </w:rPr>
        <w:t>הכללים</w:t>
      </w:r>
      <w:r>
        <w:rPr>
          <w:rFonts w:eastAsia="Times New Roman" w:cs="David"/>
          <w:sz w:val="24"/>
          <w:szCs w:val="24"/>
          <w:rtl/>
        </w:rPr>
        <w:t xml:space="preserve"> המחייבים את בית המשפט בבואו לשקול את סוגיית ההרשעה נקבעו בהלכת כתב (</w:t>
      </w:r>
      <w:hyperlink r:id="rId46" w:history="1">
        <w:r w:rsidR="003450D2" w:rsidRPr="003450D2">
          <w:rPr>
            <w:rFonts w:eastAsia="Times New Roman" w:cs="David" w:hint="eastAsia"/>
            <w:color w:val="0000FF"/>
            <w:sz w:val="24"/>
            <w:szCs w:val="24"/>
            <w:u w:val="single"/>
            <w:rtl/>
          </w:rPr>
          <w:t>ע</w:t>
        </w:r>
        <w:r w:rsidR="003450D2" w:rsidRPr="003450D2">
          <w:rPr>
            <w:rFonts w:eastAsia="Times New Roman" w:cs="David"/>
            <w:color w:val="0000FF"/>
            <w:sz w:val="24"/>
            <w:szCs w:val="24"/>
            <w:u w:val="single"/>
            <w:rtl/>
          </w:rPr>
          <w:t>"</w:t>
        </w:r>
        <w:r w:rsidR="003450D2" w:rsidRPr="003450D2">
          <w:rPr>
            <w:rFonts w:eastAsia="Times New Roman" w:cs="David" w:hint="eastAsia"/>
            <w:color w:val="0000FF"/>
            <w:sz w:val="24"/>
            <w:szCs w:val="24"/>
            <w:u w:val="single"/>
            <w:rtl/>
          </w:rPr>
          <w:t>פ</w:t>
        </w:r>
        <w:r w:rsidR="003450D2" w:rsidRPr="003450D2">
          <w:rPr>
            <w:rFonts w:eastAsia="Times New Roman" w:cs="David"/>
            <w:color w:val="0000FF"/>
            <w:sz w:val="24"/>
            <w:szCs w:val="24"/>
            <w:u w:val="single"/>
            <w:rtl/>
          </w:rPr>
          <w:t xml:space="preserve"> 2083/96</w:t>
        </w:r>
      </w:hyperlink>
      <w:r>
        <w:rPr>
          <w:rFonts w:eastAsia="Times New Roman" w:cs="David"/>
          <w:sz w:val="24"/>
          <w:szCs w:val="24"/>
          <w:rtl/>
        </w:rPr>
        <w:t xml:space="preserve"> </w:t>
      </w:r>
      <w:r>
        <w:rPr>
          <w:rFonts w:eastAsia="Times New Roman" w:cs="David"/>
          <w:b/>
          <w:bCs/>
          <w:sz w:val="24"/>
          <w:szCs w:val="24"/>
          <w:rtl/>
        </w:rPr>
        <w:t>כתב נ' מד"י</w:t>
      </w:r>
      <w:r>
        <w:rPr>
          <w:rFonts w:eastAsia="Times New Roman" w:cs="David"/>
          <w:sz w:val="24"/>
          <w:szCs w:val="24"/>
          <w:rtl/>
        </w:rPr>
        <w:t xml:space="preserve"> (21.8.96)), והם ידועים: </w:t>
      </w:r>
    </w:p>
    <w:p w14:paraId="1D46CC5A" w14:textId="77777777" w:rsidR="00BD0128" w:rsidRDefault="00BD0128" w:rsidP="00BD0128">
      <w:pPr>
        <w:spacing w:line="360" w:lineRule="auto"/>
        <w:ind w:left="746" w:right="360"/>
        <w:jc w:val="both"/>
        <w:rPr>
          <w:rFonts w:ascii="Arial" w:hAnsi="Arial"/>
          <w:b/>
          <w:bCs/>
          <w:sz w:val="22"/>
          <w:szCs w:val="22"/>
          <w:rtl/>
        </w:rPr>
      </w:pPr>
      <w:r>
        <w:rPr>
          <w:rFonts w:ascii="Arial" w:hAnsi="Arial"/>
          <w:b/>
          <w:bCs/>
          <w:rtl/>
        </w:rPr>
        <w:t>"הימנעות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p>
    <w:p w14:paraId="401A5B4F" w14:textId="77777777" w:rsidR="00BD0128" w:rsidRDefault="00BD0128" w:rsidP="00BD0128">
      <w:pPr>
        <w:ind w:left="746" w:right="360"/>
        <w:jc w:val="both"/>
        <w:rPr>
          <w:rFonts w:ascii="Arial" w:hAnsi="Arial"/>
          <w:b/>
          <w:bCs/>
          <w:sz w:val="22"/>
          <w:szCs w:val="22"/>
          <w:rtl/>
        </w:rPr>
      </w:pPr>
    </w:p>
    <w:p w14:paraId="4E2DAB88" w14:textId="77777777" w:rsidR="00BD0128" w:rsidRDefault="00BD0128" w:rsidP="00BD0128">
      <w:pPr>
        <w:pStyle w:val="a9"/>
        <w:spacing w:line="360" w:lineRule="auto"/>
        <w:ind w:left="-58" w:firstLine="778"/>
        <w:jc w:val="both"/>
        <w:rPr>
          <w:rFonts w:ascii="Arial" w:eastAsia="Times New Roman" w:hAnsi="Arial" w:cs="David"/>
          <w:sz w:val="24"/>
          <w:szCs w:val="24"/>
          <w:rtl/>
        </w:rPr>
      </w:pPr>
      <w:r>
        <w:rPr>
          <w:rFonts w:ascii="David" w:eastAsia="Times New Roman" w:hAnsi="David" w:cs="David"/>
          <w:sz w:val="24"/>
          <w:szCs w:val="24"/>
          <w:rtl/>
        </w:rPr>
        <w:t>בענייננו</w:t>
      </w:r>
      <w:r>
        <w:rPr>
          <w:rFonts w:ascii="Arial" w:eastAsia="Times New Roman" w:hAnsi="Arial" w:cs="David"/>
          <w:sz w:val="24"/>
          <w:szCs w:val="24"/>
          <w:rtl/>
        </w:rPr>
        <w:t>, עולה מטיעוני התביעה כי היא חולקת על טיעוני הנאשם, בשני המישורים, היינו: לשיטתה לא הוכח שייגרם נזק קונקרטי כתוצאה מן ההרשעה, ובכל מקרה סוג העבירה אינו מאפשר סיום ללא הרשעה. להלן אתייחס לכל אחת מן הטענות.</w:t>
      </w:r>
    </w:p>
    <w:p w14:paraId="491A6556" w14:textId="77777777" w:rsidR="00BD0128" w:rsidRDefault="00BD0128" w:rsidP="00BD0128">
      <w:pPr>
        <w:pStyle w:val="a9"/>
        <w:spacing w:line="240" w:lineRule="auto"/>
        <w:ind w:left="-58" w:firstLine="778"/>
        <w:jc w:val="both"/>
        <w:rPr>
          <w:rFonts w:ascii="Arial" w:eastAsia="Times New Roman" w:hAnsi="Arial" w:cs="David"/>
          <w:sz w:val="24"/>
          <w:szCs w:val="24"/>
          <w:rtl/>
        </w:rPr>
      </w:pPr>
    </w:p>
    <w:p w14:paraId="14AE616C" w14:textId="77777777" w:rsidR="00BD0128" w:rsidRDefault="00BD0128" w:rsidP="00BD0128">
      <w:pPr>
        <w:pStyle w:val="a9"/>
        <w:spacing w:line="360" w:lineRule="auto"/>
        <w:ind w:left="-58" w:firstLine="778"/>
        <w:jc w:val="both"/>
        <w:rPr>
          <w:rFonts w:ascii="David" w:hAnsi="David" w:cs="David"/>
          <w:sz w:val="24"/>
          <w:szCs w:val="24"/>
          <w:rtl/>
        </w:rPr>
      </w:pPr>
      <w:r>
        <w:rPr>
          <w:rFonts w:ascii="David" w:hAnsi="David" w:cs="David"/>
          <w:sz w:val="24"/>
          <w:szCs w:val="24"/>
          <w:rtl/>
        </w:rPr>
        <w:t xml:space="preserve">במישור הנזק הקונקרטי הצפוי לנאשם, אינני מסכימה עם טענות התביעה. נדמה כי הטיעונים מתעלמים מן העובדה שהנאשם טרח ועמל לרכישת מקצוע בתחום אבטחת המידע. על פי </w:t>
      </w:r>
      <w:r>
        <w:rPr>
          <w:rFonts w:ascii="David" w:hAnsi="David" w:cs="David" w:hint="cs"/>
          <w:sz w:val="24"/>
          <w:szCs w:val="24"/>
          <w:rtl/>
        </w:rPr>
        <w:t>דבריו שלא נסתרו</w:t>
      </w:r>
      <w:r>
        <w:rPr>
          <w:rFonts w:ascii="David" w:hAnsi="David" w:cs="David"/>
          <w:sz w:val="24"/>
          <w:szCs w:val="24"/>
          <w:rtl/>
        </w:rPr>
        <w:t>, נדרשו לו 600 שעות לימוד לצורך השלמת תכנית הלימודים, ולפי הערכה גסה שלי, מדובר בהיקף שעות לימוד המשתווה לתכנית ממוצעת של לימודים אקדמיים, למשך שנה ו</w:t>
      </w:r>
      <w:r>
        <w:rPr>
          <w:rFonts w:ascii="David" w:hAnsi="David" w:cs="David" w:hint="cs"/>
          <w:sz w:val="24"/>
          <w:szCs w:val="24"/>
          <w:rtl/>
        </w:rPr>
        <w:t xml:space="preserve">אולי </w:t>
      </w:r>
      <w:r>
        <w:rPr>
          <w:rFonts w:ascii="David" w:hAnsi="David" w:cs="David"/>
          <w:sz w:val="24"/>
          <w:szCs w:val="24"/>
          <w:rtl/>
        </w:rPr>
        <w:t xml:space="preserve">אף שנתיים, ולא ניתן להתייחס לכך בביטול. </w:t>
      </w:r>
    </w:p>
    <w:p w14:paraId="00DC2329" w14:textId="77777777" w:rsidR="00BD0128" w:rsidRDefault="00BD0128" w:rsidP="00BD0128">
      <w:pPr>
        <w:pStyle w:val="a9"/>
        <w:spacing w:line="240" w:lineRule="auto"/>
        <w:ind w:left="-58" w:firstLine="778"/>
        <w:jc w:val="both"/>
        <w:rPr>
          <w:rFonts w:ascii="David" w:hAnsi="David" w:cs="David"/>
          <w:sz w:val="24"/>
          <w:szCs w:val="24"/>
          <w:rtl/>
        </w:rPr>
      </w:pPr>
    </w:p>
    <w:p w14:paraId="183D94D8" w14:textId="77777777" w:rsidR="00BD0128" w:rsidRDefault="00BD0128" w:rsidP="00BD0128">
      <w:pPr>
        <w:pStyle w:val="a9"/>
        <w:spacing w:line="360" w:lineRule="auto"/>
        <w:ind w:left="-58" w:firstLine="778"/>
        <w:jc w:val="both"/>
        <w:rPr>
          <w:rFonts w:ascii="David" w:hAnsi="David" w:cs="David"/>
          <w:sz w:val="24"/>
          <w:szCs w:val="24"/>
          <w:rtl/>
        </w:rPr>
      </w:pPr>
      <w:r>
        <w:rPr>
          <w:rFonts w:ascii="David" w:hAnsi="David" w:cs="David"/>
          <w:sz w:val="24"/>
          <w:szCs w:val="24"/>
          <w:rtl/>
        </w:rPr>
        <w:t xml:space="preserve">העובדה היא כי מדובר במי שפוטר בעקבות </w:t>
      </w:r>
      <w:r>
        <w:rPr>
          <w:rFonts w:ascii="Arial" w:eastAsia="Times New Roman" w:hAnsi="Arial" w:cs="David"/>
          <w:sz w:val="24"/>
          <w:szCs w:val="24"/>
          <w:rtl/>
        </w:rPr>
        <w:t>הליכי</w:t>
      </w:r>
      <w:r>
        <w:rPr>
          <w:rFonts w:ascii="David" w:hAnsi="David" w:cs="David"/>
          <w:sz w:val="24"/>
          <w:szCs w:val="24"/>
          <w:rtl/>
        </w:rPr>
        <w:t xml:space="preserve"> החקירה בתיק דנן, </w:t>
      </w:r>
      <w:r>
        <w:rPr>
          <w:rFonts w:ascii="David" w:hAnsi="David" w:cs="David" w:hint="cs"/>
          <w:sz w:val="24"/>
          <w:szCs w:val="24"/>
          <w:rtl/>
        </w:rPr>
        <w:t>כעולה מהליך השימוע שקוים בעניינו.</w:t>
      </w:r>
    </w:p>
    <w:p w14:paraId="0D83D7BF" w14:textId="77777777" w:rsidR="00BD0128" w:rsidRDefault="00BD0128" w:rsidP="00BD0128">
      <w:pPr>
        <w:pStyle w:val="a9"/>
        <w:spacing w:line="240" w:lineRule="auto"/>
        <w:ind w:left="-58" w:firstLine="778"/>
        <w:jc w:val="both"/>
        <w:rPr>
          <w:rFonts w:ascii="David" w:hAnsi="David" w:cs="David"/>
          <w:sz w:val="24"/>
          <w:szCs w:val="24"/>
          <w:rtl/>
        </w:rPr>
      </w:pPr>
    </w:p>
    <w:p w14:paraId="15F87EFD" w14:textId="77777777" w:rsidR="00BD0128" w:rsidRDefault="00BD0128" w:rsidP="00BD0128">
      <w:pPr>
        <w:pStyle w:val="a9"/>
        <w:spacing w:line="360" w:lineRule="auto"/>
        <w:ind w:left="-58" w:firstLine="778"/>
        <w:jc w:val="both"/>
        <w:rPr>
          <w:rFonts w:ascii="David" w:hAnsi="David" w:cs="David"/>
          <w:sz w:val="24"/>
          <w:szCs w:val="24"/>
          <w:rtl/>
        </w:rPr>
      </w:pPr>
      <w:r>
        <w:rPr>
          <w:rFonts w:ascii="David" w:hAnsi="David" w:cs="David" w:hint="cs"/>
          <w:sz w:val="24"/>
          <w:szCs w:val="24"/>
          <w:rtl/>
        </w:rPr>
        <w:t xml:space="preserve">די ברור כי מציאת מקום עבודה מסודר בתחום אבטחת המידע כשרישום פלילי מכתים שמו הטוב של המועמד, תהיה משימה קשה ביותר, שכן פעמים רבות העבודה כרוכה בפעילות מול גורמי ביטחון ומוסדות ציבוריים, המעמידים דרישת סף של העדר כל עבר פלילי. ואמנם, </w:t>
      </w:r>
      <w:r>
        <w:rPr>
          <w:rFonts w:ascii="David" w:hAnsi="David" w:cs="David"/>
          <w:sz w:val="24"/>
          <w:szCs w:val="24"/>
          <w:rtl/>
        </w:rPr>
        <w:t xml:space="preserve">מאז </w:t>
      </w:r>
      <w:r>
        <w:rPr>
          <w:rFonts w:ascii="David" w:hAnsi="David" w:cs="David" w:hint="cs"/>
          <w:sz w:val="24"/>
          <w:szCs w:val="24"/>
          <w:rtl/>
        </w:rPr>
        <w:t xml:space="preserve">פוטר הנאשם, הוא  </w:t>
      </w:r>
      <w:r>
        <w:rPr>
          <w:rFonts w:ascii="David" w:hAnsi="David" w:cs="David"/>
          <w:sz w:val="24"/>
          <w:szCs w:val="24"/>
          <w:rtl/>
        </w:rPr>
        <w:t xml:space="preserve">אינו מוצא מקום עבודה בתחום עיסוקו, בו השקיע את כספו, זמנו ומרצו. הנאשם שיתף את בית המשפט ואף הציג ראיות לפיהן פנה מאז פתיחת החקירה למקומות עבודה רבים, אך פניו הושבו ריקם. בנסותו לברר את הנימוק לכך, נתקל בקושי לקבל אינפורמציה, ובהתחמקות </w:t>
      </w:r>
      <w:r>
        <w:rPr>
          <w:rFonts w:ascii="David" w:hAnsi="David" w:cs="David" w:hint="cs"/>
          <w:sz w:val="24"/>
          <w:szCs w:val="24"/>
          <w:rtl/>
        </w:rPr>
        <w:t xml:space="preserve">מקומות עבודה מפניו (תוך הפרת </w:t>
      </w:r>
      <w:r>
        <w:rPr>
          <w:rFonts w:ascii="David" w:hAnsi="David" w:cs="David"/>
          <w:sz w:val="24"/>
          <w:szCs w:val="24"/>
          <w:rtl/>
        </w:rPr>
        <w:t>הוראות הדין האוסרות על שימוש במידע סודי מתוך המרשם הפלילי</w:t>
      </w:r>
      <w:r>
        <w:rPr>
          <w:rFonts w:ascii="David" w:hAnsi="David" w:cs="David" w:hint="cs"/>
          <w:sz w:val="24"/>
          <w:szCs w:val="24"/>
          <w:rtl/>
        </w:rPr>
        <w:t>)</w:t>
      </w:r>
      <w:r>
        <w:rPr>
          <w:rFonts w:ascii="David" w:hAnsi="David" w:cs="David"/>
          <w:sz w:val="24"/>
          <w:szCs w:val="24"/>
          <w:rtl/>
        </w:rPr>
        <w:t>, ובעניין זה הוצגו תכתובות</w:t>
      </w:r>
      <w:r>
        <w:rPr>
          <w:rFonts w:ascii="David" w:hAnsi="David" w:cs="David" w:hint="cs"/>
          <w:sz w:val="24"/>
          <w:szCs w:val="24"/>
          <w:rtl/>
        </w:rPr>
        <w:t xml:space="preserve"> שונות</w:t>
      </w:r>
      <w:r>
        <w:rPr>
          <w:rFonts w:ascii="David" w:hAnsi="David" w:cs="David"/>
          <w:sz w:val="24"/>
          <w:szCs w:val="24"/>
          <w:rtl/>
        </w:rPr>
        <w:t>. הטענה לפיה עיתוי הפיטורין עם הפתיחה בחקירה נעדר קשר סיבתי לסוגיית ההרשעה, לדעתי מיתממת, שהרי ברור כי</w:t>
      </w:r>
      <w:r>
        <w:rPr>
          <w:rFonts w:ascii="David" w:hAnsi="David" w:cs="David"/>
          <w:sz w:val="24"/>
          <w:szCs w:val="24"/>
        </w:rPr>
        <w:t xml:space="preserve"> </w:t>
      </w:r>
      <w:r>
        <w:rPr>
          <w:rFonts w:ascii="David" w:hAnsi="David" w:cs="David"/>
          <w:sz w:val="24"/>
          <w:szCs w:val="24"/>
          <w:rtl/>
        </w:rPr>
        <w:t xml:space="preserve"> ההרשעה היא שת</w:t>
      </w:r>
      <w:r>
        <w:rPr>
          <w:rFonts w:ascii="David" w:hAnsi="David" w:cs="David" w:hint="cs"/>
          <w:sz w:val="24"/>
          <w:szCs w:val="24"/>
          <w:rtl/>
        </w:rPr>
        <w:t>קבע</w:t>
      </w:r>
      <w:r>
        <w:rPr>
          <w:rFonts w:ascii="David" w:hAnsi="David" w:cs="David"/>
          <w:sz w:val="24"/>
          <w:szCs w:val="24"/>
          <w:rtl/>
        </w:rPr>
        <w:t xml:space="preserve"> את הכתם הפלילי, ותקשה על מציאת עבודה גם בעתיד. </w:t>
      </w:r>
    </w:p>
    <w:p w14:paraId="792C5B67" w14:textId="77777777" w:rsidR="00BD0128" w:rsidRDefault="00BD0128" w:rsidP="00BD0128">
      <w:pPr>
        <w:pStyle w:val="a9"/>
        <w:spacing w:line="240" w:lineRule="auto"/>
        <w:ind w:left="-58" w:firstLine="778"/>
        <w:jc w:val="both"/>
        <w:rPr>
          <w:rFonts w:ascii="David" w:hAnsi="David" w:cs="David"/>
          <w:sz w:val="24"/>
          <w:szCs w:val="24"/>
          <w:rtl/>
        </w:rPr>
      </w:pPr>
    </w:p>
    <w:p w14:paraId="35BB7C69" w14:textId="77777777" w:rsidR="00BD0128" w:rsidRDefault="00BD0128" w:rsidP="00BD0128">
      <w:pPr>
        <w:pStyle w:val="a9"/>
        <w:spacing w:line="360" w:lineRule="auto"/>
        <w:ind w:left="-58" w:firstLine="778"/>
        <w:jc w:val="both"/>
        <w:rPr>
          <w:rFonts w:ascii="David" w:hAnsi="David" w:cs="David"/>
          <w:sz w:val="24"/>
          <w:szCs w:val="24"/>
          <w:rtl/>
        </w:rPr>
      </w:pPr>
      <w:r>
        <w:rPr>
          <w:rFonts w:ascii="David" w:hAnsi="David" w:cs="David"/>
          <w:sz w:val="24"/>
          <w:szCs w:val="24"/>
          <w:rtl/>
        </w:rPr>
        <w:t>נוכח נימוקים אלה, ובהמשך להערכת שירות המבחן, אני קובעת כי הוכח קיומו של נזק קונקרטי</w:t>
      </w:r>
      <w:r>
        <w:rPr>
          <w:rFonts w:ascii="David" w:hAnsi="David" w:cs="David" w:hint="cs"/>
          <w:sz w:val="24"/>
          <w:szCs w:val="24"/>
          <w:rtl/>
        </w:rPr>
        <w:t>, שכבר נגרם לנאשם בפועל</w:t>
      </w:r>
      <w:r>
        <w:rPr>
          <w:rFonts w:ascii="David" w:hAnsi="David" w:cs="David"/>
          <w:sz w:val="24"/>
          <w:szCs w:val="24"/>
          <w:rtl/>
        </w:rPr>
        <w:t>.</w:t>
      </w:r>
    </w:p>
    <w:p w14:paraId="74A09F49" w14:textId="77777777" w:rsidR="00BD0128" w:rsidRDefault="00BD0128" w:rsidP="00BD0128">
      <w:pPr>
        <w:pStyle w:val="a9"/>
        <w:spacing w:line="240" w:lineRule="auto"/>
        <w:ind w:left="-58" w:firstLine="778"/>
        <w:jc w:val="both"/>
        <w:rPr>
          <w:rFonts w:ascii="David" w:hAnsi="David" w:cs="David"/>
          <w:sz w:val="24"/>
          <w:szCs w:val="24"/>
          <w:rtl/>
        </w:rPr>
      </w:pPr>
    </w:p>
    <w:p w14:paraId="510B96E0" w14:textId="77777777" w:rsidR="00BD0128" w:rsidRDefault="00BD0128" w:rsidP="00BD0128">
      <w:pPr>
        <w:pStyle w:val="a9"/>
        <w:spacing w:line="360" w:lineRule="auto"/>
        <w:ind w:left="-58" w:firstLine="778"/>
        <w:jc w:val="both"/>
        <w:rPr>
          <w:rFonts w:ascii="David" w:hAnsi="David" w:cs="David"/>
          <w:sz w:val="24"/>
          <w:szCs w:val="24"/>
          <w:rtl/>
        </w:rPr>
      </w:pPr>
      <w:r>
        <w:rPr>
          <w:rFonts w:ascii="David" w:hAnsi="David" w:cs="David"/>
          <w:sz w:val="24"/>
          <w:szCs w:val="24"/>
          <w:rtl/>
        </w:rPr>
        <w:t>אשר לסוג העבירות והאינטרס הציבורי בענישה, אכן נהוגה מדיניות ענישה מחמירה בעבירות סמים מן הסוג דנן (</w:t>
      </w:r>
      <w:hyperlink r:id="rId47" w:history="1">
        <w:r w:rsidR="003450D2" w:rsidRPr="003450D2">
          <w:rPr>
            <w:rFonts w:ascii="David" w:hAnsi="David" w:cs="David"/>
            <w:color w:val="0000FF"/>
            <w:sz w:val="24"/>
            <w:szCs w:val="24"/>
            <w:u w:val="single"/>
            <w:rtl/>
          </w:rPr>
          <w:t>רע"פ 873/12</w:t>
        </w:r>
      </w:hyperlink>
      <w:r>
        <w:rPr>
          <w:rFonts w:ascii="David" w:hAnsi="David" w:cs="David"/>
          <w:sz w:val="24"/>
          <w:szCs w:val="24"/>
          <w:rtl/>
        </w:rPr>
        <w:t xml:space="preserve"> </w:t>
      </w:r>
      <w:r>
        <w:rPr>
          <w:rFonts w:ascii="David" w:hAnsi="David" w:cs="David"/>
          <w:b/>
          <w:bCs/>
          <w:sz w:val="24"/>
          <w:szCs w:val="24"/>
          <w:rtl/>
        </w:rPr>
        <w:t>פלוני נ' מד"י</w:t>
      </w:r>
      <w:r>
        <w:rPr>
          <w:rFonts w:ascii="David" w:hAnsi="David" w:cs="David"/>
          <w:sz w:val="24"/>
          <w:szCs w:val="24"/>
          <w:rtl/>
        </w:rPr>
        <w:t xml:space="preserve"> (2.2.12)). עם זאת, הראיתי קודם, כי מדיניות הענישה מאפשרת להסתפק משיקולי שיקום בענישה של עבודות שירות, או אף ללא כל רכיב מאסר, וזאת גם במסגרת ההליך הפלילי במסלול "הרגיל", ובנסיבות בהן נתפסו סמים במשקל הגדול פי כמה מענייננו. בהתאם לכך קבעתי קודם, כי המתחם ההולם בענייננו מאפשר להסתפק בעבודות שירות. משכך הדבר, ושעה  שברור כי תהליך השיקום במסגרת בית המשפט הקהילתי הוא עמוק ואינטנסיבי פי כמה מזה המוכר בהליך "הרגיל", צריך הדבר למצוא ביטוי בעת בחינת העונש המתאים לנאשם, באופן שישקף את הכרת בית המשפט בערכו של התהליך ובגודל ההישג בסיומו בהצלחה.</w:t>
      </w:r>
    </w:p>
    <w:p w14:paraId="44A7E3D2" w14:textId="77777777" w:rsidR="00BD0128" w:rsidRDefault="00BD0128" w:rsidP="00BD0128">
      <w:pPr>
        <w:pStyle w:val="a9"/>
        <w:spacing w:line="240" w:lineRule="auto"/>
        <w:ind w:left="-58" w:firstLine="778"/>
        <w:jc w:val="both"/>
        <w:rPr>
          <w:rFonts w:ascii="David" w:hAnsi="David" w:cs="David"/>
          <w:sz w:val="24"/>
          <w:szCs w:val="24"/>
          <w:rtl/>
        </w:rPr>
      </w:pPr>
    </w:p>
    <w:p w14:paraId="77DBBDF6" w14:textId="77777777" w:rsidR="00BD0128" w:rsidRDefault="00BD0128" w:rsidP="00BD0128">
      <w:pPr>
        <w:pStyle w:val="a9"/>
        <w:spacing w:line="360" w:lineRule="auto"/>
        <w:ind w:left="-58" w:firstLine="778"/>
        <w:jc w:val="both"/>
        <w:rPr>
          <w:rFonts w:ascii="David" w:eastAsia="Times New Roman" w:hAnsi="David" w:cs="David"/>
          <w:color w:val="000000"/>
          <w:sz w:val="24"/>
          <w:szCs w:val="24"/>
          <w:rtl/>
        </w:rPr>
      </w:pPr>
      <w:r>
        <w:rPr>
          <w:rFonts w:ascii="David" w:hAnsi="David" w:cs="David"/>
          <w:sz w:val="24"/>
          <w:szCs w:val="24"/>
          <w:rtl/>
        </w:rPr>
        <w:t xml:space="preserve">על נכונותו של בית המשפט הקהילתי להקל משיקולי שיקום עד כדי הימנעות מהרשעה, ניתן ללמוד ממגוון גזרי דין שניתנו בשנים האחרונות, בעבירות שונות. </w:t>
      </w:r>
      <w:r>
        <w:rPr>
          <w:rFonts w:ascii="David" w:eastAsia="Times New Roman" w:hAnsi="David" w:cs="David"/>
          <w:color w:val="000000"/>
          <w:sz w:val="24"/>
          <w:szCs w:val="24"/>
          <w:rtl/>
        </w:rPr>
        <w:t>ב</w:t>
      </w:r>
      <w:hyperlink r:id="rId48" w:history="1">
        <w:r w:rsidR="003450D2" w:rsidRPr="003450D2">
          <w:rPr>
            <w:rFonts w:ascii="David" w:eastAsia="Times New Roman" w:hAnsi="David" w:cs="David"/>
            <w:color w:val="0000FF"/>
            <w:sz w:val="24"/>
            <w:szCs w:val="24"/>
            <w:u w:val="single"/>
            <w:rtl/>
          </w:rPr>
          <w:t>תפ"ק 21392-04-21</w:t>
        </w:r>
      </w:hyperlink>
      <w:r>
        <w:rPr>
          <w:rFonts w:ascii="David" w:eastAsia="Times New Roman" w:hAnsi="David" w:cs="David"/>
          <w:color w:val="000000"/>
          <w:sz w:val="24"/>
          <w:szCs w:val="24"/>
          <w:rtl/>
        </w:rPr>
        <w:t xml:space="preserve"> </w:t>
      </w:r>
      <w:r>
        <w:rPr>
          <w:rFonts w:ascii="David" w:eastAsia="Times New Roman" w:hAnsi="David" w:cs="David"/>
          <w:b/>
          <w:bCs/>
          <w:color w:val="000000"/>
          <w:sz w:val="24"/>
          <w:szCs w:val="24"/>
          <w:rtl/>
        </w:rPr>
        <w:t>מד"י נ' מרחבי</w:t>
      </w:r>
      <w:r>
        <w:rPr>
          <w:rFonts w:ascii="David" w:eastAsia="Times New Roman" w:hAnsi="David" w:cs="David"/>
          <w:color w:val="000000"/>
          <w:sz w:val="24"/>
          <w:szCs w:val="24"/>
          <w:rtl/>
        </w:rPr>
        <w:t xml:space="preserve"> (27.5.24) התייחס כב' הנשיא חן לייחודו של ההליך הקהילתי, בהיבט זה:</w:t>
      </w:r>
    </w:p>
    <w:p w14:paraId="44137BEE" w14:textId="77777777" w:rsidR="00BD0128" w:rsidRDefault="00BD0128" w:rsidP="00BD0128">
      <w:pPr>
        <w:shd w:val="clear" w:color="auto" w:fill="FFFFFF"/>
        <w:spacing w:before="240" w:after="240"/>
        <w:ind w:left="793" w:right="1276"/>
        <w:jc w:val="both"/>
        <w:rPr>
          <w:rFonts w:cs="Times New Roman"/>
          <w:b/>
          <w:bCs/>
          <w:color w:val="000000"/>
          <w:rtl/>
        </w:rPr>
      </w:pPr>
      <w:r>
        <w:rPr>
          <w:rFonts w:ascii="David" w:hAnsi="David"/>
          <w:b/>
          <w:bCs/>
          <w:color w:val="000000"/>
          <w:u w:val="single"/>
          <w:rtl/>
        </w:rPr>
        <w:t>יתכן שאת העיקרון הנובע מ'הלכת כתב' יש ליישם עם מעט גמישות כאשר מדובר בנאשם בבית המשפט הקהילתי.</w:t>
      </w:r>
      <w:r>
        <w:rPr>
          <w:rFonts w:ascii="David" w:hAnsi="David"/>
          <w:b/>
          <w:bCs/>
          <w:color w:val="000000"/>
          <w:rtl/>
        </w:rPr>
        <w:t xml:space="preserve"> הנאשם מוכר לבית המשפט ושירות המבחן לאורך תקופה ארוכה מאוד ובאופן מעמיק, כך שההמלצות בעניינו הינן מתואמות ומדויקות, מעבר לאלו המתקבלות בהליך פלילי רגיל. ועם זאת, לטעמי יש להשתמש בכלי המאפשר ביטול הרשעה בזהירות רבה, במינון ראוי ובמקרים מתאימים בלבד.</w:t>
      </w:r>
    </w:p>
    <w:p w14:paraId="3A863327" w14:textId="77777777" w:rsidR="00BD0128" w:rsidRDefault="00BD0128" w:rsidP="00BD0128">
      <w:pPr>
        <w:shd w:val="clear" w:color="auto" w:fill="FFFFFF"/>
        <w:spacing w:before="240" w:after="240"/>
        <w:ind w:left="793" w:right="1276"/>
        <w:jc w:val="both"/>
        <w:rPr>
          <w:rFonts w:cs="Times New Roman"/>
          <w:b/>
          <w:bCs/>
          <w:color w:val="000000"/>
        </w:rPr>
      </w:pPr>
      <w:r>
        <w:rPr>
          <w:rFonts w:ascii="David" w:hAnsi="David"/>
          <w:b/>
          <w:bCs/>
          <w:color w:val="000000"/>
          <w:rtl/>
        </w:rPr>
        <w:t>איזון השיקולים במקרה שבפני אינו קל. מחד, ניצבות חומרת העבירות והצטברותן, ומאידך, קיים האינטרס השיקומי בהיבטו הציבורי והפרטי. לאחר ששקלתי את מכלול האמור, מצאתי</w:t>
      </w:r>
      <w:r w:rsidR="003450D2">
        <w:rPr>
          <w:rFonts w:ascii="David" w:hAnsi="David"/>
          <w:b/>
          <w:bCs/>
          <w:color w:val="000000"/>
          <w:rtl/>
        </w:rPr>
        <w:t xml:space="preserve"> </w:t>
      </w:r>
      <w:r>
        <w:rPr>
          <w:rFonts w:ascii="David" w:hAnsi="David"/>
          <w:b/>
          <w:bCs/>
          <w:color w:val="000000"/>
          <w:rtl/>
        </w:rPr>
        <w:t>להורות על ביטול ההרשעה בעבירות הפליליות, ולהותירה בכל הנוגע לעבירות התעבורה.</w:t>
      </w:r>
    </w:p>
    <w:p w14:paraId="496522E7" w14:textId="77777777" w:rsidR="00BD0128" w:rsidRPr="00BD0128" w:rsidRDefault="00BD0128" w:rsidP="00BD0128">
      <w:pPr>
        <w:spacing w:line="360" w:lineRule="auto"/>
        <w:jc w:val="both"/>
        <w:rPr>
          <w:rFonts w:ascii="David" w:eastAsia="Calibri" w:hAnsi="David"/>
          <w:rtl/>
        </w:rPr>
      </w:pPr>
      <w:r>
        <w:rPr>
          <w:rFonts w:ascii="David" w:hAnsi="David"/>
          <w:rtl/>
        </w:rPr>
        <w:t xml:space="preserve"> </w:t>
      </w:r>
      <w:r>
        <w:rPr>
          <w:rFonts w:ascii="David" w:hAnsi="David"/>
          <w:rtl/>
        </w:rPr>
        <w:tab/>
        <w:t>באופן דומה, ב</w:t>
      </w:r>
      <w:hyperlink r:id="rId49" w:history="1">
        <w:r w:rsidR="003450D2" w:rsidRPr="003450D2">
          <w:rPr>
            <w:rFonts w:ascii="David" w:hAnsi="David"/>
            <w:color w:val="0000FF"/>
            <w:u w:val="single"/>
            <w:rtl/>
          </w:rPr>
          <w:t>עפ"ג 37165-03-23</w:t>
        </w:r>
      </w:hyperlink>
      <w:r>
        <w:rPr>
          <w:rFonts w:ascii="David" w:hAnsi="David"/>
          <w:rtl/>
        </w:rPr>
        <w:t xml:space="preserve"> </w:t>
      </w:r>
      <w:r>
        <w:rPr>
          <w:rFonts w:ascii="David" w:hAnsi="David"/>
          <w:b/>
          <w:bCs/>
          <w:rtl/>
        </w:rPr>
        <w:t>מד"י נ' בן הרוש</w:t>
      </w:r>
      <w:r>
        <w:rPr>
          <w:rFonts w:ascii="David" w:hAnsi="David"/>
          <w:rtl/>
        </w:rPr>
        <w:t xml:space="preserve"> (18.6.23), </w:t>
      </w:r>
      <w:r>
        <w:rPr>
          <w:rFonts w:ascii="David" w:hAnsi="David" w:hint="cs"/>
          <w:rtl/>
        </w:rPr>
        <w:t xml:space="preserve">שם </w:t>
      </w:r>
      <w:r>
        <w:rPr>
          <w:rFonts w:ascii="David" w:hAnsi="David"/>
          <w:rtl/>
        </w:rPr>
        <w:t xml:space="preserve">דובר בנאשם משתתף בבית המשפט הקהילתי, שהורשע בעבירות אלימות כלפי בת זוגו, </w:t>
      </w:r>
      <w:r>
        <w:rPr>
          <w:rFonts w:ascii="David" w:hAnsi="David" w:hint="cs"/>
          <w:rtl/>
        </w:rPr>
        <w:t xml:space="preserve">מצא </w:t>
      </w:r>
      <w:r>
        <w:rPr>
          <w:rFonts w:ascii="David" w:hAnsi="David"/>
          <w:rtl/>
        </w:rPr>
        <w:t xml:space="preserve">בית המשפט הקהילתי לנכון לסיים את ההליך ללא הרשעה. ערעור המדינה על קולת העונש נדחה, תוך שצוין כי הנאשם עובד בתחום אבטחת המידע, ותעסוקתו עלולה להיפגע ככל שייוודע אודות הרשעתו. וכך נאמר שם: </w:t>
      </w:r>
    </w:p>
    <w:p w14:paraId="47F8D98D" w14:textId="77777777" w:rsidR="00BD0128" w:rsidRDefault="00BD0128" w:rsidP="00BD0128">
      <w:pPr>
        <w:shd w:val="clear" w:color="auto" w:fill="FFFFFF"/>
        <w:spacing w:before="240" w:after="240"/>
        <w:ind w:left="793" w:right="1276"/>
        <w:jc w:val="both"/>
        <w:rPr>
          <w:rFonts w:ascii="David" w:hAnsi="David"/>
          <w:b/>
          <w:bCs/>
          <w:rtl/>
        </w:rPr>
      </w:pPr>
      <w:r>
        <w:rPr>
          <w:rFonts w:ascii="David" w:hAnsi="David"/>
          <w:b/>
          <w:bCs/>
          <w:rtl/>
        </w:rPr>
        <w:t xml:space="preserve">מכל האמור עולה כי המשיב עבר תהליך טיפולי משמעותי וממושך בבית המשפט הקהילתי. הן בית המשפט קמא והן שירות המבחן ראו בהמשך העסקתו במקום עבודתו חלק מהותי מהליך השיקום, וביקשו למנוע פגיעה </w:t>
      </w:r>
      <w:r>
        <w:rPr>
          <w:rFonts w:ascii="David" w:hAnsi="David"/>
          <w:b/>
          <w:bCs/>
          <w:color w:val="000000"/>
          <w:rtl/>
        </w:rPr>
        <w:t>תעסוקתית</w:t>
      </w:r>
      <w:r>
        <w:rPr>
          <w:rFonts w:ascii="David" w:hAnsi="David"/>
          <w:b/>
          <w:bCs/>
          <w:rtl/>
        </w:rPr>
        <w:t xml:space="preserve">. </w:t>
      </w:r>
      <w:r>
        <w:rPr>
          <w:rFonts w:ascii="David" w:hAnsi="David"/>
          <w:b/>
          <w:bCs/>
          <w:u w:val="single"/>
          <w:rtl/>
        </w:rPr>
        <w:t>העובדה שמדובר בבית משפט קהילתי, שזהו תחום מומחיותו, עשויה להשפיע גם על נקודת האיזון ביישומה של הלכת כתב.</w:t>
      </w:r>
      <w:r>
        <w:rPr>
          <w:rFonts w:ascii="David" w:hAnsi="David"/>
          <w:b/>
          <w:bCs/>
          <w:rtl/>
        </w:rPr>
        <w:t xml:space="preserve"> בנסיבות אלה אנו סבורים כי אין הצדקה להתערב בפסק דינו של בית המשפט קמא". </w:t>
      </w:r>
    </w:p>
    <w:p w14:paraId="30BEC3B3" w14:textId="77777777" w:rsidR="00BD0128" w:rsidRDefault="00BD0128" w:rsidP="00BD0128">
      <w:pPr>
        <w:spacing w:line="360" w:lineRule="auto"/>
        <w:jc w:val="both"/>
        <w:rPr>
          <w:rFonts w:ascii="David" w:hAnsi="David"/>
          <w:rtl/>
        </w:rPr>
      </w:pPr>
      <w:r>
        <w:rPr>
          <w:rFonts w:ascii="David" w:hAnsi="David"/>
          <w:rtl/>
        </w:rPr>
        <w:tab/>
        <w:t>פסיקת בתי המשפט הקהילתיים מלמדת כי במקרים המתאימים, בהם דובר בנאשמים משתתפים שזוהי הסתבכותם היחידה, הושם הדגש על שיקולי שיקומם, באופן שהוביל לסיום ללא הרשעה, גם בעבירות חמורות שאינן מאפשרות הימנעות מהרשעה בהליך "הרגיל", וגם אם לא הוכח נזק קונקרטי כדת וכדין. להלן מספר דוגמאות:</w:t>
      </w:r>
    </w:p>
    <w:p w14:paraId="21667CD3" w14:textId="77777777" w:rsidR="00BD0128" w:rsidRDefault="00BD0128" w:rsidP="00BD0128">
      <w:pPr>
        <w:jc w:val="both"/>
        <w:rPr>
          <w:rFonts w:ascii="David" w:hAnsi="David"/>
          <w:rtl/>
        </w:rPr>
      </w:pPr>
    </w:p>
    <w:p w14:paraId="73CF7979" w14:textId="77777777" w:rsidR="00BD0128" w:rsidRDefault="00BD0128" w:rsidP="00BD0128">
      <w:pPr>
        <w:spacing w:line="360" w:lineRule="auto"/>
        <w:jc w:val="both"/>
        <w:rPr>
          <w:rFonts w:ascii="David" w:hAnsi="David"/>
          <w:rtl/>
        </w:rPr>
      </w:pPr>
      <w:r>
        <w:rPr>
          <w:rFonts w:ascii="David" w:hAnsi="David"/>
          <w:rtl/>
        </w:rPr>
        <w:tab/>
        <w:t>ב</w:t>
      </w:r>
      <w:hyperlink r:id="rId50" w:history="1">
        <w:r w:rsidR="003450D2" w:rsidRPr="003450D2">
          <w:rPr>
            <w:rFonts w:ascii="David" w:hAnsi="David"/>
            <w:color w:val="0000FF"/>
            <w:u w:val="single"/>
            <w:rtl/>
          </w:rPr>
          <w:t>תפ"ק 60074-03-21</w:t>
        </w:r>
      </w:hyperlink>
      <w:r>
        <w:rPr>
          <w:rFonts w:ascii="David" w:hAnsi="David"/>
          <w:rtl/>
        </w:rPr>
        <w:t xml:space="preserve"> </w:t>
      </w:r>
      <w:r>
        <w:rPr>
          <w:rFonts w:ascii="David" w:hAnsi="David"/>
          <w:b/>
          <w:bCs/>
          <w:rtl/>
        </w:rPr>
        <w:t>מד"י נ' עמרם</w:t>
      </w:r>
      <w:r>
        <w:rPr>
          <w:rFonts w:ascii="David" w:hAnsi="David"/>
          <w:rtl/>
        </w:rPr>
        <w:t xml:space="preserve"> (31.5.23) הורשעה המשתתפת ב-4 אישומים של סחר בסמים והחזקת קנביס שלא לצריכה עצמית, במשקל נטו של כ-350 גרם מחולקים ל-32 שקיות. בית המשפט מצא לנכון לבטל את ההרשעה על מנת שלא לפגוע בסיכויי שיקומה.</w:t>
      </w:r>
    </w:p>
    <w:p w14:paraId="79741A74" w14:textId="77777777" w:rsidR="00BD0128" w:rsidRDefault="00BD0128" w:rsidP="00BD0128">
      <w:pPr>
        <w:jc w:val="both"/>
        <w:rPr>
          <w:rFonts w:ascii="David" w:hAnsi="David"/>
          <w:rtl/>
        </w:rPr>
      </w:pPr>
    </w:p>
    <w:p w14:paraId="7627CBF3" w14:textId="77777777" w:rsidR="00BD0128" w:rsidRDefault="00BD0128" w:rsidP="00BD0128">
      <w:pPr>
        <w:spacing w:line="360" w:lineRule="auto"/>
        <w:jc w:val="both"/>
        <w:rPr>
          <w:rFonts w:ascii="David" w:hAnsi="David"/>
          <w:rtl/>
        </w:rPr>
      </w:pPr>
      <w:r>
        <w:rPr>
          <w:rFonts w:ascii="David" w:hAnsi="David"/>
          <w:rtl/>
        </w:rPr>
        <w:tab/>
        <w:t>ב</w:t>
      </w:r>
      <w:hyperlink r:id="rId51" w:history="1">
        <w:r w:rsidR="003450D2" w:rsidRPr="003450D2">
          <w:rPr>
            <w:rFonts w:ascii="David" w:hAnsi="David"/>
            <w:color w:val="0000FF"/>
            <w:u w:val="single"/>
            <w:rtl/>
          </w:rPr>
          <w:t>תפ"ק 11850-04-19</w:t>
        </w:r>
      </w:hyperlink>
      <w:r>
        <w:rPr>
          <w:rFonts w:ascii="David" w:hAnsi="David"/>
          <w:rtl/>
        </w:rPr>
        <w:t xml:space="preserve"> </w:t>
      </w:r>
      <w:r>
        <w:rPr>
          <w:rFonts w:ascii="David" w:hAnsi="David"/>
          <w:b/>
          <w:bCs/>
          <w:rtl/>
        </w:rPr>
        <w:t>מד"י נ' דווידוב</w:t>
      </w:r>
      <w:r>
        <w:rPr>
          <w:rFonts w:ascii="David" w:hAnsi="David"/>
          <w:rtl/>
        </w:rPr>
        <w:t xml:space="preserve"> (11.8.21) הורשעה המשתתפת בעובדות כתב אישום מתוקן ומרוכך, ב-13 אישומי סחר בסמים במסגרת פלטפורמת טלגרם, כשבחלק מן המקרים מכרה לאותו קונה במספר הזדמנויות. הנאשמת עבדה לעתים כמוכרת בחנות. בין הצדדים גובש הסדר במסגרתו התחייבה לא לעתור להימנעות מהרשעה, אך בסופו של יום ביקשה לחרוג מן ההסדר. למרות ריבוי העבירות וחומרתן, החליט בית המשפט הקהילתי לסיים את ההליך ללא הרשעה, בין היתר לאור העובדה שהחלה לימודי משפטים. ההליך הסתיים בצו מבחן, פסילה והתחייבות. </w:t>
      </w:r>
    </w:p>
    <w:p w14:paraId="6FC81433" w14:textId="77777777" w:rsidR="00BD0128" w:rsidRDefault="00BD0128" w:rsidP="00BD0128">
      <w:pPr>
        <w:jc w:val="both"/>
        <w:rPr>
          <w:rFonts w:ascii="David" w:hAnsi="David"/>
          <w:rtl/>
        </w:rPr>
      </w:pPr>
    </w:p>
    <w:p w14:paraId="69BBCA28" w14:textId="77777777" w:rsidR="00BD0128" w:rsidRDefault="00BD0128" w:rsidP="00BD0128">
      <w:pPr>
        <w:spacing w:line="360" w:lineRule="auto"/>
        <w:ind w:firstLine="720"/>
        <w:jc w:val="both"/>
        <w:rPr>
          <w:rFonts w:ascii="David" w:hAnsi="David"/>
          <w:rtl/>
        </w:rPr>
      </w:pPr>
      <w:r>
        <w:rPr>
          <w:rFonts w:ascii="David" w:hAnsi="David"/>
          <w:rtl/>
        </w:rPr>
        <w:t>ב</w:t>
      </w:r>
      <w:hyperlink r:id="rId52" w:history="1">
        <w:r w:rsidR="003450D2" w:rsidRPr="003450D2">
          <w:rPr>
            <w:rFonts w:ascii="David" w:hAnsi="David"/>
            <w:color w:val="0000FF"/>
            <w:u w:val="single"/>
            <w:rtl/>
          </w:rPr>
          <w:t>תפ"ק 53845-12-17</w:t>
        </w:r>
      </w:hyperlink>
      <w:r>
        <w:rPr>
          <w:rFonts w:ascii="David" w:hAnsi="David"/>
          <w:rtl/>
        </w:rPr>
        <w:t xml:space="preserve"> </w:t>
      </w:r>
      <w:r>
        <w:rPr>
          <w:rFonts w:ascii="David" w:hAnsi="David"/>
          <w:b/>
          <w:bCs/>
          <w:rtl/>
        </w:rPr>
        <w:t xml:space="preserve">מד"י נ' פלונית </w:t>
      </w:r>
      <w:r>
        <w:rPr>
          <w:rFonts w:ascii="David" w:hAnsi="David"/>
          <w:rtl/>
        </w:rPr>
        <w:t>(27.5.20), הורשעה המשתתפת, מורה במקצועה,  בשתי עבירות של תקיפת קטין בידי האחראי עליו, ושתי עבירות של תקיפת בן זוגה. בית המשפט הקהילתי החליט לסיים ללא הרשעה משיקולי שיקום.</w:t>
      </w:r>
    </w:p>
    <w:p w14:paraId="64475472" w14:textId="77777777" w:rsidR="00BD0128" w:rsidRDefault="00BD0128" w:rsidP="00BD0128">
      <w:pPr>
        <w:ind w:firstLine="720"/>
        <w:jc w:val="both"/>
        <w:rPr>
          <w:rFonts w:ascii="David" w:hAnsi="David"/>
          <w:rtl/>
        </w:rPr>
      </w:pPr>
    </w:p>
    <w:p w14:paraId="1F7F732E" w14:textId="77777777" w:rsidR="00BD0128" w:rsidRDefault="00BD0128" w:rsidP="00BD0128">
      <w:pPr>
        <w:spacing w:line="360" w:lineRule="auto"/>
        <w:jc w:val="both"/>
        <w:rPr>
          <w:rFonts w:ascii="David" w:hAnsi="David"/>
          <w:rtl/>
        </w:rPr>
      </w:pPr>
      <w:r>
        <w:rPr>
          <w:rFonts w:ascii="David" w:hAnsi="David"/>
          <w:rtl/>
        </w:rPr>
        <w:tab/>
        <w:t>ב</w:t>
      </w:r>
      <w:hyperlink r:id="rId53" w:history="1">
        <w:r w:rsidR="003450D2" w:rsidRPr="003450D2">
          <w:rPr>
            <w:rFonts w:ascii="David" w:hAnsi="David"/>
            <w:color w:val="0000FF"/>
            <w:u w:val="single"/>
            <w:rtl/>
          </w:rPr>
          <w:t>תפ"ק 39908-11-20</w:t>
        </w:r>
      </w:hyperlink>
      <w:r>
        <w:rPr>
          <w:rFonts w:ascii="David" w:hAnsi="David"/>
          <w:rtl/>
        </w:rPr>
        <w:t xml:space="preserve"> </w:t>
      </w:r>
      <w:r>
        <w:rPr>
          <w:rFonts w:ascii="David" w:hAnsi="David"/>
          <w:b/>
          <w:bCs/>
          <w:rtl/>
        </w:rPr>
        <w:t>מד"י נ' דדשאייב</w:t>
      </w:r>
      <w:r>
        <w:rPr>
          <w:rFonts w:ascii="David" w:hAnsi="David"/>
          <w:rtl/>
        </w:rPr>
        <w:t xml:space="preserve"> (22.9.22) הורשע משתתף ב-3 עבירות מתוחכמות של הונאה בכרטיס חיוב בסכומים של אלפי שקלים, וכן נהיגה בשכרות. לאור הצלחת ההליך הקהילתי, החליט בית המשפט לבטל הרשעתו, למרות שציין כי לא הוכח נזק קונקרטי, וכי על פי פסיקת בית המשפט העליון, ככלל אין מקום להימנע מהרשעה בעבירות הונאה.</w:t>
      </w:r>
    </w:p>
    <w:p w14:paraId="77727669" w14:textId="77777777" w:rsidR="00BD0128" w:rsidRDefault="00BD0128" w:rsidP="00BD0128">
      <w:pPr>
        <w:jc w:val="both"/>
        <w:rPr>
          <w:rFonts w:ascii="David" w:hAnsi="David"/>
          <w:rtl/>
        </w:rPr>
      </w:pPr>
      <w:r>
        <w:rPr>
          <w:rFonts w:ascii="David" w:hAnsi="David"/>
          <w:rtl/>
        </w:rPr>
        <w:t xml:space="preserve"> </w:t>
      </w:r>
    </w:p>
    <w:p w14:paraId="7D359E04" w14:textId="77777777" w:rsidR="00BD0128" w:rsidRDefault="00BD0128" w:rsidP="00BD0128">
      <w:pPr>
        <w:spacing w:line="360" w:lineRule="auto"/>
        <w:jc w:val="both"/>
        <w:rPr>
          <w:rFonts w:ascii="David" w:hAnsi="David"/>
          <w:rtl/>
        </w:rPr>
      </w:pPr>
      <w:r>
        <w:rPr>
          <w:rFonts w:ascii="David" w:hAnsi="David"/>
          <w:rtl/>
        </w:rPr>
        <w:tab/>
        <w:t>ב</w:t>
      </w:r>
      <w:hyperlink r:id="rId54" w:history="1">
        <w:r w:rsidR="003450D2" w:rsidRPr="003450D2">
          <w:rPr>
            <w:rFonts w:ascii="David" w:hAnsi="David"/>
            <w:color w:val="0000FF"/>
            <w:u w:val="single"/>
            <w:rtl/>
          </w:rPr>
          <w:t>תפ"ק 41814-05-17</w:t>
        </w:r>
      </w:hyperlink>
      <w:r>
        <w:rPr>
          <w:rFonts w:ascii="David" w:hAnsi="David"/>
          <w:rtl/>
        </w:rPr>
        <w:t xml:space="preserve"> </w:t>
      </w:r>
      <w:r>
        <w:rPr>
          <w:rFonts w:ascii="David" w:hAnsi="David"/>
          <w:b/>
          <w:bCs/>
          <w:rtl/>
        </w:rPr>
        <w:t>מד"י נ' כץ</w:t>
      </w:r>
      <w:r>
        <w:rPr>
          <w:rFonts w:ascii="David" w:hAnsi="David"/>
          <w:rtl/>
        </w:rPr>
        <w:t xml:space="preserve"> (5.9.18) הורשע המשתתף בסחר בסמים מסוג </w:t>
      </w:r>
      <w:r>
        <w:rPr>
          <w:rFonts w:ascii="David" w:hAnsi="David"/>
        </w:rPr>
        <w:t xml:space="preserve">MDMA </w:t>
      </w:r>
      <w:r>
        <w:rPr>
          <w:rFonts w:ascii="David" w:hAnsi="David"/>
          <w:rtl/>
        </w:rPr>
        <w:t xml:space="preserve">במשקל נטו 9.6 גרם, תמורת 3,500 ₪. בית המשפט הקהילתי החליט להימנע מהרשעתו לאור הליך שיקום עמוק, והיותו סטודנט לתואר שני בחינוך. </w:t>
      </w:r>
    </w:p>
    <w:p w14:paraId="0CFBF3AC" w14:textId="77777777" w:rsidR="00BD0128" w:rsidRDefault="00BD0128" w:rsidP="00BD0128">
      <w:pPr>
        <w:jc w:val="both"/>
        <w:rPr>
          <w:rFonts w:ascii="David" w:hAnsi="David"/>
          <w:rtl/>
        </w:rPr>
      </w:pPr>
    </w:p>
    <w:p w14:paraId="38BFB679" w14:textId="77777777" w:rsidR="00BD0128" w:rsidRDefault="00BD0128" w:rsidP="00BD0128">
      <w:pPr>
        <w:spacing w:line="360" w:lineRule="auto"/>
        <w:jc w:val="both"/>
        <w:rPr>
          <w:rFonts w:ascii="David" w:hAnsi="David"/>
          <w:rtl/>
        </w:rPr>
      </w:pPr>
      <w:r>
        <w:rPr>
          <w:rFonts w:ascii="David" w:hAnsi="David"/>
          <w:rtl/>
        </w:rPr>
        <w:tab/>
        <w:t>ב</w:t>
      </w:r>
      <w:hyperlink r:id="rId55" w:history="1">
        <w:r w:rsidR="003450D2" w:rsidRPr="003450D2">
          <w:rPr>
            <w:rFonts w:ascii="David" w:hAnsi="David"/>
            <w:color w:val="0000FF"/>
            <w:u w:val="single"/>
            <w:rtl/>
          </w:rPr>
          <w:t>תפ"ק 54025-11-17</w:t>
        </w:r>
      </w:hyperlink>
      <w:r>
        <w:rPr>
          <w:rFonts w:ascii="David" w:hAnsi="David"/>
          <w:rtl/>
        </w:rPr>
        <w:t xml:space="preserve"> </w:t>
      </w:r>
      <w:r>
        <w:rPr>
          <w:rFonts w:ascii="David" w:hAnsi="David"/>
          <w:b/>
          <w:bCs/>
          <w:rtl/>
        </w:rPr>
        <w:t>מד"י נ' קובלסקי</w:t>
      </w:r>
      <w:r>
        <w:rPr>
          <w:rFonts w:ascii="David" w:hAnsi="David"/>
          <w:rtl/>
        </w:rPr>
        <w:t xml:space="preserve"> (19.7.21) הורשעה משתתפת ב-7 עבירות סחר בסמים, 3 עבירות הדחת קטין לסמים, והחזקה שלא לצריכה עצמית. התביעה </w:t>
      </w:r>
      <w:r>
        <w:rPr>
          <w:rFonts w:ascii="David" w:hAnsi="David" w:hint="cs"/>
          <w:rtl/>
        </w:rPr>
        <w:t xml:space="preserve">הסכימה </w:t>
      </w:r>
      <w:r>
        <w:rPr>
          <w:rFonts w:ascii="David" w:hAnsi="David"/>
          <w:rtl/>
        </w:rPr>
        <w:t>לביטול ההרשעה, למרות שלא הוצג נזק קונקרטי כלשהו, אלא בשל גילה הצעיר והצורך למנוע פגיעה עתידית</w:t>
      </w:r>
      <w:r>
        <w:rPr>
          <w:rFonts w:ascii="David" w:hAnsi="David" w:hint="cs"/>
          <w:rtl/>
        </w:rPr>
        <w:t>.</w:t>
      </w:r>
    </w:p>
    <w:p w14:paraId="2DC80125" w14:textId="77777777" w:rsidR="00BD0128" w:rsidRDefault="00BD0128" w:rsidP="00BD0128">
      <w:pPr>
        <w:jc w:val="both"/>
        <w:rPr>
          <w:rFonts w:ascii="David" w:hAnsi="David"/>
          <w:rtl/>
        </w:rPr>
      </w:pPr>
    </w:p>
    <w:p w14:paraId="6CE0C354" w14:textId="77777777" w:rsidR="00BD0128" w:rsidRDefault="00BD0128" w:rsidP="00BD0128">
      <w:pPr>
        <w:spacing w:line="360" w:lineRule="auto"/>
        <w:ind w:firstLine="720"/>
        <w:jc w:val="both"/>
        <w:rPr>
          <w:rFonts w:ascii="David" w:hAnsi="David"/>
          <w:rtl/>
        </w:rPr>
      </w:pPr>
      <w:r>
        <w:rPr>
          <w:rFonts w:ascii="David" w:hAnsi="David"/>
          <w:rtl/>
        </w:rPr>
        <w:t>ב</w:t>
      </w:r>
      <w:hyperlink r:id="rId56" w:history="1">
        <w:r w:rsidR="003450D2" w:rsidRPr="003450D2">
          <w:rPr>
            <w:rFonts w:ascii="David" w:hAnsi="David"/>
            <w:color w:val="0000FF"/>
            <w:u w:val="single"/>
            <w:rtl/>
          </w:rPr>
          <w:t>תפ"ק 16730-11-19</w:t>
        </w:r>
      </w:hyperlink>
      <w:r>
        <w:rPr>
          <w:rFonts w:ascii="David" w:hAnsi="David"/>
          <w:rtl/>
        </w:rPr>
        <w:t xml:space="preserve"> </w:t>
      </w:r>
      <w:r>
        <w:rPr>
          <w:rFonts w:ascii="David" w:hAnsi="David"/>
          <w:b/>
          <w:bCs/>
          <w:rtl/>
        </w:rPr>
        <w:t>מד"י נ' רייזל</w:t>
      </w:r>
      <w:r>
        <w:rPr>
          <w:rFonts w:ascii="David" w:hAnsi="David"/>
          <w:rtl/>
        </w:rPr>
        <w:t xml:space="preserve"> (24.1.22) הורשע משתתף בהחזקת קוקאין במשקל 2.7 גרם וכן 20 יחידות </w:t>
      </w:r>
      <w:r>
        <w:rPr>
          <w:rFonts w:ascii="David" w:hAnsi="David"/>
        </w:rPr>
        <w:t>MDMA</w:t>
      </w:r>
      <w:r>
        <w:rPr>
          <w:rFonts w:ascii="David" w:hAnsi="David"/>
          <w:rtl/>
        </w:rPr>
        <w:t xml:space="preserve"> </w:t>
      </w:r>
      <w:r>
        <w:rPr>
          <w:rFonts w:ascii="David" w:hAnsi="David" w:hint="cs"/>
          <w:rtl/>
        </w:rPr>
        <w:t xml:space="preserve">וקנביס במשקל של 0.52 גרם. בנוסף, הפר תנאי מעצר בית, נהג ללא רישיון וביטוח, וגרם לתאונה. הנאשם צעיר, ועבד בתחום התכנות, ללא לימודים. בית המשפט הקהילתי החליט להימנע מהרשעתו, למרות העדר נזק קונקרטי, וזאת בשל תהליך השיקום וגילו הצעיר. </w:t>
      </w:r>
    </w:p>
    <w:p w14:paraId="05B25405" w14:textId="77777777" w:rsidR="00BD0128" w:rsidRDefault="00BD0128" w:rsidP="00BD0128">
      <w:pPr>
        <w:ind w:firstLine="720"/>
        <w:jc w:val="both"/>
        <w:rPr>
          <w:rFonts w:ascii="David" w:hAnsi="David"/>
          <w:rtl/>
        </w:rPr>
      </w:pPr>
    </w:p>
    <w:p w14:paraId="254E09E0" w14:textId="77777777" w:rsidR="00BD0128" w:rsidRDefault="00BD0128" w:rsidP="00BD0128">
      <w:pPr>
        <w:spacing w:line="360" w:lineRule="auto"/>
        <w:jc w:val="both"/>
        <w:rPr>
          <w:rFonts w:ascii="David" w:hAnsi="David"/>
          <w:rtl/>
        </w:rPr>
      </w:pPr>
      <w:r>
        <w:rPr>
          <w:rFonts w:ascii="David" w:hAnsi="David"/>
          <w:rtl/>
        </w:rPr>
        <w:tab/>
        <w:t>ב</w:t>
      </w:r>
      <w:hyperlink r:id="rId57" w:history="1">
        <w:r w:rsidR="003450D2" w:rsidRPr="003450D2">
          <w:rPr>
            <w:rFonts w:ascii="David" w:hAnsi="David"/>
            <w:color w:val="0000FF"/>
            <w:u w:val="single"/>
            <w:rtl/>
          </w:rPr>
          <w:t>תפ"ק 14724-04-16</w:t>
        </w:r>
      </w:hyperlink>
      <w:r>
        <w:rPr>
          <w:rFonts w:ascii="David" w:hAnsi="David"/>
          <w:rtl/>
        </w:rPr>
        <w:t xml:space="preserve"> </w:t>
      </w:r>
      <w:r>
        <w:rPr>
          <w:rFonts w:ascii="David" w:hAnsi="David"/>
          <w:b/>
          <w:bCs/>
          <w:rtl/>
        </w:rPr>
        <w:t>מד"י נ' דבח</w:t>
      </w:r>
      <w:r>
        <w:rPr>
          <w:rFonts w:ascii="David" w:hAnsi="David"/>
          <w:rtl/>
        </w:rPr>
        <w:t xml:space="preserve"> (25.9.19) הורשע משתתף במכירת 8 פלטות חשיש במחיר של 21,600 ₪. הנאשם עבד כגנן מאז שחרורו מצה"ל, אך מעוניין ללמוד חשמלאות. בית המשפט הקהילתי החליט להימנע מהרשעתו כדי למנוע פגיעה עתידית כלשהי.</w:t>
      </w:r>
    </w:p>
    <w:p w14:paraId="3DDDA9D8" w14:textId="77777777" w:rsidR="00BD0128" w:rsidRDefault="00BD0128" w:rsidP="00BD0128">
      <w:pPr>
        <w:jc w:val="both"/>
        <w:rPr>
          <w:rFonts w:ascii="David" w:hAnsi="David"/>
          <w:rtl/>
        </w:rPr>
      </w:pPr>
    </w:p>
    <w:p w14:paraId="7BC9AAA4" w14:textId="77777777" w:rsidR="00BD0128" w:rsidRDefault="00BD0128" w:rsidP="00BD0128">
      <w:pPr>
        <w:spacing w:line="360" w:lineRule="auto"/>
        <w:jc w:val="both"/>
        <w:rPr>
          <w:rFonts w:ascii="David" w:hAnsi="David"/>
          <w:rtl/>
        </w:rPr>
      </w:pPr>
      <w:r>
        <w:rPr>
          <w:rFonts w:ascii="David" w:hAnsi="David"/>
          <w:rtl/>
        </w:rPr>
        <w:tab/>
        <w:t>ב</w:t>
      </w:r>
      <w:hyperlink r:id="rId58" w:history="1">
        <w:r w:rsidR="003450D2" w:rsidRPr="003450D2">
          <w:rPr>
            <w:rFonts w:ascii="David" w:hAnsi="David"/>
            <w:color w:val="0000FF"/>
            <w:u w:val="single"/>
            <w:rtl/>
          </w:rPr>
          <w:t>תפ"ק 11745-06-20</w:t>
        </w:r>
      </w:hyperlink>
      <w:r>
        <w:rPr>
          <w:rFonts w:ascii="David" w:hAnsi="David"/>
          <w:rtl/>
        </w:rPr>
        <w:t xml:space="preserve"> </w:t>
      </w:r>
      <w:r>
        <w:rPr>
          <w:rFonts w:ascii="David" w:hAnsi="David"/>
          <w:b/>
          <w:bCs/>
          <w:rtl/>
        </w:rPr>
        <w:t>מד"י נ' אזרזר</w:t>
      </w:r>
      <w:r>
        <w:rPr>
          <w:rFonts w:ascii="David" w:hAnsi="David"/>
          <w:rtl/>
        </w:rPr>
        <w:t xml:space="preserve"> (11.5.22) הורשע משתתף ב-13 אישומי סחר בקנבוס, בסכומים של מאות שקלים בכל פעם. במהלך ההליך הקהילתי, החל לעבוד כאיש מכירות בחברת תקשורת, ואף החל לימודי משפטים. בית המשפט הקהילתי החליט לבטל את ההרשעה על מנת לא לפגוע בסיכויי תעסוקה בעתיד.</w:t>
      </w:r>
    </w:p>
    <w:p w14:paraId="02A45A5B" w14:textId="77777777" w:rsidR="00BD0128" w:rsidRDefault="00BD0128" w:rsidP="00BD0128">
      <w:pPr>
        <w:jc w:val="both"/>
        <w:rPr>
          <w:rFonts w:ascii="David" w:hAnsi="David"/>
          <w:rtl/>
        </w:rPr>
      </w:pPr>
    </w:p>
    <w:p w14:paraId="762B0370" w14:textId="77777777" w:rsidR="00BD0128" w:rsidRDefault="00BD0128" w:rsidP="00BD0128">
      <w:pPr>
        <w:spacing w:line="360" w:lineRule="auto"/>
        <w:jc w:val="both"/>
        <w:rPr>
          <w:rFonts w:ascii="David" w:hAnsi="David"/>
          <w:rtl/>
        </w:rPr>
      </w:pPr>
      <w:r>
        <w:rPr>
          <w:rFonts w:ascii="David" w:hAnsi="David"/>
          <w:rtl/>
        </w:rPr>
        <w:tab/>
        <w:t>ב</w:t>
      </w:r>
      <w:hyperlink r:id="rId59" w:history="1">
        <w:r w:rsidR="003450D2" w:rsidRPr="003450D2">
          <w:rPr>
            <w:rFonts w:ascii="David" w:hAnsi="David"/>
            <w:color w:val="0000FF"/>
            <w:u w:val="single"/>
            <w:rtl/>
          </w:rPr>
          <w:t>תפ"ק 22139-05-22</w:t>
        </w:r>
      </w:hyperlink>
      <w:r>
        <w:rPr>
          <w:rFonts w:ascii="David" w:hAnsi="David"/>
          <w:rtl/>
        </w:rPr>
        <w:t xml:space="preserve"> </w:t>
      </w:r>
      <w:r>
        <w:rPr>
          <w:rFonts w:ascii="David" w:hAnsi="David"/>
          <w:b/>
          <w:bCs/>
          <w:rtl/>
        </w:rPr>
        <w:t>מד"י נ' ממן</w:t>
      </w:r>
      <w:r>
        <w:rPr>
          <w:rFonts w:ascii="David" w:hAnsi="David"/>
          <w:rtl/>
        </w:rPr>
        <w:t xml:space="preserve"> (11.8.24) הסכימה התביעה לסיומו של ההליך ללא הרשעה, הגם שדובר ב-3 אישומים בעבירות חמורות של סחר בקוקאין.</w:t>
      </w:r>
    </w:p>
    <w:p w14:paraId="6B2FCA3C" w14:textId="77777777" w:rsidR="00BD0128" w:rsidRDefault="00BD0128" w:rsidP="00BD0128">
      <w:pPr>
        <w:jc w:val="both"/>
        <w:rPr>
          <w:rFonts w:ascii="David" w:hAnsi="David"/>
          <w:rtl/>
        </w:rPr>
      </w:pPr>
    </w:p>
    <w:p w14:paraId="236E5BF5" w14:textId="77777777" w:rsidR="00BD0128" w:rsidRDefault="00BD0128" w:rsidP="00BD0128">
      <w:pPr>
        <w:spacing w:line="360" w:lineRule="auto"/>
        <w:jc w:val="both"/>
        <w:rPr>
          <w:rFonts w:ascii="David" w:hAnsi="David"/>
          <w:color w:val="000000"/>
          <w:sz w:val="22"/>
          <w:szCs w:val="22"/>
          <w:rtl/>
        </w:rPr>
      </w:pPr>
      <w:r>
        <w:rPr>
          <w:rFonts w:ascii="David" w:hAnsi="David"/>
          <w:rtl/>
        </w:rPr>
        <w:tab/>
        <w:t xml:space="preserve">החלטות נוספות שעניינן הימנעות מהרשעה בעבירות סמים חמורות, בעקבות הליך קהילתי מוצלח, ניתן למצוא באלה: </w:t>
      </w:r>
      <w:hyperlink r:id="rId60" w:history="1">
        <w:r w:rsidR="003450D2" w:rsidRPr="003450D2">
          <w:rPr>
            <w:rFonts w:ascii="David" w:hAnsi="David"/>
            <w:color w:val="0000FF"/>
            <w:u w:val="single"/>
            <w:rtl/>
          </w:rPr>
          <w:t>תפ"ק 65729-06-19</w:t>
        </w:r>
      </w:hyperlink>
      <w:r>
        <w:rPr>
          <w:rFonts w:ascii="David" w:hAnsi="David"/>
          <w:rtl/>
        </w:rPr>
        <w:t xml:space="preserve"> </w:t>
      </w:r>
      <w:r>
        <w:rPr>
          <w:rFonts w:ascii="David" w:hAnsi="David"/>
          <w:b/>
          <w:bCs/>
          <w:rtl/>
        </w:rPr>
        <w:t>מד"י נ' מזרחי</w:t>
      </w:r>
      <w:r>
        <w:rPr>
          <w:rFonts w:ascii="David" w:hAnsi="David"/>
          <w:rtl/>
        </w:rPr>
        <w:t xml:space="preserve"> (8.6.22); </w:t>
      </w:r>
      <w:hyperlink r:id="rId61" w:history="1">
        <w:r w:rsidR="003450D2" w:rsidRPr="003450D2">
          <w:rPr>
            <w:rFonts w:ascii="David" w:hAnsi="David"/>
            <w:color w:val="0000FF"/>
            <w:u w:val="single"/>
            <w:rtl/>
          </w:rPr>
          <w:t>תפ"ק 23617-08-21</w:t>
        </w:r>
      </w:hyperlink>
      <w:r>
        <w:rPr>
          <w:rFonts w:ascii="David" w:hAnsi="David"/>
          <w:rtl/>
        </w:rPr>
        <w:t xml:space="preserve"> </w:t>
      </w:r>
      <w:r>
        <w:rPr>
          <w:rFonts w:ascii="David" w:hAnsi="David"/>
          <w:b/>
          <w:bCs/>
          <w:rtl/>
        </w:rPr>
        <w:t>מד"י נ' סיוון</w:t>
      </w:r>
      <w:r>
        <w:rPr>
          <w:rFonts w:ascii="David" w:hAnsi="David"/>
          <w:rtl/>
        </w:rPr>
        <w:t xml:space="preserve"> (24.1.24); </w:t>
      </w:r>
      <w:hyperlink r:id="rId62" w:history="1">
        <w:r w:rsidR="003450D2" w:rsidRPr="003450D2">
          <w:rPr>
            <w:rFonts w:ascii="David" w:hAnsi="David"/>
            <w:color w:val="0000FF"/>
            <w:u w:val="single"/>
            <w:rtl/>
          </w:rPr>
          <w:t>ת"פ 69448-12-19</w:t>
        </w:r>
      </w:hyperlink>
      <w:r>
        <w:rPr>
          <w:rFonts w:ascii="David" w:hAnsi="David"/>
          <w:rtl/>
        </w:rPr>
        <w:t xml:space="preserve"> </w:t>
      </w:r>
      <w:r>
        <w:rPr>
          <w:rFonts w:ascii="David" w:hAnsi="David"/>
          <w:b/>
          <w:bCs/>
          <w:rtl/>
        </w:rPr>
        <w:t>מד"י נ' שמחיוב</w:t>
      </w:r>
      <w:r>
        <w:rPr>
          <w:rFonts w:ascii="David" w:hAnsi="David"/>
          <w:rtl/>
        </w:rPr>
        <w:t xml:space="preserve"> (1.3.23); </w:t>
      </w:r>
      <w:hyperlink r:id="rId63" w:history="1">
        <w:r w:rsidR="003450D2" w:rsidRPr="003450D2">
          <w:rPr>
            <w:rFonts w:ascii="David" w:hAnsi="David"/>
            <w:color w:val="0000FF"/>
            <w:u w:val="single"/>
            <w:rtl/>
          </w:rPr>
          <w:t>תפ"ק 65219-06-20</w:t>
        </w:r>
      </w:hyperlink>
      <w:r>
        <w:rPr>
          <w:rFonts w:ascii="David" w:hAnsi="David"/>
          <w:rtl/>
        </w:rPr>
        <w:t xml:space="preserve"> </w:t>
      </w:r>
      <w:r>
        <w:rPr>
          <w:rFonts w:ascii="David" w:hAnsi="David"/>
          <w:b/>
          <w:bCs/>
          <w:rtl/>
        </w:rPr>
        <w:t xml:space="preserve">מד"י נ' סוקולובסקי </w:t>
      </w:r>
      <w:r>
        <w:rPr>
          <w:rFonts w:ascii="David" w:hAnsi="David"/>
          <w:rtl/>
        </w:rPr>
        <w:t xml:space="preserve">(15.11.23); </w:t>
      </w:r>
      <w:hyperlink r:id="rId64" w:history="1">
        <w:r w:rsidR="003450D2" w:rsidRPr="003450D2">
          <w:rPr>
            <w:rFonts w:ascii="David" w:hAnsi="David"/>
            <w:color w:val="0000FF"/>
            <w:u w:val="single"/>
            <w:rtl/>
          </w:rPr>
          <w:t>תפ"ק 20482-07-19</w:t>
        </w:r>
      </w:hyperlink>
      <w:r>
        <w:rPr>
          <w:rFonts w:ascii="David" w:hAnsi="David"/>
          <w:rtl/>
        </w:rPr>
        <w:t xml:space="preserve"> </w:t>
      </w:r>
      <w:r>
        <w:rPr>
          <w:rFonts w:ascii="David" w:hAnsi="David"/>
          <w:b/>
          <w:bCs/>
          <w:rtl/>
        </w:rPr>
        <w:t>מד"י נ' גונן</w:t>
      </w:r>
      <w:r>
        <w:rPr>
          <w:rFonts w:ascii="David" w:hAnsi="David"/>
          <w:rtl/>
        </w:rPr>
        <w:t xml:space="preserve"> (14.10.20); </w:t>
      </w:r>
      <w:hyperlink r:id="rId65" w:history="1">
        <w:r w:rsidR="003450D2" w:rsidRPr="003450D2">
          <w:rPr>
            <w:rFonts w:ascii="David" w:hAnsi="David"/>
            <w:color w:val="0000FF"/>
            <w:u w:val="single"/>
            <w:rtl/>
          </w:rPr>
          <w:t>תפ"ק 17993-05-19</w:t>
        </w:r>
      </w:hyperlink>
      <w:r>
        <w:rPr>
          <w:rFonts w:ascii="David" w:hAnsi="David"/>
          <w:rtl/>
        </w:rPr>
        <w:t xml:space="preserve"> </w:t>
      </w:r>
      <w:r>
        <w:rPr>
          <w:rFonts w:ascii="David" w:hAnsi="David"/>
          <w:b/>
          <w:bCs/>
          <w:rtl/>
        </w:rPr>
        <w:t>מד"י נ' לבנה</w:t>
      </w:r>
      <w:r>
        <w:rPr>
          <w:rFonts w:ascii="David" w:hAnsi="David"/>
          <w:rtl/>
        </w:rPr>
        <w:t xml:space="preserve"> (2.8.21); </w:t>
      </w:r>
      <w:hyperlink r:id="rId66" w:history="1">
        <w:r w:rsidR="003450D2" w:rsidRPr="003450D2">
          <w:rPr>
            <w:rFonts w:ascii="David" w:hAnsi="David"/>
            <w:color w:val="0000FF"/>
            <w:u w:val="single"/>
            <w:rtl/>
          </w:rPr>
          <w:t>תפ"ק 20133-12-18</w:t>
        </w:r>
      </w:hyperlink>
      <w:r>
        <w:rPr>
          <w:rFonts w:ascii="David" w:hAnsi="David"/>
          <w:rtl/>
        </w:rPr>
        <w:t xml:space="preserve"> </w:t>
      </w:r>
      <w:r>
        <w:rPr>
          <w:rFonts w:ascii="David" w:hAnsi="David"/>
          <w:b/>
          <w:bCs/>
          <w:rtl/>
        </w:rPr>
        <w:t>מד"י נ' ניב</w:t>
      </w:r>
      <w:r>
        <w:rPr>
          <w:rFonts w:ascii="David" w:hAnsi="David"/>
          <w:rtl/>
        </w:rPr>
        <w:t xml:space="preserve"> (12.8.19).</w:t>
      </w:r>
    </w:p>
    <w:p w14:paraId="5BCA78BB" w14:textId="77777777" w:rsidR="00BD0128" w:rsidRDefault="00BD0128" w:rsidP="00BD0128">
      <w:pPr>
        <w:jc w:val="both"/>
        <w:rPr>
          <w:rFonts w:ascii="David" w:hAnsi="David"/>
          <w:color w:val="000000"/>
          <w:sz w:val="22"/>
          <w:szCs w:val="22"/>
          <w:rtl/>
        </w:rPr>
      </w:pPr>
    </w:p>
    <w:p w14:paraId="018676A7" w14:textId="77777777" w:rsidR="00BD0128" w:rsidRDefault="00BD0128" w:rsidP="00BD0128">
      <w:pPr>
        <w:spacing w:line="360" w:lineRule="auto"/>
        <w:jc w:val="both"/>
        <w:rPr>
          <w:rFonts w:ascii="David" w:hAnsi="David"/>
          <w:rtl/>
        </w:rPr>
      </w:pPr>
      <w:r>
        <w:rPr>
          <w:rFonts w:ascii="David" w:hAnsi="David"/>
          <w:rtl/>
        </w:rPr>
        <w:tab/>
        <w:t xml:space="preserve">בענייננו, הנאשם אמנם היה מעורב בהקמת 3 מעבדות גידול סמים, שבאחת מהן נתפסה כמות סם גדולה, אך יש לזכור כי מדובר היה בשתילים חיים, שמטבע הדברים משקלם גדול פי כמה ממשקל הצמח המיובש. בנוסף, כפי שנכתב למעלה, לא נטען כי בוצעה מכירה כלשהי של הסם, ואין ראיה להפקת רווח כלשהו. בנסיבות אלה, לצד חומרתן הרבה של העבירות, אינני מוצאת כי הן חמורות באופן משמעותי לעומת עבירות הסחר והפצת הסם שנסקרו קודם, ואשר בעניינן הסתיים ההליך הקהילתי ללא הרשעה. עוד אציין, כי גם אילו סברתי אחרת, עדיין דעתי היא כי יש להכריע ברוח דברי בית המשפט המחוזי בעניין </w:t>
      </w:r>
      <w:r>
        <w:rPr>
          <w:rFonts w:ascii="David" w:hAnsi="David"/>
          <w:b/>
          <w:bCs/>
          <w:rtl/>
        </w:rPr>
        <w:t>בן הרוש:</w:t>
      </w:r>
      <w:r>
        <w:rPr>
          <w:rFonts w:ascii="David" w:hAnsi="David"/>
          <w:rtl/>
        </w:rPr>
        <w:t xml:space="preserve"> שעה שלפנינו נאשם שצלח את ההליך הקהילתי התובעני, ואף הוכח כי הרשעה תגרום לו נזק קונקרטי בתחום התעסוקתי, נעה נקודת האיזון לגביי יישום הלכת כתב, אל עבר הצד המקל.</w:t>
      </w:r>
    </w:p>
    <w:p w14:paraId="1E829A8B" w14:textId="77777777" w:rsidR="00BD0128" w:rsidRDefault="00BD0128" w:rsidP="00BD0128">
      <w:pPr>
        <w:jc w:val="both"/>
        <w:rPr>
          <w:rFonts w:ascii="David" w:hAnsi="David"/>
          <w:rtl/>
        </w:rPr>
      </w:pPr>
    </w:p>
    <w:p w14:paraId="136F90FB" w14:textId="77777777" w:rsidR="00BD0128" w:rsidRDefault="00BD0128" w:rsidP="00BD0128">
      <w:pPr>
        <w:spacing w:line="360" w:lineRule="auto"/>
        <w:jc w:val="both"/>
        <w:rPr>
          <w:rFonts w:ascii="David" w:hAnsi="David"/>
          <w:rtl/>
        </w:rPr>
      </w:pPr>
      <w:r>
        <w:rPr>
          <w:rFonts w:ascii="David" w:hAnsi="David"/>
          <w:rtl/>
        </w:rPr>
        <w:tab/>
        <w:t>ועוד, כפי שראינו קודם, מדיניות הענישה בעבירות דומות בהליך "הרגיל", מאפשרת סיום ללא רכיב מאסר מאחורי סורג ובריח, בהתקיים שיקולי שיקום. משכך, ניתן להניח כי גם אלמלא ההליך הקהילתי, היה עניינו של הנאשם מסתיים בעבודות שירות לכל היותר, בשל העדר כל עבר פלילי, ולאור נכונותו לשתף פעולה עם שירות המבחן. במצב זה, נדמה כי הפער בין העונש שהיה מוטל עליו בהליך "הרגיל" (עבודות שירות) ובין העונש המבוקש על ידי התביעה כעת (מאסר על תנאי), אינו מבטא באופן מספק את ההערכה לה ראוי</w:t>
      </w:r>
      <w:r>
        <w:rPr>
          <w:rFonts w:ascii="David" w:hAnsi="David" w:hint="cs"/>
          <w:rtl/>
        </w:rPr>
        <w:t xml:space="preserve"> מי שסיים בהצלחה את ההליך הארוך והעמוק בבית המשפט הקהילתי, ובייחוד הנאשם דנן, שצבר הישגים יוצאי דופן.</w:t>
      </w:r>
    </w:p>
    <w:p w14:paraId="3A199AEE" w14:textId="77777777" w:rsidR="00BD0128" w:rsidRDefault="00BD0128" w:rsidP="00BD0128">
      <w:pPr>
        <w:jc w:val="both"/>
        <w:rPr>
          <w:rFonts w:ascii="David" w:hAnsi="David"/>
          <w:rtl/>
        </w:rPr>
      </w:pPr>
    </w:p>
    <w:p w14:paraId="03595EF7" w14:textId="77777777" w:rsidR="00BD0128" w:rsidRDefault="00BD0128" w:rsidP="00BD0128">
      <w:pPr>
        <w:spacing w:line="360" w:lineRule="auto"/>
        <w:jc w:val="both"/>
        <w:rPr>
          <w:rFonts w:ascii="David" w:hAnsi="David"/>
          <w:rtl/>
        </w:rPr>
      </w:pPr>
      <w:r>
        <w:rPr>
          <w:rFonts w:ascii="David" w:hAnsi="David"/>
          <w:rtl/>
        </w:rPr>
        <w:tab/>
        <w:t>נשוב ונזכיר, הנאשם צעיר ללא כל עבר פלילי, שהסתבך בפרשה זו לראשונה בחייו, סיים בהצלחה רבה את ההליך הקהילתי המורכב והעמוק. הוא עשה כן באופן מרשים, ללא כל מעידות בדרך, וכיום הוא שואף לנהל אורח חיים יצרני ומיטיב. בתוך כך, הוא מצוי במאבק משפטי לשמירה על זכויותיו ההוריות, וגם בחזית זו ישנה חשיבות לאי הרשעתו. הנאשם הוכיח כי ההליך הפלילי גרם לו נזק ממשי בתחום עיסוקו באבטחת מידע, בכך שפוטר מעבודתו ואינו מצליח להתקבל לעבודה בתחום. הדעת נותנת כי הרשעה תזיק לו במישור זה עוד יותר, ובכך ייפגע שיקומו</w:t>
      </w:r>
      <w:r>
        <w:rPr>
          <w:rFonts w:ascii="David" w:hAnsi="David" w:hint="cs"/>
          <w:rtl/>
        </w:rPr>
        <w:t>.</w:t>
      </w:r>
    </w:p>
    <w:p w14:paraId="169CD1E5" w14:textId="77777777" w:rsidR="00BD0128" w:rsidRDefault="00BD0128" w:rsidP="00BD0128">
      <w:pPr>
        <w:jc w:val="both"/>
        <w:rPr>
          <w:rFonts w:ascii="David" w:hAnsi="David"/>
          <w:rtl/>
        </w:rPr>
      </w:pPr>
    </w:p>
    <w:p w14:paraId="192CFF75" w14:textId="77777777" w:rsidR="00BD0128" w:rsidRDefault="00BD0128" w:rsidP="00BD0128">
      <w:pPr>
        <w:spacing w:line="360" w:lineRule="auto"/>
        <w:jc w:val="both"/>
        <w:rPr>
          <w:rFonts w:ascii="David" w:hAnsi="David"/>
          <w:rtl/>
        </w:rPr>
      </w:pPr>
      <w:r>
        <w:rPr>
          <w:rFonts w:ascii="David" w:hAnsi="David"/>
          <w:rtl/>
        </w:rPr>
        <w:tab/>
      </w:r>
      <w:r>
        <w:rPr>
          <w:rFonts w:ascii="David" w:hAnsi="David" w:hint="cs"/>
          <w:rtl/>
        </w:rPr>
        <w:t xml:space="preserve">יש להדגיש, על פי הערכת קצין המבחן, הסיכון המשמעותי במצבו הנוכחי של הנאשם, נעוץ אך ורק בחוסר היציבות הכלכלית שלו, כתוצאה מאי מציאת עבודה בתחום עיסוקו. משמעות הדבר היא כי תועלתו של ההליך כולו תלויה כיום על בלימה, ופתרונו של העניין נעוץ בתחום התעסוקתי. בנסיבות אלה, ושעה שהנאשם מראה כי ההליך הפלילי עצמו הוא מקור הקושי, שומה על בית המשפט הקהילתי למנוע סיומו של ההליך בדרך שתוביל להורדת ההליך השיקומי לטמיון. </w:t>
      </w:r>
    </w:p>
    <w:p w14:paraId="6E50E6FF" w14:textId="77777777" w:rsidR="00BD0128" w:rsidRDefault="00BD0128" w:rsidP="00BD0128">
      <w:pPr>
        <w:jc w:val="both"/>
        <w:rPr>
          <w:rFonts w:ascii="David" w:hAnsi="David"/>
          <w:rtl/>
        </w:rPr>
      </w:pPr>
    </w:p>
    <w:p w14:paraId="30BAA705" w14:textId="77777777" w:rsidR="00BD0128" w:rsidRDefault="00BD0128" w:rsidP="00BD0128">
      <w:pPr>
        <w:spacing w:line="360" w:lineRule="auto"/>
        <w:ind w:firstLine="720"/>
        <w:jc w:val="both"/>
        <w:rPr>
          <w:rFonts w:ascii="David" w:hAnsi="David"/>
          <w:rtl/>
        </w:rPr>
      </w:pPr>
      <w:r>
        <w:rPr>
          <w:rFonts w:ascii="David" w:hAnsi="David"/>
          <w:rtl/>
        </w:rPr>
        <w:t xml:space="preserve">סיכומו של דבר, מסקנתי היא כי בשל הנזק הקונקרטי שכבר נגרם לנאשם, ולאור שיקולי השיקום החריגים הקיימים במסגרת ההליך הקהילתי, ראוי </w:t>
      </w:r>
      <w:r>
        <w:rPr>
          <w:rFonts w:ascii="David" w:hAnsi="David" w:hint="cs"/>
          <w:rtl/>
        </w:rPr>
        <w:t>לבטל את ה</w:t>
      </w:r>
      <w:r>
        <w:rPr>
          <w:rFonts w:ascii="David" w:hAnsi="David"/>
          <w:rtl/>
        </w:rPr>
        <w:t>הרשעה.</w:t>
      </w:r>
      <w:r>
        <w:rPr>
          <w:rFonts w:ascii="David" w:hAnsi="David" w:hint="cs"/>
          <w:rtl/>
        </w:rPr>
        <w:t xml:space="preserve"> </w:t>
      </w:r>
    </w:p>
    <w:p w14:paraId="03A63154" w14:textId="77777777" w:rsidR="00BD0128" w:rsidRDefault="00BD0128" w:rsidP="00BD0128">
      <w:pPr>
        <w:ind w:firstLine="720"/>
        <w:jc w:val="both"/>
        <w:rPr>
          <w:rFonts w:ascii="David" w:hAnsi="David"/>
          <w:rtl/>
        </w:rPr>
      </w:pPr>
    </w:p>
    <w:p w14:paraId="19BF1412" w14:textId="77777777" w:rsidR="00BD0128" w:rsidRDefault="00BD0128" w:rsidP="00BD0128">
      <w:pPr>
        <w:spacing w:line="360" w:lineRule="auto"/>
        <w:ind w:firstLine="720"/>
        <w:jc w:val="both"/>
        <w:rPr>
          <w:rFonts w:ascii="David" w:hAnsi="David"/>
          <w:rtl/>
        </w:rPr>
      </w:pPr>
      <w:r>
        <w:rPr>
          <w:rFonts w:ascii="David" w:hAnsi="David" w:hint="cs"/>
          <w:rtl/>
        </w:rPr>
        <w:t xml:space="preserve">על סף סיום, אציין כי משמעות סמלית רבה יש בכך שהנאשם מסיים את ההליך הקהילתי, שאינו אלא מהלך של חזרה בתשובה, בפתחו של חודש אלול, חודש הרחמים והסליחות. רוח הימים הללו, על סף השנה החדשה שבפתח, </w:t>
      </w:r>
      <w:r w:rsidRPr="00BF3E79">
        <w:rPr>
          <w:rFonts w:ascii="David" w:hAnsi="David" w:hint="cs"/>
          <w:rtl/>
        </w:rPr>
        <w:t xml:space="preserve">אף </w:t>
      </w:r>
      <w:r>
        <w:rPr>
          <w:rFonts w:ascii="David" w:hAnsi="David" w:hint="cs"/>
          <w:rtl/>
        </w:rPr>
        <w:t>בה יש כדי לתמוך בסיומו של ההליך על פי מידת הרחמים.</w:t>
      </w:r>
    </w:p>
    <w:p w14:paraId="5271C4FD" w14:textId="77777777" w:rsidR="00BD0128" w:rsidRDefault="00BD0128" w:rsidP="00BD0128">
      <w:pPr>
        <w:ind w:firstLine="720"/>
        <w:jc w:val="both"/>
        <w:rPr>
          <w:rFonts w:ascii="David" w:hAnsi="David"/>
          <w:rtl/>
        </w:rPr>
      </w:pPr>
    </w:p>
    <w:p w14:paraId="719EFE91" w14:textId="77777777" w:rsidR="00BD0128" w:rsidRDefault="00BD0128" w:rsidP="00BD0128">
      <w:pPr>
        <w:spacing w:line="360" w:lineRule="auto"/>
        <w:ind w:firstLine="720"/>
        <w:jc w:val="both"/>
        <w:rPr>
          <w:rFonts w:ascii="David" w:hAnsi="David"/>
          <w:rtl/>
        </w:rPr>
      </w:pPr>
      <w:r>
        <w:rPr>
          <w:rFonts w:ascii="David" w:hAnsi="David" w:hint="cs"/>
          <w:rtl/>
        </w:rPr>
        <w:t>אני תקווה כי הנאשם ישכיל לנצור ולשמור את כל הטוב שרכש במסגרת ההליך הקהילתי.</w:t>
      </w:r>
    </w:p>
    <w:p w14:paraId="7B98E6A6" w14:textId="77777777" w:rsidR="00BD0128" w:rsidRDefault="00BD0128" w:rsidP="00BD0128">
      <w:pPr>
        <w:spacing w:line="360" w:lineRule="auto"/>
        <w:ind w:firstLine="720"/>
        <w:jc w:val="both"/>
        <w:rPr>
          <w:rFonts w:ascii="David" w:hAnsi="David"/>
          <w:rtl/>
        </w:rPr>
      </w:pPr>
    </w:p>
    <w:p w14:paraId="33D576C0" w14:textId="77777777" w:rsidR="00BD0128" w:rsidRPr="00755C15" w:rsidRDefault="00BD0128" w:rsidP="00BD0128">
      <w:pPr>
        <w:spacing w:line="360" w:lineRule="auto"/>
        <w:ind w:hanging="57"/>
        <w:jc w:val="both"/>
        <w:rPr>
          <w:rFonts w:ascii="David" w:hAnsi="David"/>
          <w:b/>
          <w:bCs/>
          <w:u w:val="single"/>
          <w:rtl/>
        </w:rPr>
      </w:pPr>
      <w:r>
        <w:rPr>
          <w:rFonts w:ascii="David" w:hAnsi="David" w:hint="cs"/>
          <w:rtl/>
        </w:rPr>
        <w:t xml:space="preserve"> </w:t>
      </w:r>
      <w:r w:rsidRPr="00755C15">
        <w:rPr>
          <w:rFonts w:ascii="David" w:hAnsi="David" w:hint="cs"/>
          <w:b/>
          <w:bCs/>
          <w:u w:val="single"/>
          <w:rtl/>
        </w:rPr>
        <w:t>ג</w:t>
      </w:r>
      <w:r w:rsidRPr="00755C15">
        <w:rPr>
          <w:rFonts w:ascii="David" w:hAnsi="David"/>
          <w:b/>
          <w:bCs/>
          <w:u w:val="single"/>
          <w:rtl/>
        </w:rPr>
        <w:t>זירת הדין</w:t>
      </w:r>
    </w:p>
    <w:p w14:paraId="1F3974C0" w14:textId="77777777" w:rsidR="00BD0128" w:rsidRDefault="00BD0128" w:rsidP="00BD0128">
      <w:pPr>
        <w:spacing w:line="360" w:lineRule="auto"/>
        <w:jc w:val="both"/>
        <w:rPr>
          <w:rFonts w:ascii="David" w:hAnsi="David"/>
          <w:b/>
          <w:bCs/>
          <w:u w:val="single"/>
          <w:rtl/>
        </w:rPr>
      </w:pPr>
    </w:p>
    <w:p w14:paraId="7A40AAC9" w14:textId="77777777" w:rsidR="00BD0128" w:rsidRDefault="00BD0128" w:rsidP="00BD0128">
      <w:pPr>
        <w:spacing w:line="360" w:lineRule="auto"/>
        <w:ind w:firstLine="720"/>
        <w:jc w:val="both"/>
        <w:rPr>
          <w:rFonts w:ascii="David" w:hAnsi="David"/>
          <w:rtl/>
        </w:rPr>
      </w:pPr>
      <w:r>
        <w:rPr>
          <w:rFonts w:ascii="David" w:hAnsi="David"/>
          <w:rtl/>
        </w:rPr>
        <w:t>לאחר כל שנאמר, אני מבטלת את ההרשעה ומורה כי ההליך יסתיים ללא הרשעה.</w:t>
      </w:r>
    </w:p>
    <w:p w14:paraId="1DE4D456" w14:textId="77777777" w:rsidR="00BD0128" w:rsidRDefault="00BD0128" w:rsidP="00BD0128">
      <w:pPr>
        <w:spacing w:line="360" w:lineRule="auto"/>
        <w:ind w:firstLine="720"/>
        <w:jc w:val="both"/>
        <w:rPr>
          <w:rFonts w:ascii="David" w:hAnsi="David"/>
          <w:rtl/>
        </w:rPr>
      </w:pPr>
    </w:p>
    <w:p w14:paraId="6EB2AFB2" w14:textId="77777777" w:rsidR="00BD0128" w:rsidRPr="00333382" w:rsidRDefault="00BD0128" w:rsidP="00BD0128">
      <w:pPr>
        <w:spacing w:line="360" w:lineRule="auto"/>
        <w:ind w:firstLine="720"/>
        <w:jc w:val="both"/>
        <w:rPr>
          <w:rFonts w:ascii="David" w:hAnsi="David"/>
          <w:rtl/>
        </w:rPr>
      </w:pPr>
      <w:r>
        <w:rPr>
          <w:rFonts w:ascii="David" w:hAnsi="David" w:hint="cs"/>
          <w:rtl/>
        </w:rPr>
        <w:t>אני מטילה על הנאשם את העונשים הבאים:</w:t>
      </w:r>
    </w:p>
    <w:p w14:paraId="580B324E" w14:textId="77777777" w:rsidR="00BD0128" w:rsidRDefault="00BD0128" w:rsidP="00BD0128">
      <w:pPr>
        <w:ind w:firstLine="720"/>
        <w:jc w:val="both"/>
        <w:rPr>
          <w:rFonts w:ascii="David" w:hAnsi="David"/>
          <w:rtl/>
        </w:rPr>
      </w:pPr>
    </w:p>
    <w:p w14:paraId="4095B0E1" w14:textId="77777777" w:rsidR="00BD0128" w:rsidRPr="00333382" w:rsidRDefault="00BD0128" w:rsidP="00BD0128">
      <w:pPr>
        <w:pStyle w:val="a9"/>
        <w:numPr>
          <w:ilvl w:val="0"/>
          <w:numId w:val="2"/>
        </w:numPr>
        <w:spacing w:line="360" w:lineRule="auto"/>
        <w:jc w:val="both"/>
        <w:rPr>
          <w:rFonts w:ascii="David" w:eastAsia="Times New Roman" w:hAnsi="David" w:cs="David"/>
          <w:noProof/>
          <w:sz w:val="24"/>
          <w:szCs w:val="24"/>
          <w:rtl/>
        </w:rPr>
      </w:pPr>
      <w:r w:rsidRPr="00333382">
        <w:rPr>
          <w:rFonts w:ascii="David" w:eastAsia="Times New Roman" w:hAnsi="David" w:cs="David"/>
          <w:noProof/>
          <w:sz w:val="24"/>
          <w:szCs w:val="24"/>
          <w:rtl/>
        </w:rPr>
        <w:t xml:space="preserve">צו מבחן למשך 6 חודשים. </w:t>
      </w:r>
    </w:p>
    <w:p w14:paraId="49AF79B6" w14:textId="77777777" w:rsidR="00BD0128" w:rsidRDefault="00BD0128" w:rsidP="00BD0128">
      <w:pPr>
        <w:pStyle w:val="a9"/>
        <w:numPr>
          <w:ilvl w:val="0"/>
          <w:numId w:val="2"/>
        </w:numPr>
        <w:spacing w:line="360" w:lineRule="auto"/>
        <w:jc w:val="both"/>
        <w:rPr>
          <w:rFonts w:ascii="David" w:hAnsi="David" w:cs="David"/>
          <w:sz w:val="24"/>
          <w:szCs w:val="24"/>
        </w:rPr>
      </w:pPr>
      <w:r>
        <w:rPr>
          <w:rFonts w:ascii="David" w:hAnsi="David" w:cs="David"/>
          <w:sz w:val="24"/>
          <w:szCs w:val="24"/>
          <w:rtl/>
        </w:rPr>
        <w:t>של"צ בהיקף 200 שעות, במסגרת מחלקת התיירות ברמלה.</w:t>
      </w:r>
    </w:p>
    <w:p w14:paraId="6BDD0A04" w14:textId="77777777" w:rsidR="00BD0128" w:rsidRDefault="00BD0128" w:rsidP="00BD0128">
      <w:pPr>
        <w:spacing w:line="360" w:lineRule="auto"/>
        <w:jc w:val="both"/>
        <w:rPr>
          <w:rFonts w:ascii="David" w:hAnsi="David"/>
          <w:rtl/>
        </w:rPr>
      </w:pPr>
    </w:p>
    <w:p w14:paraId="19D61F8F" w14:textId="77777777" w:rsidR="00BD0128" w:rsidRPr="00333382" w:rsidRDefault="00BD0128" w:rsidP="00BD0128">
      <w:pPr>
        <w:spacing w:line="360" w:lineRule="auto"/>
        <w:ind w:left="720"/>
        <w:jc w:val="both"/>
        <w:rPr>
          <w:rFonts w:ascii="David" w:hAnsi="David"/>
          <w:rtl/>
        </w:rPr>
      </w:pPr>
      <w:r>
        <w:rPr>
          <w:rFonts w:ascii="David" w:hAnsi="David" w:hint="cs"/>
          <w:rtl/>
        </w:rPr>
        <w:t>בהסכמת התביעה אני מורה כי סכומי כסף שנתפסו יוחזרו לידי הנאשם.</w:t>
      </w:r>
    </w:p>
    <w:p w14:paraId="46857E33" w14:textId="77777777" w:rsidR="00BD0128" w:rsidRPr="003450D2" w:rsidRDefault="003450D2" w:rsidP="00BD0128">
      <w:pPr>
        <w:spacing w:line="360" w:lineRule="auto"/>
        <w:ind w:firstLine="720"/>
        <w:jc w:val="both"/>
        <w:rPr>
          <w:rFonts w:ascii="David" w:hAnsi="David"/>
          <w:color w:val="FFFFFF"/>
          <w:sz w:val="2"/>
          <w:szCs w:val="2"/>
          <w:rtl/>
        </w:rPr>
      </w:pPr>
      <w:r w:rsidRPr="003450D2">
        <w:rPr>
          <w:rFonts w:ascii="David" w:hAnsi="David"/>
          <w:color w:val="FFFFFF"/>
          <w:sz w:val="2"/>
          <w:szCs w:val="2"/>
          <w:rtl/>
        </w:rPr>
        <w:t>5129371</w:t>
      </w:r>
    </w:p>
    <w:p w14:paraId="0A474EC9" w14:textId="77777777" w:rsidR="00BD0128" w:rsidRDefault="003450D2" w:rsidP="00BD0128">
      <w:pPr>
        <w:spacing w:line="360" w:lineRule="auto"/>
        <w:ind w:firstLine="720"/>
        <w:jc w:val="both"/>
        <w:rPr>
          <w:rFonts w:ascii="David" w:hAnsi="David"/>
          <w:rtl/>
        </w:rPr>
      </w:pPr>
      <w:r w:rsidRPr="003450D2">
        <w:rPr>
          <w:rFonts w:ascii="David" w:hAnsi="David"/>
          <w:color w:val="FFFFFF"/>
          <w:sz w:val="2"/>
          <w:szCs w:val="2"/>
          <w:rtl/>
        </w:rPr>
        <w:t>54678313</w:t>
      </w:r>
      <w:r w:rsidR="00BD0128">
        <w:rPr>
          <w:rFonts w:ascii="David" w:hAnsi="David" w:hint="cs"/>
          <w:rtl/>
        </w:rPr>
        <w:t>זכות ערעור כדין.</w:t>
      </w:r>
    </w:p>
    <w:p w14:paraId="6CA629D7" w14:textId="77777777" w:rsidR="00BD0128" w:rsidRDefault="00BD0128" w:rsidP="00BD0128">
      <w:pPr>
        <w:spacing w:line="360" w:lineRule="auto"/>
        <w:ind w:firstLine="720"/>
        <w:jc w:val="both"/>
        <w:rPr>
          <w:rFonts w:ascii="David" w:hAnsi="David"/>
          <w:rtl/>
        </w:rPr>
      </w:pPr>
    </w:p>
    <w:p w14:paraId="3DA01F7B" w14:textId="77777777" w:rsidR="00BD0128" w:rsidRDefault="003450D2" w:rsidP="00BD0128">
      <w:pPr>
        <w:tabs>
          <w:tab w:val="left" w:pos="2553"/>
        </w:tabs>
        <w:ind w:left="5040"/>
        <w:rPr>
          <w:rtl/>
        </w:rPr>
      </w:pPr>
      <w:bookmarkStart w:id="11" w:name="Nitan"/>
      <w:r>
        <w:rPr>
          <w:rFonts w:ascii="Arial" w:hAnsi="Arial"/>
          <w:noProof w:val="0"/>
          <w:rtl/>
        </w:rPr>
        <w:t xml:space="preserve">ניתן היום, א' אלול תשפ"ד, 04 ספטמבר 2024, במעמד הצדדים. </w:t>
      </w:r>
      <w:bookmarkEnd w:id="11"/>
      <w:r w:rsidR="00BD0128">
        <w:rPr>
          <w:rFonts w:hint="cs"/>
          <w:rtl/>
        </w:rPr>
        <w:t xml:space="preserve">     </w:t>
      </w:r>
    </w:p>
    <w:p w14:paraId="42E48D9F" w14:textId="77777777" w:rsidR="00BD0128" w:rsidRDefault="00BD0128" w:rsidP="003450D2">
      <w:pPr>
        <w:tabs>
          <w:tab w:val="left" w:pos="2553"/>
        </w:tabs>
      </w:pPr>
      <w:r>
        <w:rPr>
          <w:rFonts w:hint="cs"/>
          <w:rtl/>
        </w:rPr>
        <w:tab/>
      </w:r>
      <w:r>
        <w:rPr>
          <w:rFonts w:hint="cs"/>
          <w:rtl/>
        </w:rPr>
        <w:tab/>
      </w:r>
      <w:r>
        <w:rPr>
          <w:rFonts w:hint="cs"/>
          <w:rtl/>
        </w:rPr>
        <w:tab/>
      </w:r>
      <w:r>
        <w:rPr>
          <w:rFonts w:hint="cs"/>
          <w:rtl/>
        </w:rPr>
        <w:tab/>
        <w:t xml:space="preserve">        </w:t>
      </w:r>
    </w:p>
    <w:p w14:paraId="5519E1BB" w14:textId="77777777" w:rsidR="00BD0128" w:rsidRPr="00CA73B0" w:rsidRDefault="00CA73B0" w:rsidP="00BD0128">
      <w:pPr>
        <w:tabs>
          <w:tab w:val="left" w:pos="2553"/>
        </w:tabs>
        <w:rPr>
          <w:rFonts w:ascii="Arial" w:hAnsi="Arial"/>
          <w:noProof w:val="0"/>
          <w:color w:val="FFFFFF"/>
          <w:sz w:val="2"/>
          <w:szCs w:val="2"/>
          <w:rtl/>
        </w:rPr>
      </w:pPr>
      <w:r w:rsidRPr="00CA73B0">
        <w:rPr>
          <w:rFonts w:ascii="Arial" w:hAnsi="Arial"/>
          <w:noProof w:val="0"/>
          <w:color w:val="FFFFFF"/>
          <w:sz w:val="2"/>
          <w:szCs w:val="2"/>
          <w:rtl/>
        </w:rPr>
        <w:t>5129371</w:t>
      </w:r>
    </w:p>
    <w:p w14:paraId="5CF59C06" w14:textId="77777777" w:rsidR="00B11906" w:rsidRPr="00CA73B0" w:rsidRDefault="00CA73B0" w:rsidP="003450D2">
      <w:pPr>
        <w:keepNext/>
        <w:rPr>
          <w:rFonts w:ascii="David" w:hAnsi="David"/>
          <w:color w:val="FFFFFF"/>
          <w:sz w:val="2"/>
          <w:szCs w:val="2"/>
          <w:rtl/>
        </w:rPr>
      </w:pPr>
      <w:r w:rsidRPr="00CA73B0">
        <w:rPr>
          <w:rFonts w:ascii="David" w:hAnsi="David"/>
          <w:color w:val="FFFFFF"/>
          <w:sz w:val="2"/>
          <w:szCs w:val="2"/>
          <w:rtl/>
        </w:rPr>
        <w:t>54678313</w:t>
      </w:r>
    </w:p>
    <w:p w14:paraId="556F6AE5" w14:textId="77777777" w:rsidR="003450D2" w:rsidRDefault="003450D2" w:rsidP="003450D2">
      <w:pPr>
        <w:rPr>
          <w:rtl/>
        </w:rPr>
      </w:pPr>
    </w:p>
    <w:p w14:paraId="2E64AF6E" w14:textId="77777777" w:rsidR="003450D2" w:rsidRDefault="003450D2" w:rsidP="003450D2">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67AAD970" w14:textId="77777777" w:rsidR="00CA73B0" w:rsidRPr="00CA73B0" w:rsidRDefault="00CA73B0" w:rsidP="00CA73B0">
      <w:pPr>
        <w:keepNext/>
        <w:rPr>
          <w:rFonts w:ascii="David" w:hAnsi="David"/>
          <w:color w:val="000000"/>
          <w:sz w:val="22"/>
          <w:szCs w:val="22"/>
          <w:rtl/>
        </w:rPr>
      </w:pPr>
    </w:p>
    <w:p w14:paraId="20648CA9" w14:textId="77777777" w:rsidR="00CA73B0" w:rsidRPr="00CA73B0" w:rsidRDefault="00CA73B0" w:rsidP="00CA73B0">
      <w:pPr>
        <w:keepNext/>
        <w:rPr>
          <w:rFonts w:ascii="David" w:hAnsi="David"/>
          <w:color w:val="000000"/>
          <w:sz w:val="22"/>
          <w:szCs w:val="22"/>
          <w:rtl/>
        </w:rPr>
      </w:pPr>
      <w:r w:rsidRPr="00CA73B0">
        <w:rPr>
          <w:rFonts w:ascii="David" w:hAnsi="David"/>
          <w:color w:val="000000"/>
          <w:sz w:val="22"/>
          <w:szCs w:val="22"/>
          <w:rtl/>
        </w:rPr>
        <w:t>רבקה גלט 54678313-/</w:t>
      </w:r>
    </w:p>
    <w:p w14:paraId="4C74E33F" w14:textId="77777777" w:rsidR="003450D2" w:rsidRPr="003450D2" w:rsidRDefault="00CA73B0" w:rsidP="00CA73B0">
      <w:pPr>
        <w:rPr>
          <w:color w:val="0000FF"/>
          <w:u w:val="single"/>
        </w:rPr>
      </w:pPr>
      <w:r w:rsidRPr="00CA73B0">
        <w:rPr>
          <w:color w:val="000000"/>
          <w:u w:val="single"/>
          <w:rtl/>
        </w:rPr>
        <w:t>נוסח מסמך זה כפוף לשינויי ניסוח ועריכה</w:t>
      </w:r>
    </w:p>
    <w:sectPr w:rsidR="003450D2" w:rsidRPr="003450D2" w:rsidSect="00CA73B0">
      <w:headerReference w:type="even" r:id="rId68"/>
      <w:headerReference w:type="default" r:id="rId69"/>
      <w:footerReference w:type="even" r:id="rId70"/>
      <w:footerReference w:type="default" r:id="rId7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B8AB1" w14:textId="77777777" w:rsidR="00935888" w:rsidRDefault="00935888" w:rsidP="009E3D22">
      <w:r>
        <w:separator/>
      </w:r>
    </w:p>
  </w:endnote>
  <w:endnote w:type="continuationSeparator" w:id="0">
    <w:p w14:paraId="03F1EF09" w14:textId="77777777" w:rsidR="00935888" w:rsidRDefault="00935888" w:rsidP="009E3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F6619" w14:textId="77777777" w:rsidR="00CA73B0" w:rsidRDefault="00CA73B0" w:rsidP="00CA73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66CB89B" w14:textId="77777777" w:rsidR="003450D2" w:rsidRPr="00CA73B0" w:rsidRDefault="00CA73B0" w:rsidP="00CA73B0">
    <w:pPr>
      <w:pStyle w:val="a5"/>
      <w:pBdr>
        <w:top w:val="single" w:sz="4" w:space="1" w:color="auto"/>
        <w:between w:val="single" w:sz="4" w:space="0" w:color="auto"/>
      </w:pBdr>
      <w:spacing w:after="60"/>
      <w:jc w:val="center"/>
      <w:rPr>
        <w:rFonts w:ascii="FrankRuehl" w:hAnsi="FrankRuehl" w:cs="FrankRuehl"/>
        <w:color w:val="000000"/>
      </w:rPr>
    </w:pPr>
    <w:r w:rsidRPr="00CA73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D765D" w14:textId="77777777" w:rsidR="00CA73B0" w:rsidRDefault="00CA73B0" w:rsidP="00CA73B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91307">
      <w:rPr>
        <w:rStyle w:val="a8"/>
        <w:rFonts w:ascii="FrankRuehl" w:hAnsi="FrankRuehl" w:cs="FrankRuehl"/>
        <w:rtl/>
      </w:rPr>
      <w:t>1</w:t>
    </w:r>
    <w:r>
      <w:rPr>
        <w:rStyle w:val="a8"/>
        <w:rFonts w:ascii="FrankRuehl" w:hAnsi="FrankRuehl" w:cs="FrankRuehl"/>
        <w:rtl/>
      </w:rPr>
      <w:fldChar w:fldCharType="end"/>
    </w:r>
  </w:p>
  <w:p w14:paraId="5792CE10" w14:textId="77777777" w:rsidR="007A41EB" w:rsidRPr="00CA73B0" w:rsidRDefault="00CA73B0" w:rsidP="00CA73B0">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CA73B0">
      <w:rPr>
        <w:rStyle w:val="a8"/>
        <w:rFonts w:ascii="FrankRuehl" w:hAnsi="FrankRuehl" w:cs="FrankRuehl" w:hint="cs"/>
        <w:color w:val="000000"/>
      </w:rPr>
      <w:pict w14:anchorId="63CC3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A626A" w14:textId="77777777" w:rsidR="00935888" w:rsidRDefault="00935888" w:rsidP="009E3D22">
      <w:r>
        <w:separator/>
      </w:r>
    </w:p>
  </w:footnote>
  <w:footnote w:type="continuationSeparator" w:id="0">
    <w:p w14:paraId="678D74AD" w14:textId="77777777" w:rsidR="00935888" w:rsidRDefault="00935888" w:rsidP="009E3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DFAC9" w14:textId="77777777" w:rsidR="003450D2" w:rsidRPr="00CA73B0" w:rsidRDefault="00CA73B0" w:rsidP="00CA73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11489-02-23</w:t>
    </w:r>
    <w:r>
      <w:rPr>
        <w:rFonts w:ascii="David" w:hAnsi="David"/>
        <w:color w:val="000000"/>
        <w:sz w:val="22"/>
        <w:szCs w:val="22"/>
        <w:rtl/>
      </w:rPr>
      <w:tab/>
      <w:t xml:space="preserve"> מדינת ישראל-פרקליטות מחוז המרכז נ' אביחי לנקרי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84788" w14:textId="77777777" w:rsidR="003450D2" w:rsidRPr="00CA73B0" w:rsidRDefault="00CA73B0" w:rsidP="00CA73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11489-02-23</w:t>
    </w:r>
    <w:r>
      <w:rPr>
        <w:rFonts w:ascii="David" w:hAnsi="David"/>
        <w:color w:val="000000"/>
        <w:sz w:val="22"/>
        <w:szCs w:val="22"/>
        <w:rtl/>
      </w:rPr>
      <w:tab/>
      <w:t xml:space="preserve"> מדינת ישראל-פרקליטות מחוז המרכז נ' אביחי לנקרי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607CFC12"/>
    <w:lvl w:ilvl="0" w:tplc="490E1C8A">
      <w:start w:val="1"/>
      <w:numFmt w:val="decimal"/>
      <w:pStyle w:val="1"/>
      <w:lvlText w:val="%1."/>
      <w:lvlJc w:val="left"/>
      <w:pPr>
        <w:tabs>
          <w:tab w:val="num" w:pos="907"/>
        </w:tabs>
        <w:ind w:left="0" w:firstLine="0"/>
      </w:pPr>
      <w:rPr>
        <w:rFonts w:ascii="FrankRuehl" w:hAnsi="FrankRuehl" w:cs="FrankRuehl" w:hint="default"/>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47754EB"/>
    <w:multiLevelType w:val="hybridMultilevel"/>
    <w:tmpl w:val="BAAE3CDC"/>
    <w:lvl w:ilvl="0" w:tplc="6396DD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90147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9829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0128"/>
    <w:rsid w:val="000645D6"/>
    <w:rsid w:val="00322869"/>
    <w:rsid w:val="003450D2"/>
    <w:rsid w:val="004048E9"/>
    <w:rsid w:val="005B613F"/>
    <w:rsid w:val="006E542D"/>
    <w:rsid w:val="007A41EB"/>
    <w:rsid w:val="008A3A2F"/>
    <w:rsid w:val="00935888"/>
    <w:rsid w:val="009E3D22"/>
    <w:rsid w:val="00B11906"/>
    <w:rsid w:val="00BD0128"/>
    <w:rsid w:val="00C068FF"/>
    <w:rsid w:val="00C91307"/>
    <w:rsid w:val="00CA73B0"/>
    <w:rsid w:val="00D247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E6B722"/>
  <w15:chartTrackingRefBased/>
  <w15:docId w15:val="{DAA07CD2-E7C8-4798-AB5E-42317EE0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012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0128"/>
    <w:pPr>
      <w:tabs>
        <w:tab w:val="center" w:pos="4153"/>
        <w:tab w:val="right" w:pos="8306"/>
      </w:tabs>
    </w:pPr>
  </w:style>
  <w:style w:type="character" w:customStyle="1" w:styleId="a4">
    <w:name w:val="כותרת עליונה תו"/>
    <w:link w:val="a3"/>
    <w:rsid w:val="00BD0128"/>
    <w:rPr>
      <w:rFonts w:ascii="Times New Roman" w:eastAsia="Times New Roman" w:hAnsi="Times New Roman" w:cs="David"/>
      <w:noProof/>
      <w:sz w:val="24"/>
      <w:szCs w:val="24"/>
    </w:rPr>
  </w:style>
  <w:style w:type="paragraph" w:styleId="a5">
    <w:name w:val="footer"/>
    <w:basedOn w:val="a"/>
    <w:link w:val="a6"/>
    <w:rsid w:val="00BD0128"/>
    <w:pPr>
      <w:tabs>
        <w:tab w:val="center" w:pos="4153"/>
        <w:tab w:val="right" w:pos="8306"/>
      </w:tabs>
    </w:pPr>
  </w:style>
  <w:style w:type="character" w:customStyle="1" w:styleId="a6">
    <w:name w:val="כותרת תחתונה תו"/>
    <w:link w:val="a5"/>
    <w:rsid w:val="00BD0128"/>
    <w:rPr>
      <w:rFonts w:ascii="Times New Roman" w:eastAsia="Times New Roman" w:hAnsi="Times New Roman" w:cs="David"/>
      <w:noProof/>
      <w:sz w:val="24"/>
      <w:szCs w:val="24"/>
    </w:rPr>
  </w:style>
  <w:style w:type="table" w:styleId="a7">
    <w:name w:val="Table Grid"/>
    <w:basedOn w:val="a1"/>
    <w:rsid w:val="00BD01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0128"/>
  </w:style>
  <w:style w:type="character" w:styleId="Hyperlink">
    <w:name w:val="Hyperlink"/>
    <w:rsid w:val="00BD0128"/>
    <w:rPr>
      <w:color w:val="0000FF"/>
      <w:u w:val="single"/>
    </w:rPr>
  </w:style>
  <w:style w:type="paragraph" w:styleId="a9">
    <w:name w:val="List Paragraph"/>
    <w:basedOn w:val="a"/>
    <w:qFormat/>
    <w:rsid w:val="00BD0128"/>
    <w:pPr>
      <w:spacing w:after="160" w:line="256" w:lineRule="auto"/>
      <w:ind w:left="720"/>
      <w:contextualSpacing/>
    </w:pPr>
    <w:rPr>
      <w:rFonts w:ascii="Calibri" w:eastAsia="Calibri" w:hAnsi="Calibri" w:cs="Arial"/>
      <w:noProof w:val="0"/>
      <w:sz w:val="22"/>
      <w:szCs w:val="22"/>
    </w:rPr>
  </w:style>
  <w:style w:type="character" w:customStyle="1" w:styleId="Ruller5">
    <w:name w:val="Ruller5 תו"/>
    <w:link w:val="Ruller50"/>
    <w:locked/>
    <w:rsid w:val="00BD0128"/>
    <w:rPr>
      <w:rFonts w:ascii="Arial TUR" w:hAnsi="Arial TUR" w:cs="Arial TUR"/>
      <w:spacing w:val="10"/>
      <w:sz w:val="28"/>
    </w:rPr>
  </w:style>
  <w:style w:type="paragraph" w:customStyle="1" w:styleId="Ruller50">
    <w:name w:val="Ruller5"/>
    <w:basedOn w:val="a"/>
    <w:link w:val="Ruller5"/>
    <w:rsid w:val="00BD0128"/>
    <w:pPr>
      <w:overflowPunct w:val="0"/>
      <w:autoSpaceDE w:val="0"/>
      <w:autoSpaceDN w:val="0"/>
      <w:adjustRightInd w:val="0"/>
      <w:ind w:left="1642" w:right="1282"/>
      <w:jc w:val="both"/>
    </w:pPr>
    <w:rPr>
      <w:rFonts w:ascii="Arial TUR" w:eastAsia="Calibri" w:hAnsi="Arial TUR" w:cs="Arial TUR"/>
      <w:noProof w:val="0"/>
      <w:spacing w:val="10"/>
      <w:sz w:val="28"/>
      <w:szCs w:val="22"/>
    </w:rPr>
  </w:style>
  <w:style w:type="paragraph" w:customStyle="1" w:styleId="1">
    <w:name w:val="סגנון1"/>
    <w:basedOn w:val="a"/>
    <w:rsid w:val="00BD0128"/>
    <w:pPr>
      <w:numPr>
        <w:numId w:val="1"/>
      </w:numPr>
      <w:overflowPunct w:val="0"/>
      <w:autoSpaceDE w:val="0"/>
      <w:autoSpaceDN w:val="0"/>
      <w:spacing w:line="360" w:lineRule="auto"/>
      <w:jc w:val="both"/>
    </w:pPr>
    <w:rPr>
      <w:rFonts w:ascii="Century" w:hAnsi="Century" w:cs="FrankRuehl"/>
      <w:noProof w:val="0"/>
      <w:spacing w:val="10"/>
      <w:sz w:val="22"/>
      <w:szCs w:val="28"/>
    </w:rPr>
  </w:style>
  <w:style w:type="character" w:customStyle="1" w:styleId="10">
    <w:name w:val="חזק1"/>
    <w:aliases w:val="F"/>
    <w:rsid w:val="00BD0128"/>
    <w:rPr>
      <w:rFonts w:ascii="FrankRuehl" w:hAnsi="FrankRuehl" w:cs="FrankRuehl" w:hint="default"/>
      <w:b w:val="0"/>
      <w:bCs w:val="0"/>
      <w:sz w:val="28"/>
      <w:szCs w:val="28"/>
    </w:rPr>
  </w:style>
  <w:style w:type="character" w:styleId="aa">
    <w:name w:val="line number"/>
    <w:rsid w:val="00BD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396568" TargetMode="External"/><Relationship Id="rId21" Type="http://schemas.openxmlformats.org/officeDocument/2006/relationships/hyperlink" Target="http://www.nevo.co.il/case/5698919" TargetMode="External"/><Relationship Id="rId42" Type="http://schemas.openxmlformats.org/officeDocument/2006/relationships/hyperlink" Target="http://www.nevo.co.il/law/74903" TargetMode="External"/><Relationship Id="rId47" Type="http://schemas.openxmlformats.org/officeDocument/2006/relationships/hyperlink" Target="http://www.nevo.co.il/case/6248620" TargetMode="External"/><Relationship Id="rId63" Type="http://schemas.openxmlformats.org/officeDocument/2006/relationships/hyperlink" Target="http://www.nevo.co.il/case/26794424"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31" TargetMode="External"/><Relationship Id="rId29" Type="http://schemas.openxmlformats.org/officeDocument/2006/relationships/hyperlink" Target="http://www.nevo.co.il/case/25408321"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25135813" TargetMode="External"/><Relationship Id="rId32" Type="http://schemas.openxmlformats.org/officeDocument/2006/relationships/hyperlink" Target="http://www.nevo.co.il/case/22695050" TargetMode="External"/><Relationship Id="rId37" Type="http://schemas.openxmlformats.org/officeDocument/2006/relationships/hyperlink" Target="http://www.nevo.co.il/case/20889417" TargetMode="External"/><Relationship Id="rId40" Type="http://schemas.openxmlformats.org/officeDocument/2006/relationships/hyperlink" Target="http://www.nevo.co.il/case/20402486" TargetMode="External"/><Relationship Id="rId45" Type="http://schemas.openxmlformats.org/officeDocument/2006/relationships/hyperlink" Target="https://www.gov.il/BlobFolder/news/spokemanmessage230823/ar/%D7%93%D7%95%D7%97%20%D7%9E%D7%97%D7%A7%D7%A8%20%D7%91%D7%AA%D7%99%20%D7%94%D7%9E%D7%A9%D7%A4%D7%98%20%D7%94%D7%A7%D7%94%D7%99%D7%9C%D7%AA%D7%99%D7%99%D7%9D%20%D7%91%D7%99%D7%A9%D7%A8%D7%90%D7%9C.pdf" TargetMode="External"/><Relationship Id="rId53" Type="http://schemas.openxmlformats.org/officeDocument/2006/relationships/hyperlink" Target="http://www.nevo.co.il/case/27162749" TargetMode="External"/><Relationship Id="rId58" Type="http://schemas.openxmlformats.org/officeDocument/2006/relationships/hyperlink" Target="http://www.nevo.co.il/case/26730073" TargetMode="External"/><Relationship Id="rId66" Type="http://schemas.openxmlformats.org/officeDocument/2006/relationships/hyperlink" Target="http://www.nevo.co.il/case/25215538" TargetMode="External"/><Relationship Id="rId5" Type="http://schemas.openxmlformats.org/officeDocument/2006/relationships/footnotes" Target="footnotes.xml"/><Relationship Id="rId61" Type="http://schemas.openxmlformats.org/officeDocument/2006/relationships/hyperlink" Target="http://www.nevo.co.il/case/27851926" TargetMode="External"/><Relationship Id="rId19" Type="http://schemas.openxmlformats.org/officeDocument/2006/relationships/hyperlink" Target="http://www.nevo.co.il/law/7490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4221950" TargetMode="External"/><Relationship Id="rId27" Type="http://schemas.openxmlformats.org/officeDocument/2006/relationships/hyperlink" Target="http://www.nevo.co.il/case/23816995" TargetMode="External"/><Relationship Id="rId30" Type="http://schemas.openxmlformats.org/officeDocument/2006/relationships/hyperlink" Target="http://www.nevo.co.il/case/23858961" TargetMode="External"/><Relationship Id="rId35" Type="http://schemas.openxmlformats.org/officeDocument/2006/relationships/hyperlink" Target="http://www.nevo.co.il/case/25946245" TargetMode="External"/><Relationship Id="rId43" Type="http://schemas.openxmlformats.org/officeDocument/2006/relationships/hyperlink" Target="http://www.nevo.co.il/case/29263165" TargetMode="External"/><Relationship Id="rId48" Type="http://schemas.openxmlformats.org/officeDocument/2006/relationships/hyperlink" Target="http://www.nevo.co.il/case/27534348" TargetMode="External"/><Relationship Id="rId56" Type="http://schemas.openxmlformats.org/officeDocument/2006/relationships/hyperlink" Target="http://www.nevo.co.il/case/26166341" TargetMode="External"/><Relationship Id="rId64" Type="http://schemas.openxmlformats.org/officeDocument/2006/relationships/hyperlink" Target="http://www.nevo.co.il/case/25849483" TargetMode="External"/><Relationship Id="rId69"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case/25597583"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490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347635" TargetMode="External"/><Relationship Id="rId33" Type="http://schemas.openxmlformats.org/officeDocument/2006/relationships/hyperlink" Target="http://www.nevo.co.il/case/24492983" TargetMode="External"/><Relationship Id="rId38" Type="http://schemas.openxmlformats.org/officeDocument/2006/relationships/hyperlink" Target="http://www.nevo.co.il/case/20008867" TargetMode="External"/><Relationship Id="rId46" Type="http://schemas.openxmlformats.org/officeDocument/2006/relationships/hyperlink" Target="http://www.nevo.co.il/case/5810781" TargetMode="External"/><Relationship Id="rId59" Type="http://schemas.openxmlformats.org/officeDocument/2006/relationships/hyperlink" Target="http://www.nevo.co.il/case/28594554"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20402486" TargetMode="External"/><Relationship Id="rId41" Type="http://schemas.openxmlformats.org/officeDocument/2006/relationships/hyperlink" Target="http://www.nevo.co.il/case/28450399" TargetMode="External"/><Relationship Id="rId54" Type="http://schemas.openxmlformats.org/officeDocument/2006/relationships/hyperlink" Target="http://www.nevo.co.il/case/22630842" TargetMode="External"/><Relationship Id="rId62" Type="http://schemas.openxmlformats.org/officeDocument/2006/relationships/hyperlink" Target="http://www.nevo.co.il/case/26313705"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22791241" TargetMode="External"/><Relationship Id="rId28" Type="http://schemas.openxmlformats.org/officeDocument/2006/relationships/hyperlink" Target="http://www.nevo.co.il/case/24968567" TargetMode="External"/><Relationship Id="rId36" Type="http://schemas.openxmlformats.org/officeDocument/2006/relationships/hyperlink" Target="http://www.nevo.co.il/case/24947203" TargetMode="External"/><Relationship Id="rId49" Type="http://schemas.openxmlformats.org/officeDocument/2006/relationships/hyperlink" Target="http://www.nevo.co.il/case/29492064" TargetMode="External"/><Relationship Id="rId57" Type="http://schemas.openxmlformats.org/officeDocument/2006/relationships/hyperlink" Target="http://www.nevo.co.il/case/21284935"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3602843" TargetMode="External"/><Relationship Id="rId44" Type="http://schemas.openxmlformats.org/officeDocument/2006/relationships/hyperlink" Target="http://www.nevo.co.il/safrut/book/52448" TargetMode="External"/><Relationship Id="rId52" Type="http://schemas.openxmlformats.org/officeDocument/2006/relationships/hyperlink" Target="http://www.nevo.co.il/case/23436889" TargetMode="External"/><Relationship Id="rId60" Type="http://schemas.openxmlformats.org/officeDocument/2006/relationships/hyperlink" Target="http://www.nevo.co.il/case/25823341" TargetMode="External"/><Relationship Id="rId65" Type="http://schemas.openxmlformats.org/officeDocument/2006/relationships/hyperlink" Target="http://www.nevo.co.il/case/25675937"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6"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23597019" TargetMode="External"/><Relationship Id="rId34" Type="http://schemas.openxmlformats.org/officeDocument/2006/relationships/hyperlink" Target="http://www.nevo.co.il/case/24191877" TargetMode="External"/><Relationship Id="rId50" Type="http://schemas.openxmlformats.org/officeDocument/2006/relationships/hyperlink" Target="http://www.nevo.co.il/case/27507282" TargetMode="External"/><Relationship Id="rId55" Type="http://schemas.openxmlformats.org/officeDocument/2006/relationships/hyperlink" Target="http://www.nevo.co.il/case/23284659"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5401</Words>
  <Characters>27008</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32345</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3539061</vt:i4>
      </vt:variant>
      <vt:variant>
        <vt:i4>180</vt:i4>
      </vt:variant>
      <vt:variant>
        <vt:i4>0</vt:i4>
      </vt:variant>
      <vt:variant>
        <vt:i4>5</vt:i4>
      </vt:variant>
      <vt:variant>
        <vt:lpwstr>http://www.nevo.co.il/case/25215538</vt:lpwstr>
      </vt:variant>
      <vt:variant>
        <vt:lpwstr/>
      </vt:variant>
      <vt:variant>
        <vt:i4>3276927</vt:i4>
      </vt:variant>
      <vt:variant>
        <vt:i4>177</vt:i4>
      </vt:variant>
      <vt:variant>
        <vt:i4>0</vt:i4>
      </vt:variant>
      <vt:variant>
        <vt:i4>5</vt:i4>
      </vt:variant>
      <vt:variant>
        <vt:lpwstr>http://www.nevo.co.il/case/25675937</vt:lpwstr>
      </vt:variant>
      <vt:variant>
        <vt:lpwstr/>
      </vt:variant>
      <vt:variant>
        <vt:i4>3866737</vt:i4>
      </vt:variant>
      <vt:variant>
        <vt:i4>174</vt:i4>
      </vt:variant>
      <vt:variant>
        <vt:i4>0</vt:i4>
      </vt:variant>
      <vt:variant>
        <vt:i4>5</vt:i4>
      </vt:variant>
      <vt:variant>
        <vt:lpwstr>http://www.nevo.co.il/case/25849483</vt:lpwstr>
      </vt:variant>
      <vt:variant>
        <vt:lpwstr/>
      </vt:variant>
      <vt:variant>
        <vt:i4>3342463</vt:i4>
      </vt:variant>
      <vt:variant>
        <vt:i4>171</vt:i4>
      </vt:variant>
      <vt:variant>
        <vt:i4>0</vt:i4>
      </vt:variant>
      <vt:variant>
        <vt:i4>5</vt:i4>
      </vt:variant>
      <vt:variant>
        <vt:lpwstr>http://www.nevo.co.il/case/26794424</vt:lpwstr>
      </vt:variant>
      <vt:variant>
        <vt:lpwstr/>
      </vt:variant>
      <vt:variant>
        <vt:i4>3276916</vt:i4>
      </vt:variant>
      <vt:variant>
        <vt:i4>168</vt:i4>
      </vt:variant>
      <vt:variant>
        <vt:i4>0</vt:i4>
      </vt:variant>
      <vt:variant>
        <vt:i4>5</vt:i4>
      </vt:variant>
      <vt:variant>
        <vt:lpwstr>http://www.nevo.co.il/case/26313705</vt:lpwstr>
      </vt:variant>
      <vt:variant>
        <vt:lpwstr/>
      </vt:variant>
      <vt:variant>
        <vt:i4>3735679</vt:i4>
      </vt:variant>
      <vt:variant>
        <vt:i4>165</vt:i4>
      </vt:variant>
      <vt:variant>
        <vt:i4>0</vt:i4>
      </vt:variant>
      <vt:variant>
        <vt:i4>5</vt:i4>
      </vt:variant>
      <vt:variant>
        <vt:lpwstr>http://www.nevo.co.il/case/27851926</vt:lpwstr>
      </vt:variant>
      <vt:variant>
        <vt:lpwstr/>
      </vt:variant>
      <vt:variant>
        <vt:i4>3997808</vt:i4>
      </vt:variant>
      <vt:variant>
        <vt:i4>162</vt:i4>
      </vt:variant>
      <vt:variant>
        <vt:i4>0</vt:i4>
      </vt:variant>
      <vt:variant>
        <vt:i4>5</vt:i4>
      </vt:variant>
      <vt:variant>
        <vt:lpwstr>http://www.nevo.co.il/case/25823341</vt:lpwstr>
      </vt:variant>
      <vt:variant>
        <vt:lpwstr/>
      </vt:variant>
      <vt:variant>
        <vt:i4>3539056</vt:i4>
      </vt:variant>
      <vt:variant>
        <vt:i4>159</vt:i4>
      </vt:variant>
      <vt:variant>
        <vt:i4>0</vt:i4>
      </vt:variant>
      <vt:variant>
        <vt:i4>5</vt:i4>
      </vt:variant>
      <vt:variant>
        <vt:lpwstr>http://www.nevo.co.il/case/28594554</vt:lpwstr>
      </vt:variant>
      <vt:variant>
        <vt:lpwstr/>
      </vt:variant>
      <vt:variant>
        <vt:i4>3276913</vt:i4>
      </vt:variant>
      <vt:variant>
        <vt:i4>156</vt:i4>
      </vt:variant>
      <vt:variant>
        <vt:i4>0</vt:i4>
      </vt:variant>
      <vt:variant>
        <vt:i4>5</vt:i4>
      </vt:variant>
      <vt:variant>
        <vt:lpwstr>http://www.nevo.co.il/case/26730073</vt:lpwstr>
      </vt:variant>
      <vt:variant>
        <vt:lpwstr/>
      </vt:variant>
      <vt:variant>
        <vt:i4>3604596</vt:i4>
      </vt:variant>
      <vt:variant>
        <vt:i4>153</vt:i4>
      </vt:variant>
      <vt:variant>
        <vt:i4>0</vt:i4>
      </vt:variant>
      <vt:variant>
        <vt:i4>5</vt:i4>
      </vt:variant>
      <vt:variant>
        <vt:lpwstr>http://www.nevo.co.il/case/21284935</vt:lpwstr>
      </vt:variant>
      <vt:variant>
        <vt:lpwstr/>
      </vt:variant>
      <vt:variant>
        <vt:i4>3211383</vt:i4>
      </vt:variant>
      <vt:variant>
        <vt:i4>150</vt:i4>
      </vt:variant>
      <vt:variant>
        <vt:i4>0</vt:i4>
      </vt:variant>
      <vt:variant>
        <vt:i4>5</vt:i4>
      </vt:variant>
      <vt:variant>
        <vt:lpwstr>http://www.nevo.co.il/case/26166341</vt:lpwstr>
      </vt:variant>
      <vt:variant>
        <vt:lpwstr/>
      </vt:variant>
      <vt:variant>
        <vt:i4>3211385</vt:i4>
      </vt:variant>
      <vt:variant>
        <vt:i4>147</vt:i4>
      </vt:variant>
      <vt:variant>
        <vt:i4>0</vt:i4>
      </vt:variant>
      <vt:variant>
        <vt:i4>5</vt:i4>
      </vt:variant>
      <vt:variant>
        <vt:lpwstr>http://www.nevo.co.il/case/23284659</vt:lpwstr>
      </vt:variant>
      <vt:variant>
        <vt:lpwstr/>
      </vt:variant>
      <vt:variant>
        <vt:i4>3145853</vt:i4>
      </vt:variant>
      <vt:variant>
        <vt:i4>144</vt:i4>
      </vt:variant>
      <vt:variant>
        <vt:i4>0</vt:i4>
      </vt:variant>
      <vt:variant>
        <vt:i4>5</vt:i4>
      </vt:variant>
      <vt:variant>
        <vt:lpwstr>http://www.nevo.co.il/case/22630842</vt:lpwstr>
      </vt:variant>
      <vt:variant>
        <vt:lpwstr/>
      </vt:variant>
      <vt:variant>
        <vt:i4>3473522</vt:i4>
      </vt:variant>
      <vt:variant>
        <vt:i4>141</vt:i4>
      </vt:variant>
      <vt:variant>
        <vt:i4>0</vt:i4>
      </vt:variant>
      <vt:variant>
        <vt:i4>5</vt:i4>
      </vt:variant>
      <vt:variant>
        <vt:lpwstr>http://www.nevo.co.il/case/27162749</vt:lpwstr>
      </vt:variant>
      <vt:variant>
        <vt:lpwstr/>
      </vt:variant>
      <vt:variant>
        <vt:i4>3670140</vt:i4>
      </vt:variant>
      <vt:variant>
        <vt:i4>138</vt:i4>
      </vt:variant>
      <vt:variant>
        <vt:i4>0</vt:i4>
      </vt:variant>
      <vt:variant>
        <vt:i4>5</vt:i4>
      </vt:variant>
      <vt:variant>
        <vt:lpwstr>http://www.nevo.co.il/case/23436889</vt:lpwstr>
      </vt:variant>
      <vt:variant>
        <vt:lpwstr/>
      </vt:variant>
      <vt:variant>
        <vt:i4>3670141</vt:i4>
      </vt:variant>
      <vt:variant>
        <vt:i4>135</vt:i4>
      </vt:variant>
      <vt:variant>
        <vt:i4>0</vt:i4>
      </vt:variant>
      <vt:variant>
        <vt:i4>5</vt:i4>
      </vt:variant>
      <vt:variant>
        <vt:lpwstr>http://www.nevo.co.il/case/25597583</vt:lpwstr>
      </vt:variant>
      <vt:variant>
        <vt:lpwstr/>
      </vt:variant>
      <vt:variant>
        <vt:i4>3670129</vt:i4>
      </vt:variant>
      <vt:variant>
        <vt:i4>132</vt:i4>
      </vt:variant>
      <vt:variant>
        <vt:i4>0</vt:i4>
      </vt:variant>
      <vt:variant>
        <vt:i4>5</vt:i4>
      </vt:variant>
      <vt:variant>
        <vt:lpwstr>http://www.nevo.co.il/case/27507282</vt:lpwstr>
      </vt:variant>
      <vt:variant>
        <vt:lpwstr/>
      </vt:variant>
      <vt:variant>
        <vt:i4>3276916</vt:i4>
      </vt:variant>
      <vt:variant>
        <vt:i4>129</vt:i4>
      </vt:variant>
      <vt:variant>
        <vt:i4>0</vt:i4>
      </vt:variant>
      <vt:variant>
        <vt:i4>5</vt:i4>
      </vt:variant>
      <vt:variant>
        <vt:lpwstr>http://www.nevo.co.il/case/29492064</vt:lpwstr>
      </vt:variant>
      <vt:variant>
        <vt:lpwstr/>
      </vt:variant>
      <vt:variant>
        <vt:i4>3604595</vt:i4>
      </vt:variant>
      <vt:variant>
        <vt:i4>126</vt:i4>
      </vt:variant>
      <vt:variant>
        <vt:i4>0</vt:i4>
      </vt:variant>
      <vt:variant>
        <vt:i4>5</vt:i4>
      </vt:variant>
      <vt:variant>
        <vt:lpwstr>http://www.nevo.co.il/case/27534348</vt:lpwstr>
      </vt:variant>
      <vt:variant>
        <vt:lpwstr/>
      </vt:variant>
      <vt:variant>
        <vt:i4>3407996</vt:i4>
      </vt:variant>
      <vt:variant>
        <vt:i4>123</vt:i4>
      </vt:variant>
      <vt:variant>
        <vt:i4>0</vt:i4>
      </vt:variant>
      <vt:variant>
        <vt:i4>5</vt:i4>
      </vt:variant>
      <vt:variant>
        <vt:lpwstr>http://www.nevo.co.il/case/6248620</vt:lpwstr>
      </vt:variant>
      <vt:variant>
        <vt:lpwstr/>
      </vt:variant>
      <vt:variant>
        <vt:i4>3276916</vt:i4>
      </vt:variant>
      <vt:variant>
        <vt:i4>120</vt:i4>
      </vt:variant>
      <vt:variant>
        <vt:i4>0</vt:i4>
      </vt:variant>
      <vt:variant>
        <vt:i4>5</vt:i4>
      </vt:variant>
      <vt:variant>
        <vt:lpwstr>http://www.nevo.co.il/case/5810781</vt:lpwstr>
      </vt:variant>
      <vt:variant>
        <vt:lpwstr/>
      </vt:variant>
      <vt:variant>
        <vt:i4>5898323</vt:i4>
      </vt:variant>
      <vt:variant>
        <vt:i4>117</vt:i4>
      </vt:variant>
      <vt:variant>
        <vt:i4>0</vt:i4>
      </vt:variant>
      <vt:variant>
        <vt:i4>5</vt:i4>
      </vt:variant>
      <vt:variant>
        <vt:lpwstr>https://www.gov.il/BlobFolder/news/spokemanmessage230823/ar/%D7%93%D7%95%D7%97 %D7%9E%D7%97%D7%A7%D7%A8 %D7%91%D7%AA%D7%99 %D7%94%D7%9E%D7%A9%D7%A4%D7%98 %D7%94%D7%A7%D7%94%D7%99%D7%9C%D7%AA%D7%99%D7%99%D7%9D %D7%91%D7%99%D7%A9%D7%A8%D7%90%D7%9C.pdf</vt:lpwstr>
      </vt:variant>
      <vt:variant>
        <vt:lpwstr/>
      </vt:variant>
      <vt:variant>
        <vt:i4>7798833</vt:i4>
      </vt:variant>
      <vt:variant>
        <vt:i4>114</vt:i4>
      </vt:variant>
      <vt:variant>
        <vt:i4>0</vt:i4>
      </vt:variant>
      <vt:variant>
        <vt:i4>5</vt:i4>
      </vt:variant>
      <vt:variant>
        <vt:lpwstr>http://www.nevo.co.il/safrut/book/52448</vt:lpwstr>
      </vt:variant>
      <vt:variant>
        <vt:lpwstr/>
      </vt:variant>
      <vt:variant>
        <vt:i4>3473530</vt:i4>
      </vt:variant>
      <vt:variant>
        <vt:i4>111</vt:i4>
      </vt:variant>
      <vt:variant>
        <vt:i4>0</vt:i4>
      </vt:variant>
      <vt:variant>
        <vt:i4>5</vt:i4>
      </vt:variant>
      <vt:variant>
        <vt:lpwstr>http://www.nevo.co.il/case/29263165</vt:lpwstr>
      </vt:variant>
      <vt:variant>
        <vt:lpwstr/>
      </vt:variant>
      <vt:variant>
        <vt:i4>8257646</vt:i4>
      </vt:variant>
      <vt:variant>
        <vt:i4>108</vt:i4>
      </vt:variant>
      <vt:variant>
        <vt:i4>0</vt:i4>
      </vt:variant>
      <vt:variant>
        <vt:i4>5</vt:i4>
      </vt:variant>
      <vt:variant>
        <vt:lpwstr>http://www.nevo.co.il/law/74903</vt:lpwstr>
      </vt:variant>
      <vt:variant>
        <vt:lpwstr/>
      </vt:variant>
      <vt:variant>
        <vt:i4>4128890</vt:i4>
      </vt:variant>
      <vt:variant>
        <vt:i4>105</vt:i4>
      </vt:variant>
      <vt:variant>
        <vt:i4>0</vt:i4>
      </vt:variant>
      <vt:variant>
        <vt:i4>5</vt:i4>
      </vt:variant>
      <vt:variant>
        <vt:lpwstr>http://www.nevo.co.il/case/28450399</vt:lpwstr>
      </vt:variant>
      <vt:variant>
        <vt:lpwstr/>
      </vt:variant>
      <vt:variant>
        <vt:i4>3932272</vt:i4>
      </vt:variant>
      <vt:variant>
        <vt:i4>102</vt:i4>
      </vt:variant>
      <vt:variant>
        <vt:i4>0</vt:i4>
      </vt:variant>
      <vt:variant>
        <vt:i4>5</vt:i4>
      </vt:variant>
      <vt:variant>
        <vt:lpwstr>http://www.nevo.co.il/case/20402486</vt:lpwstr>
      </vt:variant>
      <vt:variant>
        <vt:lpwstr/>
      </vt:variant>
      <vt:variant>
        <vt:i4>3211390</vt:i4>
      </vt:variant>
      <vt:variant>
        <vt:i4>99</vt:i4>
      </vt:variant>
      <vt:variant>
        <vt:i4>0</vt:i4>
      </vt:variant>
      <vt:variant>
        <vt:i4>5</vt:i4>
      </vt:variant>
      <vt:variant>
        <vt:lpwstr>http://www.nevo.co.il/case/23597019</vt:lpwstr>
      </vt:variant>
      <vt:variant>
        <vt:lpwstr/>
      </vt:variant>
      <vt:variant>
        <vt:i4>3932284</vt:i4>
      </vt:variant>
      <vt:variant>
        <vt:i4>96</vt:i4>
      </vt:variant>
      <vt:variant>
        <vt:i4>0</vt:i4>
      </vt:variant>
      <vt:variant>
        <vt:i4>5</vt:i4>
      </vt:variant>
      <vt:variant>
        <vt:lpwstr>http://www.nevo.co.il/case/20008867</vt:lpwstr>
      </vt:variant>
      <vt:variant>
        <vt:lpwstr/>
      </vt:variant>
      <vt:variant>
        <vt:i4>3276920</vt:i4>
      </vt:variant>
      <vt:variant>
        <vt:i4>93</vt:i4>
      </vt:variant>
      <vt:variant>
        <vt:i4>0</vt:i4>
      </vt:variant>
      <vt:variant>
        <vt:i4>5</vt:i4>
      </vt:variant>
      <vt:variant>
        <vt:lpwstr>http://www.nevo.co.il/case/20889417</vt:lpwstr>
      </vt:variant>
      <vt:variant>
        <vt:lpwstr/>
      </vt:variant>
      <vt:variant>
        <vt:i4>3932278</vt:i4>
      </vt:variant>
      <vt:variant>
        <vt:i4>90</vt:i4>
      </vt:variant>
      <vt:variant>
        <vt:i4>0</vt:i4>
      </vt:variant>
      <vt:variant>
        <vt:i4>5</vt:i4>
      </vt:variant>
      <vt:variant>
        <vt:lpwstr>http://www.nevo.co.il/case/24947203</vt:lpwstr>
      </vt:variant>
      <vt:variant>
        <vt:lpwstr/>
      </vt:variant>
      <vt:variant>
        <vt:i4>3735671</vt:i4>
      </vt:variant>
      <vt:variant>
        <vt:i4>87</vt:i4>
      </vt:variant>
      <vt:variant>
        <vt:i4>0</vt:i4>
      </vt:variant>
      <vt:variant>
        <vt:i4>5</vt:i4>
      </vt:variant>
      <vt:variant>
        <vt:lpwstr>http://www.nevo.co.il/case/25946245</vt:lpwstr>
      </vt:variant>
      <vt:variant>
        <vt:lpwstr/>
      </vt:variant>
      <vt:variant>
        <vt:i4>3473521</vt:i4>
      </vt:variant>
      <vt:variant>
        <vt:i4>84</vt:i4>
      </vt:variant>
      <vt:variant>
        <vt:i4>0</vt:i4>
      </vt:variant>
      <vt:variant>
        <vt:i4>5</vt:i4>
      </vt:variant>
      <vt:variant>
        <vt:lpwstr>http://www.nevo.co.il/case/24191877</vt:lpwstr>
      </vt:variant>
      <vt:variant>
        <vt:lpwstr/>
      </vt:variant>
      <vt:variant>
        <vt:i4>3932272</vt:i4>
      </vt:variant>
      <vt:variant>
        <vt:i4>81</vt:i4>
      </vt:variant>
      <vt:variant>
        <vt:i4>0</vt:i4>
      </vt:variant>
      <vt:variant>
        <vt:i4>5</vt:i4>
      </vt:variant>
      <vt:variant>
        <vt:lpwstr>http://www.nevo.co.il/case/24492983</vt:lpwstr>
      </vt:variant>
      <vt:variant>
        <vt:lpwstr/>
      </vt:variant>
      <vt:variant>
        <vt:i4>3407999</vt:i4>
      </vt:variant>
      <vt:variant>
        <vt:i4>78</vt:i4>
      </vt:variant>
      <vt:variant>
        <vt:i4>0</vt:i4>
      </vt:variant>
      <vt:variant>
        <vt:i4>5</vt:i4>
      </vt:variant>
      <vt:variant>
        <vt:lpwstr>http://www.nevo.co.il/case/22695050</vt:lpwstr>
      </vt:variant>
      <vt:variant>
        <vt:lpwstr/>
      </vt:variant>
      <vt:variant>
        <vt:i4>3276927</vt:i4>
      </vt:variant>
      <vt:variant>
        <vt:i4>75</vt:i4>
      </vt:variant>
      <vt:variant>
        <vt:i4>0</vt:i4>
      </vt:variant>
      <vt:variant>
        <vt:i4>5</vt:i4>
      </vt:variant>
      <vt:variant>
        <vt:lpwstr>http://www.nevo.co.il/case/23602843</vt:lpwstr>
      </vt:variant>
      <vt:variant>
        <vt:lpwstr/>
      </vt:variant>
      <vt:variant>
        <vt:i4>3407995</vt:i4>
      </vt:variant>
      <vt:variant>
        <vt:i4>72</vt:i4>
      </vt:variant>
      <vt:variant>
        <vt:i4>0</vt:i4>
      </vt:variant>
      <vt:variant>
        <vt:i4>5</vt:i4>
      </vt:variant>
      <vt:variant>
        <vt:lpwstr>http://www.nevo.co.il/case/23858961</vt:lpwstr>
      </vt:variant>
      <vt:variant>
        <vt:lpwstr/>
      </vt:variant>
      <vt:variant>
        <vt:i4>3932274</vt:i4>
      </vt:variant>
      <vt:variant>
        <vt:i4>69</vt:i4>
      </vt:variant>
      <vt:variant>
        <vt:i4>0</vt:i4>
      </vt:variant>
      <vt:variant>
        <vt:i4>5</vt:i4>
      </vt:variant>
      <vt:variant>
        <vt:lpwstr>http://www.nevo.co.il/case/25408321</vt:lpwstr>
      </vt:variant>
      <vt:variant>
        <vt:lpwstr/>
      </vt:variant>
      <vt:variant>
        <vt:i4>3473523</vt:i4>
      </vt:variant>
      <vt:variant>
        <vt:i4>66</vt:i4>
      </vt:variant>
      <vt:variant>
        <vt:i4>0</vt:i4>
      </vt:variant>
      <vt:variant>
        <vt:i4>5</vt:i4>
      </vt:variant>
      <vt:variant>
        <vt:lpwstr>http://www.nevo.co.il/case/24968567</vt:lpwstr>
      </vt:variant>
      <vt:variant>
        <vt:lpwstr/>
      </vt:variant>
      <vt:variant>
        <vt:i4>3473535</vt:i4>
      </vt:variant>
      <vt:variant>
        <vt:i4>63</vt:i4>
      </vt:variant>
      <vt:variant>
        <vt:i4>0</vt:i4>
      </vt:variant>
      <vt:variant>
        <vt:i4>5</vt:i4>
      </vt:variant>
      <vt:variant>
        <vt:lpwstr>http://www.nevo.co.il/case/23816995</vt:lpwstr>
      </vt:variant>
      <vt:variant>
        <vt:lpwstr/>
      </vt:variant>
      <vt:variant>
        <vt:i4>3211390</vt:i4>
      </vt:variant>
      <vt:variant>
        <vt:i4>60</vt:i4>
      </vt:variant>
      <vt:variant>
        <vt:i4>0</vt:i4>
      </vt:variant>
      <vt:variant>
        <vt:i4>5</vt:i4>
      </vt:variant>
      <vt:variant>
        <vt:lpwstr>http://www.nevo.co.il/case/26396568</vt:lpwstr>
      </vt:variant>
      <vt:variant>
        <vt:lpwstr/>
      </vt:variant>
      <vt:variant>
        <vt:i4>3473521</vt:i4>
      </vt:variant>
      <vt:variant>
        <vt:i4>57</vt:i4>
      </vt:variant>
      <vt:variant>
        <vt:i4>0</vt:i4>
      </vt:variant>
      <vt:variant>
        <vt:i4>5</vt:i4>
      </vt:variant>
      <vt:variant>
        <vt:lpwstr>http://www.nevo.co.il/case/27347635</vt:lpwstr>
      </vt:variant>
      <vt:variant>
        <vt:lpwstr/>
      </vt:variant>
      <vt:variant>
        <vt:i4>3604602</vt:i4>
      </vt:variant>
      <vt:variant>
        <vt:i4>54</vt:i4>
      </vt:variant>
      <vt:variant>
        <vt:i4>0</vt:i4>
      </vt:variant>
      <vt:variant>
        <vt:i4>5</vt:i4>
      </vt:variant>
      <vt:variant>
        <vt:lpwstr>http://www.nevo.co.il/case/25135813</vt:lpwstr>
      </vt:variant>
      <vt:variant>
        <vt:lpwstr/>
      </vt:variant>
      <vt:variant>
        <vt:i4>3145853</vt:i4>
      </vt:variant>
      <vt:variant>
        <vt:i4>51</vt:i4>
      </vt:variant>
      <vt:variant>
        <vt:i4>0</vt:i4>
      </vt:variant>
      <vt:variant>
        <vt:i4>5</vt:i4>
      </vt:variant>
      <vt:variant>
        <vt:lpwstr>http://www.nevo.co.il/case/22791241</vt:lpwstr>
      </vt:variant>
      <vt:variant>
        <vt:lpwstr/>
      </vt:variant>
      <vt:variant>
        <vt:i4>3407995</vt:i4>
      </vt:variant>
      <vt:variant>
        <vt:i4>48</vt:i4>
      </vt:variant>
      <vt:variant>
        <vt:i4>0</vt:i4>
      </vt:variant>
      <vt:variant>
        <vt:i4>5</vt:i4>
      </vt:variant>
      <vt:variant>
        <vt:lpwstr>http://www.nevo.co.il/case/24221950</vt:lpwstr>
      </vt:variant>
      <vt:variant>
        <vt:lpwstr/>
      </vt:variant>
      <vt:variant>
        <vt:i4>3932283</vt:i4>
      </vt:variant>
      <vt:variant>
        <vt:i4>45</vt:i4>
      </vt:variant>
      <vt:variant>
        <vt:i4>0</vt:i4>
      </vt:variant>
      <vt:variant>
        <vt:i4>5</vt:i4>
      </vt:variant>
      <vt:variant>
        <vt:lpwstr>http://www.nevo.co.il/case/5698919</vt:lpwstr>
      </vt:variant>
      <vt:variant>
        <vt:lpwstr/>
      </vt:variant>
      <vt:variant>
        <vt:i4>3932272</vt:i4>
      </vt:variant>
      <vt:variant>
        <vt:i4>42</vt:i4>
      </vt:variant>
      <vt:variant>
        <vt:i4>0</vt:i4>
      </vt:variant>
      <vt:variant>
        <vt:i4>5</vt:i4>
      </vt:variant>
      <vt:variant>
        <vt:lpwstr>http://www.nevo.co.il/case/20402486</vt:lpwstr>
      </vt:variant>
      <vt:variant>
        <vt:lpwstr/>
      </vt:variant>
      <vt:variant>
        <vt:i4>8257646</vt:i4>
      </vt:variant>
      <vt:variant>
        <vt:i4>39</vt:i4>
      </vt:variant>
      <vt:variant>
        <vt:i4>0</vt:i4>
      </vt:variant>
      <vt:variant>
        <vt:i4>5</vt:i4>
      </vt:variant>
      <vt:variant>
        <vt:lpwstr>http://www.nevo.co.il/law/74903</vt:lpwstr>
      </vt:variant>
      <vt:variant>
        <vt:lpwstr/>
      </vt:variant>
      <vt:variant>
        <vt:i4>4784202</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4718666</vt:i4>
      </vt:variant>
      <vt:variant>
        <vt:i4>27</vt:i4>
      </vt:variant>
      <vt:variant>
        <vt:i4>0</vt:i4>
      </vt:variant>
      <vt:variant>
        <vt:i4>5</vt:i4>
      </vt:variant>
      <vt:variant>
        <vt:lpwstr>http://www.nevo.co.il/law/4216/6</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8257646</vt:i4>
      </vt:variant>
      <vt:variant>
        <vt:i4>18</vt:i4>
      </vt:variant>
      <vt:variant>
        <vt:i4>0</vt:i4>
      </vt:variant>
      <vt:variant>
        <vt:i4>5</vt:i4>
      </vt:variant>
      <vt:variant>
        <vt:lpwstr>http://www.nevo.co.il/law/74903</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4784202</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7798833</vt:i4>
      </vt:variant>
      <vt:variant>
        <vt:i4>0</vt:i4>
      </vt:variant>
      <vt:variant>
        <vt:i4>0</vt:i4>
      </vt:variant>
      <vt:variant>
        <vt:i4>5</vt:i4>
      </vt:variant>
      <vt:variant>
        <vt:lpwstr>http://www.nevo.co.il/safrut/book/52448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2025-04-23T01:42:00Z</dcterms:created>
  <dcterms:modified xsi:type="dcterms:W3CDTF">2025-04-23T01:42:00Z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11489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ישראל-פרקליטות מחוז המרכז</vt:lpwstr>
  </property>
  <property fmtid="{D5CDD505-2E9C-101B-9397-08002B2CF9AE}" pid="9" name="APPELLEE">
    <vt:lpwstr>אביחי לנקרי</vt:lpwstr>
  </property>
  <property fmtid="{D5CDD505-2E9C-101B-9397-08002B2CF9AE}" pid="10" name="LAWYER">
    <vt:lpwstr>ספיר ארד;ניר רהט</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20240904</vt:lpwstr>
  </property>
  <property fmtid="{D5CDD505-2E9C-101B-9397-08002B2CF9AE}" pid="14" name="TYPE_N_DATE">
    <vt:lpwstr>38020240904</vt:lpwstr>
  </property>
  <property fmtid="{D5CDD505-2E9C-101B-9397-08002B2CF9AE}" pid="15" name="WORDNUMPAGES">
    <vt:lpwstr>13</vt:lpwstr>
  </property>
  <property fmtid="{D5CDD505-2E9C-101B-9397-08002B2CF9AE}" pid="16" name="TYPE_ABS_DATE">
    <vt:lpwstr>380020240904</vt:lpwstr>
  </property>
  <property fmtid="{D5CDD505-2E9C-101B-9397-08002B2CF9AE}" pid="17" name="ISABSTRACT">
    <vt:lpwstr>Y</vt:lpwstr>
  </property>
  <property fmtid="{D5CDD505-2E9C-101B-9397-08002B2CF9AE}" pid="18" name="CASESLISTTMP1">
    <vt:lpwstr>20402486:2;5698919;24221950;22791241;25135813;27347635;26396568;23816995;24968567;25408321;23858961;23602843;22695050;24492983;24191877;25946245;24947203;20889417;20008867;23597019;28450399;29263165;5810781;6248620;27534348;29492064;27507282;25597583</vt:lpwstr>
  </property>
  <property fmtid="{D5CDD505-2E9C-101B-9397-08002B2CF9AE}" pid="19" name="CASESLISTTMP2">
    <vt:lpwstr>23436889;27162749;22630842;23284659;26166341;21284935;26730073;28594554;25823341;27851926;26313705;26794424;25849483;25675937;25215538</vt:lpwstr>
  </property>
  <property fmtid="{D5CDD505-2E9C-101B-9397-08002B2CF9AE}" pid="20" name="BOOKLISTTMP1">
    <vt:lpwstr>52448</vt:lpwstr>
  </property>
  <property fmtid="{D5CDD505-2E9C-101B-9397-08002B2CF9AE}" pid="21" name="LAWLISTTMP1">
    <vt:lpwstr>4216/006:2;007a</vt:lpwstr>
  </property>
  <property fmtid="{D5CDD505-2E9C-101B-9397-08002B2CF9AE}" pid="22" name="LAWLISTTMP2">
    <vt:lpwstr>70301/031</vt:lpwstr>
  </property>
  <property fmtid="{D5CDD505-2E9C-101B-9397-08002B2CF9AE}" pid="23" name="LAWLISTTMP3">
    <vt:lpwstr>74903:2</vt:lpwstr>
  </property>
</Properties>
</file>