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10986" w:rsidRPr="00711E4F" w14:paraId="52B711BE" w14:textId="77777777" w:rsidTr="00EA5192">
        <w:trPr>
          <w:trHeight w:hRule="exact" w:val="418"/>
          <w:jc w:val="center"/>
        </w:trPr>
        <w:tc>
          <w:tcPr>
            <w:tcW w:w="8721" w:type="dxa"/>
            <w:gridSpan w:val="2"/>
          </w:tcPr>
          <w:p w14:paraId="02A017A0" w14:textId="77777777" w:rsidR="00210986" w:rsidRPr="00711E4F" w:rsidRDefault="00210986" w:rsidP="006A2D49">
            <w:pPr>
              <w:pStyle w:val="a3"/>
              <w:jc w:val="center"/>
              <w:rPr>
                <w:rFonts w:ascii="Tahoma" w:hAnsi="Tahoma" w:cs="Tahoma"/>
                <w:color w:val="000080"/>
                <w:rtl/>
              </w:rPr>
            </w:pPr>
            <w:bookmarkStart w:id="0" w:name="LastJudge"/>
            <w:r w:rsidRPr="00711E4F">
              <w:rPr>
                <w:rFonts w:ascii="Tahoma" w:hAnsi="Tahoma" w:cs="Tahoma"/>
                <w:b/>
                <w:bCs/>
                <w:color w:val="000080"/>
                <w:rtl/>
              </w:rPr>
              <w:t>בית משפט השלום בתל אביב -יפו</w:t>
            </w:r>
          </w:p>
        </w:tc>
      </w:tr>
      <w:tr w:rsidR="00210986" w:rsidRPr="00711E4F" w14:paraId="038FE9E1" w14:textId="77777777" w:rsidTr="00EA5192">
        <w:trPr>
          <w:trHeight w:val="337"/>
          <w:jc w:val="center"/>
        </w:trPr>
        <w:tc>
          <w:tcPr>
            <w:tcW w:w="5054" w:type="dxa"/>
          </w:tcPr>
          <w:p w14:paraId="54307DD7" w14:textId="77777777" w:rsidR="00210986" w:rsidRPr="00711E4F" w:rsidRDefault="00210986" w:rsidP="006A2D49">
            <w:pPr>
              <w:rPr>
                <w:rFonts w:cs="FrankRuehl"/>
                <w:sz w:val="28"/>
                <w:szCs w:val="28"/>
                <w:rtl/>
              </w:rPr>
            </w:pPr>
            <w:r w:rsidRPr="00711E4F">
              <w:rPr>
                <w:rFonts w:cs="FrankRuehl"/>
                <w:sz w:val="28"/>
                <w:szCs w:val="28"/>
                <w:rtl/>
              </w:rPr>
              <w:t>ת"פ</w:t>
            </w:r>
            <w:r w:rsidRPr="00711E4F">
              <w:rPr>
                <w:rFonts w:cs="FrankRuehl" w:hint="cs"/>
                <w:sz w:val="28"/>
                <w:szCs w:val="28"/>
                <w:rtl/>
              </w:rPr>
              <w:t xml:space="preserve"> </w:t>
            </w:r>
            <w:r w:rsidRPr="00711E4F">
              <w:rPr>
                <w:rFonts w:cs="FrankRuehl"/>
                <w:sz w:val="28"/>
                <w:szCs w:val="28"/>
                <w:rtl/>
              </w:rPr>
              <w:t>32302-02-23</w:t>
            </w:r>
            <w:r w:rsidRPr="00711E4F">
              <w:rPr>
                <w:rFonts w:cs="FrankRuehl" w:hint="cs"/>
                <w:sz w:val="28"/>
                <w:szCs w:val="28"/>
                <w:rtl/>
              </w:rPr>
              <w:t xml:space="preserve"> </w:t>
            </w:r>
            <w:r w:rsidRPr="00711E4F">
              <w:rPr>
                <w:rFonts w:cs="FrankRuehl"/>
                <w:b/>
                <w:bCs/>
                <w:sz w:val="28"/>
                <w:szCs w:val="28"/>
                <w:rtl/>
              </w:rPr>
              <w:t>מדינת ישראל נ' בן ציון</w:t>
            </w:r>
          </w:p>
          <w:p w14:paraId="63588D73" w14:textId="77777777" w:rsidR="00210986" w:rsidRPr="00711E4F" w:rsidRDefault="00210986" w:rsidP="006A2D49">
            <w:pPr>
              <w:pStyle w:val="a3"/>
              <w:rPr>
                <w:rFonts w:cs="FrankRuehl"/>
                <w:sz w:val="28"/>
                <w:szCs w:val="28"/>
                <w:rtl/>
              </w:rPr>
            </w:pPr>
          </w:p>
        </w:tc>
        <w:tc>
          <w:tcPr>
            <w:tcW w:w="3667" w:type="dxa"/>
          </w:tcPr>
          <w:p w14:paraId="573767A4" w14:textId="77777777" w:rsidR="00210986" w:rsidRPr="00711E4F" w:rsidRDefault="00210986" w:rsidP="006A2D49">
            <w:pPr>
              <w:pStyle w:val="a3"/>
              <w:jc w:val="right"/>
              <w:rPr>
                <w:rFonts w:cs="FrankRuehl"/>
                <w:sz w:val="28"/>
                <w:szCs w:val="28"/>
                <w:rtl/>
              </w:rPr>
            </w:pPr>
          </w:p>
        </w:tc>
      </w:tr>
    </w:tbl>
    <w:p w14:paraId="430C1469" w14:textId="77777777" w:rsidR="00210986" w:rsidRPr="00711E4F" w:rsidRDefault="00210986" w:rsidP="00210986">
      <w:pPr>
        <w:pStyle w:val="a3"/>
        <w:rPr>
          <w:rtl/>
        </w:rPr>
      </w:pPr>
      <w:r w:rsidRPr="00711E4F">
        <w:rPr>
          <w:rFonts w:hint="cs"/>
          <w:rtl/>
        </w:rPr>
        <w:t xml:space="preserve"> </w:t>
      </w:r>
    </w:p>
    <w:p w14:paraId="4177D869" w14:textId="77777777" w:rsidR="00210986" w:rsidRPr="00711E4F" w:rsidRDefault="00210986" w:rsidP="00210986">
      <w:pPr>
        <w:spacing w:line="360" w:lineRule="auto"/>
        <w:rPr>
          <w:rtl/>
        </w:rPr>
      </w:pPr>
    </w:p>
    <w:p w14:paraId="2DB60CF0" w14:textId="77777777" w:rsidR="00210986" w:rsidRPr="00711E4F" w:rsidRDefault="00210986" w:rsidP="00210986">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210986" w:rsidRPr="00711E4F" w14:paraId="324A566B" w14:textId="77777777" w:rsidTr="00210986">
        <w:trPr>
          <w:trHeight w:val="295"/>
          <w:jc w:val="center"/>
        </w:trPr>
        <w:tc>
          <w:tcPr>
            <w:tcW w:w="923" w:type="dxa"/>
            <w:tcBorders>
              <w:top w:val="nil"/>
              <w:left w:val="nil"/>
              <w:bottom w:val="nil"/>
              <w:right w:val="nil"/>
            </w:tcBorders>
            <w:shd w:val="clear" w:color="auto" w:fill="auto"/>
          </w:tcPr>
          <w:p w14:paraId="3C1B1008" w14:textId="77777777" w:rsidR="00210986" w:rsidRPr="00711E4F" w:rsidRDefault="00210986" w:rsidP="00210986">
            <w:pPr>
              <w:spacing w:line="360" w:lineRule="auto"/>
              <w:jc w:val="both"/>
              <w:rPr>
                <w:rFonts w:ascii="David" w:hAnsi="David"/>
                <w:b/>
                <w:bCs/>
                <w:sz w:val="26"/>
                <w:szCs w:val="26"/>
              </w:rPr>
            </w:pPr>
            <w:r w:rsidRPr="00711E4F">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542C943" w14:textId="77777777" w:rsidR="00210986" w:rsidRPr="00711E4F" w:rsidRDefault="00210986" w:rsidP="00210986">
            <w:pPr>
              <w:spacing w:line="360" w:lineRule="auto"/>
              <w:rPr>
                <w:rFonts w:ascii="David" w:hAnsi="David"/>
                <w:b/>
                <w:bCs/>
                <w:sz w:val="26"/>
                <w:szCs w:val="26"/>
                <w:rtl/>
              </w:rPr>
            </w:pPr>
            <w:r w:rsidRPr="00711E4F">
              <w:rPr>
                <w:rFonts w:ascii="David" w:hAnsi="David" w:hint="cs"/>
                <w:b/>
                <w:bCs/>
                <w:sz w:val="26"/>
                <w:szCs w:val="26"/>
                <w:rtl/>
              </w:rPr>
              <w:t>כבוד השופט הבכיר, שאול אבינור</w:t>
            </w:r>
          </w:p>
          <w:p w14:paraId="1E2FFEB0" w14:textId="77777777" w:rsidR="00210986" w:rsidRPr="00711E4F" w:rsidRDefault="00210986" w:rsidP="00210986">
            <w:pPr>
              <w:spacing w:line="360" w:lineRule="auto"/>
              <w:rPr>
                <w:rFonts w:ascii="David" w:hAnsi="David"/>
                <w:sz w:val="26"/>
                <w:szCs w:val="26"/>
              </w:rPr>
            </w:pPr>
          </w:p>
        </w:tc>
      </w:tr>
      <w:tr w:rsidR="00210986" w:rsidRPr="00711E4F" w14:paraId="2E8FDD6C" w14:textId="77777777" w:rsidTr="00210986">
        <w:trPr>
          <w:trHeight w:val="355"/>
          <w:jc w:val="center"/>
        </w:trPr>
        <w:tc>
          <w:tcPr>
            <w:tcW w:w="923" w:type="dxa"/>
            <w:tcBorders>
              <w:top w:val="nil"/>
              <w:left w:val="nil"/>
              <w:bottom w:val="nil"/>
              <w:right w:val="nil"/>
            </w:tcBorders>
            <w:shd w:val="clear" w:color="auto" w:fill="auto"/>
          </w:tcPr>
          <w:p w14:paraId="68E20E5A" w14:textId="77777777" w:rsidR="00210986" w:rsidRPr="00711E4F" w:rsidRDefault="00210986" w:rsidP="00210986">
            <w:pPr>
              <w:spacing w:line="360" w:lineRule="auto"/>
              <w:jc w:val="both"/>
              <w:rPr>
                <w:rFonts w:ascii="David" w:hAnsi="David"/>
                <w:b/>
                <w:bCs/>
                <w:sz w:val="26"/>
                <w:szCs w:val="26"/>
              </w:rPr>
            </w:pPr>
            <w:bookmarkStart w:id="1" w:name="FirstAppellant"/>
            <w:bookmarkStart w:id="2" w:name="FirstLawyer"/>
            <w:r w:rsidRPr="00711E4F">
              <w:rPr>
                <w:rFonts w:ascii="David" w:hAnsi="David"/>
                <w:b/>
                <w:bCs/>
                <w:sz w:val="26"/>
                <w:szCs w:val="26"/>
                <w:rtl/>
              </w:rPr>
              <w:t>בעניין:</w:t>
            </w:r>
          </w:p>
        </w:tc>
        <w:tc>
          <w:tcPr>
            <w:tcW w:w="3219" w:type="dxa"/>
            <w:tcBorders>
              <w:top w:val="nil"/>
              <w:left w:val="nil"/>
              <w:bottom w:val="nil"/>
              <w:right w:val="nil"/>
            </w:tcBorders>
            <w:shd w:val="clear" w:color="auto" w:fill="auto"/>
          </w:tcPr>
          <w:p w14:paraId="434D7779" w14:textId="77777777" w:rsidR="00210986" w:rsidRPr="00711E4F" w:rsidRDefault="00210986" w:rsidP="00210986">
            <w:pPr>
              <w:suppressLineNumbers/>
              <w:spacing w:line="360" w:lineRule="auto"/>
              <w:rPr>
                <w:b/>
                <w:bCs/>
              </w:rPr>
            </w:pPr>
            <w:r w:rsidRPr="00711E4F">
              <w:rPr>
                <w:rFonts w:ascii="Arial" w:hAnsi="Arial" w:hint="cs"/>
                <w:b/>
                <w:bCs/>
                <w:sz w:val="26"/>
                <w:szCs w:val="26"/>
                <w:rtl/>
              </w:rPr>
              <w:t>המאשימה:</w:t>
            </w:r>
          </w:p>
          <w:p w14:paraId="0DED4290" w14:textId="77777777" w:rsidR="00210986" w:rsidRPr="00711E4F" w:rsidRDefault="00210986" w:rsidP="00210986">
            <w:pPr>
              <w:spacing w:line="360" w:lineRule="auto"/>
              <w:rPr>
                <w:rFonts w:ascii="David" w:hAnsi="David"/>
                <w:b/>
                <w:bCs/>
                <w:sz w:val="26"/>
                <w:szCs w:val="26"/>
              </w:rPr>
            </w:pPr>
          </w:p>
        </w:tc>
        <w:tc>
          <w:tcPr>
            <w:tcW w:w="4678" w:type="dxa"/>
            <w:tcBorders>
              <w:top w:val="nil"/>
              <w:left w:val="nil"/>
              <w:bottom w:val="nil"/>
              <w:right w:val="nil"/>
            </w:tcBorders>
            <w:shd w:val="clear" w:color="auto" w:fill="auto"/>
            <w:vAlign w:val="center"/>
          </w:tcPr>
          <w:p w14:paraId="621F4D7A" w14:textId="77777777" w:rsidR="00210986" w:rsidRPr="00711E4F" w:rsidRDefault="00210986" w:rsidP="00210986">
            <w:pPr>
              <w:suppressLineNumbers/>
              <w:spacing w:line="360" w:lineRule="auto"/>
              <w:rPr>
                <w:rFonts w:ascii="Arial" w:hAnsi="Arial"/>
                <w:b/>
                <w:bCs/>
                <w:rtl/>
              </w:rPr>
            </w:pPr>
            <w:r w:rsidRPr="00711E4F">
              <w:rPr>
                <w:rFonts w:ascii="Arial" w:hAnsi="Arial"/>
                <w:b/>
                <w:bCs/>
                <w:sz w:val="26"/>
                <w:szCs w:val="26"/>
                <w:rtl/>
              </w:rPr>
              <w:t>מדינת ישראל</w:t>
            </w:r>
            <w:r w:rsidRPr="00711E4F">
              <w:rPr>
                <w:rFonts w:ascii="Arial" w:hAnsi="Arial" w:hint="cs"/>
                <w:b/>
                <w:bCs/>
                <w:sz w:val="26"/>
                <w:szCs w:val="26"/>
                <w:rtl/>
              </w:rPr>
              <w:t xml:space="preserve"> </w:t>
            </w:r>
          </w:p>
          <w:p w14:paraId="65EC1FE1" w14:textId="77777777" w:rsidR="00210986" w:rsidRPr="00711E4F" w:rsidRDefault="00210986" w:rsidP="00210986">
            <w:pPr>
              <w:suppressLineNumbers/>
              <w:spacing w:line="360" w:lineRule="auto"/>
            </w:pPr>
            <w:r w:rsidRPr="00711E4F">
              <w:rPr>
                <w:rFonts w:ascii="Arial" w:hAnsi="Arial"/>
                <w:rtl/>
              </w:rPr>
              <w:t>ע"י</w:t>
            </w:r>
            <w:r w:rsidRPr="00711E4F">
              <w:rPr>
                <w:rFonts w:ascii="Arial" w:hAnsi="Arial"/>
                <w:sz w:val="26"/>
                <w:szCs w:val="26"/>
                <w:rtl/>
              </w:rPr>
              <w:t xml:space="preserve"> </w:t>
            </w:r>
            <w:r w:rsidRPr="00711E4F">
              <w:rPr>
                <w:rFonts w:ascii="Arial" w:hAnsi="Arial"/>
                <w:rtl/>
              </w:rPr>
              <w:t>ב"כ ע</w:t>
            </w:r>
            <w:r w:rsidRPr="00711E4F">
              <w:rPr>
                <w:rFonts w:ascii="Arial" w:hAnsi="Arial" w:hint="cs"/>
                <w:rtl/>
              </w:rPr>
              <w:t>ו"ד ספיר שחף-יגר</w:t>
            </w:r>
          </w:p>
        </w:tc>
      </w:tr>
      <w:bookmarkEnd w:id="1"/>
      <w:bookmarkEnd w:id="2"/>
      <w:tr w:rsidR="00210986" w:rsidRPr="00711E4F" w14:paraId="258FFE79" w14:textId="77777777" w:rsidTr="00210986">
        <w:trPr>
          <w:trHeight w:val="355"/>
          <w:jc w:val="center"/>
        </w:trPr>
        <w:tc>
          <w:tcPr>
            <w:tcW w:w="923" w:type="dxa"/>
            <w:tcBorders>
              <w:top w:val="nil"/>
              <w:left w:val="nil"/>
              <w:bottom w:val="nil"/>
              <w:right w:val="nil"/>
            </w:tcBorders>
            <w:shd w:val="clear" w:color="auto" w:fill="auto"/>
          </w:tcPr>
          <w:p w14:paraId="602E342D" w14:textId="77777777" w:rsidR="00210986" w:rsidRPr="00711E4F" w:rsidRDefault="00210986" w:rsidP="00210986">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6794882C" w14:textId="77777777" w:rsidR="00210986" w:rsidRPr="00711E4F" w:rsidRDefault="00210986" w:rsidP="00210986">
            <w:pPr>
              <w:spacing w:line="360" w:lineRule="auto"/>
              <w:jc w:val="center"/>
              <w:rPr>
                <w:rFonts w:ascii="David" w:hAnsi="David"/>
                <w:b/>
                <w:bCs/>
                <w:sz w:val="26"/>
                <w:szCs w:val="26"/>
                <w:rtl/>
              </w:rPr>
            </w:pPr>
          </w:p>
          <w:p w14:paraId="4838FA6B" w14:textId="77777777" w:rsidR="00210986" w:rsidRPr="00711E4F" w:rsidRDefault="00210986" w:rsidP="00210986">
            <w:pPr>
              <w:spacing w:line="360" w:lineRule="auto"/>
              <w:jc w:val="center"/>
              <w:rPr>
                <w:rFonts w:ascii="David" w:hAnsi="David"/>
                <w:b/>
                <w:bCs/>
                <w:sz w:val="26"/>
                <w:szCs w:val="26"/>
                <w:rtl/>
              </w:rPr>
            </w:pPr>
          </w:p>
          <w:p w14:paraId="4CEBAD11" w14:textId="77777777" w:rsidR="00210986" w:rsidRPr="00711E4F" w:rsidRDefault="00210986" w:rsidP="00210986">
            <w:pPr>
              <w:spacing w:line="360" w:lineRule="auto"/>
              <w:jc w:val="center"/>
              <w:rPr>
                <w:rFonts w:ascii="David" w:hAnsi="David"/>
                <w:b/>
                <w:bCs/>
                <w:sz w:val="26"/>
                <w:szCs w:val="26"/>
                <w:rtl/>
              </w:rPr>
            </w:pPr>
            <w:r w:rsidRPr="00711E4F">
              <w:rPr>
                <w:rFonts w:ascii="David" w:hAnsi="David"/>
                <w:b/>
                <w:bCs/>
                <w:sz w:val="26"/>
                <w:szCs w:val="26"/>
                <w:rtl/>
              </w:rPr>
              <w:t>נגד</w:t>
            </w:r>
          </w:p>
          <w:p w14:paraId="085B48FC" w14:textId="77777777" w:rsidR="00210986" w:rsidRPr="00711E4F" w:rsidRDefault="00210986" w:rsidP="00210986">
            <w:pPr>
              <w:spacing w:line="360" w:lineRule="auto"/>
              <w:jc w:val="both"/>
              <w:rPr>
                <w:rFonts w:ascii="David" w:hAnsi="David"/>
                <w:sz w:val="26"/>
                <w:szCs w:val="26"/>
                <w:rtl/>
              </w:rPr>
            </w:pPr>
          </w:p>
          <w:p w14:paraId="310B9CED" w14:textId="77777777" w:rsidR="00210986" w:rsidRPr="00711E4F" w:rsidRDefault="00210986" w:rsidP="00210986">
            <w:pPr>
              <w:spacing w:line="360" w:lineRule="auto"/>
              <w:jc w:val="both"/>
              <w:rPr>
                <w:rFonts w:ascii="David" w:hAnsi="David"/>
                <w:sz w:val="26"/>
                <w:szCs w:val="26"/>
              </w:rPr>
            </w:pPr>
          </w:p>
        </w:tc>
      </w:tr>
      <w:tr w:rsidR="00210986" w:rsidRPr="00711E4F" w14:paraId="39402920" w14:textId="77777777" w:rsidTr="00210986">
        <w:trPr>
          <w:trHeight w:val="355"/>
          <w:jc w:val="center"/>
        </w:trPr>
        <w:tc>
          <w:tcPr>
            <w:tcW w:w="923" w:type="dxa"/>
            <w:tcBorders>
              <w:top w:val="nil"/>
              <w:left w:val="nil"/>
              <w:bottom w:val="nil"/>
              <w:right w:val="nil"/>
            </w:tcBorders>
            <w:shd w:val="clear" w:color="auto" w:fill="auto"/>
          </w:tcPr>
          <w:p w14:paraId="202241A6" w14:textId="77777777" w:rsidR="00210986" w:rsidRPr="00711E4F" w:rsidRDefault="00210986" w:rsidP="00210986">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5D3D410A" w14:textId="77777777" w:rsidR="00210986" w:rsidRPr="00711E4F" w:rsidRDefault="00210986" w:rsidP="00210986">
            <w:pPr>
              <w:spacing w:line="360" w:lineRule="auto"/>
              <w:rPr>
                <w:rFonts w:ascii="Arial" w:hAnsi="Arial"/>
                <w:b/>
                <w:bCs/>
                <w:sz w:val="26"/>
                <w:szCs w:val="26"/>
                <w:rtl/>
              </w:rPr>
            </w:pPr>
            <w:r w:rsidRPr="00711E4F">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1F4FE44" w14:textId="77777777" w:rsidR="00210986" w:rsidRPr="00711E4F" w:rsidRDefault="00210986" w:rsidP="00210986">
            <w:pPr>
              <w:suppressLineNumbers/>
              <w:spacing w:line="360" w:lineRule="auto"/>
              <w:rPr>
                <w:rFonts w:ascii="Arial" w:hAnsi="Arial"/>
                <w:b/>
                <w:bCs/>
                <w:sz w:val="26"/>
                <w:szCs w:val="26"/>
                <w:rtl/>
              </w:rPr>
            </w:pPr>
            <w:r w:rsidRPr="00711E4F">
              <w:rPr>
                <w:rFonts w:ascii="Arial" w:hAnsi="Arial"/>
                <w:b/>
                <w:bCs/>
                <w:sz w:val="26"/>
                <w:szCs w:val="26"/>
                <w:rtl/>
              </w:rPr>
              <w:t>נתנאל בן ציון</w:t>
            </w:r>
            <w:r w:rsidRPr="00711E4F">
              <w:rPr>
                <w:rFonts w:ascii="Arial" w:hAnsi="Arial" w:hint="cs"/>
                <w:b/>
                <w:bCs/>
                <w:sz w:val="26"/>
                <w:szCs w:val="26"/>
                <w:rtl/>
              </w:rPr>
              <w:t xml:space="preserve"> </w:t>
            </w:r>
          </w:p>
          <w:p w14:paraId="7ECB442D" w14:textId="77777777" w:rsidR="00210986" w:rsidRPr="00711E4F" w:rsidRDefault="00210986" w:rsidP="00210986">
            <w:pPr>
              <w:suppressLineNumbers/>
              <w:spacing w:line="360" w:lineRule="auto"/>
            </w:pPr>
            <w:r w:rsidRPr="00711E4F">
              <w:rPr>
                <w:rFonts w:ascii="Arial" w:hAnsi="Arial"/>
                <w:rtl/>
              </w:rPr>
              <w:t>ע"י</w:t>
            </w:r>
            <w:r w:rsidRPr="00711E4F">
              <w:rPr>
                <w:rFonts w:ascii="Arial" w:hAnsi="Arial"/>
                <w:b/>
                <w:bCs/>
                <w:sz w:val="26"/>
                <w:szCs w:val="26"/>
                <w:rtl/>
              </w:rPr>
              <w:t xml:space="preserve"> </w:t>
            </w:r>
            <w:r w:rsidRPr="00711E4F">
              <w:rPr>
                <w:rFonts w:ascii="Arial" w:hAnsi="Arial"/>
                <w:rtl/>
              </w:rPr>
              <w:t>ב"כ עו</w:t>
            </w:r>
            <w:r w:rsidRPr="00711E4F">
              <w:rPr>
                <w:rFonts w:ascii="Arial" w:hAnsi="Arial" w:hint="cs"/>
                <w:rtl/>
              </w:rPr>
              <w:t>"ד יצחק איצקוביץ</w:t>
            </w:r>
          </w:p>
          <w:p w14:paraId="57036B81" w14:textId="77777777" w:rsidR="00210986" w:rsidRPr="00711E4F" w:rsidRDefault="00210986" w:rsidP="00210986">
            <w:pPr>
              <w:spacing w:line="360" w:lineRule="auto"/>
              <w:rPr>
                <w:rFonts w:ascii="David" w:hAnsi="David"/>
                <w:sz w:val="26"/>
                <w:szCs w:val="26"/>
              </w:rPr>
            </w:pPr>
          </w:p>
        </w:tc>
      </w:tr>
    </w:tbl>
    <w:p w14:paraId="6D7694BA" w14:textId="77777777" w:rsidR="00711E4F" w:rsidRPr="00711E4F" w:rsidRDefault="00711E4F" w:rsidP="00711E4F">
      <w:pPr>
        <w:spacing w:before="120" w:after="120" w:line="240" w:lineRule="exact"/>
        <w:ind w:left="283" w:hanging="283"/>
        <w:jc w:val="both"/>
        <w:rPr>
          <w:rFonts w:ascii="FrankRuehl" w:hAnsi="FrankRuehl" w:cs="FrankRuehl"/>
          <w:rtl/>
        </w:rPr>
      </w:pPr>
    </w:p>
    <w:p w14:paraId="7934972E" w14:textId="77777777" w:rsidR="0050137C" w:rsidRPr="0050137C" w:rsidRDefault="0050137C" w:rsidP="0050137C">
      <w:pPr>
        <w:spacing w:before="120" w:after="120" w:line="240" w:lineRule="exact"/>
        <w:ind w:left="283" w:hanging="283"/>
        <w:jc w:val="both"/>
        <w:rPr>
          <w:rFonts w:ascii="FrankRuehl" w:hAnsi="FrankRuehl" w:cs="FrankRuehl"/>
          <w:rtl/>
        </w:rPr>
      </w:pPr>
    </w:p>
    <w:p w14:paraId="7198CA67" w14:textId="77777777" w:rsidR="00780DA7" w:rsidRDefault="00780DA7" w:rsidP="00780DA7">
      <w:pPr>
        <w:spacing w:line="360" w:lineRule="auto"/>
        <w:rPr>
          <w:sz w:val="26"/>
          <w:szCs w:val="26"/>
          <w:rtl/>
        </w:rPr>
      </w:pPr>
      <w:bookmarkStart w:id="3" w:name="LawTable"/>
      <w:bookmarkEnd w:id="3"/>
    </w:p>
    <w:p w14:paraId="0D99B3A7" w14:textId="77777777" w:rsidR="00780DA7" w:rsidRPr="00780DA7" w:rsidRDefault="00780DA7" w:rsidP="00780DA7">
      <w:pPr>
        <w:spacing w:before="120" w:after="120" w:line="240" w:lineRule="exact"/>
        <w:ind w:left="283" w:hanging="283"/>
        <w:jc w:val="both"/>
        <w:rPr>
          <w:rFonts w:ascii="FrankRuehl" w:hAnsi="FrankRuehl" w:cs="FrankRuehl"/>
          <w:rtl/>
        </w:rPr>
      </w:pPr>
    </w:p>
    <w:p w14:paraId="5C8DC63D" w14:textId="77777777" w:rsidR="00780DA7" w:rsidRPr="00780DA7" w:rsidRDefault="00780DA7" w:rsidP="00780DA7">
      <w:pPr>
        <w:spacing w:before="120" w:after="120" w:line="240" w:lineRule="exact"/>
        <w:ind w:left="283" w:hanging="283"/>
        <w:jc w:val="both"/>
        <w:rPr>
          <w:rFonts w:ascii="FrankRuehl" w:hAnsi="FrankRuehl" w:cs="FrankRuehl"/>
          <w:rtl/>
        </w:rPr>
      </w:pPr>
    </w:p>
    <w:p w14:paraId="45FAF152" w14:textId="77777777" w:rsidR="00780DA7" w:rsidRPr="00780DA7" w:rsidRDefault="00780DA7" w:rsidP="00780DA7">
      <w:pPr>
        <w:spacing w:before="120" w:after="120" w:line="240" w:lineRule="exact"/>
        <w:ind w:left="283" w:hanging="283"/>
        <w:jc w:val="both"/>
        <w:rPr>
          <w:rFonts w:ascii="FrankRuehl" w:hAnsi="FrankRuehl" w:cs="FrankRuehl"/>
          <w:rtl/>
        </w:rPr>
      </w:pPr>
      <w:r w:rsidRPr="00780DA7">
        <w:rPr>
          <w:rFonts w:ascii="FrankRuehl" w:hAnsi="FrankRuehl" w:cs="FrankRuehl"/>
          <w:rtl/>
        </w:rPr>
        <w:t xml:space="preserve">חקיקה שאוזכרה: </w:t>
      </w:r>
    </w:p>
    <w:p w14:paraId="4708A47D" w14:textId="77777777" w:rsidR="00780DA7" w:rsidRPr="00780DA7" w:rsidRDefault="00780DA7" w:rsidP="00780DA7">
      <w:pPr>
        <w:spacing w:before="120" w:after="120" w:line="240" w:lineRule="exact"/>
        <w:ind w:left="283" w:hanging="283"/>
        <w:jc w:val="both"/>
        <w:rPr>
          <w:rFonts w:ascii="FrankRuehl" w:hAnsi="FrankRuehl" w:cs="FrankRuehl"/>
          <w:rtl/>
        </w:rPr>
      </w:pPr>
      <w:hyperlink r:id="rId7" w:history="1">
        <w:r w:rsidRPr="00780DA7">
          <w:rPr>
            <w:rFonts w:ascii="FrankRuehl" w:hAnsi="FrankRuehl" w:cs="FrankRuehl"/>
            <w:color w:val="0000FF"/>
            <w:rtl/>
          </w:rPr>
          <w:t>פקודת הסמים המסוכנים [נוסח חדש], תשל"ג-1973</w:t>
        </w:r>
      </w:hyperlink>
      <w:r w:rsidRPr="00780DA7">
        <w:rPr>
          <w:rFonts w:ascii="FrankRuehl" w:hAnsi="FrankRuehl" w:cs="FrankRuehl"/>
          <w:rtl/>
        </w:rPr>
        <w:t xml:space="preserve">: סע'  </w:t>
      </w:r>
      <w:hyperlink r:id="rId8" w:history="1">
        <w:r w:rsidRPr="00780DA7">
          <w:rPr>
            <w:rFonts w:ascii="FrankRuehl" w:hAnsi="FrankRuehl" w:cs="FrankRuehl"/>
            <w:color w:val="0000FF"/>
            <w:rtl/>
          </w:rPr>
          <w:t>7(א)</w:t>
        </w:r>
      </w:hyperlink>
      <w:r w:rsidRPr="00780DA7">
        <w:rPr>
          <w:rFonts w:ascii="FrankRuehl" w:hAnsi="FrankRuehl" w:cs="FrankRuehl"/>
          <w:rtl/>
        </w:rPr>
        <w:t xml:space="preserve">, </w:t>
      </w:r>
      <w:hyperlink r:id="rId9" w:history="1">
        <w:r w:rsidRPr="00780DA7">
          <w:rPr>
            <w:rFonts w:ascii="FrankRuehl" w:hAnsi="FrankRuehl" w:cs="FrankRuehl"/>
            <w:color w:val="0000FF"/>
            <w:rtl/>
          </w:rPr>
          <w:t>7(ג)</w:t>
        </w:r>
      </w:hyperlink>
    </w:p>
    <w:p w14:paraId="319B371D" w14:textId="77777777" w:rsidR="00780DA7" w:rsidRPr="00780DA7" w:rsidRDefault="00780DA7" w:rsidP="00780DA7">
      <w:pPr>
        <w:spacing w:before="120" w:after="120" w:line="240" w:lineRule="exact"/>
        <w:ind w:left="283" w:hanging="283"/>
        <w:jc w:val="both"/>
        <w:rPr>
          <w:rFonts w:ascii="FrankRuehl" w:hAnsi="FrankRuehl" w:cs="FrankRuehl"/>
          <w:rtl/>
        </w:rPr>
      </w:pPr>
      <w:hyperlink r:id="rId10" w:history="1">
        <w:r w:rsidRPr="00780DA7">
          <w:rPr>
            <w:rFonts w:ascii="FrankRuehl" w:hAnsi="FrankRuehl" w:cs="FrankRuehl"/>
            <w:color w:val="0000FF"/>
            <w:rtl/>
          </w:rPr>
          <w:t>פקודת התעבורה [נוסח חדש]</w:t>
        </w:r>
      </w:hyperlink>
      <w:r w:rsidRPr="00780DA7">
        <w:rPr>
          <w:rFonts w:ascii="FrankRuehl" w:hAnsi="FrankRuehl" w:cs="FrankRuehl"/>
          <w:rtl/>
        </w:rPr>
        <w:t xml:space="preserve">: סע'  </w:t>
      </w:r>
      <w:hyperlink r:id="rId11" w:history="1">
        <w:r w:rsidRPr="00780DA7">
          <w:rPr>
            <w:rFonts w:ascii="FrankRuehl" w:hAnsi="FrankRuehl" w:cs="FrankRuehl"/>
            <w:color w:val="0000FF"/>
            <w:rtl/>
          </w:rPr>
          <w:t>10(א)</w:t>
        </w:r>
      </w:hyperlink>
    </w:p>
    <w:p w14:paraId="2A9E1600" w14:textId="77777777" w:rsidR="00780DA7" w:rsidRPr="00780DA7" w:rsidRDefault="00780DA7" w:rsidP="00780DA7">
      <w:pPr>
        <w:spacing w:before="120" w:after="120" w:line="240" w:lineRule="exact"/>
        <w:ind w:left="283" w:hanging="283"/>
        <w:jc w:val="both"/>
        <w:rPr>
          <w:rFonts w:ascii="FrankRuehl" w:hAnsi="FrankRuehl" w:cs="FrankRuehl"/>
          <w:rtl/>
        </w:rPr>
      </w:pPr>
      <w:hyperlink r:id="rId12" w:history="1">
        <w:r w:rsidRPr="00780DA7">
          <w:rPr>
            <w:rFonts w:ascii="FrankRuehl" w:hAnsi="FrankRuehl" w:cs="FrankRuehl"/>
            <w:color w:val="0000FF"/>
            <w:rtl/>
          </w:rPr>
          <w:t>חוק הכניסה לישראל, תשי"ב-1952</w:t>
        </w:r>
      </w:hyperlink>
    </w:p>
    <w:p w14:paraId="0DBEB5E6" w14:textId="77777777" w:rsidR="00780DA7" w:rsidRPr="00780DA7" w:rsidRDefault="00780DA7" w:rsidP="00780DA7">
      <w:pPr>
        <w:spacing w:before="120" w:after="120" w:line="240" w:lineRule="exact"/>
        <w:ind w:left="283" w:hanging="283"/>
        <w:jc w:val="both"/>
        <w:rPr>
          <w:rFonts w:ascii="FrankRuehl" w:hAnsi="FrankRuehl" w:cs="FrankRuehl"/>
          <w:rtl/>
        </w:rPr>
      </w:pPr>
      <w:hyperlink r:id="rId13" w:history="1">
        <w:r w:rsidRPr="00780DA7">
          <w:rPr>
            <w:rFonts w:ascii="FrankRuehl" w:hAnsi="FrankRuehl" w:cs="FrankRuehl"/>
            <w:color w:val="0000FF"/>
            <w:rtl/>
          </w:rPr>
          <w:t>חוק העונשין, תשל"ז-1977</w:t>
        </w:r>
      </w:hyperlink>
      <w:r w:rsidRPr="00780DA7">
        <w:rPr>
          <w:rFonts w:ascii="FrankRuehl" w:hAnsi="FrankRuehl" w:cs="FrankRuehl"/>
          <w:rtl/>
        </w:rPr>
        <w:t xml:space="preserve">: סע'  </w:t>
      </w:r>
      <w:hyperlink r:id="rId14" w:history="1">
        <w:r w:rsidRPr="00780DA7">
          <w:rPr>
            <w:rFonts w:ascii="FrankRuehl" w:hAnsi="FrankRuehl" w:cs="FrankRuehl"/>
            <w:color w:val="0000FF"/>
            <w:rtl/>
          </w:rPr>
          <w:t>40ט</w:t>
        </w:r>
      </w:hyperlink>
      <w:r w:rsidRPr="00780DA7">
        <w:rPr>
          <w:rFonts w:ascii="FrankRuehl" w:hAnsi="FrankRuehl" w:cs="FrankRuehl"/>
          <w:rtl/>
        </w:rPr>
        <w:t xml:space="preserve">, </w:t>
      </w:r>
      <w:hyperlink r:id="rId15" w:history="1">
        <w:r w:rsidRPr="00780DA7">
          <w:rPr>
            <w:rFonts w:ascii="FrankRuehl" w:hAnsi="FrankRuehl" w:cs="FrankRuehl"/>
            <w:color w:val="0000FF"/>
            <w:rtl/>
          </w:rPr>
          <w:t>40יא</w:t>
        </w:r>
      </w:hyperlink>
    </w:p>
    <w:p w14:paraId="6854FF5C" w14:textId="77777777" w:rsidR="00780DA7" w:rsidRPr="00780DA7" w:rsidRDefault="00780DA7" w:rsidP="00780DA7">
      <w:pPr>
        <w:spacing w:line="360" w:lineRule="auto"/>
        <w:rPr>
          <w:sz w:val="26"/>
          <w:szCs w:val="26"/>
          <w:rtl/>
        </w:rPr>
      </w:pPr>
      <w:bookmarkStart w:id="4" w:name="LawTable_End"/>
      <w:bookmarkEnd w:id="4"/>
    </w:p>
    <w:p w14:paraId="1FD55F37" w14:textId="77777777" w:rsidR="00210986" w:rsidRPr="0050137C" w:rsidRDefault="00210986" w:rsidP="0050137C">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0986" w14:paraId="6BB9466D" w14:textId="77777777" w:rsidTr="00210986">
        <w:trPr>
          <w:trHeight w:val="355"/>
          <w:jc w:val="center"/>
        </w:trPr>
        <w:tc>
          <w:tcPr>
            <w:tcW w:w="8820" w:type="dxa"/>
            <w:tcBorders>
              <w:top w:val="nil"/>
              <w:left w:val="nil"/>
              <w:bottom w:val="nil"/>
              <w:right w:val="nil"/>
            </w:tcBorders>
            <w:shd w:val="clear" w:color="auto" w:fill="auto"/>
          </w:tcPr>
          <w:p w14:paraId="57B27EF2" w14:textId="77777777" w:rsidR="00711E4F" w:rsidRPr="00711E4F" w:rsidRDefault="00711E4F" w:rsidP="00711E4F">
            <w:pPr>
              <w:spacing w:after="120" w:line="360" w:lineRule="auto"/>
              <w:jc w:val="center"/>
              <w:rPr>
                <w:rFonts w:ascii="David" w:hAnsi="David"/>
                <w:b/>
                <w:bCs/>
                <w:sz w:val="36"/>
                <w:szCs w:val="36"/>
                <w:u w:val="single"/>
                <w:rtl/>
              </w:rPr>
            </w:pPr>
            <w:bookmarkStart w:id="5" w:name="PsakDin" w:colFirst="0" w:colLast="0"/>
            <w:bookmarkEnd w:id="0"/>
            <w:r w:rsidRPr="00711E4F">
              <w:rPr>
                <w:rFonts w:ascii="David" w:hAnsi="David"/>
                <w:b/>
                <w:bCs/>
                <w:sz w:val="36"/>
                <w:szCs w:val="36"/>
                <w:u w:val="single"/>
                <w:rtl/>
              </w:rPr>
              <w:t>גזר דין</w:t>
            </w:r>
          </w:p>
          <w:p w14:paraId="75BCEC11" w14:textId="77777777" w:rsidR="00210986" w:rsidRPr="00711E4F" w:rsidRDefault="00210986" w:rsidP="00711E4F">
            <w:pPr>
              <w:spacing w:after="120" w:line="360" w:lineRule="auto"/>
              <w:jc w:val="center"/>
              <w:rPr>
                <w:rFonts w:ascii="David" w:hAnsi="David"/>
                <w:bCs/>
                <w:sz w:val="36"/>
                <w:szCs w:val="36"/>
                <w:u w:val="single"/>
                <w:rtl/>
              </w:rPr>
            </w:pPr>
          </w:p>
        </w:tc>
      </w:tr>
      <w:bookmarkEnd w:id="5"/>
    </w:tbl>
    <w:p w14:paraId="3DCFC659" w14:textId="77777777" w:rsidR="00210986" w:rsidRDefault="00210986" w:rsidP="00210986">
      <w:pPr>
        <w:spacing w:after="120" w:line="360" w:lineRule="auto"/>
        <w:jc w:val="both"/>
        <w:rPr>
          <w:rFonts w:ascii="Tahoma" w:hAnsi="Tahoma"/>
        </w:rPr>
      </w:pPr>
    </w:p>
    <w:p w14:paraId="66F91CD2" w14:textId="77777777" w:rsidR="00210986" w:rsidRDefault="00210986" w:rsidP="00210986">
      <w:pPr>
        <w:numPr>
          <w:ilvl w:val="0"/>
          <w:numId w:val="1"/>
        </w:numPr>
        <w:spacing w:after="120" w:line="360" w:lineRule="auto"/>
        <w:ind w:left="368"/>
        <w:jc w:val="both"/>
        <w:rPr>
          <w:rFonts w:ascii="Tahoma" w:hAnsi="Tahoma"/>
          <w:b/>
          <w:bCs/>
          <w:u w:val="single"/>
          <w:rtl/>
        </w:rPr>
      </w:pPr>
      <w:r>
        <w:rPr>
          <w:rFonts w:ascii="Tahoma" w:hAnsi="Tahoma"/>
          <w:b/>
          <w:bCs/>
          <w:u w:val="single"/>
          <w:rtl/>
        </w:rPr>
        <w:t>רקע כללי:</w:t>
      </w:r>
    </w:p>
    <w:p w14:paraId="7DD391FB" w14:textId="77777777" w:rsidR="00210986" w:rsidRDefault="00210986" w:rsidP="00210986">
      <w:pPr>
        <w:numPr>
          <w:ilvl w:val="0"/>
          <w:numId w:val="2"/>
        </w:numPr>
        <w:spacing w:after="120" w:line="360" w:lineRule="auto"/>
        <w:ind w:left="360"/>
        <w:jc w:val="both"/>
        <w:rPr>
          <w:rFonts w:ascii="Tahoma" w:hAnsi="Tahoma"/>
        </w:rPr>
      </w:pPr>
      <w:bookmarkStart w:id="6" w:name="ABSTRACT_START"/>
      <w:bookmarkEnd w:id="6"/>
      <w:r>
        <w:rPr>
          <w:rFonts w:ascii="Tahoma" w:hAnsi="Tahoma"/>
          <w:rtl/>
        </w:rPr>
        <w:t>הנאשם הורשע – במסגרת הסדר טיעון דיוני ועל יסוד הודאתו בעובדות כתב האישום המתוקן בתיק שבכותרת (להלן – התיק העיקרי) ובעובדות כתב האישום המתוקן ב</w:t>
      </w:r>
      <w:hyperlink r:id="rId16" w:history="1">
        <w:r w:rsidR="00711E4F" w:rsidRPr="00711E4F">
          <w:rPr>
            <w:rFonts w:ascii="Tahoma" w:hAnsi="Tahoma"/>
            <w:color w:val="0000FF"/>
            <w:u w:val="single"/>
            <w:rtl/>
          </w:rPr>
          <w:t>ת"פ 77148-01-23</w:t>
        </w:r>
      </w:hyperlink>
      <w:r>
        <w:rPr>
          <w:rFonts w:ascii="Tahoma" w:hAnsi="Tahoma"/>
          <w:rtl/>
        </w:rPr>
        <w:t xml:space="preserve"> (להלן – התיק המצורף) – בביצוע שתי עבירות של </w:t>
      </w:r>
      <w:r>
        <w:rPr>
          <w:rFonts w:ascii="Tahoma" w:hAnsi="Tahoma"/>
          <w:b/>
          <w:bCs/>
          <w:rtl/>
        </w:rPr>
        <w:t>החזקת סמים מסוכנים שלא</w:t>
      </w:r>
      <w:r>
        <w:rPr>
          <w:rFonts w:ascii="Tahoma" w:hAnsi="Tahoma"/>
          <w:rtl/>
        </w:rPr>
        <w:t xml:space="preserve"> </w:t>
      </w:r>
      <w:r>
        <w:rPr>
          <w:rFonts w:ascii="Tahoma" w:hAnsi="Tahoma"/>
          <w:b/>
          <w:bCs/>
          <w:rtl/>
        </w:rPr>
        <w:t>לצריכה עצמית</w:t>
      </w:r>
      <w:r>
        <w:rPr>
          <w:rFonts w:ascii="Tahoma" w:hAnsi="Tahoma"/>
          <w:rtl/>
        </w:rPr>
        <w:t xml:space="preserve">, לפי הוראות </w:t>
      </w:r>
      <w:hyperlink r:id="rId17" w:history="1">
        <w:r w:rsidR="00EA5192" w:rsidRPr="00EA5192">
          <w:rPr>
            <w:rStyle w:val="Hyperlink"/>
            <w:rFonts w:ascii="Tahoma" w:hAnsi="Tahoma"/>
            <w:rtl/>
          </w:rPr>
          <w:t>סעיף 7(א)</w:t>
        </w:r>
      </w:hyperlink>
      <w:r>
        <w:rPr>
          <w:rFonts w:ascii="Tahoma" w:hAnsi="Tahoma"/>
          <w:rtl/>
        </w:rPr>
        <w:t xml:space="preserve"> יחד עם </w:t>
      </w:r>
      <w:hyperlink r:id="rId18" w:history="1">
        <w:r w:rsidR="00EA5192" w:rsidRPr="00EA5192">
          <w:rPr>
            <w:rStyle w:val="Hyperlink"/>
            <w:rFonts w:ascii="Tahoma" w:hAnsi="Tahoma"/>
            <w:rtl/>
          </w:rPr>
          <w:t>סעיף 7(ג)</w:t>
        </w:r>
      </w:hyperlink>
      <w:r>
        <w:rPr>
          <w:rFonts w:ascii="Tahoma" w:hAnsi="Tahoma"/>
          <w:rtl/>
        </w:rPr>
        <w:t xml:space="preserve"> רישא ל</w:t>
      </w:r>
      <w:hyperlink r:id="rId19" w:history="1">
        <w:r w:rsidR="00711E4F" w:rsidRPr="00711E4F">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 ו</w:t>
      </w:r>
      <w:r>
        <w:rPr>
          <w:rFonts w:ascii="Tahoma" w:hAnsi="Tahoma" w:hint="cs"/>
          <w:rtl/>
        </w:rPr>
        <w:t xml:space="preserve">כן </w:t>
      </w:r>
      <w:r>
        <w:rPr>
          <w:rFonts w:ascii="Tahoma" w:hAnsi="Tahoma"/>
          <w:rtl/>
        </w:rPr>
        <w:t xml:space="preserve">בעבירה נוספת של </w:t>
      </w:r>
      <w:r>
        <w:rPr>
          <w:rFonts w:ascii="Tahoma" w:hAnsi="Tahoma"/>
          <w:b/>
          <w:bCs/>
          <w:rtl/>
        </w:rPr>
        <w:t>נהיגה ללא רישיון נהיגה תקף</w:t>
      </w:r>
      <w:r>
        <w:rPr>
          <w:rFonts w:ascii="Tahoma" w:hAnsi="Tahoma"/>
          <w:rtl/>
        </w:rPr>
        <w:t xml:space="preserve">, לפי הוראות </w:t>
      </w:r>
      <w:hyperlink r:id="rId20" w:history="1">
        <w:r w:rsidR="00EA5192" w:rsidRPr="00EA5192">
          <w:rPr>
            <w:rStyle w:val="Hyperlink"/>
            <w:rFonts w:ascii="Tahoma" w:hAnsi="Tahoma"/>
            <w:rtl/>
          </w:rPr>
          <w:t>סעיף 10(א)</w:t>
        </w:r>
      </w:hyperlink>
      <w:r>
        <w:rPr>
          <w:rFonts w:ascii="Tahoma" w:hAnsi="Tahoma"/>
          <w:rtl/>
        </w:rPr>
        <w:t xml:space="preserve"> ל</w:t>
      </w:r>
      <w:hyperlink r:id="rId21" w:history="1">
        <w:r w:rsidR="00711E4F" w:rsidRPr="00711E4F">
          <w:rPr>
            <w:rFonts w:ascii="Tahoma" w:hAnsi="Tahoma"/>
            <w:color w:val="0000FF"/>
            <w:u w:val="single"/>
            <w:rtl/>
          </w:rPr>
          <w:t>פקודת התעבורה</w:t>
        </w:r>
      </w:hyperlink>
      <w:r>
        <w:rPr>
          <w:rFonts w:ascii="Tahoma" w:hAnsi="Tahoma"/>
          <w:rtl/>
        </w:rPr>
        <w:t xml:space="preserve"> [נוסח חדש]</w:t>
      </w:r>
      <w:r>
        <w:rPr>
          <w:rFonts w:ascii="Tahoma" w:hAnsi="Tahoma" w:hint="cs"/>
          <w:rtl/>
        </w:rPr>
        <w:t>.</w:t>
      </w:r>
    </w:p>
    <w:p w14:paraId="38944764" w14:textId="77777777" w:rsidR="00210986" w:rsidRDefault="00210986" w:rsidP="00210986">
      <w:pPr>
        <w:numPr>
          <w:ilvl w:val="0"/>
          <w:numId w:val="2"/>
        </w:numPr>
        <w:spacing w:after="120" w:line="360" w:lineRule="auto"/>
        <w:ind w:left="360"/>
        <w:jc w:val="both"/>
        <w:rPr>
          <w:rFonts w:ascii="Tahoma" w:hAnsi="Tahoma"/>
        </w:rPr>
      </w:pPr>
      <w:bookmarkStart w:id="7" w:name="ABSTRACT_END"/>
      <w:bookmarkEnd w:id="7"/>
      <w:r>
        <w:rPr>
          <w:rFonts w:ascii="Tahoma" w:hAnsi="Tahoma"/>
          <w:rtl/>
        </w:rPr>
        <w:t>בכתבי האישום המתוקנים נטען, בתמצית, כלהלן:</w:t>
      </w:r>
    </w:p>
    <w:p w14:paraId="2B838EE3" w14:textId="77777777" w:rsidR="00210986" w:rsidRDefault="00210986" w:rsidP="00210986">
      <w:pPr>
        <w:pStyle w:val="a9"/>
        <w:numPr>
          <w:ilvl w:val="0"/>
          <w:numId w:val="3"/>
        </w:numPr>
        <w:spacing w:after="120" w:line="360" w:lineRule="auto"/>
        <w:jc w:val="both"/>
        <w:rPr>
          <w:rFonts w:ascii="Tahoma" w:hAnsi="Tahoma"/>
        </w:rPr>
      </w:pPr>
      <w:r>
        <w:rPr>
          <w:rFonts w:ascii="Tahoma" w:hAnsi="Tahoma"/>
          <w:b/>
          <w:bCs/>
          <w:u w:val="single"/>
          <w:rtl/>
        </w:rPr>
        <w:t>בתיק העיקרי</w:t>
      </w:r>
      <w:r>
        <w:rPr>
          <w:rFonts w:ascii="Tahoma" w:hAnsi="Tahoma"/>
          <w:b/>
          <w:bCs/>
          <w:rtl/>
        </w:rPr>
        <w:t xml:space="preserve"> – </w:t>
      </w:r>
      <w:r>
        <w:rPr>
          <w:rFonts w:ascii="Tahoma" w:hAnsi="Tahoma"/>
          <w:rtl/>
        </w:rPr>
        <w:t xml:space="preserve">ביום 17.08.2022 בשעה 01:00 או בסמוך לכך, ברחוב ביאליק ברמת גן, החזיק הנאשם ברכבו סמים מסוכנים שלא לצריכה עצמית כלהלן: שני בקבוקונים שבהם </w:t>
      </w:r>
      <w:r w:rsidRPr="00210986">
        <w:rPr>
          <w:rFonts w:ascii="Times New Roman" w:hAnsi="Times New Roman" w:cs="Times New Roman"/>
          <w:b/>
          <w:bCs/>
        </w:rPr>
        <w:t>Delta9-tetrahydrocannabinol</w:t>
      </w:r>
      <w:r>
        <w:rPr>
          <w:rFonts w:ascii="Tahoma" w:hAnsi="Tahoma"/>
          <w:rtl/>
        </w:rPr>
        <w:t xml:space="preserve">, בנפח של 18 מ"ל, וכן 16 שקיות </w:t>
      </w:r>
      <w:r>
        <w:rPr>
          <w:rFonts w:ascii="Tahoma" w:hAnsi="Tahoma" w:hint="cs"/>
          <w:rtl/>
        </w:rPr>
        <w:t>ש</w:t>
      </w:r>
      <w:r>
        <w:rPr>
          <w:rFonts w:ascii="Tahoma" w:hAnsi="Tahoma"/>
          <w:rtl/>
        </w:rPr>
        <w:t xml:space="preserve">בתוכן סמים מסוכנים מסוג </w:t>
      </w:r>
      <w:r>
        <w:rPr>
          <w:rFonts w:ascii="Tahoma" w:hAnsi="Tahoma"/>
          <w:b/>
          <w:bCs/>
          <w:rtl/>
        </w:rPr>
        <w:t>קנבוס</w:t>
      </w:r>
      <w:r>
        <w:rPr>
          <w:rFonts w:ascii="Tahoma" w:hAnsi="Tahoma"/>
          <w:rtl/>
        </w:rPr>
        <w:t>, במשקל כולל של 169.82 גרם נטו.</w:t>
      </w:r>
    </w:p>
    <w:p w14:paraId="710D5FD9" w14:textId="77777777" w:rsidR="00210986" w:rsidRDefault="00210986" w:rsidP="00210986">
      <w:pPr>
        <w:pStyle w:val="a9"/>
        <w:spacing w:after="120" w:line="360" w:lineRule="auto"/>
        <w:jc w:val="both"/>
        <w:rPr>
          <w:rFonts w:ascii="Tahoma" w:hAnsi="Tahoma"/>
        </w:rPr>
      </w:pPr>
      <w:r>
        <w:rPr>
          <w:rFonts w:ascii="Tahoma" w:hAnsi="Tahoma"/>
          <w:rtl/>
        </w:rPr>
        <w:t xml:space="preserve">באותן </w:t>
      </w:r>
      <w:r>
        <w:rPr>
          <w:rFonts w:ascii="Tahoma" w:hAnsi="Tahoma" w:hint="cs"/>
          <w:rtl/>
        </w:rPr>
        <w:t>ה</w:t>
      </w:r>
      <w:r>
        <w:rPr>
          <w:rFonts w:ascii="Tahoma" w:hAnsi="Tahoma"/>
          <w:rtl/>
        </w:rPr>
        <w:t>נסיבות נהג הנאשם ברכב כשאין בידו רישיון נהיגה תקף לרכב. הנאשם הואשם אפוא, בתיק זה, בעבירות של החזקת סמים מסוכנים שלא לצריכה עצמית ונהיגה ללא רישיון נהיגה תקף.</w:t>
      </w:r>
    </w:p>
    <w:p w14:paraId="2922E951" w14:textId="77777777" w:rsidR="00210986" w:rsidRDefault="00210986" w:rsidP="00210986">
      <w:pPr>
        <w:pStyle w:val="a9"/>
        <w:numPr>
          <w:ilvl w:val="0"/>
          <w:numId w:val="3"/>
        </w:numPr>
        <w:spacing w:after="120" w:line="360" w:lineRule="auto"/>
        <w:jc w:val="both"/>
        <w:rPr>
          <w:rFonts w:ascii="Tahoma" w:hAnsi="Tahoma"/>
        </w:rPr>
      </w:pPr>
      <w:r>
        <w:rPr>
          <w:rFonts w:ascii="Tahoma" w:hAnsi="Tahoma"/>
          <w:b/>
          <w:bCs/>
          <w:u w:val="single"/>
          <w:rtl/>
        </w:rPr>
        <w:t>בתיק המצורף</w:t>
      </w:r>
      <w:r>
        <w:rPr>
          <w:rFonts w:ascii="Tahoma" w:hAnsi="Tahoma"/>
          <w:b/>
          <w:bCs/>
          <w:rtl/>
        </w:rPr>
        <w:t xml:space="preserve"> –</w:t>
      </w:r>
      <w:r>
        <w:rPr>
          <w:rFonts w:ascii="Tahoma" w:hAnsi="Tahoma"/>
          <w:rtl/>
        </w:rPr>
        <w:t xml:space="preserve"> ביום 24.01.2023 בשעה 11:10 או בסמוך לכך, בדירתו בחולון, החזיק הנאשם בתוך קרטון שהונח במרפסת הדירה – וכן בחדר הממ"ד בדירה – בסמים מסוכנים מסוג </w:t>
      </w:r>
      <w:r>
        <w:rPr>
          <w:rFonts w:ascii="Tahoma" w:hAnsi="Tahoma"/>
          <w:b/>
          <w:bCs/>
          <w:rtl/>
        </w:rPr>
        <w:t>קנבוס</w:t>
      </w:r>
      <w:r>
        <w:rPr>
          <w:rFonts w:ascii="Tahoma" w:hAnsi="Tahoma"/>
          <w:rtl/>
        </w:rPr>
        <w:t xml:space="preserve">, </w:t>
      </w:r>
      <w:r>
        <w:rPr>
          <w:rFonts w:ascii="Tahoma" w:hAnsi="Tahoma" w:hint="cs"/>
          <w:rtl/>
        </w:rPr>
        <w:t xml:space="preserve">כשהם </w:t>
      </w:r>
      <w:r>
        <w:rPr>
          <w:rFonts w:ascii="Tahoma" w:hAnsi="Tahoma"/>
          <w:rtl/>
        </w:rPr>
        <w:t>מחולקים ל-56 שקיות</w:t>
      </w:r>
      <w:r>
        <w:rPr>
          <w:rFonts w:ascii="Tahoma" w:hAnsi="Tahoma" w:hint="cs"/>
          <w:rtl/>
        </w:rPr>
        <w:t xml:space="preserve">, </w:t>
      </w:r>
      <w:r>
        <w:rPr>
          <w:rFonts w:ascii="Tahoma" w:hAnsi="Tahoma"/>
          <w:rtl/>
        </w:rPr>
        <w:t>במשקל כולל של 500 גרם נטו.</w:t>
      </w:r>
    </w:p>
    <w:p w14:paraId="3B5D880A"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עוד בדיון המקדמי הראשון, שנערך לפניי, הגיעו הצדדים להסדר הטיעון, שבמסגרתו תוקן כאמור כתב האישום וכן צורף כתב האישום המתוקן בתיק המצורף. יש לציין כי בשני התיקים נערכו תיקונים משמעותיים בעובדות כתבי האישום, כאשר בתיק העיקרי גם הושמטה הוראת חיקוק נוספת</w:t>
      </w:r>
      <w:r>
        <w:rPr>
          <w:rFonts w:ascii="Tahoma" w:hAnsi="Tahoma" w:hint="cs"/>
          <w:rtl/>
        </w:rPr>
        <w:t>,</w:t>
      </w:r>
      <w:r>
        <w:rPr>
          <w:rFonts w:ascii="Tahoma" w:hAnsi="Tahoma"/>
          <w:rtl/>
        </w:rPr>
        <w:t xml:space="preserve"> שנכללה בכתב האישום המקורי.</w:t>
      </w:r>
    </w:p>
    <w:p w14:paraId="0E38C9A4"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הנאשם הודה אפוא בעובדות כתבי האישום המתוקנים והורשע, על יסוד הודאתו, בעבירות בהן הואשם כאמור בפסקה 1 דלעיל. הצדדים לא הגיעו להסכמות לעניין הטיעונים לעונש, כאשר המאשימה הודיעה כי עמדתה היא לענישה שתכלול מאסר בפועל לנשיאה בדרך של עבודות שירות (בפרוטוקול, עמ' 1).</w:t>
      </w:r>
    </w:p>
    <w:p w14:paraId="339C6289" w14:textId="77777777" w:rsidR="00210986" w:rsidRDefault="00210986" w:rsidP="00210986">
      <w:pPr>
        <w:spacing w:after="120" w:line="360" w:lineRule="auto"/>
        <w:jc w:val="both"/>
        <w:rPr>
          <w:rFonts w:ascii="Tahoma" w:hAnsi="Tahoma"/>
        </w:rPr>
      </w:pPr>
    </w:p>
    <w:p w14:paraId="117CDFF7" w14:textId="77777777" w:rsidR="00210986" w:rsidRDefault="00210986" w:rsidP="00210986">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עיקר טיעוני הצדדים:</w:t>
      </w:r>
    </w:p>
    <w:p w14:paraId="7EA8B110"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lastRenderedPageBreak/>
        <w:t xml:space="preserve">ב"כ המאשימה הגישה, כראיות לקביעת העונש, את תדפיסי המידע הפלילי והמידע התעבורתי של הנאשם (סומנו ע/1. יוער כי בפרוטוקול הוקלד בטעות ס/1). כעולה מתדפיס המידע הפלילי, לנאשם – יליד שנת 1996, כבן 27 שנים כיום – הרשעה קודמת </w:t>
      </w:r>
      <w:r>
        <w:rPr>
          <w:rFonts w:ascii="Tahoma" w:hAnsi="Tahoma" w:hint="cs"/>
          <w:rtl/>
        </w:rPr>
        <w:t xml:space="preserve">אחת </w:t>
      </w:r>
      <w:r>
        <w:rPr>
          <w:rFonts w:ascii="Tahoma" w:hAnsi="Tahoma"/>
          <w:rtl/>
        </w:rPr>
        <w:t xml:space="preserve">בעבירה לפי </w:t>
      </w:r>
      <w:hyperlink r:id="rId22" w:history="1">
        <w:r w:rsidR="00711E4F" w:rsidRPr="00711E4F">
          <w:rPr>
            <w:rFonts w:ascii="Tahoma" w:hAnsi="Tahoma"/>
            <w:color w:val="0000FF"/>
            <w:u w:val="single"/>
            <w:rtl/>
          </w:rPr>
          <w:t>חוק הכניסה לישראל</w:t>
        </w:r>
      </w:hyperlink>
      <w:r>
        <w:rPr>
          <w:rFonts w:ascii="Tahoma" w:hAnsi="Tahoma"/>
          <w:rtl/>
        </w:rPr>
        <w:t>, שבגינה נגזר עליו עונש של מאסר לנשיאה בדרך של עבודות שירות. כעולה מתדפיס המידע התעבורתי לנאשם 20 רישומים קודמים, חלקם מבית המשפט לתעבורה</w:t>
      </w:r>
      <w:r>
        <w:rPr>
          <w:rFonts w:ascii="Tahoma" w:hAnsi="Tahoma" w:hint="cs"/>
          <w:rtl/>
        </w:rPr>
        <w:t xml:space="preserve"> ואשר </w:t>
      </w:r>
      <w:r>
        <w:rPr>
          <w:rFonts w:ascii="Tahoma" w:hAnsi="Tahoma"/>
          <w:rtl/>
        </w:rPr>
        <w:t>בגינם הוטלו עליו עונשים הכוללים פסילת רישיון נהיגה בפועל.</w:t>
      </w:r>
    </w:p>
    <w:p w14:paraId="289DA4B5"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 xml:space="preserve">ב"כ המאשימה עמדה בטיעוניה על עובדות שני כתבי האישום המתוקנים (בתיק העיקרי ובתיק המצורף), בהן הודה הנאשם, והטעימה את נסיבות החומרה שבהם. אשר לתיק העיקרי הדגישה ב"כ המאשימה את העובדה שהנאשם החזיק את הסמים ברכב, בו נהג ללא רישיון נהיגה תקף. לא זו בלבד שמדובר בכמות סמים משמעותית, במשקל של כמעט 170 גרם נטו, אלא שהסמים הוחזקו כשהם מחולקים, כאשר בנוסף החזיק הנאשם גם בשני בקבוקונים עם סמים </w:t>
      </w:r>
      <w:r>
        <w:rPr>
          <w:rFonts w:ascii="Tahoma" w:hAnsi="Tahoma" w:hint="cs"/>
          <w:rtl/>
        </w:rPr>
        <w:t xml:space="preserve">נוזליים </w:t>
      </w:r>
      <w:r>
        <w:rPr>
          <w:rFonts w:ascii="Tahoma" w:hAnsi="Tahoma"/>
          <w:rtl/>
        </w:rPr>
        <w:t>דומ</w:t>
      </w:r>
      <w:r>
        <w:rPr>
          <w:rFonts w:ascii="Tahoma" w:hAnsi="Tahoma" w:hint="cs"/>
          <w:rtl/>
        </w:rPr>
        <w:t>ים</w:t>
      </w:r>
      <w:r>
        <w:rPr>
          <w:rFonts w:ascii="Tahoma" w:hAnsi="Tahoma"/>
          <w:rtl/>
        </w:rPr>
        <w:t>. אשר לתיק המצורף הדגישה ב"כ המאשימה את חלוקת הסמים לשקיות רבות ואת משקלם הכולל הנכבד</w:t>
      </w:r>
      <w:r>
        <w:rPr>
          <w:rFonts w:ascii="Tahoma" w:hAnsi="Tahoma" w:hint="cs"/>
          <w:rtl/>
        </w:rPr>
        <w:t xml:space="preserve"> (500 גרם נטו)</w:t>
      </w:r>
      <w:r>
        <w:rPr>
          <w:rFonts w:ascii="Tahoma" w:hAnsi="Tahoma"/>
          <w:rtl/>
        </w:rPr>
        <w:t>.</w:t>
      </w:r>
    </w:p>
    <w:p w14:paraId="42C46AD4"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ב"כ המאשימה הוסיפה וטענה כי העובדה שמדובר בשני מקרים שונים, במקומות שונים, בהם הוחזקו הסמים שהם מחולקים (ל-72 שקיות בסך הכל) מלמדת על כוונה לסחר ו</w:t>
      </w:r>
      <w:r>
        <w:rPr>
          <w:rFonts w:ascii="Tahoma" w:hAnsi="Tahoma" w:hint="cs"/>
          <w:rtl/>
        </w:rPr>
        <w:t xml:space="preserve">כן על </w:t>
      </w:r>
      <w:r>
        <w:rPr>
          <w:rFonts w:ascii="Tahoma" w:hAnsi="Tahoma"/>
          <w:rtl/>
        </w:rPr>
        <w:t xml:space="preserve">פוטנציאל הפצה משמעותי. בנסיבות אלה, הגם שעברו הפלילי של הנאשם אינו בתחום הסמים ניתן ללמוד על מעורבות עמוקה </w:t>
      </w:r>
      <w:r>
        <w:rPr>
          <w:rFonts w:ascii="Tahoma" w:hAnsi="Tahoma" w:hint="cs"/>
          <w:rtl/>
        </w:rPr>
        <w:t xml:space="preserve">של הנאשם </w:t>
      </w:r>
      <w:r>
        <w:rPr>
          <w:rFonts w:ascii="Tahoma" w:hAnsi="Tahoma"/>
          <w:rtl/>
        </w:rPr>
        <w:t>בעולם הסמים.</w:t>
      </w:r>
    </w:p>
    <w:p w14:paraId="04430DE7"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ב"כ המאשימה עמדה על הערכים החברתיים שנפגעו כתולדה ממעשי הנאשם, ובהם ההגנה על שלום הציבור ובריאותו מפני הנזקים הישירים והעקיפים הנגרמים כתוצאה משימוש בסמים מסוכנים; גם כאשר מדובר בסמים מסוכנים הנחשבים לקלים. בנסיבות אלה ותוך הפנייה לפסיקה עתרה ב"כ המאשימה לקביעת מתחם עונש הולם נפרד לכל אחד מהתיקים (העיקרי והמצורף)</w:t>
      </w:r>
      <w:r>
        <w:rPr>
          <w:rFonts w:ascii="Tahoma" w:hAnsi="Tahoma" w:hint="cs"/>
          <w:rtl/>
        </w:rPr>
        <w:t>,</w:t>
      </w:r>
      <w:r>
        <w:rPr>
          <w:rFonts w:ascii="Tahoma" w:hAnsi="Tahoma"/>
          <w:rtl/>
        </w:rPr>
        <w:t xml:space="preserve"> שבין 4 חודשי מאסר בפועל, לנשיאה בדרך של עבודות שירות, לבין 12 חודשי מאסר בפועל.</w:t>
      </w:r>
    </w:p>
    <w:p w14:paraId="1B7903F4"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לעניין מדיניות הענישה הנהוגה הפנתה ב"כ המאשימה, בין השאר, ל</w:t>
      </w:r>
      <w:hyperlink r:id="rId23" w:history="1">
        <w:r w:rsidR="00711E4F" w:rsidRPr="00711E4F">
          <w:rPr>
            <w:rFonts w:ascii="Tahoma" w:hAnsi="Tahoma"/>
            <w:color w:val="0000FF"/>
            <w:u w:val="single"/>
            <w:rtl/>
          </w:rPr>
          <w:t>רע"פ 1267/23</w:t>
        </w:r>
      </w:hyperlink>
      <w:r>
        <w:rPr>
          <w:rFonts w:ascii="Tahoma" w:hAnsi="Tahoma"/>
          <w:rtl/>
        </w:rPr>
        <w:t xml:space="preserve"> </w:t>
      </w:r>
      <w:r>
        <w:rPr>
          <w:rFonts w:ascii="Tahoma" w:hAnsi="Tahoma"/>
          <w:b/>
          <w:bCs/>
          <w:rtl/>
        </w:rPr>
        <w:t>בלקר נ' מדינת ישראל</w:t>
      </w:r>
      <w:r>
        <w:rPr>
          <w:rFonts w:ascii="Tahoma" w:hAnsi="Tahoma"/>
          <w:rtl/>
        </w:rPr>
        <w:t xml:space="preserve"> (06.03.2023), שע</w:t>
      </w:r>
      <w:r>
        <w:rPr>
          <w:rFonts w:ascii="Tahoma" w:hAnsi="Tahoma" w:hint="cs"/>
          <w:rtl/>
        </w:rPr>
        <w:t xml:space="preserve">ניינו </w:t>
      </w:r>
      <w:r>
        <w:rPr>
          <w:rFonts w:ascii="Tahoma" w:hAnsi="Tahoma"/>
          <w:rtl/>
        </w:rPr>
        <w:t>בהחזקת סמים מסוכנים מסוג קנבוס בכמויות דומות לעניינו (</w:t>
      </w:r>
      <w:r>
        <w:rPr>
          <w:rFonts w:ascii="Tahoma" w:hAnsi="Tahoma" w:hint="cs"/>
          <w:rtl/>
        </w:rPr>
        <w:t xml:space="preserve">אמנם </w:t>
      </w:r>
      <w:r>
        <w:rPr>
          <w:rFonts w:ascii="Tahoma" w:hAnsi="Tahoma"/>
          <w:rtl/>
        </w:rPr>
        <w:t>במקרה אחד, אך בצירוף עבירה של כלים), בו נגזר בסופו של דבר עונש של מאסר בפועל לתקופה של חודשיים, לנשיאה בעבודות שירות, בצירוף ענישה נלווית. עוד הפנתה ב"כ המאשימה ל</w:t>
      </w:r>
      <w:hyperlink r:id="rId24" w:history="1">
        <w:r w:rsidR="00711E4F" w:rsidRPr="00711E4F">
          <w:rPr>
            <w:rFonts w:ascii="Tahoma" w:hAnsi="Tahoma"/>
            <w:color w:val="0000FF"/>
            <w:u w:val="single"/>
            <w:rtl/>
          </w:rPr>
          <w:t>ת"פ (שלום ת"א) 40226-07-21</w:t>
        </w:r>
      </w:hyperlink>
      <w:r>
        <w:rPr>
          <w:rFonts w:ascii="Tahoma" w:hAnsi="Tahoma"/>
          <w:rtl/>
        </w:rPr>
        <w:t xml:space="preserve"> </w:t>
      </w:r>
      <w:r>
        <w:rPr>
          <w:rFonts w:ascii="Tahoma" w:hAnsi="Tahoma"/>
          <w:b/>
          <w:bCs/>
          <w:rtl/>
        </w:rPr>
        <w:t>מדינת ישראל נ' כהן</w:t>
      </w:r>
      <w:r>
        <w:rPr>
          <w:rFonts w:ascii="Tahoma" w:hAnsi="Tahoma"/>
          <w:rtl/>
        </w:rPr>
        <w:t xml:space="preserve"> (16.02.2023), שם נקבע בנסיבות דומות (אישום 1 דשם), מתחם עונש הולם שתחילתו במספר חודשי מאסר בפועל (הגם שיש להעיר ש</w:t>
      </w:r>
      <w:r>
        <w:rPr>
          <w:rFonts w:ascii="Tahoma" w:hAnsi="Tahoma" w:hint="cs"/>
          <w:rtl/>
        </w:rPr>
        <w:t>ד</w:t>
      </w:r>
      <w:r>
        <w:rPr>
          <w:rFonts w:ascii="Tahoma" w:hAnsi="Tahoma"/>
          <w:rtl/>
        </w:rPr>
        <w:t>ובר באישום אחד מתוך ארבעה, כאשר שאר האישומים עסקו בעבירות סחר</w:t>
      </w:r>
      <w:r>
        <w:rPr>
          <w:rFonts w:ascii="Tahoma" w:hAnsi="Tahoma" w:hint="cs"/>
          <w:rtl/>
        </w:rPr>
        <w:t>)</w:t>
      </w:r>
      <w:r>
        <w:rPr>
          <w:rFonts w:ascii="Tahoma" w:hAnsi="Tahoma"/>
          <w:rtl/>
        </w:rPr>
        <w:t>.</w:t>
      </w:r>
    </w:p>
    <w:p w14:paraId="0C99617D" w14:textId="77777777" w:rsidR="00210986" w:rsidRDefault="00210986" w:rsidP="00210986">
      <w:pPr>
        <w:numPr>
          <w:ilvl w:val="0"/>
          <w:numId w:val="2"/>
        </w:numPr>
        <w:spacing w:after="120" w:line="360" w:lineRule="auto"/>
        <w:ind w:left="360"/>
        <w:jc w:val="both"/>
        <w:rPr>
          <w:rFonts w:ascii="Tahoma" w:hAnsi="Tahoma"/>
        </w:rPr>
      </w:pPr>
      <w:r w:rsidRPr="00294C84">
        <w:rPr>
          <w:rFonts w:ascii="Tahoma" w:hAnsi="Tahoma"/>
          <w:rtl/>
        </w:rPr>
        <w:t xml:space="preserve">אשר לגזירת עונשו של הנאשם בתוך מתחמי העונש ההולמים עמדה ב"כ המאשימה גם על נסיבות הקולה – </w:t>
      </w:r>
      <w:r w:rsidRPr="00294C84">
        <w:rPr>
          <w:rFonts w:ascii="Tahoma" w:hAnsi="Tahoma" w:hint="cs"/>
          <w:rtl/>
        </w:rPr>
        <w:t xml:space="preserve">דהיינו </w:t>
      </w:r>
      <w:r w:rsidRPr="00294C84">
        <w:rPr>
          <w:rFonts w:ascii="Tahoma" w:hAnsi="Tahoma"/>
          <w:rtl/>
        </w:rPr>
        <w:t xml:space="preserve">ההודאה ונטילת האחריות, תוך צירוף התיק המצורף, גילו הצעיר יחסית של הנאשם והעובדה שבעברו הרשעה קודמת אחת </w:t>
      </w:r>
      <w:r w:rsidRPr="00294C84">
        <w:rPr>
          <w:rFonts w:ascii="Tahoma" w:hAnsi="Tahoma" w:hint="cs"/>
          <w:rtl/>
        </w:rPr>
        <w:t xml:space="preserve">בלבד, </w:t>
      </w:r>
      <w:r>
        <w:rPr>
          <w:rFonts w:ascii="Tahoma" w:hAnsi="Tahoma"/>
          <w:rtl/>
        </w:rPr>
        <w:t>שאינה רלוואנטית.</w:t>
      </w:r>
    </w:p>
    <w:p w14:paraId="733DB493" w14:textId="77777777" w:rsidR="00210986" w:rsidRPr="00294C84" w:rsidRDefault="00210986" w:rsidP="00210986">
      <w:pPr>
        <w:numPr>
          <w:ilvl w:val="0"/>
          <w:numId w:val="2"/>
        </w:numPr>
        <w:spacing w:after="120" w:line="360" w:lineRule="auto"/>
        <w:ind w:left="360"/>
        <w:jc w:val="both"/>
        <w:rPr>
          <w:rFonts w:ascii="Tahoma" w:hAnsi="Tahoma"/>
        </w:rPr>
      </w:pPr>
      <w:r w:rsidRPr="00294C84">
        <w:rPr>
          <w:rFonts w:ascii="Tahoma" w:hAnsi="Tahoma"/>
          <w:rtl/>
        </w:rPr>
        <w:t xml:space="preserve">עם זאת, והגם שב"כ המאשימה ציינה כי יש למקם את הנאשם בתחתית מתחמי העונש ההולמים, נוכח הצטברות התיקים ומכלול הנסיבות עתרה להשתת 9 חודשי מאסר, לנשיאה בדרך של עבודות שירות, לצד ענישה נלווית בדמות מאסר על תנאי, קנס כספי </w:t>
      </w:r>
      <w:r>
        <w:rPr>
          <w:rFonts w:ascii="Tahoma" w:hAnsi="Tahoma" w:hint="cs"/>
          <w:rtl/>
        </w:rPr>
        <w:t xml:space="preserve">מתון </w:t>
      </w:r>
      <w:r w:rsidRPr="00294C84">
        <w:rPr>
          <w:rFonts w:ascii="Tahoma" w:hAnsi="Tahoma"/>
          <w:rtl/>
        </w:rPr>
        <w:t xml:space="preserve">וחילוט הכסף המזומן בסך של 2,150 ₪, </w:t>
      </w:r>
      <w:r>
        <w:rPr>
          <w:rFonts w:ascii="Tahoma" w:hAnsi="Tahoma" w:hint="cs"/>
          <w:rtl/>
        </w:rPr>
        <w:t>א</w:t>
      </w:r>
      <w:r w:rsidRPr="00294C84">
        <w:rPr>
          <w:rFonts w:ascii="Tahoma" w:hAnsi="Tahoma"/>
          <w:rtl/>
        </w:rPr>
        <w:t>ש</w:t>
      </w:r>
      <w:r>
        <w:rPr>
          <w:rFonts w:ascii="Tahoma" w:hAnsi="Tahoma" w:hint="cs"/>
          <w:rtl/>
        </w:rPr>
        <w:t xml:space="preserve">ר </w:t>
      </w:r>
      <w:r w:rsidRPr="00294C84">
        <w:rPr>
          <w:rFonts w:ascii="Tahoma" w:hAnsi="Tahoma"/>
          <w:rtl/>
        </w:rPr>
        <w:t>נתפס ברשות הנאשם כאמור בהודעה שבסיפא לכתב האישום המתוקן בתיק העיקרי. עוד עתרה ב"כ המאשימה לגזירת עונש של פסילת רישיון נהיגה בפועל, לתקופה שלא תפחת משלושה חודשים, וזאת בשים לב לעברו התעבורתי המכביד של הנאשם.</w:t>
      </w:r>
    </w:p>
    <w:p w14:paraId="21456623"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ב"כ הנאשם, מצידו, הדגיש את נסיבותיו האישיות של הנאשם, אדם צעיר שכיום אב לשלושה ילדים קטנים, בעל עסק ומפרנס את משפחתו. הנאשם אף נטל אחריות על מעשיו וחסך זמן שיפוטי רב</w:t>
      </w:r>
      <w:r>
        <w:rPr>
          <w:rFonts w:ascii="Tahoma" w:hAnsi="Tahoma" w:hint="cs"/>
          <w:rtl/>
        </w:rPr>
        <w:t xml:space="preserve">. בנוסף, כך לשיטת הסניגור, </w:t>
      </w:r>
      <w:r>
        <w:rPr>
          <w:rFonts w:ascii="Tahoma" w:hAnsi="Tahoma"/>
          <w:rtl/>
        </w:rPr>
        <w:t>לא ניתן לדבר ב</w:t>
      </w:r>
      <w:r>
        <w:rPr>
          <w:rFonts w:ascii="Tahoma" w:hAnsi="Tahoma" w:hint="cs"/>
          <w:rtl/>
        </w:rPr>
        <w:t xml:space="preserve">מקרה זה </w:t>
      </w:r>
      <w:r>
        <w:rPr>
          <w:rFonts w:ascii="Tahoma" w:hAnsi="Tahoma"/>
          <w:rtl/>
        </w:rPr>
        <w:t xml:space="preserve">על כוונות סחר, שכן לא הוצגו לכך ראיות כלשהן; ובעצם החלוקה לשקיות אין די. </w:t>
      </w:r>
    </w:p>
    <w:p w14:paraId="7E6C1491"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לעניין מדיניות הענישה הנהוגה הפנה ב"כ הנאשם לפסיקה, לרבות גזר הדין ב</w:t>
      </w:r>
      <w:hyperlink r:id="rId25" w:history="1">
        <w:r w:rsidR="00711E4F" w:rsidRPr="00711E4F">
          <w:rPr>
            <w:rFonts w:ascii="Tahoma" w:hAnsi="Tahoma"/>
            <w:color w:val="0000FF"/>
            <w:u w:val="single"/>
            <w:rtl/>
          </w:rPr>
          <w:t>ת"פ (שלום ת"א) 57105-11-20</w:t>
        </w:r>
      </w:hyperlink>
      <w:r>
        <w:rPr>
          <w:rFonts w:ascii="Tahoma" w:hAnsi="Tahoma"/>
          <w:rtl/>
        </w:rPr>
        <w:t xml:space="preserve"> </w:t>
      </w:r>
      <w:r>
        <w:rPr>
          <w:rFonts w:ascii="Tahoma" w:hAnsi="Tahoma"/>
          <w:b/>
          <w:bCs/>
          <w:rtl/>
        </w:rPr>
        <w:t>גטניו נ' מדינת ישראל</w:t>
      </w:r>
      <w:r>
        <w:rPr>
          <w:rFonts w:ascii="Tahoma" w:hAnsi="Tahoma"/>
          <w:rtl/>
        </w:rPr>
        <w:t xml:space="preserve"> (10.05.2023), שנסיבותיו דומות למדי לענייננו (כמות סמים גדולה יותר, אך ללא עבירה של נהיגה ללא רישיון נהיגה תקף). באותו מקרה נקבע מתחם עונש הולם שתחילתו במאסר בפועל, לנשיאה בעבודות שירות, ונגזרו על הנאשם דשם 45 ימי מאסר בפועל לנשיאה כאמור, בצירוף ענישה נלווית. הסניגור עתר אפוא לקביעת מתחם עונש הולם שתחילתו במאסר מותנה, אך בכל מקרה להשתת עונש שלא יעל</w:t>
      </w:r>
      <w:r>
        <w:rPr>
          <w:rFonts w:ascii="Tahoma" w:hAnsi="Tahoma" w:hint="cs"/>
          <w:rtl/>
        </w:rPr>
        <w:t>ה</w:t>
      </w:r>
      <w:r>
        <w:rPr>
          <w:rFonts w:ascii="Tahoma" w:hAnsi="Tahoma"/>
          <w:rtl/>
        </w:rPr>
        <w:t xml:space="preserve"> על 45 ימי מאסר בפועל לנשיאה בעבודות שירות.</w:t>
      </w:r>
    </w:p>
    <w:p w14:paraId="135E064D"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יש לי 3 ילדים. אני מודה בהכל. לא רוצה בעיות לא רוצה כלום, אני לא אחזור על זה. אני משנה כיוון. היום יש לי רישיון לקנביס</w:t>
      </w:r>
      <w:r>
        <w:rPr>
          <w:rFonts w:ascii="Tahoma" w:hAnsi="Tahoma"/>
          <w:rtl/>
        </w:rPr>
        <w:t>" (בפרוטוקול, עמ' 6 שורה 22 ואילך).</w:t>
      </w:r>
    </w:p>
    <w:p w14:paraId="192462C2" w14:textId="77777777" w:rsidR="00210986" w:rsidRDefault="00210986" w:rsidP="00210986">
      <w:pPr>
        <w:spacing w:after="120" w:line="360" w:lineRule="auto"/>
        <w:jc w:val="both"/>
        <w:rPr>
          <w:rFonts w:ascii="Tahoma" w:hAnsi="Tahoma"/>
        </w:rPr>
      </w:pPr>
    </w:p>
    <w:p w14:paraId="23ED7B74" w14:textId="77777777" w:rsidR="00210986" w:rsidRDefault="00210986" w:rsidP="00210986">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קביעת מתחם העונש ההולם:</w:t>
      </w:r>
    </w:p>
    <w:p w14:paraId="68A5D5D9"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 xml:space="preserve">בעת גזירת עונשו של נאשם על בית המשפט לקבוע, תחילה, את מתחם העונש ההולם לכל "אירוע" עברייני שבגינו הורשע הנאשם, ולאחר מכן לגזור את עונשו של הנאשם בתוך מתחם זה. בענייננו מדובר כאמור בשני תיקים שונים, העוסקים בעבירות שנעברו בפער זמנים של כמה חודשים במקומות שונים, ולכן לכאורה מדובר בשני אירועים עברייניים נפרדים. עם זאת, בשני המקרים </w:t>
      </w:r>
      <w:r>
        <w:rPr>
          <w:rFonts w:ascii="Tahoma" w:hAnsi="Tahoma" w:hint="cs"/>
          <w:rtl/>
        </w:rPr>
        <w:t xml:space="preserve">מדובר </w:t>
      </w:r>
      <w:r>
        <w:rPr>
          <w:rFonts w:ascii="Tahoma" w:hAnsi="Tahoma"/>
          <w:rtl/>
        </w:rPr>
        <w:t>בהחזקת סמים מסוג קנבוס, בפער זמנים שאינו משמעותי במיוחד</w:t>
      </w:r>
      <w:r>
        <w:rPr>
          <w:rFonts w:ascii="Tahoma" w:hAnsi="Tahoma" w:hint="cs"/>
          <w:rtl/>
        </w:rPr>
        <w:t>,</w:t>
      </w:r>
      <w:r>
        <w:rPr>
          <w:rFonts w:ascii="Tahoma" w:hAnsi="Tahoma"/>
          <w:rtl/>
        </w:rPr>
        <w:t xml:space="preserve"> ובנסיבות אלה – אם גם מתוך גישה מקלה – ניתן לראות את מכלול העבירות בשני התיקים כחלק ממסכת עבריינית אחת.</w:t>
      </w:r>
    </w:p>
    <w:p w14:paraId="3D09D553"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 xml:space="preserve">אשר למתחם העונש ההולם לאירוע אחד זה, קביעתו תיעשה בהתאם לעיקרון המנחה בענישה – הוא עקרון ההלימה – תוך התחשבות בערך החברתי שנפגע מביצוע העבירות ובמידת הפגיעה בו, במדיניות הענישה הנהוגה ובנסיבות הקשורות בביצוע העבירות, לרבות אלה המפורטות בהוראות </w:t>
      </w:r>
      <w:hyperlink r:id="rId26" w:history="1">
        <w:r w:rsidR="00EA5192" w:rsidRPr="00EA5192">
          <w:rPr>
            <w:rStyle w:val="Hyperlink"/>
            <w:rFonts w:ascii="Tahoma" w:hAnsi="Tahoma"/>
            <w:rtl/>
          </w:rPr>
          <w:t>סעיף 40ט</w:t>
        </w:r>
      </w:hyperlink>
      <w:r>
        <w:rPr>
          <w:rFonts w:ascii="Tahoma" w:hAnsi="Tahoma"/>
          <w:rtl/>
        </w:rPr>
        <w:t xml:space="preserve"> ל</w:t>
      </w:r>
      <w:hyperlink r:id="rId27" w:history="1">
        <w:r w:rsidR="00711E4F" w:rsidRPr="00711E4F">
          <w:rPr>
            <w:rFonts w:ascii="Tahoma" w:hAnsi="Tahoma"/>
            <w:color w:val="0000FF"/>
            <w:u w:val="single"/>
            <w:rtl/>
          </w:rPr>
          <w:t>חוק העונשין</w:t>
        </w:r>
      </w:hyperlink>
      <w:r>
        <w:rPr>
          <w:rFonts w:ascii="Tahoma" w:hAnsi="Tahoma"/>
          <w:rtl/>
        </w:rPr>
        <w:t>. לעניין נסיבות אלה, ב</w:t>
      </w:r>
      <w:r>
        <w:rPr>
          <w:rFonts w:ascii="Tahoma" w:hAnsi="Tahoma" w:hint="cs"/>
          <w:rtl/>
        </w:rPr>
        <w:t xml:space="preserve">עניין דנא </w:t>
      </w:r>
      <w:r>
        <w:rPr>
          <w:rFonts w:ascii="Tahoma" w:hAnsi="Tahoma"/>
          <w:rtl/>
        </w:rPr>
        <w:t>מתקיימות מספר חומרה, כלהלן:</w:t>
      </w:r>
    </w:p>
    <w:p w14:paraId="3D49B5C8" w14:textId="77777777" w:rsidR="00210986" w:rsidRDefault="00210986" w:rsidP="00210986">
      <w:pPr>
        <w:spacing w:after="120" w:line="360" w:lineRule="auto"/>
        <w:ind w:left="720"/>
        <w:jc w:val="both"/>
        <w:rPr>
          <w:rFonts w:ascii="Tahoma" w:hAnsi="Tahoma"/>
          <w:b/>
          <w:bCs/>
          <w:rtl/>
        </w:rPr>
      </w:pPr>
      <w:r w:rsidRPr="00294C84">
        <w:rPr>
          <w:rFonts w:ascii="Tahoma" w:hAnsi="Tahoma"/>
          <w:b/>
          <w:bCs/>
          <w:rtl/>
        </w:rPr>
        <w:t>ראשית</w:t>
      </w:r>
      <w:r>
        <w:rPr>
          <w:rFonts w:ascii="Tahoma" w:hAnsi="Tahoma"/>
          <w:rtl/>
        </w:rPr>
        <w:t xml:space="preserve">, מדובר בשני מקרים, בהם העבירות נעברו </w:t>
      </w:r>
      <w:r>
        <w:rPr>
          <w:rFonts w:ascii="Tahoma" w:hAnsi="Tahoma" w:hint="cs"/>
          <w:rtl/>
        </w:rPr>
        <w:t>בזמנים שונים ו</w:t>
      </w:r>
      <w:r>
        <w:rPr>
          <w:rFonts w:ascii="Tahoma" w:hAnsi="Tahoma"/>
          <w:rtl/>
        </w:rPr>
        <w:t>במקומות שונים</w:t>
      </w:r>
      <w:r>
        <w:rPr>
          <w:rFonts w:ascii="Tahoma" w:hAnsi="Tahoma" w:hint="cs"/>
          <w:rtl/>
        </w:rPr>
        <w:t>.</w:t>
      </w:r>
    </w:p>
    <w:p w14:paraId="4FCF9152" w14:textId="77777777" w:rsidR="00210986" w:rsidRDefault="00210986" w:rsidP="00210986">
      <w:pPr>
        <w:spacing w:after="120" w:line="360" w:lineRule="auto"/>
        <w:ind w:left="720"/>
        <w:jc w:val="both"/>
        <w:rPr>
          <w:rFonts w:ascii="Tahoma" w:hAnsi="Tahoma"/>
          <w:b/>
          <w:bCs/>
          <w:rtl/>
        </w:rPr>
      </w:pPr>
      <w:r w:rsidRPr="001B2C20">
        <w:rPr>
          <w:rFonts w:ascii="Tahoma" w:hAnsi="Tahoma" w:hint="cs"/>
          <w:b/>
          <w:bCs/>
          <w:rtl/>
        </w:rPr>
        <w:t>שנית</w:t>
      </w:r>
      <w:r>
        <w:rPr>
          <w:rFonts w:ascii="Tahoma" w:hAnsi="Tahoma" w:hint="cs"/>
          <w:rtl/>
        </w:rPr>
        <w:t xml:space="preserve">, </w:t>
      </w:r>
      <w:r>
        <w:rPr>
          <w:rFonts w:ascii="Tahoma" w:hAnsi="Tahoma"/>
          <w:rtl/>
        </w:rPr>
        <w:t xml:space="preserve">בשני המקרים </w:t>
      </w:r>
      <w:r>
        <w:rPr>
          <w:rFonts w:ascii="Tahoma" w:hAnsi="Tahoma" w:hint="cs"/>
          <w:rtl/>
        </w:rPr>
        <w:t xml:space="preserve">הוחזקו </w:t>
      </w:r>
      <w:r>
        <w:rPr>
          <w:rFonts w:ascii="Tahoma" w:hAnsi="Tahoma"/>
          <w:rtl/>
        </w:rPr>
        <w:t>הסמים כשהם מחולקים</w:t>
      </w:r>
      <w:r>
        <w:rPr>
          <w:rFonts w:ascii="Tahoma" w:hAnsi="Tahoma" w:hint="cs"/>
          <w:rtl/>
        </w:rPr>
        <w:t>, כאשר במקרה הראשון (מושא התיק העיקרי) הנאשם גם החזיק בסמים נוזליים, בשני בקבוקונים</w:t>
      </w:r>
      <w:r>
        <w:rPr>
          <w:rFonts w:ascii="Tahoma" w:hAnsi="Tahoma"/>
          <w:rtl/>
        </w:rPr>
        <w:t>.</w:t>
      </w:r>
    </w:p>
    <w:p w14:paraId="6906E48F" w14:textId="77777777" w:rsidR="00210986" w:rsidRDefault="00210986" w:rsidP="00210986">
      <w:pPr>
        <w:spacing w:after="120" w:line="360" w:lineRule="auto"/>
        <w:ind w:left="720"/>
        <w:jc w:val="both"/>
        <w:rPr>
          <w:rFonts w:ascii="Tahoma" w:hAnsi="Tahoma"/>
        </w:rPr>
      </w:pPr>
      <w:r>
        <w:rPr>
          <w:rFonts w:ascii="Tahoma" w:hAnsi="Tahoma"/>
          <w:b/>
          <w:bCs/>
          <w:rtl/>
        </w:rPr>
        <w:t>ש</w:t>
      </w:r>
      <w:r>
        <w:rPr>
          <w:rFonts w:ascii="Tahoma" w:hAnsi="Tahoma" w:hint="cs"/>
          <w:b/>
          <w:bCs/>
          <w:rtl/>
        </w:rPr>
        <w:t>ליש</w:t>
      </w:r>
      <w:r w:rsidRPr="0088706B">
        <w:rPr>
          <w:rFonts w:ascii="Tahoma" w:hAnsi="Tahoma"/>
          <w:b/>
          <w:bCs/>
          <w:rtl/>
        </w:rPr>
        <w:t>ית</w:t>
      </w:r>
      <w:r>
        <w:rPr>
          <w:rFonts w:ascii="Tahoma" w:hAnsi="Tahoma"/>
          <w:rtl/>
        </w:rPr>
        <w:t>, במקרה מושא התיק העיקרי ההחזקה היתה ברכב, ובכך מימד חומר</w:t>
      </w:r>
      <w:r>
        <w:rPr>
          <w:rFonts w:ascii="Tahoma" w:hAnsi="Tahoma" w:hint="cs"/>
          <w:rtl/>
        </w:rPr>
        <w:t>ה</w:t>
      </w:r>
      <w:r>
        <w:rPr>
          <w:rFonts w:ascii="Tahoma" w:hAnsi="Tahoma"/>
          <w:rtl/>
        </w:rPr>
        <w:t xml:space="preserve"> </w:t>
      </w:r>
      <w:r>
        <w:rPr>
          <w:rFonts w:ascii="Tahoma" w:hAnsi="Tahoma" w:hint="cs"/>
          <w:rtl/>
        </w:rPr>
        <w:t xml:space="preserve">מובהק </w:t>
      </w:r>
      <w:r>
        <w:rPr>
          <w:rFonts w:ascii="Tahoma" w:hAnsi="Tahoma"/>
          <w:rtl/>
        </w:rPr>
        <w:t xml:space="preserve">נוסף, כאשר לכך </w:t>
      </w:r>
      <w:r>
        <w:rPr>
          <w:rFonts w:ascii="Tahoma" w:hAnsi="Tahoma" w:hint="cs"/>
          <w:rtl/>
        </w:rPr>
        <w:t xml:space="preserve">אף </w:t>
      </w:r>
      <w:r>
        <w:rPr>
          <w:rFonts w:ascii="Tahoma" w:hAnsi="Tahoma"/>
          <w:rtl/>
        </w:rPr>
        <w:t xml:space="preserve">נלוותה נהיגה </w:t>
      </w:r>
      <w:r>
        <w:rPr>
          <w:rFonts w:ascii="Tahoma" w:hAnsi="Tahoma" w:hint="cs"/>
          <w:rtl/>
        </w:rPr>
        <w:t xml:space="preserve">ברכב </w:t>
      </w:r>
      <w:r>
        <w:rPr>
          <w:rFonts w:ascii="Tahoma" w:hAnsi="Tahoma"/>
          <w:rtl/>
        </w:rPr>
        <w:t>ללא רישיון נהיגה תקף.</w:t>
      </w:r>
    </w:p>
    <w:p w14:paraId="487B1FC2" w14:textId="77777777" w:rsidR="00210986" w:rsidRDefault="00210986" w:rsidP="00210986">
      <w:pPr>
        <w:numPr>
          <w:ilvl w:val="0"/>
          <w:numId w:val="2"/>
        </w:numPr>
        <w:spacing w:after="120" w:line="360" w:lineRule="auto"/>
        <w:ind w:left="360"/>
        <w:jc w:val="both"/>
        <w:rPr>
          <w:rFonts w:ascii="Tahoma" w:hAnsi="Tahoma"/>
        </w:rPr>
      </w:pPr>
      <w:r>
        <w:rPr>
          <w:rFonts w:ascii="Tahoma" w:hAnsi="Tahoma"/>
          <w:rtl/>
        </w:rPr>
        <w:t>בנסיבות אלה לא ניתן לקבל את עתירת הסניגור לקביעת מתחם עונש הולם שתחילתו בענישה צופה פני עתיד, שכן מדיניות הענישה הנהוגה בכגון דא – לרבות לפי הפסיקה אותה הציג הסניגור עצמו – מלמדת על רף תחתון שתחילתו במאסר בפועל, ולו לנשיאה בדרך של עבודות שירות.</w:t>
      </w:r>
      <w:r>
        <w:rPr>
          <w:rFonts w:ascii="Tahoma" w:hAnsi="Tahoma" w:hint="cs"/>
          <w:rtl/>
        </w:rPr>
        <w:t xml:space="preserve"> בהתחשב בכל האמור </w:t>
      </w:r>
      <w:r>
        <w:rPr>
          <w:rFonts w:hint="cs"/>
          <w:rtl/>
        </w:rPr>
        <w:t>אני קובע אפוא את מתחם העונש ההולם, במקרה זה, בין  חודשיים מאסר בפועל, לנשיאה בדרך של עבודות שירות, לבין 12 חודשי מאסר בפועל.</w:t>
      </w:r>
    </w:p>
    <w:p w14:paraId="367E3F34" w14:textId="77777777" w:rsidR="00210986" w:rsidRPr="00704AFD" w:rsidRDefault="00210986" w:rsidP="00210986">
      <w:pPr>
        <w:spacing w:after="120" w:line="360" w:lineRule="auto"/>
        <w:jc w:val="both"/>
        <w:rPr>
          <w:rFonts w:ascii="Tahoma" w:hAnsi="Tahoma"/>
        </w:rPr>
      </w:pPr>
    </w:p>
    <w:p w14:paraId="244B6CAF" w14:textId="77777777" w:rsidR="00210986" w:rsidRDefault="00210986" w:rsidP="00210986">
      <w:pPr>
        <w:pStyle w:val="a9"/>
        <w:numPr>
          <w:ilvl w:val="0"/>
          <w:numId w:val="1"/>
        </w:numPr>
        <w:spacing w:after="120" w:line="360" w:lineRule="auto"/>
        <w:ind w:left="360"/>
        <w:jc w:val="both"/>
        <w:rPr>
          <w:rFonts w:ascii="Tahoma" w:hAnsi="Tahoma"/>
          <w:b/>
          <w:bCs/>
          <w:u w:val="single"/>
          <w:rtl/>
        </w:rPr>
      </w:pPr>
      <w:r w:rsidRPr="00CE1F20">
        <w:rPr>
          <w:rFonts w:hint="cs"/>
          <w:b/>
          <w:bCs/>
          <w:u w:val="single"/>
          <w:rtl/>
        </w:rPr>
        <w:t>גזירת עונשו של הנאשם בתוך מתחם העונש ההולם:</w:t>
      </w:r>
    </w:p>
    <w:p w14:paraId="7C95314A" w14:textId="77777777" w:rsidR="00210986" w:rsidRDefault="00210986" w:rsidP="00210986">
      <w:pPr>
        <w:numPr>
          <w:ilvl w:val="0"/>
          <w:numId w:val="2"/>
        </w:numPr>
        <w:spacing w:after="120" w:line="360" w:lineRule="auto"/>
        <w:ind w:left="360"/>
        <w:jc w:val="both"/>
        <w:rPr>
          <w:rFonts w:ascii="Tahoma" w:hAnsi="Tahoma"/>
        </w:rPr>
      </w:pPr>
      <w:r>
        <w:rPr>
          <w:rFonts w:hint="cs"/>
          <w:rtl/>
        </w:rPr>
        <w:t xml:space="preserve">לאחר קביעת מתחם העונש ההולם על בית המשפט לגזור את עונשו של הנאשם בתוך מתחם זה </w:t>
      </w:r>
      <w:r>
        <w:rPr>
          <w:rtl/>
        </w:rPr>
        <w:t>–</w:t>
      </w:r>
      <w:r>
        <w:rPr>
          <w:rFonts w:hint="cs"/>
          <w:rtl/>
        </w:rPr>
        <w:t xml:space="preserve"> למעט במקרים יוצאי דופן, בהם הוא רשאי לחרוג מכך, שאין עניינם לכאן </w:t>
      </w:r>
      <w:r>
        <w:rPr>
          <w:rtl/>
        </w:rPr>
        <w:t>–</w:t>
      </w:r>
      <w:r>
        <w:rPr>
          <w:rFonts w:hint="cs"/>
          <w:rtl/>
        </w:rPr>
        <w:t xml:space="preserve"> תוך התחשבות בנסיבות שאינן קשורות בביצוע העבירות, לרבות אלה המנויות בהוראות </w:t>
      </w:r>
      <w:hyperlink r:id="rId28" w:history="1">
        <w:r w:rsidR="00EA5192" w:rsidRPr="00EA5192">
          <w:rPr>
            <w:rStyle w:val="Hyperlink"/>
            <w:rFonts w:hint="eastAsia"/>
            <w:rtl/>
          </w:rPr>
          <w:t>סעיף</w:t>
        </w:r>
        <w:r w:rsidR="00EA5192" w:rsidRPr="00EA5192">
          <w:rPr>
            <w:rStyle w:val="Hyperlink"/>
            <w:rtl/>
          </w:rPr>
          <w:t xml:space="preserve"> 40יא</w:t>
        </w:r>
      </w:hyperlink>
      <w:r>
        <w:rPr>
          <w:rFonts w:hint="cs"/>
          <w:rtl/>
        </w:rPr>
        <w:t xml:space="preserve"> ל</w:t>
      </w:r>
      <w:hyperlink r:id="rId29" w:history="1">
        <w:r w:rsidR="00711E4F" w:rsidRPr="00711E4F">
          <w:rPr>
            <w:color w:val="0000FF"/>
            <w:u w:val="single"/>
            <w:rtl/>
          </w:rPr>
          <w:t>חוק העונשין</w:t>
        </w:r>
      </w:hyperlink>
      <w:r>
        <w:rPr>
          <w:rFonts w:hint="cs"/>
          <w:rtl/>
        </w:rPr>
        <w:t>.</w:t>
      </w:r>
    </w:p>
    <w:p w14:paraId="0290DB2C" w14:textId="77777777" w:rsidR="00210986" w:rsidRDefault="00210986" w:rsidP="00210986">
      <w:pPr>
        <w:numPr>
          <w:ilvl w:val="0"/>
          <w:numId w:val="2"/>
        </w:numPr>
        <w:spacing w:after="120" w:line="360" w:lineRule="auto"/>
        <w:ind w:left="360"/>
        <w:jc w:val="both"/>
        <w:rPr>
          <w:rFonts w:ascii="Tahoma" w:hAnsi="Tahoma"/>
        </w:rPr>
      </w:pPr>
      <w:r>
        <w:rPr>
          <w:rFonts w:hint="cs"/>
          <w:rtl/>
        </w:rPr>
        <w:t xml:space="preserve">אשר לנאשם שלפניי, </w:t>
      </w:r>
      <w:r>
        <w:rPr>
          <w:rFonts w:ascii="Tahoma" w:hAnsi="Tahoma" w:hint="cs"/>
          <w:rtl/>
        </w:rPr>
        <w:t xml:space="preserve">הלכה למעשה לא היתה מחלוקת בין הצדדים כי יש למקמו ברף התחתון של מתחם העונש ההולם. מדובר כאמור בנאשם צעיר יחסית, שכיום הוא אב לשלושה ילדים קטנים אשר פרנסתם עליו. בנוסף, הגם שיש בעברו של הנאשם הרשעה פלילית, מדובר בהרשעה אחת בלבד ובעבירה שאינה רלוואנטית. לבסוף, בהקשר דנא יש להדגיש את נטילת האחריות המידית, תוך צירוף התיק המצורף. נסיבות אלה </w:t>
      </w:r>
      <w:r>
        <w:rPr>
          <w:rFonts w:ascii="Tahoma" w:hAnsi="Tahoma"/>
          <w:rtl/>
        </w:rPr>
        <w:t>–</w:t>
      </w:r>
      <w:r>
        <w:rPr>
          <w:rFonts w:ascii="Tahoma" w:hAnsi="Tahoma" w:hint="cs"/>
          <w:rtl/>
        </w:rPr>
        <w:t xml:space="preserve"> בצירוף הצהרת הנאשם בבית המשפט </w:t>
      </w:r>
      <w:r>
        <w:rPr>
          <w:rFonts w:ascii="Tahoma" w:hAnsi="Tahoma"/>
          <w:rtl/>
        </w:rPr>
        <w:t>–</w:t>
      </w:r>
      <w:r>
        <w:rPr>
          <w:rFonts w:ascii="Tahoma" w:hAnsi="Tahoma" w:hint="cs"/>
          <w:rtl/>
        </w:rPr>
        <w:t xml:space="preserve"> אכן מלמדות על רצונו של הנאשם לשנות את כיוון חייו ולהתרחק מדרך העבירה; כאשר תקוות בית המשפט היא כי הנאשם אכן יעמוד בהצהרתו זו. בנסיבות אלה אני קובע אפוא כי יש לגזור את עונשו של הנאשם ברף התחתון של מתחם העונש ההולם.</w:t>
      </w:r>
    </w:p>
    <w:p w14:paraId="0A34E10F" w14:textId="77777777" w:rsidR="00210986" w:rsidRPr="00704AFD" w:rsidRDefault="00210986" w:rsidP="00210986">
      <w:pPr>
        <w:numPr>
          <w:ilvl w:val="0"/>
          <w:numId w:val="2"/>
        </w:numPr>
        <w:spacing w:after="120" w:line="360" w:lineRule="auto"/>
        <w:ind w:left="360"/>
        <w:jc w:val="both"/>
        <w:rPr>
          <w:rFonts w:ascii="Tahoma" w:hAnsi="Tahoma"/>
        </w:rPr>
      </w:pPr>
      <w:r>
        <w:rPr>
          <w:rFonts w:ascii="Tahoma" w:hAnsi="Tahoma" w:hint="cs"/>
          <w:rtl/>
        </w:rPr>
        <w:t>נוכח טיב העבירה עתרה ב"כ המאשימה להשתת ענישה כלכלית, לרבות בדרך חילוט הכספים שנתפסו ברשות הנאשם בתיק העיקרי. לעתירה אחרונה זו לא התנגד הסניגור ועל פני הדברים יש לקבלה, תוך גזירת קנס מתון נוסף. לבסוף, בשל העבירה הנוספת (בתיק העיקרי), של נהיגה ברכב ללא רישיון נהיגה, יש להשית על הנאשם גם עונש של פסילת רישיון נהיגה בפועל.</w:t>
      </w:r>
    </w:p>
    <w:p w14:paraId="29AAA72A" w14:textId="77777777" w:rsidR="00210986" w:rsidRPr="002059D0" w:rsidRDefault="00210986" w:rsidP="00210986">
      <w:pPr>
        <w:spacing w:after="120" w:line="360" w:lineRule="auto"/>
        <w:jc w:val="both"/>
        <w:rPr>
          <w:rFonts w:ascii="Tahoma" w:hAnsi="Tahoma"/>
          <w:rtl/>
        </w:rPr>
      </w:pPr>
    </w:p>
    <w:p w14:paraId="12DBAEE6" w14:textId="77777777" w:rsidR="00210986" w:rsidRDefault="00210986" w:rsidP="00210986">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10D15E13" w14:textId="77777777" w:rsidR="00210986" w:rsidRPr="002059D0" w:rsidRDefault="00210986" w:rsidP="00210986">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4B12B6B0" w14:textId="77777777" w:rsidR="00210986" w:rsidRDefault="00210986" w:rsidP="00210986">
      <w:pPr>
        <w:spacing w:after="120" w:line="360" w:lineRule="auto"/>
        <w:ind w:left="1080" w:hanging="720"/>
        <w:jc w:val="both"/>
        <w:rPr>
          <w:rFonts w:ascii="Tahoma" w:hAnsi="Tahoma"/>
        </w:rPr>
      </w:pPr>
      <w:r>
        <w:rPr>
          <w:rFonts w:hint="cs"/>
          <w:rtl/>
        </w:rPr>
        <w:t>(א)</w:t>
      </w:r>
      <w:r>
        <w:rPr>
          <w:rtl/>
        </w:rPr>
        <w:tab/>
      </w:r>
      <w:r>
        <w:rPr>
          <w:rFonts w:hint="cs"/>
          <w:rtl/>
        </w:rPr>
        <w:t>חודשיים מאסר בפועל.</w:t>
      </w:r>
      <w:r>
        <w:rPr>
          <w:rFonts w:ascii="Tahoma" w:hAnsi="Tahoma"/>
        </w:rPr>
        <w:t xml:space="preserve"> </w:t>
      </w:r>
    </w:p>
    <w:p w14:paraId="27F74D7A" w14:textId="77777777" w:rsidR="00210986" w:rsidRDefault="00210986" w:rsidP="00210986">
      <w:pPr>
        <w:spacing w:after="120" w:line="360" w:lineRule="auto"/>
        <w:ind w:left="1080"/>
        <w:jc w:val="both"/>
        <w:rPr>
          <w:rFonts w:ascii="Tahoma" w:hAnsi="Tahoma"/>
          <w:rtl/>
        </w:rPr>
      </w:pPr>
      <w:r>
        <w:rPr>
          <w:rFonts w:ascii="Tahoma" w:hAnsi="Tahoma" w:hint="cs"/>
          <w:rtl/>
        </w:rPr>
        <w:t>הנאשם יישא את עונש המאסר בדרך של עבודות שירות, כאמור בחוות דעתו של הממונה על עבודות השירות בשירות בתי הסוהר מיום 29.06.2023.</w:t>
      </w:r>
    </w:p>
    <w:p w14:paraId="556400B5" w14:textId="77777777" w:rsidR="00210986" w:rsidRDefault="00210986" w:rsidP="00210986">
      <w:pPr>
        <w:spacing w:after="120" w:line="360" w:lineRule="auto"/>
        <w:ind w:left="1080"/>
        <w:jc w:val="both"/>
        <w:rPr>
          <w:rFonts w:ascii="Tahoma" w:hAnsi="Tahoma"/>
          <w:rtl/>
        </w:rPr>
      </w:pPr>
      <w:r>
        <w:rPr>
          <w:rFonts w:ascii="Tahoma" w:hAnsi="Tahoma" w:hint="cs"/>
          <w:rtl/>
        </w:rPr>
        <w:t>על הנאשם להתייצב לנשיאת עונשו במשרדי הממונה על עבודות השירות, ביום 11.10.2023 עד השעה 08:00.</w:t>
      </w:r>
    </w:p>
    <w:p w14:paraId="787C1337" w14:textId="77777777" w:rsidR="00210986" w:rsidRDefault="00210986" w:rsidP="00210986">
      <w:pPr>
        <w:spacing w:after="120" w:line="360" w:lineRule="auto"/>
        <w:ind w:left="1080"/>
        <w:jc w:val="both"/>
        <w:rPr>
          <w:rFonts w:ascii="Tahoma" w:hAnsi="Tahoma"/>
        </w:rPr>
      </w:pPr>
      <w:r>
        <w:rPr>
          <w:rFonts w:ascii="Tahoma" w:hAnsi="Tahoma" w:hint="cs"/>
          <w:rtl/>
        </w:rPr>
        <w:t>מובהר בזה לנאשם כי בכל הקשור לעבודות השירות עליו לציית להוראות הממונה על עבודות השירות, או למי שהוסמך לכך מטעמו. עוד מובהר לנאשם, כי במידה ולא יציית להוראות כאמור הוא עשוי לשאת את מאסרו, או את יתרת מאסרו, במאסר מאחורי סורג ובריח בבית סוהר.</w:t>
      </w:r>
    </w:p>
    <w:p w14:paraId="4AFA21A9" w14:textId="77777777" w:rsidR="00210986" w:rsidRDefault="00210986" w:rsidP="00210986">
      <w:pPr>
        <w:spacing w:after="120" w:line="360" w:lineRule="auto"/>
        <w:ind w:left="1080" w:hanging="720"/>
        <w:jc w:val="both"/>
        <w:rPr>
          <w:rtl/>
        </w:rPr>
      </w:pPr>
      <w:r>
        <w:rPr>
          <w:rFonts w:hint="cs"/>
          <w:rtl/>
        </w:rPr>
        <w:t>(ב)</w:t>
      </w:r>
      <w:r>
        <w:rPr>
          <w:rtl/>
        </w:rPr>
        <w:tab/>
      </w:r>
      <w:r>
        <w:rPr>
          <w:rFonts w:hint="cs"/>
          <w:rtl/>
        </w:rPr>
        <w:t xml:space="preserve">מאסר על תנאי למשך 5 חודשים, אותו לא יישא הנאשם אלא אם כן יעבור, תוך שלוש שנים מיום סיום נשיאת עונש המאסר בדרך של עבודות שירות, עבירה לפי הוראות </w:t>
      </w:r>
      <w:hyperlink r:id="rId30" w:history="1">
        <w:r w:rsidR="00711E4F" w:rsidRPr="00711E4F">
          <w:rPr>
            <w:color w:val="0000FF"/>
            <w:u w:val="single"/>
            <w:rtl/>
          </w:rPr>
          <w:t>פקודת הסמים המסוכנים</w:t>
        </w:r>
      </w:hyperlink>
      <w:r>
        <w:rPr>
          <w:rFonts w:hint="cs"/>
          <w:rtl/>
        </w:rPr>
        <w:t xml:space="preserve"> מסוג פשע.</w:t>
      </w:r>
    </w:p>
    <w:p w14:paraId="78EA33D2" w14:textId="77777777" w:rsidR="00210986" w:rsidRDefault="00210986" w:rsidP="00210986">
      <w:pPr>
        <w:spacing w:after="120" w:line="360" w:lineRule="auto"/>
        <w:ind w:left="1080" w:hanging="720"/>
        <w:jc w:val="both"/>
        <w:rPr>
          <w:rtl/>
        </w:rPr>
      </w:pPr>
      <w:r>
        <w:rPr>
          <w:rFonts w:hint="cs"/>
          <w:rtl/>
        </w:rPr>
        <w:t>(ג)</w:t>
      </w:r>
      <w:r>
        <w:rPr>
          <w:rtl/>
        </w:rPr>
        <w:tab/>
      </w:r>
      <w:r>
        <w:rPr>
          <w:rFonts w:hint="cs"/>
          <w:rtl/>
        </w:rPr>
        <w:t>קנס בסך של 1,000 ₪, או 5 ימי מאסר תמורתו. הקנס ישולם עד ליום 01.10.2023.</w:t>
      </w:r>
    </w:p>
    <w:p w14:paraId="4BD300EA" w14:textId="77777777" w:rsidR="00210986" w:rsidRDefault="00210986" w:rsidP="00210986">
      <w:pPr>
        <w:spacing w:after="120" w:line="360" w:lineRule="auto"/>
        <w:ind w:left="1080" w:hanging="720"/>
        <w:jc w:val="both"/>
        <w:rPr>
          <w:rtl/>
        </w:rPr>
      </w:pPr>
      <w:r>
        <w:rPr>
          <w:rFonts w:hint="cs"/>
          <w:rtl/>
        </w:rPr>
        <w:t>(ד)</w:t>
      </w:r>
      <w:r>
        <w:rPr>
          <w:rtl/>
        </w:rPr>
        <w:tab/>
      </w:r>
      <w:r>
        <w:rPr>
          <w:rFonts w:hint="cs"/>
          <w:rtl/>
        </w:rPr>
        <w:t>פסילה מלקבל או מלהחזיק רישיון נהיגה, לתקופה של 3 חודשים.</w:t>
      </w:r>
    </w:p>
    <w:p w14:paraId="78D6F423" w14:textId="77777777" w:rsidR="00210986" w:rsidRDefault="00210986" w:rsidP="00210986">
      <w:pPr>
        <w:spacing w:after="120" w:line="360" w:lineRule="auto"/>
        <w:ind w:left="1080" w:hanging="720"/>
        <w:jc w:val="both"/>
        <w:rPr>
          <w:rtl/>
        </w:rPr>
      </w:pPr>
      <w:r>
        <w:rPr>
          <w:rFonts w:hint="cs"/>
          <w:rtl/>
        </w:rPr>
        <w:t>(ה)</w:t>
      </w:r>
      <w:r>
        <w:rPr>
          <w:rtl/>
        </w:rPr>
        <w:tab/>
      </w:r>
      <w:r>
        <w:rPr>
          <w:rFonts w:hint="cs"/>
          <w:rtl/>
        </w:rPr>
        <w:t>חילוט הכספים בסך של 2,150 ₪, שנתפסו ברשות הנאשם כאמור בהודעה שבסיפא לכתב האישום המתוקן בתיק העיקרי.</w:t>
      </w:r>
    </w:p>
    <w:p w14:paraId="6960C877" w14:textId="77777777" w:rsidR="00210986" w:rsidRDefault="00711E4F" w:rsidP="00210986">
      <w:pPr>
        <w:spacing w:after="120" w:line="360" w:lineRule="auto"/>
        <w:jc w:val="both"/>
        <w:rPr>
          <w:rtl/>
        </w:rPr>
      </w:pPr>
      <w:r w:rsidRPr="00711E4F">
        <w:rPr>
          <w:color w:val="FFFFFF"/>
          <w:sz w:val="2"/>
          <w:szCs w:val="2"/>
          <w:rtl/>
        </w:rPr>
        <w:t>5129371</w:t>
      </w:r>
      <w:r w:rsidR="00210986" w:rsidRPr="00BF022E">
        <w:rPr>
          <w:rtl/>
        </w:rPr>
        <w:t>ככל ש</w:t>
      </w:r>
      <w:r w:rsidR="00210986">
        <w:rPr>
          <w:rFonts w:hint="cs"/>
          <w:rtl/>
        </w:rPr>
        <w:t xml:space="preserve">נותר בתיק בית המשפט </w:t>
      </w:r>
      <w:r w:rsidR="00210986">
        <w:rPr>
          <w:rtl/>
        </w:rPr>
        <w:t>–</w:t>
      </w:r>
      <w:r w:rsidR="00210986">
        <w:rPr>
          <w:rFonts w:hint="cs"/>
          <w:rtl/>
        </w:rPr>
        <w:t xml:space="preserve"> או בתיק מעצר קשור </w:t>
      </w:r>
      <w:r w:rsidR="00210986">
        <w:rPr>
          <w:rtl/>
        </w:rPr>
        <w:t>–</w:t>
      </w:r>
      <w:r w:rsidR="00210986">
        <w:rPr>
          <w:rFonts w:hint="cs"/>
          <w:rtl/>
        </w:rPr>
        <w:t xml:space="preserve"> פיקדון שהופקד מטעם הנאשם, בהסכמת ההגנה יקוזז הפיקדון לתשלום הקנס. ככל שתיוותר יתרת פיקדון היא תושב לנאשם או למי מטעמו, וזאת בהיעדר עיקול או מניעה אחרת על פי דין להשבת הפיקדון.</w:t>
      </w:r>
    </w:p>
    <w:p w14:paraId="40F770D8" w14:textId="77777777" w:rsidR="00210986" w:rsidRDefault="00711E4F" w:rsidP="00210986">
      <w:pPr>
        <w:spacing w:after="120" w:line="360" w:lineRule="auto"/>
        <w:jc w:val="both"/>
        <w:rPr>
          <w:rtl/>
        </w:rPr>
      </w:pPr>
      <w:r w:rsidRPr="00711E4F">
        <w:rPr>
          <w:color w:val="FFFFFF"/>
          <w:sz w:val="2"/>
          <w:szCs w:val="2"/>
          <w:rtl/>
        </w:rPr>
        <w:t>54678313</w:t>
      </w:r>
      <w:r w:rsidR="00210986">
        <w:rPr>
          <w:rFonts w:hint="cs"/>
          <w:rtl/>
        </w:rPr>
        <w:t>ניתן בזה צו כללי, לעניין מוצגים, לשיקול דעתו של קצין משטרה. הסמים יושמדו.</w:t>
      </w:r>
    </w:p>
    <w:p w14:paraId="6FB0F2B8" w14:textId="77777777" w:rsidR="00210986" w:rsidRDefault="00210986" w:rsidP="00210986">
      <w:pPr>
        <w:snapToGrid w:val="0"/>
        <w:spacing w:after="120" w:line="360" w:lineRule="auto"/>
        <w:jc w:val="both"/>
        <w:rPr>
          <w:rtl/>
        </w:rPr>
      </w:pPr>
      <w:r>
        <w:rPr>
          <w:rFonts w:hint="cs"/>
          <w:rtl/>
        </w:rPr>
        <w:t>זכות ערעור בתוך 45 יום מהיום.</w:t>
      </w:r>
    </w:p>
    <w:p w14:paraId="725C7E64" w14:textId="77777777" w:rsidR="00210986" w:rsidRPr="000F2247" w:rsidRDefault="00711E4F" w:rsidP="00210986">
      <w:pPr>
        <w:spacing w:line="360" w:lineRule="auto"/>
        <w:jc w:val="both"/>
        <w:rPr>
          <w:rFonts w:ascii="Arial" w:hAnsi="Arial"/>
          <w:b/>
          <w:bCs/>
          <w:sz w:val="26"/>
          <w:szCs w:val="26"/>
          <w:rtl/>
        </w:rPr>
      </w:pPr>
      <w:bookmarkStart w:id="8" w:name="Nitan"/>
      <w:r>
        <w:rPr>
          <w:rFonts w:ascii="Arial" w:hAnsi="Arial"/>
          <w:rtl/>
        </w:rPr>
        <w:t xml:space="preserve">ניתן היום, כ' אלול תשפ"ג, 06 ספטמבר 2023, במעמד הצדדים. </w:t>
      </w:r>
      <w:bookmarkEnd w:id="8"/>
      <w:r w:rsidR="00210986">
        <w:rPr>
          <w:rFonts w:ascii="Arial" w:hAnsi="Arial"/>
          <w:b/>
          <w:bCs/>
          <w:sz w:val="26"/>
          <w:szCs w:val="26"/>
          <w:rtl/>
        </w:rPr>
        <w:tab/>
      </w:r>
      <w:r w:rsidR="00210986">
        <w:rPr>
          <w:rFonts w:ascii="Arial" w:hAnsi="Arial"/>
          <w:b/>
          <w:bCs/>
          <w:sz w:val="26"/>
          <w:szCs w:val="26"/>
          <w:rtl/>
        </w:rPr>
        <w:tab/>
      </w:r>
      <w:r w:rsidR="00210986">
        <w:rPr>
          <w:rFonts w:ascii="Arial" w:hAnsi="Arial"/>
          <w:b/>
          <w:bCs/>
          <w:sz w:val="26"/>
          <w:szCs w:val="26"/>
          <w:rtl/>
        </w:rPr>
        <w:tab/>
      </w:r>
      <w:r w:rsidR="00210986">
        <w:rPr>
          <w:rFonts w:ascii="Arial" w:hAnsi="Arial"/>
          <w:b/>
          <w:bCs/>
          <w:sz w:val="26"/>
          <w:szCs w:val="26"/>
          <w:rtl/>
        </w:rPr>
        <w:tab/>
      </w:r>
      <w:r w:rsidR="00210986">
        <w:rPr>
          <w:rFonts w:ascii="Arial" w:hAnsi="Arial"/>
          <w:b/>
          <w:bCs/>
          <w:sz w:val="26"/>
          <w:szCs w:val="26"/>
          <w:rtl/>
        </w:rPr>
        <w:tab/>
      </w:r>
      <w:r w:rsidR="00210986">
        <w:rPr>
          <w:rFonts w:ascii="Arial" w:hAnsi="Arial"/>
          <w:b/>
          <w:bCs/>
          <w:sz w:val="26"/>
          <w:szCs w:val="26"/>
          <w:rtl/>
        </w:rPr>
        <w:tab/>
      </w:r>
      <w:r w:rsidR="00210986">
        <w:rPr>
          <w:rFonts w:ascii="Arial" w:hAnsi="Arial"/>
          <w:b/>
          <w:bCs/>
          <w:sz w:val="26"/>
          <w:szCs w:val="26"/>
          <w:rtl/>
        </w:rPr>
        <w:tab/>
      </w:r>
      <w:r w:rsidR="00210986">
        <w:rPr>
          <w:rFonts w:ascii="Arial" w:hAnsi="Arial" w:hint="cs"/>
          <w:b/>
          <w:bCs/>
          <w:sz w:val="26"/>
          <w:szCs w:val="26"/>
          <w:rtl/>
        </w:rPr>
        <w:t xml:space="preserve">         </w:t>
      </w:r>
    </w:p>
    <w:p w14:paraId="6169C4C7" w14:textId="77777777" w:rsidR="00210986" w:rsidRPr="000F2247" w:rsidRDefault="00210986" w:rsidP="00711E4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1AEE946" w14:textId="77777777" w:rsidR="00210986" w:rsidRPr="000F2247" w:rsidRDefault="00210986" w:rsidP="00210986">
      <w:pPr>
        <w:jc w:val="center"/>
        <w:rPr>
          <w:rFonts w:ascii="Arial" w:hAnsi="Arial"/>
          <w:b/>
          <w:bCs/>
          <w:sz w:val="26"/>
          <w:szCs w:val="26"/>
          <w:rtl/>
        </w:rPr>
      </w:pPr>
    </w:p>
    <w:p w14:paraId="1E37FA3F" w14:textId="77777777" w:rsidR="00443222" w:rsidRPr="00711E4F" w:rsidRDefault="00443222" w:rsidP="00711E4F">
      <w:pPr>
        <w:keepNext/>
        <w:rPr>
          <w:rFonts w:ascii="David" w:hAnsi="David"/>
          <w:color w:val="000000"/>
          <w:sz w:val="22"/>
          <w:szCs w:val="22"/>
          <w:rtl/>
        </w:rPr>
      </w:pPr>
    </w:p>
    <w:p w14:paraId="6488183A" w14:textId="77777777" w:rsidR="00711E4F" w:rsidRPr="00711E4F" w:rsidRDefault="00711E4F" w:rsidP="00711E4F">
      <w:pPr>
        <w:keepNext/>
        <w:rPr>
          <w:rFonts w:ascii="David" w:hAnsi="David"/>
          <w:color w:val="000000"/>
          <w:sz w:val="22"/>
          <w:szCs w:val="22"/>
          <w:rtl/>
        </w:rPr>
      </w:pPr>
      <w:r w:rsidRPr="00711E4F">
        <w:rPr>
          <w:rFonts w:ascii="David" w:hAnsi="David"/>
          <w:color w:val="000000"/>
          <w:sz w:val="22"/>
          <w:szCs w:val="22"/>
          <w:rtl/>
        </w:rPr>
        <w:t>שאול אבינור 54678313</w:t>
      </w:r>
    </w:p>
    <w:p w14:paraId="54166500" w14:textId="77777777" w:rsidR="00711E4F" w:rsidRDefault="00711E4F" w:rsidP="00711E4F">
      <w:r w:rsidRPr="00711E4F">
        <w:rPr>
          <w:color w:val="000000"/>
          <w:rtl/>
        </w:rPr>
        <w:t>נוסח מסמך זה כפוף לשינויי ניסוח ועריכה</w:t>
      </w:r>
    </w:p>
    <w:p w14:paraId="7A2D9B78" w14:textId="77777777" w:rsidR="00711E4F" w:rsidRDefault="00711E4F" w:rsidP="00711E4F">
      <w:pPr>
        <w:rPr>
          <w:rtl/>
        </w:rPr>
      </w:pPr>
    </w:p>
    <w:p w14:paraId="42B24F11" w14:textId="77777777" w:rsidR="00711E4F" w:rsidRDefault="00711E4F" w:rsidP="00711E4F">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D901E69" w14:textId="77777777" w:rsidR="00711E4F" w:rsidRPr="00711E4F" w:rsidRDefault="00711E4F" w:rsidP="00711E4F">
      <w:pPr>
        <w:jc w:val="center"/>
        <w:rPr>
          <w:color w:val="0000FF"/>
          <w:u w:val="single"/>
        </w:rPr>
      </w:pPr>
    </w:p>
    <w:sectPr w:rsidR="00711E4F" w:rsidRPr="00711E4F" w:rsidSect="00711E4F">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2C4C2" w14:textId="77777777" w:rsidR="00BD652B" w:rsidRDefault="00BD652B" w:rsidP="00A605C5">
      <w:r>
        <w:separator/>
      </w:r>
    </w:p>
  </w:endnote>
  <w:endnote w:type="continuationSeparator" w:id="0">
    <w:p w14:paraId="534A8162" w14:textId="77777777" w:rsidR="00BD652B" w:rsidRDefault="00BD652B" w:rsidP="00A6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E4A69" w14:textId="77777777" w:rsidR="00711E4F" w:rsidRDefault="00711E4F" w:rsidP="00711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B96B3E" w14:textId="77777777" w:rsidR="006A2D49" w:rsidRPr="00711E4F" w:rsidRDefault="00711E4F" w:rsidP="00711E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A7C51" w14:textId="77777777" w:rsidR="00711E4F" w:rsidRDefault="00711E4F" w:rsidP="00711E4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6B7D">
      <w:rPr>
        <w:rFonts w:ascii="FrankRuehl" w:hAnsi="FrankRuehl" w:cs="FrankRuehl"/>
        <w:noProof/>
        <w:rtl/>
      </w:rPr>
      <w:t>1</w:t>
    </w:r>
    <w:r>
      <w:rPr>
        <w:rFonts w:ascii="FrankRuehl" w:hAnsi="FrankRuehl" w:cs="FrankRuehl"/>
        <w:rtl/>
      </w:rPr>
      <w:fldChar w:fldCharType="end"/>
    </w:r>
  </w:p>
  <w:p w14:paraId="0C90310E" w14:textId="77777777" w:rsidR="006A2D49" w:rsidRPr="00711E4F" w:rsidRDefault="00711E4F" w:rsidP="00711E4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690E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9ED24" w14:textId="77777777" w:rsidR="00BD652B" w:rsidRDefault="00BD652B" w:rsidP="00A605C5">
      <w:r>
        <w:separator/>
      </w:r>
    </w:p>
  </w:footnote>
  <w:footnote w:type="continuationSeparator" w:id="0">
    <w:p w14:paraId="4CC5E988" w14:textId="77777777" w:rsidR="00BD652B" w:rsidRDefault="00BD652B" w:rsidP="00A60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041CB" w14:textId="77777777" w:rsidR="00711E4F" w:rsidRPr="00711E4F" w:rsidRDefault="00711E4F" w:rsidP="00711E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32302-02-23</w:t>
    </w:r>
    <w:r>
      <w:rPr>
        <w:rFonts w:ascii="David" w:hAnsi="David"/>
        <w:color w:val="000000"/>
        <w:sz w:val="22"/>
        <w:szCs w:val="22"/>
        <w:rtl/>
      </w:rPr>
      <w:tab/>
      <w:t xml:space="preserve"> מדינת ישראל נ' נתנאל בן ציון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997D3" w14:textId="77777777" w:rsidR="00711E4F" w:rsidRPr="00711E4F" w:rsidRDefault="00711E4F" w:rsidP="00711E4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32302-02-23</w:t>
    </w:r>
    <w:r>
      <w:rPr>
        <w:rFonts w:ascii="David" w:hAnsi="David"/>
        <w:color w:val="000000"/>
        <w:sz w:val="22"/>
        <w:szCs w:val="22"/>
        <w:rtl/>
      </w:rPr>
      <w:tab/>
      <w:t xml:space="preserve"> מדינת ישראל נ' נתנאל בן ציון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5B6EE736"/>
    <w:lvl w:ilvl="0" w:tplc="AA6A28D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2" w15:restartNumberingAfterBreak="0">
    <w:nsid w:val="5A095D42"/>
    <w:multiLevelType w:val="hybridMultilevel"/>
    <w:tmpl w:val="12F6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04753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7886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542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0986"/>
    <w:rsid w:val="00202BD6"/>
    <w:rsid w:val="00210986"/>
    <w:rsid w:val="00322869"/>
    <w:rsid w:val="00443222"/>
    <w:rsid w:val="0050137C"/>
    <w:rsid w:val="006A2D49"/>
    <w:rsid w:val="00711E4F"/>
    <w:rsid w:val="00780DA7"/>
    <w:rsid w:val="00882556"/>
    <w:rsid w:val="008D7820"/>
    <w:rsid w:val="009A6B7D"/>
    <w:rsid w:val="00A605C5"/>
    <w:rsid w:val="00BD652B"/>
    <w:rsid w:val="00C9369C"/>
    <w:rsid w:val="00D30CB6"/>
    <w:rsid w:val="00D54589"/>
    <w:rsid w:val="00EA51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D74048"/>
  <w15:chartTrackingRefBased/>
  <w15:docId w15:val="{89704D8E-4D02-4B9D-AF5B-DCE4945A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098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0986"/>
    <w:pPr>
      <w:tabs>
        <w:tab w:val="center" w:pos="4153"/>
        <w:tab w:val="right" w:pos="8306"/>
      </w:tabs>
    </w:pPr>
  </w:style>
  <w:style w:type="character" w:customStyle="1" w:styleId="a4">
    <w:name w:val="כותרת עליונה תו"/>
    <w:link w:val="a3"/>
    <w:rsid w:val="00210986"/>
    <w:rPr>
      <w:rFonts w:ascii="Times New Roman" w:eastAsia="Times New Roman" w:hAnsi="Times New Roman" w:cs="David"/>
      <w:sz w:val="24"/>
      <w:szCs w:val="24"/>
    </w:rPr>
  </w:style>
  <w:style w:type="paragraph" w:styleId="a5">
    <w:name w:val="footer"/>
    <w:basedOn w:val="a"/>
    <w:link w:val="a6"/>
    <w:rsid w:val="00210986"/>
    <w:pPr>
      <w:tabs>
        <w:tab w:val="center" w:pos="4153"/>
        <w:tab w:val="right" w:pos="8306"/>
      </w:tabs>
    </w:pPr>
  </w:style>
  <w:style w:type="character" w:customStyle="1" w:styleId="a6">
    <w:name w:val="כותרת תחתונה תו"/>
    <w:link w:val="a5"/>
    <w:rsid w:val="00210986"/>
    <w:rPr>
      <w:rFonts w:ascii="Times New Roman" w:eastAsia="Times New Roman" w:hAnsi="Times New Roman" w:cs="David"/>
      <w:sz w:val="24"/>
      <w:szCs w:val="24"/>
    </w:rPr>
  </w:style>
  <w:style w:type="table" w:styleId="a7">
    <w:name w:val="Table Grid"/>
    <w:basedOn w:val="a1"/>
    <w:rsid w:val="0021098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0986"/>
  </w:style>
  <w:style w:type="paragraph" w:styleId="a9">
    <w:name w:val="List Paragraph"/>
    <w:basedOn w:val="a"/>
    <w:qFormat/>
    <w:rsid w:val="00210986"/>
    <w:pPr>
      <w:ind w:left="720"/>
      <w:contextualSpacing/>
    </w:pPr>
    <w:rPr>
      <w:rFonts w:ascii="Arial (W1)" w:hAnsi="Arial (W1)"/>
    </w:rPr>
  </w:style>
  <w:style w:type="character" w:styleId="Hyperlink">
    <w:name w:val="Hyperlink"/>
    <w:rsid w:val="00711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40i" TargetMode="External"/><Relationship Id="rId21" Type="http://schemas.openxmlformats.org/officeDocument/2006/relationships/hyperlink" Target="http://www.nevo.co.il/law/522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9072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718202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9358620" TargetMode="External"/><Relationship Id="rId20" Type="http://schemas.openxmlformats.org/officeDocument/2006/relationships/hyperlink" Target="http://www.nevo.co.il/law/5227/10.a"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5227/10.a" TargetMode="External"/><Relationship Id="rId24" Type="http://schemas.openxmlformats.org/officeDocument/2006/relationships/hyperlink" Target="http://www.nevo.co.il/case/2779587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case/29396498" TargetMode="External"/><Relationship Id="rId28" Type="http://schemas.openxmlformats.org/officeDocument/2006/relationships/hyperlink" Target="http://www.nevo.co.il/law/70301/40ja" TargetMode="External"/><Relationship Id="rId36" Type="http://schemas.openxmlformats.org/officeDocument/2006/relationships/fontTable" Target="fontTable.xml"/><Relationship Id="rId10" Type="http://schemas.openxmlformats.org/officeDocument/2006/relationships/hyperlink" Target="http://www.nevo.co.il/law/5227" TargetMode="External"/><Relationship Id="rId19" Type="http://schemas.openxmlformats.org/officeDocument/2006/relationships/hyperlink" Target="http://www.nevo.co.il/law/4216"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9072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1943</Words>
  <Characters>9716</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11636</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http://www.nevo.co.il/law/70301/40i</vt:lpwstr>
      </vt:variant>
      <vt:variant>
        <vt:lpwstr/>
      </vt:variant>
      <vt:variant>
        <vt:i4>3342459</vt:i4>
      </vt:variant>
      <vt:variant>
        <vt:i4>54</vt:i4>
      </vt:variant>
      <vt:variant>
        <vt:i4>0</vt:i4>
      </vt:variant>
      <vt:variant>
        <vt:i4>5</vt:i4>
      </vt:variant>
      <vt:variant>
        <vt:lpwstr>http://www.nevo.co.il/case/27182020</vt:lpwstr>
      </vt:variant>
      <vt:variant>
        <vt:lpwstr/>
      </vt:variant>
      <vt:variant>
        <vt:i4>3604594</vt:i4>
      </vt:variant>
      <vt:variant>
        <vt:i4>51</vt:i4>
      </vt:variant>
      <vt:variant>
        <vt:i4>0</vt:i4>
      </vt:variant>
      <vt:variant>
        <vt:i4>5</vt:i4>
      </vt:variant>
      <vt:variant>
        <vt:lpwstr>http://www.nevo.co.il/case/27795875</vt:lpwstr>
      </vt:variant>
      <vt:variant>
        <vt:lpwstr/>
      </vt:variant>
      <vt:variant>
        <vt:i4>4063344</vt:i4>
      </vt:variant>
      <vt:variant>
        <vt:i4>48</vt:i4>
      </vt:variant>
      <vt:variant>
        <vt:i4>0</vt:i4>
      </vt:variant>
      <vt:variant>
        <vt:i4>5</vt:i4>
      </vt:variant>
      <vt:variant>
        <vt:lpwstr>http://www.nevo.co.il/case/29396498</vt:lpwstr>
      </vt:variant>
      <vt:variant>
        <vt:lpwstr/>
      </vt:variant>
      <vt:variant>
        <vt:i4>7864430</vt:i4>
      </vt:variant>
      <vt:variant>
        <vt:i4>45</vt:i4>
      </vt:variant>
      <vt:variant>
        <vt:i4>0</vt:i4>
      </vt:variant>
      <vt:variant>
        <vt:i4>5</vt:i4>
      </vt:variant>
      <vt:variant>
        <vt:lpwstr>http://www.nevo.co.il/law/90721</vt:lpwstr>
      </vt:variant>
      <vt:variant>
        <vt:lpwstr/>
      </vt:variant>
      <vt:variant>
        <vt:i4>8323175</vt:i4>
      </vt:variant>
      <vt:variant>
        <vt:i4>42</vt:i4>
      </vt:variant>
      <vt:variant>
        <vt:i4>0</vt:i4>
      </vt:variant>
      <vt:variant>
        <vt:i4>5</vt:i4>
      </vt:variant>
      <vt:variant>
        <vt:lpwstr>http://www.nevo.co.il/law/5227</vt:lpwstr>
      </vt:variant>
      <vt:variant>
        <vt:lpwstr/>
      </vt:variant>
      <vt:variant>
        <vt:i4>6291576</vt:i4>
      </vt:variant>
      <vt:variant>
        <vt:i4>39</vt:i4>
      </vt:variant>
      <vt:variant>
        <vt:i4>0</vt:i4>
      </vt:variant>
      <vt:variant>
        <vt:i4>5</vt:i4>
      </vt:variant>
      <vt:variant>
        <vt:lpwstr>http://www.nevo.co.il/law/5227/10.a</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3866750</vt:i4>
      </vt:variant>
      <vt:variant>
        <vt:i4>27</vt:i4>
      </vt:variant>
      <vt:variant>
        <vt:i4>0</vt:i4>
      </vt:variant>
      <vt:variant>
        <vt:i4>5</vt:i4>
      </vt:variant>
      <vt:variant>
        <vt:lpwstr>http://www.nevo.co.il/case/29358620</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7995492</vt:i4>
      </vt:variant>
      <vt:variant>
        <vt:i4>18</vt:i4>
      </vt:variant>
      <vt:variant>
        <vt:i4>0</vt:i4>
      </vt:variant>
      <vt:variant>
        <vt:i4>5</vt:i4>
      </vt:variant>
      <vt:variant>
        <vt:lpwstr>http://www.nevo.co.il/law/70301</vt:lpwstr>
      </vt:variant>
      <vt:variant>
        <vt:lpwstr/>
      </vt:variant>
      <vt:variant>
        <vt:i4>7864430</vt:i4>
      </vt:variant>
      <vt:variant>
        <vt:i4>15</vt:i4>
      </vt:variant>
      <vt:variant>
        <vt:i4>0</vt:i4>
      </vt:variant>
      <vt:variant>
        <vt:i4>5</vt:i4>
      </vt:variant>
      <vt:variant>
        <vt:lpwstr>http://www.nevo.co.il/law/90721</vt:lpwstr>
      </vt:variant>
      <vt:variant>
        <vt:lpwstr/>
      </vt:variant>
      <vt:variant>
        <vt:i4>6291576</vt:i4>
      </vt:variant>
      <vt:variant>
        <vt:i4>12</vt:i4>
      </vt:variant>
      <vt:variant>
        <vt:i4>0</vt:i4>
      </vt:variant>
      <vt:variant>
        <vt:i4>5</vt:i4>
      </vt:variant>
      <vt:variant>
        <vt:lpwstr>http://www.nevo.co.il/law/5227/10.a</vt:lpwstr>
      </vt:variant>
      <vt:variant>
        <vt:lpwstr/>
      </vt:variant>
      <vt:variant>
        <vt:i4>8323175</vt:i4>
      </vt:variant>
      <vt:variant>
        <vt:i4>9</vt:i4>
      </vt:variant>
      <vt:variant>
        <vt:i4>0</vt:i4>
      </vt:variant>
      <vt:variant>
        <vt:i4>5</vt:i4>
      </vt:variant>
      <vt:variant>
        <vt:lpwstr>http://www.nevo.co.il/law/5227</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32302</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נתנאל בן ציון</vt:lpwstr>
  </property>
  <property fmtid="{D5CDD505-2E9C-101B-9397-08002B2CF9AE}" pid="10" name="LAWYER">
    <vt:lpwstr>ספיר שחף יגר;יצחק איצקוביץ</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20230906</vt:lpwstr>
  </property>
  <property fmtid="{D5CDD505-2E9C-101B-9397-08002B2CF9AE}" pid="14" name="TYPE_N_DATE">
    <vt:lpwstr>38020230906</vt:lpwstr>
  </property>
  <property fmtid="{D5CDD505-2E9C-101B-9397-08002B2CF9AE}" pid="15" name="WORDNUMPAGES">
    <vt:lpwstr>6</vt:lpwstr>
  </property>
  <property fmtid="{D5CDD505-2E9C-101B-9397-08002B2CF9AE}" pid="16" name="TYPE_ABS_DATE">
    <vt:lpwstr>380020230906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29358620;29396498;27795875;27182020</vt:lpwstr>
  </property>
  <property fmtid="{D5CDD505-2E9C-101B-9397-08002B2CF9AE}" pid="36" name="LAWLISTTMP1">
    <vt:lpwstr>4216/007.a;007.c</vt:lpwstr>
  </property>
  <property fmtid="{D5CDD505-2E9C-101B-9397-08002B2CF9AE}" pid="37" name="LAWLISTTMP2">
    <vt:lpwstr>5227/010.a</vt:lpwstr>
  </property>
  <property fmtid="{D5CDD505-2E9C-101B-9397-08002B2CF9AE}" pid="38" name="LAWLISTTMP3">
    <vt:lpwstr>90721</vt:lpwstr>
  </property>
  <property fmtid="{D5CDD505-2E9C-101B-9397-08002B2CF9AE}" pid="39" name="LAWLISTTMP4">
    <vt:lpwstr>70301/040i;40ja</vt:lpwstr>
  </property>
</Properties>
</file>