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6E105C" w:rsidRPr="007D55C9" w14:paraId="0618E61F" w14:textId="77777777" w:rsidTr="00DD505A">
        <w:trPr>
          <w:gridAfter w:val="1"/>
          <w:wAfter w:w="99" w:type="dxa"/>
          <w:trHeight w:hRule="exact" w:val="418"/>
          <w:jc w:val="center"/>
        </w:trPr>
        <w:tc>
          <w:tcPr>
            <w:tcW w:w="8721" w:type="dxa"/>
            <w:gridSpan w:val="4"/>
          </w:tcPr>
          <w:p w14:paraId="354729BC" w14:textId="77777777" w:rsidR="006E105C" w:rsidRPr="007D55C9" w:rsidRDefault="006E105C" w:rsidP="00115FC3">
            <w:pPr>
              <w:pStyle w:val="a3"/>
              <w:jc w:val="center"/>
              <w:rPr>
                <w:rFonts w:ascii="Tahoma" w:hAnsi="Tahoma" w:cs="Tahoma"/>
                <w:color w:val="000080"/>
                <w:rtl/>
              </w:rPr>
            </w:pPr>
            <w:bookmarkStart w:id="0" w:name="LastJudge"/>
            <w:r w:rsidRPr="007D55C9">
              <w:rPr>
                <w:rFonts w:ascii="Tahoma" w:hAnsi="Tahoma" w:cs="Tahoma"/>
                <w:b/>
                <w:bCs/>
                <w:color w:val="000080"/>
                <w:rtl/>
              </w:rPr>
              <w:t>בית משפט השלום בתל אביב -יפו</w:t>
            </w:r>
          </w:p>
        </w:tc>
      </w:tr>
      <w:tr w:rsidR="006E105C" w:rsidRPr="007D55C9" w14:paraId="230EFD8D" w14:textId="77777777" w:rsidTr="00DD505A">
        <w:trPr>
          <w:gridAfter w:val="1"/>
          <w:wAfter w:w="99" w:type="dxa"/>
          <w:trHeight w:val="337"/>
          <w:jc w:val="center"/>
        </w:trPr>
        <w:tc>
          <w:tcPr>
            <w:tcW w:w="5054" w:type="dxa"/>
            <w:gridSpan w:val="3"/>
          </w:tcPr>
          <w:p w14:paraId="0440D80E" w14:textId="77777777" w:rsidR="006E105C" w:rsidRPr="007D55C9" w:rsidRDefault="006E105C" w:rsidP="00115FC3">
            <w:pPr>
              <w:rPr>
                <w:rFonts w:cs="FrankRuehl"/>
                <w:sz w:val="28"/>
                <w:szCs w:val="28"/>
                <w:rtl/>
              </w:rPr>
            </w:pPr>
            <w:r w:rsidRPr="007D55C9">
              <w:rPr>
                <w:rFonts w:cs="FrankRuehl"/>
                <w:sz w:val="28"/>
                <w:szCs w:val="28"/>
                <w:rtl/>
              </w:rPr>
              <w:t>ת"פ</w:t>
            </w:r>
            <w:r w:rsidRPr="007D55C9">
              <w:rPr>
                <w:rFonts w:cs="FrankRuehl" w:hint="cs"/>
                <w:sz w:val="28"/>
                <w:szCs w:val="28"/>
                <w:rtl/>
              </w:rPr>
              <w:t xml:space="preserve"> </w:t>
            </w:r>
            <w:r w:rsidRPr="007D55C9">
              <w:rPr>
                <w:rFonts w:cs="FrankRuehl"/>
                <w:sz w:val="28"/>
                <w:szCs w:val="28"/>
                <w:rtl/>
              </w:rPr>
              <w:t>56726-02-23</w:t>
            </w:r>
            <w:r w:rsidRPr="007D55C9">
              <w:rPr>
                <w:rFonts w:cs="FrankRuehl" w:hint="cs"/>
                <w:sz w:val="28"/>
                <w:szCs w:val="28"/>
                <w:rtl/>
              </w:rPr>
              <w:t xml:space="preserve"> </w:t>
            </w:r>
            <w:r w:rsidRPr="007D55C9">
              <w:rPr>
                <w:rFonts w:cs="FrankRuehl"/>
                <w:sz w:val="28"/>
                <w:szCs w:val="28"/>
                <w:rtl/>
              </w:rPr>
              <w:t>מדינת ישראל נ' אנג'ל</w:t>
            </w:r>
          </w:p>
          <w:p w14:paraId="46AD4BAE" w14:textId="77777777" w:rsidR="006E105C" w:rsidRPr="007D55C9" w:rsidRDefault="006E105C" w:rsidP="00115FC3">
            <w:pPr>
              <w:pStyle w:val="a3"/>
              <w:rPr>
                <w:rFonts w:cs="FrankRuehl"/>
                <w:sz w:val="28"/>
                <w:szCs w:val="28"/>
                <w:rtl/>
              </w:rPr>
            </w:pPr>
          </w:p>
        </w:tc>
        <w:tc>
          <w:tcPr>
            <w:tcW w:w="3667" w:type="dxa"/>
          </w:tcPr>
          <w:p w14:paraId="013D2DB4" w14:textId="77777777" w:rsidR="006E105C" w:rsidRPr="007D55C9" w:rsidRDefault="006E105C" w:rsidP="00115FC3">
            <w:pPr>
              <w:pStyle w:val="a3"/>
              <w:jc w:val="right"/>
              <w:rPr>
                <w:rFonts w:cs="FrankRuehl"/>
                <w:sz w:val="28"/>
                <w:szCs w:val="28"/>
                <w:rtl/>
              </w:rPr>
            </w:pPr>
          </w:p>
        </w:tc>
      </w:tr>
      <w:tr w:rsidR="006E105C" w:rsidRPr="007D55C9" w14:paraId="052F873D" w14:textId="77777777" w:rsidTr="00DD50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121D5AE" w14:textId="77777777" w:rsidR="006E105C" w:rsidRPr="007D55C9" w:rsidRDefault="006E105C" w:rsidP="006E105C">
            <w:pPr>
              <w:spacing w:line="360" w:lineRule="auto"/>
              <w:jc w:val="both"/>
              <w:rPr>
                <w:rFonts w:ascii="David" w:hAnsi="David"/>
                <w:b/>
                <w:bCs/>
                <w:sz w:val="26"/>
                <w:szCs w:val="26"/>
              </w:rPr>
            </w:pPr>
            <w:r w:rsidRPr="007D55C9">
              <w:rPr>
                <w:rFonts w:hint="cs"/>
                <w:rtl/>
              </w:rPr>
              <w:t xml:space="preserve"> </w:t>
            </w:r>
            <w:r w:rsidRPr="007D55C9">
              <w:rPr>
                <w:rFonts w:ascii="David" w:hAnsi="David"/>
                <w:b/>
                <w:bCs/>
                <w:sz w:val="26"/>
                <w:szCs w:val="26"/>
                <w:rtl/>
              </w:rPr>
              <w:t xml:space="preserve">בפני </w:t>
            </w:r>
          </w:p>
        </w:tc>
        <w:tc>
          <w:tcPr>
            <w:tcW w:w="7897" w:type="dxa"/>
            <w:gridSpan w:val="4"/>
            <w:tcBorders>
              <w:top w:val="nil"/>
              <w:left w:val="nil"/>
              <w:bottom w:val="nil"/>
              <w:right w:val="nil"/>
            </w:tcBorders>
            <w:shd w:val="clear" w:color="auto" w:fill="auto"/>
          </w:tcPr>
          <w:p w14:paraId="5A0F2FD1" w14:textId="77777777" w:rsidR="006E105C" w:rsidRPr="007D55C9" w:rsidRDefault="006E105C" w:rsidP="006E105C">
            <w:pPr>
              <w:spacing w:line="360" w:lineRule="auto"/>
              <w:rPr>
                <w:rFonts w:ascii="David" w:hAnsi="David"/>
                <w:b/>
                <w:bCs/>
                <w:sz w:val="26"/>
                <w:szCs w:val="26"/>
                <w:rtl/>
              </w:rPr>
            </w:pPr>
            <w:r w:rsidRPr="007D55C9">
              <w:rPr>
                <w:rFonts w:ascii="David" w:hAnsi="David" w:hint="cs"/>
                <w:b/>
                <w:bCs/>
                <w:sz w:val="26"/>
                <w:szCs w:val="26"/>
                <w:rtl/>
              </w:rPr>
              <w:t>כבוד השופט הבכיר, שאול אבינור</w:t>
            </w:r>
          </w:p>
          <w:p w14:paraId="13AA3E95" w14:textId="77777777" w:rsidR="006E105C" w:rsidRPr="007D55C9" w:rsidRDefault="006E105C" w:rsidP="006E105C">
            <w:pPr>
              <w:spacing w:line="360" w:lineRule="auto"/>
              <w:rPr>
                <w:rFonts w:ascii="David" w:hAnsi="David"/>
                <w:sz w:val="26"/>
                <w:szCs w:val="26"/>
              </w:rPr>
            </w:pPr>
          </w:p>
        </w:tc>
      </w:tr>
      <w:tr w:rsidR="006E105C" w:rsidRPr="007D55C9" w14:paraId="04620971" w14:textId="77777777" w:rsidTr="00DD50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B63EFFA" w14:textId="77777777" w:rsidR="006E105C" w:rsidRPr="007D55C9" w:rsidRDefault="006E105C" w:rsidP="006E105C">
            <w:pPr>
              <w:spacing w:line="360" w:lineRule="auto"/>
              <w:jc w:val="both"/>
              <w:rPr>
                <w:rFonts w:ascii="David" w:hAnsi="David"/>
                <w:sz w:val="26"/>
                <w:szCs w:val="26"/>
              </w:rPr>
            </w:pPr>
            <w:bookmarkStart w:id="1" w:name="FirstAppellant"/>
            <w:bookmarkStart w:id="2" w:name="FirstLawyer"/>
            <w:r w:rsidRPr="007D55C9">
              <w:rPr>
                <w:rFonts w:ascii="David" w:hAnsi="David"/>
                <w:sz w:val="26"/>
                <w:szCs w:val="26"/>
                <w:rtl/>
              </w:rPr>
              <w:t>בעניין:</w:t>
            </w:r>
          </w:p>
        </w:tc>
        <w:tc>
          <w:tcPr>
            <w:tcW w:w="3219" w:type="dxa"/>
            <w:tcBorders>
              <w:top w:val="nil"/>
              <w:left w:val="nil"/>
              <w:bottom w:val="nil"/>
              <w:right w:val="nil"/>
            </w:tcBorders>
            <w:shd w:val="clear" w:color="auto" w:fill="auto"/>
          </w:tcPr>
          <w:p w14:paraId="13FA01DF" w14:textId="77777777" w:rsidR="006E105C" w:rsidRPr="007D55C9" w:rsidRDefault="006E105C" w:rsidP="006E105C">
            <w:pPr>
              <w:suppressLineNumbers/>
              <w:spacing w:line="360" w:lineRule="auto"/>
            </w:pPr>
            <w:r w:rsidRPr="007D55C9">
              <w:rPr>
                <w:rFonts w:ascii="Arial" w:hAnsi="Arial" w:hint="cs"/>
                <w:b/>
                <w:bCs/>
                <w:sz w:val="26"/>
                <w:szCs w:val="26"/>
                <w:rtl/>
              </w:rPr>
              <w:t>המאשימה:</w:t>
            </w:r>
          </w:p>
          <w:p w14:paraId="79267664" w14:textId="77777777" w:rsidR="006E105C" w:rsidRPr="007D55C9" w:rsidRDefault="006E105C" w:rsidP="006E105C">
            <w:pPr>
              <w:spacing w:line="360" w:lineRule="auto"/>
              <w:rPr>
                <w:rFonts w:ascii="David" w:hAnsi="David"/>
                <w:sz w:val="26"/>
                <w:szCs w:val="26"/>
              </w:rPr>
            </w:pPr>
          </w:p>
        </w:tc>
        <w:tc>
          <w:tcPr>
            <w:tcW w:w="4678" w:type="dxa"/>
            <w:gridSpan w:val="3"/>
            <w:tcBorders>
              <w:top w:val="nil"/>
              <w:left w:val="nil"/>
              <w:bottom w:val="nil"/>
              <w:right w:val="nil"/>
            </w:tcBorders>
            <w:shd w:val="clear" w:color="auto" w:fill="auto"/>
            <w:vAlign w:val="center"/>
          </w:tcPr>
          <w:p w14:paraId="5398C4E0" w14:textId="77777777" w:rsidR="006E105C" w:rsidRPr="007D55C9" w:rsidRDefault="006E105C" w:rsidP="006E105C">
            <w:pPr>
              <w:suppressLineNumbers/>
              <w:spacing w:line="360" w:lineRule="auto"/>
              <w:rPr>
                <w:rFonts w:ascii="Arial" w:hAnsi="Arial"/>
                <w:rtl/>
              </w:rPr>
            </w:pPr>
            <w:r w:rsidRPr="007D55C9">
              <w:rPr>
                <w:rFonts w:ascii="Arial" w:hAnsi="Arial"/>
                <w:b/>
                <w:bCs/>
                <w:sz w:val="26"/>
                <w:szCs w:val="26"/>
                <w:rtl/>
              </w:rPr>
              <w:t>מדינת ישראל</w:t>
            </w:r>
            <w:r w:rsidRPr="007D55C9">
              <w:rPr>
                <w:rFonts w:ascii="Arial" w:hAnsi="Arial" w:hint="cs"/>
                <w:b/>
                <w:bCs/>
                <w:sz w:val="26"/>
                <w:szCs w:val="26"/>
                <w:rtl/>
              </w:rPr>
              <w:t xml:space="preserve"> </w:t>
            </w:r>
          </w:p>
          <w:p w14:paraId="26C5AA9B" w14:textId="77777777" w:rsidR="006E105C" w:rsidRPr="007D55C9" w:rsidRDefault="006E105C" w:rsidP="006E105C">
            <w:pPr>
              <w:suppressLineNumbers/>
              <w:spacing w:line="360" w:lineRule="auto"/>
            </w:pPr>
            <w:r w:rsidRPr="007D55C9">
              <w:rPr>
                <w:rFonts w:ascii="Arial" w:hAnsi="Arial"/>
                <w:rtl/>
              </w:rPr>
              <w:t>ע"י</w:t>
            </w:r>
            <w:r w:rsidRPr="007D55C9">
              <w:rPr>
                <w:rFonts w:ascii="Arial" w:hAnsi="Arial"/>
                <w:b/>
                <w:bCs/>
                <w:sz w:val="26"/>
                <w:szCs w:val="26"/>
                <w:rtl/>
              </w:rPr>
              <w:t xml:space="preserve"> </w:t>
            </w:r>
            <w:r w:rsidRPr="007D55C9">
              <w:rPr>
                <w:rFonts w:ascii="Arial" w:hAnsi="Arial"/>
                <w:rtl/>
              </w:rPr>
              <w:t>ב"כ עו</w:t>
            </w:r>
            <w:r w:rsidRPr="007D55C9">
              <w:rPr>
                <w:rFonts w:ascii="Arial" w:hAnsi="Arial" w:hint="cs"/>
                <w:rtl/>
              </w:rPr>
              <w:t>"ד שני מגדי</w:t>
            </w:r>
          </w:p>
          <w:p w14:paraId="082EBF00" w14:textId="77777777" w:rsidR="006E105C" w:rsidRPr="007D55C9" w:rsidRDefault="006E105C" w:rsidP="006E105C">
            <w:pPr>
              <w:spacing w:line="360" w:lineRule="auto"/>
              <w:rPr>
                <w:rFonts w:ascii="David" w:hAnsi="David"/>
                <w:sz w:val="26"/>
                <w:szCs w:val="26"/>
              </w:rPr>
            </w:pPr>
          </w:p>
        </w:tc>
      </w:tr>
      <w:bookmarkEnd w:id="1"/>
      <w:bookmarkEnd w:id="2"/>
      <w:tr w:rsidR="006E105C" w:rsidRPr="007D55C9" w14:paraId="79F7B3FB" w14:textId="77777777" w:rsidTr="00DD50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010EE7F" w14:textId="77777777" w:rsidR="006E105C" w:rsidRPr="007D55C9" w:rsidRDefault="006E105C" w:rsidP="006E105C">
            <w:pPr>
              <w:spacing w:line="360" w:lineRule="auto"/>
              <w:jc w:val="both"/>
              <w:rPr>
                <w:rFonts w:ascii="David" w:hAnsi="David"/>
                <w:sz w:val="26"/>
                <w:szCs w:val="26"/>
                <w:rtl/>
              </w:rPr>
            </w:pPr>
          </w:p>
        </w:tc>
        <w:tc>
          <w:tcPr>
            <w:tcW w:w="7897" w:type="dxa"/>
            <w:gridSpan w:val="4"/>
            <w:tcBorders>
              <w:top w:val="nil"/>
              <w:left w:val="nil"/>
              <w:bottom w:val="nil"/>
              <w:right w:val="nil"/>
            </w:tcBorders>
            <w:shd w:val="clear" w:color="auto" w:fill="auto"/>
          </w:tcPr>
          <w:p w14:paraId="649A4BB0" w14:textId="77777777" w:rsidR="006E105C" w:rsidRPr="007D55C9" w:rsidRDefault="006E105C" w:rsidP="006E105C">
            <w:pPr>
              <w:spacing w:line="360" w:lineRule="auto"/>
              <w:jc w:val="center"/>
              <w:rPr>
                <w:rFonts w:ascii="David" w:hAnsi="David"/>
                <w:b/>
                <w:bCs/>
                <w:sz w:val="26"/>
                <w:szCs w:val="26"/>
                <w:rtl/>
              </w:rPr>
            </w:pPr>
          </w:p>
          <w:p w14:paraId="0E5678B4" w14:textId="77777777" w:rsidR="006E105C" w:rsidRPr="007D55C9" w:rsidRDefault="006E105C" w:rsidP="006E105C">
            <w:pPr>
              <w:spacing w:line="360" w:lineRule="auto"/>
              <w:jc w:val="center"/>
              <w:rPr>
                <w:rFonts w:ascii="David" w:hAnsi="David"/>
                <w:b/>
                <w:bCs/>
                <w:sz w:val="26"/>
                <w:szCs w:val="26"/>
                <w:rtl/>
              </w:rPr>
            </w:pPr>
          </w:p>
          <w:p w14:paraId="26615C19" w14:textId="77777777" w:rsidR="006E105C" w:rsidRPr="007D55C9" w:rsidRDefault="006E105C" w:rsidP="006E105C">
            <w:pPr>
              <w:spacing w:line="360" w:lineRule="auto"/>
              <w:jc w:val="center"/>
              <w:rPr>
                <w:rFonts w:ascii="David" w:hAnsi="David"/>
                <w:b/>
                <w:bCs/>
                <w:sz w:val="26"/>
                <w:szCs w:val="26"/>
                <w:rtl/>
              </w:rPr>
            </w:pPr>
            <w:r w:rsidRPr="007D55C9">
              <w:rPr>
                <w:rFonts w:ascii="David" w:hAnsi="David"/>
                <w:b/>
                <w:bCs/>
                <w:sz w:val="26"/>
                <w:szCs w:val="26"/>
                <w:rtl/>
              </w:rPr>
              <w:t>נגד</w:t>
            </w:r>
          </w:p>
          <w:p w14:paraId="0016E23C" w14:textId="77777777" w:rsidR="006E105C" w:rsidRPr="007D55C9" w:rsidRDefault="006E105C" w:rsidP="006E105C">
            <w:pPr>
              <w:spacing w:line="360" w:lineRule="auto"/>
              <w:jc w:val="both"/>
              <w:rPr>
                <w:rFonts w:ascii="David" w:hAnsi="David"/>
                <w:sz w:val="26"/>
                <w:szCs w:val="26"/>
                <w:rtl/>
              </w:rPr>
            </w:pPr>
          </w:p>
          <w:p w14:paraId="08F1BF4A" w14:textId="77777777" w:rsidR="006E105C" w:rsidRPr="007D55C9" w:rsidRDefault="006E105C" w:rsidP="006E105C">
            <w:pPr>
              <w:spacing w:line="360" w:lineRule="auto"/>
              <w:jc w:val="both"/>
              <w:rPr>
                <w:rFonts w:ascii="David" w:hAnsi="David"/>
                <w:sz w:val="26"/>
                <w:szCs w:val="26"/>
                <w:rtl/>
              </w:rPr>
            </w:pPr>
          </w:p>
          <w:p w14:paraId="3D4422CC" w14:textId="77777777" w:rsidR="006E105C" w:rsidRPr="007D55C9" w:rsidRDefault="006E105C" w:rsidP="006E105C">
            <w:pPr>
              <w:spacing w:line="360" w:lineRule="auto"/>
              <w:jc w:val="both"/>
              <w:rPr>
                <w:rFonts w:ascii="David" w:hAnsi="David"/>
                <w:sz w:val="26"/>
                <w:szCs w:val="26"/>
              </w:rPr>
            </w:pPr>
          </w:p>
        </w:tc>
      </w:tr>
      <w:tr w:rsidR="006E105C" w:rsidRPr="007D55C9" w14:paraId="50F21E96" w14:textId="77777777" w:rsidTr="00DD50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EC0A3F0" w14:textId="77777777" w:rsidR="006E105C" w:rsidRPr="007D55C9" w:rsidRDefault="006E105C" w:rsidP="006E105C">
            <w:pPr>
              <w:spacing w:line="360" w:lineRule="auto"/>
              <w:rPr>
                <w:rFonts w:ascii="David" w:hAnsi="David"/>
                <w:sz w:val="26"/>
                <w:szCs w:val="26"/>
                <w:rtl/>
              </w:rPr>
            </w:pPr>
          </w:p>
        </w:tc>
        <w:tc>
          <w:tcPr>
            <w:tcW w:w="3219" w:type="dxa"/>
            <w:tcBorders>
              <w:top w:val="nil"/>
              <w:left w:val="nil"/>
              <w:bottom w:val="nil"/>
              <w:right w:val="nil"/>
            </w:tcBorders>
            <w:shd w:val="clear" w:color="auto" w:fill="auto"/>
          </w:tcPr>
          <w:p w14:paraId="2F5DFC7D" w14:textId="77777777" w:rsidR="006E105C" w:rsidRPr="007D55C9" w:rsidRDefault="006E105C" w:rsidP="006E105C">
            <w:pPr>
              <w:spacing w:line="360" w:lineRule="auto"/>
              <w:rPr>
                <w:rFonts w:ascii="Arial" w:hAnsi="Arial"/>
                <w:b/>
                <w:bCs/>
                <w:sz w:val="26"/>
                <w:szCs w:val="26"/>
                <w:rtl/>
              </w:rPr>
            </w:pPr>
            <w:r w:rsidRPr="007D55C9">
              <w:rPr>
                <w:rFonts w:ascii="Arial" w:hAnsi="Arial" w:hint="cs"/>
                <w:b/>
                <w:bCs/>
                <w:sz w:val="26"/>
                <w:szCs w:val="26"/>
                <w:rtl/>
              </w:rPr>
              <w:t>הנאשם:</w:t>
            </w:r>
          </w:p>
        </w:tc>
        <w:tc>
          <w:tcPr>
            <w:tcW w:w="4678" w:type="dxa"/>
            <w:gridSpan w:val="3"/>
            <w:tcBorders>
              <w:top w:val="nil"/>
              <w:left w:val="nil"/>
              <w:bottom w:val="nil"/>
              <w:right w:val="nil"/>
            </w:tcBorders>
            <w:shd w:val="clear" w:color="auto" w:fill="auto"/>
            <w:vAlign w:val="center"/>
          </w:tcPr>
          <w:p w14:paraId="43AC1A22" w14:textId="77777777" w:rsidR="006E105C" w:rsidRPr="007D55C9" w:rsidRDefault="006E105C" w:rsidP="006E105C">
            <w:pPr>
              <w:suppressLineNumbers/>
              <w:spacing w:line="360" w:lineRule="auto"/>
              <w:rPr>
                <w:rFonts w:ascii="Arial" w:hAnsi="Arial"/>
                <w:b/>
                <w:bCs/>
                <w:sz w:val="26"/>
                <w:szCs w:val="26"/>
                <w:rtl/>
              </w:rPr>
            </w:pPr>
            <w:r w:rsidRPr="007D55C9">
              <w:rPr>
                <w:rFonts w:ascii="Arial" w:hAnsi="Arial"/>
                <w:b/>
                <w:bCs/>
                <w:sz w:val="26"/>
                <w:szCs w:val="26"/>
                <w:rtl/>
              </w:rPr>
              <w:t>לירון אנג'ל</w:t>
            </w:r>
            <w:r w:rsidRPr="007D55C9">
              <w:rPr>
                <w:rFonts w:ascii="Arial" w:hAnsi="Arial" w:hint="cs"/>
                <w:b/>
                <w:bCs/>
                <w:sz w:val="26"/>
                <w:szCs w:val="26"/>
                <w:rtl/>
              </w:rPr>
              <w:t xml:space="preserve"> </w:t>
            </w:r>
          </w:p>
          <w:p w14:paraId="3C735235" w14:textId="77777777" w:rsidR="006E105C" w:rsidRPr="007D55C9" w:rsidRDefault="006E105C" w:rsidP="006E105C">
            <w:pPr>
              <w:suppressLineNumbers/>
              <w:spacing w:line="360" w:lineRule="auto"/>
              <w:rPr>
                <w:rtl/>
              </w:rPr>
            </w:pPr>
            <w:r w:rsidRPr="007D55C9">
              <w:rPr>
                <w:rFonts w:ascii="Arial" w:hAnsi="Arial"/>
                <w:rtl/>
              </w:rPr>
              <w:t>ע"י</w:t>
            </w:r>
            <w:r w:rsidRPr="007D55C9">
              <w:rPr>
                <w:rFonts w:ascii="Arial" w:hAnsi="Arial"/>
                <w:b/>
                <w:bCs/>
                <w:sz w:val="26"/>
                <w:szCs w:val="26"/>
                <w:rtl/>
              </w:rPr>
              <w:t xml:space="preserve"> </w:t>
            </w:r>
            <w:r w:rsidRPr="007D55C9">
              <w:rPr>
                <w:rFonts w:ascii="Arial" w:hAnsi="Arial"/>
                <w:rtl/>
              </w:rPr>
              <w:t>ב"כ עו</w:t>
            </w:r>
            <w:r w:rsidRPr="007D55C9">
              <w:rPr>
                <w:rFonts w:ascii="Arial" w:hAnsi="Arial" w:hint="cs"/>
                <w:rtl/>
              </w:rPr>
              <w:t>"ד משה אלון</w:t>
            </w:r>
          </w:p>
          <w:p w14:paraId="2F259C83" w14:textId="77777777" w:rsidR="006E105C" w:rsidRPr="007D55C9" w:rsidRDefault="006E105C" w:rsidP="006E105C">
            <w:pPr>
              <w:spacing w:line="360" w:lineRule="auto"/>
              <w:rPr>
                <w:rFonts w:ascii="David" w:hAnsi="David"/>
                <w:sz w:val="26"/>
                <w:szCs w:val="26"/>
              </w:rPr>
            </w:pPr>
          </w:p>
        </w:tc>
      </w:tr>
    </w:tbl>
    <w:p w14:paraId="738C47E4" w14:textId="77777777" w:rsidR="007D55C9" w:rsidRPr="007D55C9" w:rsidRDefault="007D55C9" w:rsidP="007D55C9">
      <w:pPr>
        <w:spacing w:before="120" w:after="120" w:line="240" w:lineRule="exact"/>
        <w:ind w:left="283" w:hanging="283"/>
        <w:jc w:val="both"/>
        <w:rPr>
          <w:rFonts w:ascii="FrankRuehl" w:hAnsi="FrankRuehl" w:cs="FrankRuehl"/>
          <w:rtl/>
        </w:rPr>
      </w:pPr>
    </w:p>
    <w:p w14:paraId="67AEE924" w14:textId="77777777" w:rsidR="007D55C9" w:rsidRPr="007D55C9" w:rsidRDefault="007D55C9" w:rsidP="007D55C9">
      <w:pPr>
        <w:spacing w:line="360" w:lineRule="auto"/>
        <w:rPr>
          <w:sz w:val="26"/>
          <w:szCs w:val="26"/>
          <w:rtl/>
        </w:rPr>
      </w:pPr>
    </w:p>
    <w:p w14:paraId="3C32F8E6" w14:textId="77777777" w:rsidR="00DD505A" w:rsidRPr="00DD505A" w:rsidRDefault="00DD505A" w:rsidP="00DD505A">
      <w:pPr>
        <w:spacing w:before="120" w:after="120" w:line="240" w:lineRule="exact"/>
        <w:ind w:left="283" w:hanging="283"/>
        <w:jc w:val="both"/>
        <w:rPr>
          <w:rFonts w:ascii="FrankRuehl" w:hAnsi="FrankRuehl" w:cs="FrankRuehl"/>
          <w:rtl/>
        </w:rPr>
      </w:pPr>
    </w:p>
    <w:p w14:paraId="0A835BD6" w14:textId="77777777" w:rsidR="00F91951" w:rsidRPr="00F91951" w:rsidRDefault="00F91951" w:rsidP="00F91951">
      <w:pPr>
        <w:spacing w:before="120" w:after="120" w:line="240" w:lineRule="exact"/>
        <w:ind w:left="283" w:hanging="283"/>
        <w:jc w:val="both"/>
        <w:rPr>
          <w:rFonts w:ascii="FrankRuehl" w:hAnsi="FrankRuehl" w:cs="FrankRuehl"/>
          <w:rtl/>
        </w:rPr>
      </w:pPr>
    </w:p>
    <w:p w14:paraId="6C66D0C5" w14:textId="77777777" w:rsidR="00F3188A" w:rsidRDefault="00F3188A" w:rsidP="00F3188A">
      <w:pPr>
        <w:spacing w:line="360" w:lineRule="auto"/>
        <w:rPr>
          <w:sz w:val="26"/>
          <w:szCs w:val="26"/>
          <w:rtl/>
        </w:rPr>
      </w:pPr>
      <w:bookmarkStart w:id="3" w:name="LawTable"/>
      <w:bookmarkEnd w:id="3"/>
    </w:p>
    <w:p w14:paraId="3F63FFF7" w14:textId="77777777" w:rsidR="00F3188A" w:rsidRPr="00F3188A" w:rsidRDefault="00F3188A" w:rsidP="00F3188A">
      <w:pPr>
        <w:spacing w:before="120" w:after="120" w:line="240" w:lineRule="exact"/>
        <w:ind w:left="283" w:hanging="283"/>
        <w:jc w:val="both"/>
        <w:rPr>
          <w:rFonts w:ascii="FrankRuehl" w:hAnsi="FrankRuehl" w:cs="FrankRuehl"/>
          <w:rtl/>
        </w:rPr>
      </w:pPr>
    </w:p>
    <w:p w14:paraId="7A5F7DDE" w14:textId="77777777" w:rsidR="00F3188A" w:rsidRPr="00F3188A" w:rsidRDefault="00F3188A" w:rsidP="00F3188A">
      <w:pPr>
        <w:spacing w:before="120" w:after="120" w:line="240" w:lineRule="exact"/>
        <w:ind w:left="283" w:hanging="283"/>
        <w:jc w:val="both"/>
        <w:rPr>
          <w:rFonts w:ascii="FrankRuehl" w:hAnsi="FrankRuehl" w:cs="FrankRuehl"/>
          <w:rtl/>
        </w:rPr>
      </w:pPr>
    </w:p>
    <w:p w14:paraId="3C6CB75E" w14:textId="77777777" w:rsidR="00F3188A" w:rsidRPr="00F3188A" w:rsidRDefault="00F3188A" w:rsidP="00F3188A">
      <w:pPr>
        <w:spacing w:before="120" w:after="120" w:line="240" w:lineRule="exact"/>
        <w:ind w:left="283" w:hanging="283"/>
        <w:jc w:val="both"/>
        <w:rPr>
          <w:rFonts w:ascii="FrankRuehl" w:hAnsi="FrankRuehl" w:cs="FrankRuehl"/>
          <w:rtl/>
        </w:rPr>
      </w:pPr>
      <w:r w:rsidRPr="00F3188A">
        <w:rPr>
          <w:rFonts w:ascii="FrankRuehl" w:hAnsi="FrankRuehl" w:cs="FrankRuehl"/>
          <w:rtl/>
        </w:rPr>
        <w:t xml:space="preserve">חקיקה שאוזכרה: </w:t>
      </w:r>
    </w:p>
    <w:p w14:paraId="31C36598" w14:textId="77777777" w:rsidR="00F3188A" w:rsidRPr="00F3188A" w:rsidRDefault="00F3188A" w:rsidP="00F3188A">
      <w:pPr>
        <w:spacing w:before="120" w:after="120" w:line="240" w:lineRule="exact"/>
        <w:ind w:left="283" w:hanging="283"/>
        <w:jc w:val="both"/>
        <w:rPr>
          <w:rFonts w:ascii="FrankRuehl" w:hAnsi="FrankRuehl" w:cs="FrankRuehl"/>
          <w:rtl/>
        </w:rPr>
      </w:pPr>
      <w:hyperlink r:id="rId7" w:history="1">
        <w:r w:rsidRPr="00F3188A">
          <w:rPr>
            <w:rFonts w:ascii="FrankRuehl" w:hAnsi="FrankRuehl" w:cs="FrankRuehl"/>
            <w:color w:val="0000FF"/>
            <w:rtl/>
          </w:rPr>
          <w:t>פקודת הסמים המסוכנים [נוסח חדש], תשל"ג-1973</w:t>
        </w:r>
      </w:hyperlink>
      <w:r w:rsidRPr="00F3188A">
        <w:rPr>
          <w:rFonts w:ascii="FrankRuehl" w:hAnsi="FrankRuehl" w:cs="FrankRuehl"/>
          <w:rtl/>
        </w:rPr>
        <w:t xml:space="preserve">: סע'  </w:t>
      </w:r>
      <w:hyperlink r:id="rId8" w:history="1">
        <w:r w:rsidRPr="00F3188A">
          <w:rPr>
            <w:rFonts w:ascii="FrankRuehl" w:hAnsi="FrankRuehl" w:cs="FrankRuehl"/>
            <w:color w:val="0000FF"/>
            <w:rtl/>
          </w:rPr>
          <w:t>7(א)</w:t>
        </w:r>
      </w:hyperlink>
      <w:r w:rsidRPr="00F3188A">
        <w:rPr>
          <w:rFonts w:ascii="FrankRuehl" w:hAnsi="FrankRuehl" w:cs="FrankRuehl"/>
          <w:rtl/>
        </w:rPr>
        <w:t xml:space="preserve">, </w:t>
      </w:r>
      <w:hyperlink r:id="rId9" w:history="1">
        <w:r w:rsidRPr="00F3188A">
          <w:rPr>
            <w:rFonts w:ascii="FrankRuehl" w:hAnsi="FrankRuehl" w:cs="FrankRuehl"/>
            <w:color w:val="0000FF"/>
            <w:rtl/>
          </w:rPr>
          <w:t>7(ג)</w:t>
        </w:r>
      </w:hyperlink>
    </w:p>
    <w:p w14:paraId="301D46E5" w14:textId="77777777" w:rsidR="00F3188A" w:rsidRPr="00F3188A" w:rsidRDefault="00F3188A" w:rsidP="00F3188A">
      <w:pPr>
        <w:spacing w:before="120" w:after="120" w:line="240" w:lineRule="exact"/>
        <w:ind w:left="283" w:hanging="283"/>
        <w:jc w:val="both"/>
        <w:rPr>
          <w:rFonts w:ascii="FrankRuehl" w:hAnsi="FrankRuehl" w:cs="FrankRuehl"/>
          <w:rtl/>
        </w:rPr>
      </w:pPr>
      <w:hyperlink r:id="rId10" w:history="1">
        <w:r w:rsidRPr="00F3188A">
          <w:rPr>
            <w:rFonts w:ascii="FrankRuehl" w:hAnsi="FrankRuehl" w:cs="FrankRuehl"/>
            <w:color w:val="0000FF"/>
            <w:rtl/>
          </w:rPr>
          <w:t>חוק העונשין, תשל"ז-1977</w:t>
        </w:r>
      </w:hyperlink>
      <w:r w:rsidRPr="00F3188A">
        <w:rPr>
          <w:rFonts w:ascii="FrankRuehl" w:hAnsi="FrankRuehl" w:cs="FrankRuehl"/>
          <w:rtl/>
        </w:rPr>
        <w:t xml:space="preserve">: סע'  </w:t>
      </w:r>
      <w:hyperlink r:id="rId11" w:history="1">
        <w:r w:rsidRPr="00F3188A">
          <w:rPr>
            <w:rFonts w:ascii="FrankRuehl" w:hAnsi="FrankRuehl" w:cs="FrankRuehl"/>
            <w:color w:val="0000FF"/>
            <w:rtl/>
          </w:rPr>
          <w:t>40ט</w:t>
        </w:r>
      </w:hyperlink>
      <w:r w:rsidRPr="00F3188A">
        <w:rPr>
          <w:rFonts w:ascii="FrankRuehl" w:hAnsi="FrankRuehl" w:cs="FrankRuehl"/>
          <w:rtl/>
        </w:rPr>
        <w:t xml:space="preserve">, </w:t>
      </w:r>
      <w:hyperlink r:id="rId12" w:history="1">
        <w:r w:rsidRPr="00F3188A">
          <w:rPr>
            <w:rFonts w:ascii="FrankRuehl" w:hAnsi="FrankRuehl" w:cs="FrankRuehl"/>
            <w:color w:val="0000FF"/>
            <w:rtl/>
          </w:rPr>
          <w:t>40יא</w:t>
        </w:r>
      </w:hyperlink>
    </w:p>
    <w:p w14:paraId="6E358E63" w14:textId="77777777" w:rsidR="00F3188A" w:rsidRPr="00F3188A" w:rsidRDefault="00F3188A" w:rsidP="00F3188A">
      <w:pPr>
        <w:spacing w:line="360" w:lineRule="auto"/>
        <w:rPr>
          <w:sz w:val="26"/>
          <w:szCs w:val="26"/>
          <w:rtl/>
        </w:rPr>
      </w:pPr>
      <w:bookmarkStart w:id="4" w:name="LawTable_End"/>
      <w:bookmarkEnd w:id="4"/>
    </w:p>
    <w:p w14:paraId="17A46BF2" w14:textId="77777777" w:rsidR="006E105C" w:rsidRPr="00F91951" w:rsidRDefault="006E105C" w:rsidP="00F91951">
      <w:pPr>
        <w:spacing w:line="360" w:lineRule="auto"/>
        <w:rPr>
          <w:sz w:val="26"/>
          <w:szCs w:val="26"/>
        </w:rPr>
      </w:pPr>
    </w:p>
    <w:p w14:paraId="19CDDFAF" w14:textId="77777777" w:rsidR="00DD505A" w:rsidRPr="007D55C9" w:rsidRDefault="00DD505A" w:rsidP="007D55C9">
      <w:pPr>
        <w:spacing w:after="120" w:line="360" w:lineRule="auto"/>
        <w:jc w:val="center"/>
        <w:rPr>
          <w:rFonts w:ascii="David" w:hAnsi="David"/>
          <w:b/>
          <w:bCs/>
          <w:sz w:val="36"/>
          <w:szCs w:val="36"/>
          <w:u w:val="single"/>
          <w:rtl/>
        </w:rPr>
      </w:pPr>
      <w:bookmarkStart w:id="5" w:name="PsakDin" w:colFirst="0" w:colLast="0"/>
      <w:bookmarkEnd w:id="0"/>
      <w:r w:rsidRPr="007D55C9">
        <w:rPr>
          <w:rFonts w:ascii="David" w:hAnsi="David"/>
          <w:b/>
          <w:bCs/>
          <w:sz w:val="36"/>
          <w:szCs w:val="36"/>
          <w:u w:val="single"/>
          <w:rtl/>
        </w:rPr>
        <w:t>גזר דין</w:t>
      </w:r>
    </w:p>
    <w:p w14:paraId="0A0AFBF8" w14:textId="77777777" w:rsidR="00DD505A" w:rsidRPr="007D55C9" w:rsidRDefault="00DD505A" w:rsidP="007D55C9">
      <w:pPr>
        <w:spacing w:after="120" w:line="360" w:lineRule="auto"/>
        <w:jc w:val="center"/>
        <w:rPr>
          <w:rFonts w:ascii="David" w:hAnsi="David"/>
          <w:bCs/>
          <w:sz w:val="36"/>
          <w:szCs w:val="36"/>
          <w:u w:val="single"/>
          <w:rtl/>
        </w:rPr>
      </w:pPr>
    </w:p>
    <w:bookmarkEnd w:id="5"/>
    <w:p w14:paraId="6270FFD4" w14:textId="77777777" w:rsidR="006E105C" w:rsidRDefault="006E105C" w:rsidP="006E105C">
      <w:pPr>
        <w:numPr>
          <w:ilvl w:val="0"/>
          <w:numId w:val="1"/>
        </w:numPr>
        <w:spacing w:after="120" w:line="360" w:lineRule="auto"/>
        <w:ind w:left="368"/>
        <w:jc w:val="both"/>
        <w:rPr>
          <w:rFonts w:ascii="Tahoma" w:hAnsi="Tahoma"/>
          <w:b/>
          <w:bCs/>
          <w:u w:val="single"/>
        </w:rPr>
      </w:pPr>
      <w:r>
        <w:rPr>
          <w:rFonts w:ascii="Tahoma" w:hAnsi="Tahoma"/>
          <w:b/>
          <w:bCs/>
          <w:u w:val="single"/>
          <w:rtl/>
        </w:rPr>
        <w:lastRenderedPageBreak/>
        <w:t>רקע כללי:</w:t>
      </w:r>
    </w:p>
    <w:p w14:paraId="241364B3" w14:textId="77777777" w:rsidR="006E105C" w:rsidRDefault="006E105C" w:rsidP="006E105C">
      <w:pPr>
        <w:numPr>
          <w:ilvl w:val="0"/>
          <w:numId w:val="2"/>
        </w:numPr>
        <w:spacing w:after="120" w:line="360" w:lineRule="auto"/>
        <w:ind w:left="360"/>
        <w:jc w:val="both"/>
        <w:rPr>
          <w:rFonts w:ascii="Tahoma" w:hAnsi="Tahoma"/>
        </w:rPr>
      </w:pPr>
      <w:bookmarkStart w:id="6" w:name="ABSTRACT_START"/>
      <w:bookmarkEnd w:id="6"/>
      <w:r>
        <w:rPr>
          <w:rFonts w:ascii="David" w:hAnsi="David"/>
          <w:rtl/>
        </w:rPr>
        <w:t xml:space="preserve">הנאשם הורשע – על יסוד הודאתו בעובדות כתב האישום המתוקן, שניתנה במסגרת הסדר טיעון – </w:t>
      </w:r>
      <w:r>
        <w:rPr>
          <w:rFonts w:ascii="David" w:hAnsi="David"/>
          <w:color w:val="000000"/>
          <w:shd w:val="clear" w:color="auto" w:fill="FFFFFF"/>
          <w:rtl/>
        </w:rPr>
        <w:t xml:space="preserve">בביצוע עבירה של </w:t>
      </w:r>
      <w:r>
        <w:rPr>
          <w:rFonts w:ascii="David" w:hAnsi="David"/>
          <w:b/>
          <w:bCs/>
          <w:rtl/>
        </w:rPr>
        <w:t>החזקת סמים מסוכנים שלא לצריכה עצמית</w:t>
      </w:r>
      <w:r>
        <w:rPr>
          <w:rFonts w:ascii="David" w:hAnsi="David"/>
          <w:rtl/>
        </w:rPr>
        <w:t xml:space="preserve">, לפי הוראות </w:t>
      </w:r>
      <w:hyperlink r:id="rId13" w:history="1">
        <w:r w:rsidR="00DD505A" w:rsidRPr="00DD505A">
          <w:rPr>
            <w:rStyle w:val="Hyperlink"/>
            <w:rFonts w:ascii="David" w:hAnsi="David"/>
            <w:rtl/>
          </w:rPr>
          <w:t>סעיף 7(א)</w:t>
        </w:r>
      </w:hyperlink>
      <w:r>
        <w:rPr>
          <w:rFonts w:ascii="David" w:hAnsi="David"/>
          <w:rtl/>
        </w:rPr>
        <w:t xml:space="preserve"> יחד עם סעיף </w:t>
      </w:r>
      <w:hyperlink r:id="rId14" w:history="1">
        <w:r w:rsidR="00DD505A" w:rsidRPr="00DD505A">
          <w:rPr>
            <w:rStyle w:val="Hyperlink"/>
            <w:rFonts w:ascii="David" w:hAnsi="David"/>
            <w:rtl/>
          </w:rPr>
          <w:t>7(ג)</w:t>
        </w:r>
      </w:hyperlink>
      <w:r>
        <w:rPr>
          <w:rFonts w:ascii="David" w:hAnsi="David"/>
          <w:rtl/>
        </w:rPr>
        <w:t xml:space="preserve"> רישא ל</w:t>
      </w:r>
      <w:hyperlink r:id="rId15" w:history="1">
        <w:r w:rsidR="007D55C9" w:rsidRPr="007D55C9">
          <w:rPr>
            <w:rFonts w:ascii="David" w:hAnsi="David"/>
            <w:color w:val="0000FF"/>
            <w:u w:val="single"/>
            <w:rtl/>
          </w:rPr>
          <w:t>פקודת הסמים המסוכנים</w:t>
        </w:r>
      </w:hyperlink>
      <w:r>
        <w:rPr>
          <w:rFonts w:ascii="David" w:hAnsi="David"/>
          <w:rtl/>
        </w:rPr>
        <w:t xml:space="preserve"> [נוסח חדש], תשל"ג-1973 (להלן – פקודת הסמים המסוכנים).</w:t>
      </w:r>
    </w:p>
    <w:p w14:paraId="170AE419" w14:textId="77777777" w:rsidR="006E105C" w:rsidRDefault="006E105C" w:rsidP="006E105C">
      <w:pPr>
        <w:numPr>
          <w:ilvl w:val="0"/>
          <w:numId w:val="2"/>
        </w:numPr>
        <w:spacing w:after="120" w:line="360" w:lineRule="auto"/>
        <w:ind w:left="360"/>
        <w:jc w:val="both"/>
        <w:rPr>
          <w:rFonts w:ascii="Tahoma" w:hAnsi="Tahoma"/>
          <w:rtl/>
        </w:rPr>
      </w:pPr>
      <w:bookmarkStart w:id="7" w:name="ABSTRACT_END"/>
      <w:bookmarkEnd w:id="7"/>
      <w:r>
        <w:rPr>
          <w:rFonts w:ascii="Tahoma" w:hAnsi="Tahoma"/>
          <w:rtl/>
        </w:rPr>
        <w:t>בעובדות כתב האישום המתוקן נטען כי ביום 14.03.22</w:t>
      </w:r>
      <w:r>
        <w:rPr>
          <w:rFonts w:ascii="Tahoma" w:hAnsi="Tahoma"/>
        </w:rPr>
        <w:t xml:space="preserve"> </w:t>
      </w:r>
      <w:r>
        <w:rPr>
          <w:rFonts w:ascii="Tahoma" w:hAnsi="Tahoma"/>
          <w:rtl/>
        </w:rPr>
        <w:t>בשעה 08:00 או בסמוך לכך, החזיק הנאשם בחדרו, בדירה בגבעתיים, בסמים מסוכנים כמפורט להלן: 15 טבליות ועוד כ-7 גרם נטו</w:t>
      </w:r>
      <w:r>
        <w:rPr>
          <w:rFonts w:ascii="David" w:hAnsi="David"/>
          <w:sz w:val="22"/>
          <w:szCs w:val="22"/>
          <w:rtl/>
        </w:rPr>
        <w:t xml:space="preserve"> </w:t>
      </w:r>
      <w:r>
        <w:rPr>
          <w:rFonts w:ascii="David" w:hAnsi="David"/>
          <w:b/>
          <w:bCs/>
          <w:sz w:val="22"/>
          <w:szCs w:val="22"/>
        </w:rPr>
        <w:t>MDMA</w:t>
      </w:r>
      <w:r>
        <w:rPr>
          <w:rFonts w:ascii="Tahoma" w:hAnsi="Tahoma"/>
          <w:rtl/>
        </w:rPr>
        <w:t xml:space="preserve"> מחולקים לשקיות; כ-7 גרם נטו </w:t>
      </w:r>
      <w:r>
        <w:rPr>
          <w:rFonts w:ascii="Tahoma" w:hAnsi="Tahoma"/>
          <w:b/>
          <w:bCs/>
          <w:rtl/>
        </w:rPr>
        <w:t>קטמין</w:t>
      </w:r>
      <w:r>
        <w:rPr>
          <w:rFonts w:ascii="Tahoma" w:hAnsi="Tahoma"/>
          <w:rtl/>
        </w:rPr>
        <w:t xml:space="preserve"> מחולק לשקיות; 50 מ"ל </w:t>
      </w:r>
      <w:r>
        <w:rPr>
          <w:rFonts w:ascii="Tahoma" w:hAnsi="Tahoma"/>
          <w:b/>
          <w:bCs/>
          <w:rtl/>
        </w:rPr>
        <w:t>קטמין נוזלי</w:t>
      </w:r>
      <w:r>
        <w:rPr>
          <w:rFonts w:ascii="Tahoma" w:hAnsi="Tahoma"/>
          <w:rtl/>
        </w:rPr>
        <w:t xml:space="preserve"> בשישה בקבוקונים; 3.02 גרם נטו </w:t>
      </w:r>
      <w:r>
        <w:rPr>
          <w:rFonts w:ascii="Tahoma" w:hAnsi="Tahoma"/>
          <w:b/>
          <w:bCs/>
          <w:rtl/>
        </w:rPr>
        <w:t>קוקאין</w:t>
      </w:r>
      <w:r>
        <w:rPr>
          <w:rFonts w:ascii="Tahoma" w:hAnsi="Tahoma"/>
          <w:rtl/>
        </w:rPr>
        <w:t xml:space="preserve">, מחולקים לשלוש אריזות; 15 בולי </w:t>
      </w:r>
      <w:r>
        <w:rPr>
          <w:rFonts w:ascii="David" w:hAnsi="David"/>
          <w:b/>
          <w:bCs/>
          <w:sz w:val="22"/>
          <w:szCs w:val="22"/>
        </w:rPr>
        <w:t>LSD</w:t>
      </w:r>
      <w:r>
        <w:rPr>
          <w:rFonts w:ascii="Tahoma" w:hAnsi="Tahoma"/>
          <w:rtl/>
        </w:rPr>
        <w:t xml:space="preserve"> </w:t>
      </w:r>
      <w:r>
        <w:rPr>
          <w:rFonts w:ascii="Tahoma" w:hAnsi="Tahoma" w:hint="cs"/>
          <w:rtl/>
        </w:rPr>
        <w:t xml:space="preserve">מחולקים לשלוש שקיות; 40 גרם של פטריות ובהן סמים מסוכנים מסוג </w:t>
      </w:r>
      <w:r>
        <w:rPr>
          <w:rFonts w:ascii="Tahoma" w:hAnsi="Tahoma" w:hint="cs"/>
          <w:b/>
          <w:bCs/>
          <w:rtl/>
        </w:rPr>
        <w:t>פסילוצין</w:t>
      </w:r>
      <w:r>
        <w:rPr>
          <w:rFonts w:ascii="Tahoma" w:hAnsi="Tahoma" w:hint="cs"/>
          <w:rtl/>
        </w:rPr>
        <w:t xml:space="preserve"> מחולקים לשש שקיות. עוד החזיק הנאשם בסך של 15,750 ₪, במזומן.</w:t>
      </w:r>
    </w:p>
    <w:p w14:paraId="17DD47FC" w14:textId="77777777" w:rsidR="006E105C" w:rsidRPr="000A1C94" w:rsidRDefault="006E105C" w:rsidP="006E105C">
      <w:pPr>
        <w:numPr>
          <w:ilvl w:val="0"/>
          <w:numId w:val="2"/>
        </w:numPr>
        <w:spacing w:after="120" w:line="360" w:lineRule="auto"/>
        <w:ind w:left="360"/>
        <w:jc w:val="both"/>
        <w:rPr>
          <w:rFonts w:ascii="Tahoma" w:hAnsi="Tahoma"/>
        </w:rPr>
      </w:pPr>
      <w:r w:rsidRPr="000A1C94">
        <w:rPr>
          <w:rFonts w:ascii="Tahoma" w:hAnsi="Tahoma"/>
          <w:rtl/>
        </w:rPr>
        <w:t>בדיון המקדמי הראשון שנערך לפניי הגיעו הצדדים להסדר טיעון, שבמסגרתו הוגש כתב האישום המתוקן</w:t>
      </w:r>
      <w:r w:rsidRPr="000A1C94">
        <w:rPr>
          <w:rFonts w:ascii="Tahoma" w:hAnsi="Tahoma" w:hint="cs"/>
          <w:rtl/>
        </w:rPr>
        <w:t xml:space="preserve"> </w:t>
      </w:r>
      <w:r w:rsidRPr="000A1C94">
        <w:rPr>
          <w:rFonts w:ascii="Tahoma" w:hAnsi="Tahoma"/>
          <w:rtl/>
        </w:rPr>
        <w:t>–</w:t>
      </w:r>
      <w:r w:rsidRPr="000A1C94">
        <w:rPr>
          <w:rFonts w:ascii="Tahoma" w:hAnsi="Tahoma" w:hint="cs"/>
          <w:rtl/>
        </w:rPr>
        <w:t xml:space="preserve"> </w:t>
      </w:r>
      <w:r w:rsidRPr="000A1C94">
        <w:rPr>
          <w:rFonts w:ascii="Tahoma" w:hAnsi="Tahoma"/>
          <w:rtl/>
        </w:rPr>
        <w:t>בו נערכו מספר תיקונים בהפחתת כמויות הסמים הנטענות. לעניין הטיעונים לעונש לא הגיעו הצדדים לכלל הסכמות, הגם שעתרו במשותף לקבלת תסקיר שירות המבחן. המאשימה הודיעה כי עמדתה היא למאסר בפועל ורכיבים נלווים, כאשר צוין כי הצדדים מסכימים שכחלק מ</w:t>
      </w:r>
      <w:r>
        <w:rPr>
          <w:rFonts w:ascii="Tahoma" w:hAnsi="Tahoma" w:hint="cs"/>
          <w:rtl/>
        </w:rPr>
        <w:t xml:space="preserve">תמהיל </w:t>
      </w:r>
      <w:r w:rsidRPr="000A1C94">
        <w:rPr>
          <w:rFonts w:ascii="Tahoma" w:hAnsi="Tahoma"/>
          <w:rtl/>
        </w:rPr>
        <w:t>הענישה יחולט הכסף המזומן שנתפס ברשות הנאשם.</w:t>
      </w:r>
    </w:p>
    <w:p w14:paraId="1F1F4B2B" w14:textId="77777777" w:rsidR="006E105C" w:rsidRDefault="006E105C" w:rsidP="006E105C">
      <w:pPr>
        <w:numPr>
          <w:ilvl w:val="0"/>
          <w:numId w:val="2"/>
        </w:numPr>
        <w:spacing w:after="120" w:line="360" w:lineRule="auto"/>
        <w:ind w:left="360"/>
        <w:jc w:val="both"/>
        <w:rPr>
          <w:rFonts w:ascii="Tahoma" w:hAnsi="Tahoma"/>
        </w:rPr>
      </w:pPr>
      <w:r>
        <w:rPr>
          <w:rFonts w:ascii="Tahoma" w:hAnsi="Tahoma"/>
          <w:rtl/>
        </w:rPr>
        <w:t>הנאשם הודה אפוא בעובדות כתב האישום המתוקן והורשע, על יסוד הודאה זו, בעבירה בה הואשם כאמור בפסקה 1 דלעיל. בית המשפט נעתר לבקשת הצדדים והורה על עריכת תסקיר שירות המבחן.</w:t>
      </w:r>
    </w:p>
    <w:p w14:paraId="0E936214" w14:textId="77777777" w:rsidR="006E105C" w:rsidRDefault="006E105C" w:rsidP="006E105C">
      <w:pPr>
        <w:spacing w:after="120" w:line="360" w:lineRule="auto"/>
        <w:jc w:val="both"/>
        <w:rPr>
          <w:rFonts w:ascii="David" w:hAnsi="David"/>
        </w:rPr>
      </w:pPr>
    </w:p>
    <w:p w14:paraId="4726483F" w14:textId="77777777" w:rsidR="006E105C" w:rsidRPr="000A1C94" w:rsidRDefault="006E105C" w:rsidP="006E105C">
      <w:pPr>
        <w:pStyle w:val="a9"/>
        <w:numPr>
          <w:ilvl w:val="0"/>
          <w:numId w:val="1"/>
        </w:numPr>
        <w:spacing w:before="120" w:after="120" w:line="360" w:lineRule="auto"/>
        <w:ind w:left="360"/>
        <w:jc w:val="both"/>
        <w:rPr>
          <w:b/>
          <w:bCs/>
          <w:u w:val="single"/>
        </w:rPr>
      </w:pPr>
      <w:r w:rsidRPr="000A1C94">
        <w:rPr>
          <w:b/>
          <w:bCs/>
          <w:u w:val="single"/>
          <w:rtl/>
        </w:rPr>
        <w:t>עיקרי תסקיר שירות המבחן:</w:t>
      </w:r>
    </w:p>
    <w:p w14:paraId="22AE6E75" w14:textId="77777777" w:rsidR="006E105C" w:rsidRDefault="006E105C" w:rsidP="006E105C">
      <w:pPr>
        <w:pStyle w:val="a9"/>
        <w:numPr>
          <w:ilvl w:val="0"/>
          <w:numId w:val="2"/>
        </w:numPr>
        <w:spacing w:after="120" w:line="360" w:lineRule="auto"/>
        <w:ind w:left="360"/>
        <w:jc w:val="both"/>
        <w:rPr>
          <w:rFonts w:ascii="Tahoma" w:hAnsi="Tahoma"/>
        </w:rPr>
      </w:pPr>
      <w:r>
        <w:rPr>
          <w:rFonts w:ascii="Tahoma" w:hAnsi="Tahoma"/>
          <w:rtl/>
        </w:rPr>
        <w:t xml:space="preserve">תסקיר שירות המבחן (מיום 27.05.2024) מפרט את נסיבותיו האישיות של הנאשם, יליד שנת 1998 (בן 26 שנים כיום), רווק המתגורר בגפו. הנאשם סובל לדבריו, לאורך שנים, מבעיות במערכת העיכול, אשר סיבותיהן טרם התבררו, אך בגינן </w:t>
      </w:r>
      <w:r>
        <w:rPr>
          <w:rFonts w:ascii="Tahoma" w:hAnsi="Tahoma" w:hint="cs"/>
          <w:rtl/>
        </w:rPr>
        <w:t xml:space="preserve">הוא </w:t>
      </w:r>
      <w:r>
        <w:rPr>
          <w:rFonts w:ascii="Tahoma" w:hAnsi="Tahoma"/>
          <w:rtl/>
        </w:rPr>
        <w:t xml:space="preserve">סובל </w:t>
      </w:r>
      <w:r>
        <w:rPr>
          <w:rFonts w:ascii="Tahoma" w:hAnsi="Tahoma" w:hint="cs"/>
          <w:rtl/>
        </w:rPr>
        <w:t xml:space="preserve">כרונית </w:t>
      </w:r>
      <w:r>
        <w:rPr>
          <w:rFonts w:ascii="Tahoma" w:hAnsi="Tahoma"/>
          <w:rtl/>
        </w:rPr>
        <w:t>מכאבי בטן והקאות</w:t>
      </w:r>
      <w:r>
        <w:rPr>
          <w:rFonts w:ascii="Tahoma" w:hAnsi="Tahoma" w:hint="cs"/>
          <w:rtl/>
        </w:rPr>
        <w:t>,</w:t>
      </w:r>
      <w:r>
        <w:rPr>
          <w:rFonts w:ascii="Tahoma" w:hAnsi="Tahoma"/>
          <w:rtl/>
        </w:rPr>
        <w:t xml:space="preserve"> על בסיס יומיומי. עוד מסר הנאשם כי בילדותו אובחן עם בעיות קשב וריכוז, וטופל תרופתית, וביצע שירות צבאי חלקי בלבד נוכח קשיי הסתגלות.</w:t>
      </w:r>
    </w:p>
    <w:p w14:paraId="18D0429E" w14:textId="77777777" w:rsidR="006E105C" w:rsidRDefault="006E105C" w:rsidP="006E105C">
      <w:pPr>
        <w:pStyle w:val="a9"/>
        <w:numPr>
          <w:ilvl w:val="0"/>
          <w:numId w:val="2"/>
        </w:numPr>
        <w:spacing w:after="120" w:line="360" w:lineRule="auto"/>
        <w:ind w:left="360"/>
        <w:jc w:val="both"/>
        <w:rPr>
          <w:rFonts w:ascii="Tahoma" w:hAnsi="Tahoma"/>
        </w:rPr>
      </w:pPr>
      <w:r>
        <w:rPr>
          <w:rFonts w:ascii="Tahoma" w:hAnsi="Tahoma"/>
          <w:rtl/>
        </w:rPr>
        <w:t>הנאשם הודה שהחזיק בסמים כמפורט בעובדות כתב האישום המתוקן, כאשר ברקע מעשיו הדגיש מצוקה בה היה נתון בעקבות מצבו הבריאותי ותחושות חוסר אונים ב</w:t>
      </w:r>
      <w:r>
        <w:rPr>
          <w:rFonts w:ascii="Tahoma" w:hAnsi="Tahoma" w:hint="cs"/>
          <w:rtl/>
        </w:rPr>
        <w:t xml:space="preserve">של </w:t>
      </w:r>
      <w:r>
        <w:rPr>
          <w:rFonts w:ascii="Tahoma" w:hAnsi="Tahoma"/>
          <w:rtl/>
        </w:rPr>
        <w:t xml:space="preserve">היעדר מענה רפואי לכאביו, כאשר טיפול תרופתי שקיבל לא סייע לו. לדבריו, השימוש בסמים בהם החזיק סייע בהקלה על כאביו, תוך ששלל סחר בסמים או קשרים עם גורמים שוליים. שירות המבחן התרשם כי הנאשם נוטה למזער ולטשטש את החומרה שבמעשיו, אך בד בבד מגלה כיום הבנה </w:t>
      </w:r>
      <w:r>
        <w:rPr>
          <w:rFonts w:ascii="Tahoma" w:hAnsi="Tahoma"/>
          <w:rtl/>
        </w:rPr>
        <w:lastRenderedPageBreak/>
        <w:t>לבעייתיות בפתרון בו בחר. הנאשם מסר כי מאז מעצרו נמנע מכל שימוש בסמים</w:t>
      </w:r>
      <w:r>
        <w:rPr>
          <w:rFonts w:ascii="Tahoma" w:hAnsi="Tahoma" w:hint="cs"/>
          <w:rtl/>
        </w:rPr>
        <w:t xml:space="preserve">, משתמש בתרופות טבעיות בלבד. </w:t>
      </w:r>
      <w:r>
        <w:rPr>
          <w:rFonts w:ascii="Tahoma" w:hAnsi="Tahoma"/>
          <w:rtl/>
        </w:rPr>
        <w:t xml:space="preserve">בדיקת שתן שמסר </w:t>
      </w:r>
      <w:r>
        <w:rPr>
          <w:rFonts w:ascii="Tahoma" w:hAnsi="Tahoma" w:hint="cs"/>
          <w:rtl/>
        </w:rPr>
        <w:t xml:space="preserve">הנאשם </w:t>
      </w:r>
      <w:r>
        <w:rPr>
          <w:rFonts w:ascii="Tahoma" w:hAnsi="Tahoma"/>
          <w:rtl/>
        </w:rPr>
        <w:t>נמצאה נקייה.</w:t>
      </w:r>
    </w:p>
    <w:p w14:paraId="08985F26" w14:textId="77777777" w:rsidR="006E105C" w:rsidRDefault="006E105C" w:rsidP="006E105C">
      <w:pPr>
        <w:pStyle w:val="a9"/>
        <w:numPr>
          <w:ilvl w:val="0"/>
          <w:numId w:val="2"/>
        </w:numPr>
        <w:spacing w:after="120" w:line="360" w:lineRule="auto"/>
        <w:ind w:left="360"/>
        <w:jc w:val="both"/>
        <w:rPr>
          <w:rFonts w:ascii="Tahoma" w:hAnsi="Tahoma"/>
        </w:rPr>
      </w:pPr>
      <w:r>
        <w:rPr>
          <w:rFonts w:ascii="Tahoma" w:hAnsi="Tahoma"/>
          <w:rtl/>
        </w:rPr>
        <w:t xml:space="preserve">שירות המבחן בחן את גורמי הסיכון והסיכוי בעניינו של הנאשם, כאשר כגורמי סיכון צוינו אופי העבירה, נטיית הנאשם לטשטש את חומרת מעשיו והתמשכות הקשיים הבריאותיים אשר לפי </w:t>
      </w:r>
      <w:r>
        <w:rPr>
          <w:rFonts w:ascii="Tahoma" w:hAnsi="Tahoma" w:hint="cs"/>
          <w:rtl/>
        </w:rPr>
        <w:t>טענ</w:t>
      </w:r>
      <w:r>
        <w:rPr>
          <w:rFonts w:ascii="Tahoma" w:hAnsi="Tahoma"/>
          <w:rtl/>
        </w:rPr>
        <w:t xml:space="preserve">ת הנאשם עמדו ברקע ביצוע העבירה. כגורמי סיכוי הדגיש שירות המבחן כי מדובר בנאשם נעדר כל רישומים קודמים, שהעבירה דנא היא הסתבכותו הראשונה והיחידה עם החוק. עוד ציין שירות המבחן את חלוף הזמן מאז ביצוע העבירה, ללא כל הסתבכות נוספת, היעדר דפוסים שוליים מושרשים וההתרשמות כי ההליך המשפטי מהווה לנאשם גורם מרתיע.  </w:t>
      </w:r>
    </w:p>
    <w:p w14:paraId="5886EDAD" w14:textId="77777777" w:rsidR="006E105C" w:rsidRDefault="006E105C" w:rsidP="006E105C">
      <w:pPr>
        <w:pStyle w:val="a9"/>
        <w:numPr>
          <w:ilvl w:val="0"/>
          <w:numId w:val="2"/>
        </w:numPr>
        <w:spacing w:after="120" w:line="360" w:lineRule="auto"/>
        <w:ind w:left="360"/>
        <w:jc w:val="both"/>
        <w:rPr>
          <w:rFonts w:ascii="Tahoma" w:hAnsi="Tahoma"/>
        </w:rPr>
      </w:pPr>
      <w:r>
        <w:rPr>
          <w:rFonts w:ascii="Tahoma" w:hAnsi="Tahoma"/>
          <w:rtl/>
        </w:rPr>
        <w:t xml:space="preserve">בנסיבות העניין – בהיעדר מצוקה של הנאשם ושלילת נזקקות טיפולית – לא נוצר בסיס למעורבות טיפולית מצד שירות המבחן. עם זאת, בשל היבטי הסיכוי שפורטו לעיל, כמו גם גילו הצעיר של הנאשם והיעדר אינדיקציה להמשך מעורבות שולית, המליץ שירות המבחן להימנע בעניינו של הנאשם מהשתת עונש </w:t>
      </w:r>
      <w:r>
        <w:rPr>
          <w:rFonts w:ascii="Tahoma" w:hAnsi="Tahoma" w:hint="cs"/>
          <w:rtl/>
        </w:rPr>
        <w:t xml:space="preserve">מאסר בפועל </w:t>
      </w:r>
      <w:r>
        <w:rPr>
          <w:rFonts w:ascii="Tahoma" w:hAnsi="Tahoma"/>
          <w:rtl/>
        </w:rPr>
        <w:t xml:space="preserve">לנשיאה מאחורי סורג ובריח, </w:t>
      </w:r>
      <w:r>
        <w:rPr>
          <w:rFonts w:ascii="Tahoma" w:hAnsi="Tahoma" w:hint="cs"/>
          <w:rtl/>
        </w:rPr>
        <w:t xml:space="preserve">עונש </w:t>
      </w:r>
      <w:r>
        <w:rPr>
          <w:rFonts w:ascii="Tahoma" w:hAnsi="Tahoma"/>
          <w:rtl/>
        </w:rPr>
        <w:t xml:space="preserve">העלול לחשוף את הנאשם באופן אינטנסיבי לאוכלוסייה שולית, לגרום לרגרסיה במצבו ולהגביר </w:t>
      </w:r>
      <w:r>
        <w:rPr>
          <w:rFonts w:ascii="Tahoma" w:hAnsi="Tahoma" w:hint="cs"/>
          <w:rtl/>
        </w:rPr>
        <w:t xml:space="preserve">את </w:t>
      </w:r>
      <w:r>
        <w:rPr>
          <w:rFonts w:ascii="Tahoma" w:hAnsi="Tahoma"/>
          <w:rtl/>
        </w:rPr>
        <w:t xml:space="preserve">הסיכון מצידו. </w:t>
      </w:r>
    </w:p>
    <w:p w14:paraId="4B58DA84" w14:textId="77777777" w:rsidR="006E105C" w:rsidRDefault="006E105C" w:rsidP="006E105C">
      <w:pPr>
        <w:pStyle w:val="a9"/>
        <w:spacing w:before="120" w:after="120" w:line="360" w:lineRule="auto"/>
        <w:ind w:left="360"/>
        <w:jc w:val="both"/>
        <w:rPr>
          <w:b/>
          <w:bCs/>
          <w:u w:val="single"/>
        </w:rPr>
      </w:pPr>
    </w:p>
    <w:p w14:paraId="2AC3DD89" w14:textId="77777777" w:rsidR="006E105C" w:rsidRDefault="006E105C" w:rsidP="006E105C">
      <w:pPr>
        <w:pStyle w:val="a9"/>
        <w:numPr>
          <w:ilvl w:val="0"/>
          <w:numId w:val="1"/>
        </w:numPr>
        <w:spacing w:before="120" w:after="120" w:line="360" w:lineRule="auto"/>
        <w:ind w:left="360"/>
        <w:jc w:val="both"/>
        <w:rPr>
          <w:b/>
          <w:bCs/>
          <w:u w:val="single"/>
        </w:rPr>
      </w:pPr>
      <w:r>
        <w:rPr>
          <w:b/>
          <w:bCs/>
          <w:u w:val="single"/>
          <w:rtl/>
        </w:rPr>
        <w:t>עיקר הראיות והטיעונים לקביעת העונש:</w:t>
      </w:r>
    </w:p>
    <w:p w14:paraId="3716939B" w14:textId="77777777" w:rsidR="006E105C" w:rsidRDefault="006E105C" w:rsidP="006E105C">
      <w:pPr>
        <w:numPr>
          <w:ilvl w:val="0"/>
          <w:numId w:val="2"/>
        </w:numPr>
        <w:spacing w:after="120" w:line="360" w:lineRule="auto"/>
        <w:ind w:left="360"/>
        <w:jc w:val="both"/>
        <w:rPr>
          <w:rFonts w:ascii="David" w:hAnsi="David"/>
          <w:rtl/>
        </w:rPr>
      </w:pPr>
      <w:r>
        <w:rPr>
          <w:rtl/>
        </w:rPr>
        <w:t>ב"כ המאשימה לא הגישה ראיות לקביעת העונש.</w:t>
      </w:r>
      <w:r>
        <w:rPr>
          <w:rFonts w:ascii="David" w:hAnsi="David"/>
          <w:rtl/>
        </w:rPr>
        <w:t xml:space="preserve"> </w:t>
      </w:r>
      <w:r>
        <w:rPr>
          <w:rFonts w:ascii="Tahoma" w:hAnsi="Tahoma"/>
          <w:rtl/>
        </w:rPr>
        <w:t xml:space="preserve">בטיעוניה עמדה ב"כ המאשימה על עובדות כתב האישום המתוקן, בהן הודה הנאשם, והדגישה את היבטי החומרה שבהן. ב"כ המאשימה הדגישה, בהקשר זה, את העובדה שהנאשם החזיק בכמה </w:t>
      </w:r>
      <w:r>
        <w:rPr>
          <w:rFonts w:ascii="Tahoma" w:hAnsi="Tahoma" w:hint="cs"/>
          <w:rtl/>
        </w:rPr>
        <w:t xml:space="preserve">וכמה </w:t>
      </w:r>
      <w:r>
        <w:rPr>
          <w:rFonts w:ascii="Tahoma" w:hAnsi="Tahoma"/>
          <w:rtl/>
        </w:rPr>
        <w:t>סוגי סמים מסוכנים, חלקם קשים, כשהם מחולקים ומוטמנים במקומות שונים; וכן את העובדה שהנאשם החזיק</w:t>
      </w:r>
      <w:r>
        <w:rPr>
          <w:rFonts w:ascii="Tahoma" w:hAnsi="Tahoma" w:hint="cs"/>
          <w:rtl/>
        </w:rPr>
        <w:t>,</w:t>
      </w:r>
      <w:r>
        <w:rPr>
          <w:rFonts w:ascii="Tahoma" w:hAnsi="Tahoma"/>
          <w:rtl/>
        </w:rPr>
        <w:t xml:space="preserve"> בנוסף</w:t>
      </w:r>
      <w:r>
        <w:rPr>
          <w:rFonts w:ascii="Tahoma" w:hAnsi="Tahoma" w:hint="cs"/>
          <w:rtl/>
        </w:rPr>
        <w:t>,</w:t>
      </w:r>
      <w:r>
        <w:rPr>
          <w:rFonts w:ascii="Tahoma" w:hAnsi="Tahoma"/>
          <w:rtl/>
        </w:rPr>
        <w:t xml:space="preserve"> ב</w:t>
      </w:r>
      <w:r>
        <w:rPr>
          <w:rFonts w:ascii="David" w:hAnsi="David"/>
          <w:rtl/>
        </w:rPr>
        <w:t>כסף מזומן בסך של 15,750 ₪.</w:t>
      </w:r>
    </w:p>
    <w:p w14:paraId="78297C0B" w14:textId="77777777" w:rsidR="006E105C" w:rsidRDefault="006E105C" w:rsidP="006E105C">
      <w:pPr>
        <w:numPr>
          <w:ilvl w:val="0"/>
          <w:numId w:val="2"/>
        </w:numPr>
        <w:spacing w:after="120" w:line="360" w:lineRule="auto"/>
        <w:ind w:left="360"/>
        <w:jc w:val="both"/>
        <w:rPr>
          <w:rFonts w:ascii="David" w:hAnsi="David"/>
        </w:rPr>
      </w:pPr>
      <w:r>
        <w:rPr>
          <w:rFonts w:ascii="David" w:hAnsi="David"/>
          <w:rtl/>
        </w:rPr>
        <w:t>אשר לערכים החברתיים, שנפגעו כתולדה מביצוע העבירה, ציינה ב"כ המאשימה את הפגיעה בהגנה על בריאות הציבור ואת הפגיעה בהגנה על שלומו הפיזי והנפשי של הציבור מפני הנזקים הישירים והעקיפים הנגרמים משימוש בסמים</w:t>
      </w:r>
      <w:r>
        <w:rPr>
          <w:rFonts w:ascii="David" w:hAnsi="David" w:hint="cs"/>
          <w:rtl/>
        </w:rPr>
        <w:t xml:space="preserve"> מסוכנים</w:t>
      </w:r>
      <w:r>
        <w:rPr>
          <w:rFonts w:ascii="David" w:hAnsi="David"/>
          <w:rtl/>
        </w:rPr>
        <w:t xml:space="preserve">. בהקשר אחרון זה הדגישה ב"כ המאשימה כי הפגיעות האמורות הן חמורות יותר כאשר מדובר בסמים מסוכנים קשים, כבענייננו (ר' </w:t>
      </w:r>
      <w:hyperlink r:id="rId16" w:history="1">
        <w:r w:rsidR="007D55C9" w:rsidRPr="007D55C9">
          <w:rPr>
            <w:rFonts w:ascii="David" w:hAnsi="David"/>
            <w:color w:val="0000FF"/>
            <w:u w:val="single"/>
            <w:rtl/>
          </w:rPr>
          <w:t>ע"פ 4522/18</w:t>
        </w:r>
      </w:hyperlink>
      <w:r w:rsidR="007D55C9">
        <w:rPr>
          <w:rFonts w:ascii="David" w:hAnsi="David"/>
          <w:rtl/>
        </w:rPr>
        <w:t xml:space="preserve"> </w:t>
      </w:r>
      <w:r>
        <w:rPr>
          <w:rFonts w:ascii="David" w:hAnsi="David"/>
          <w:b/>
          <w:bCs/>
          <w:rtl/>
        </w:rPr>
        <w:t>אסאבן נ' מדינת ישראל</w:t>
      </w:r>
      <w:r w:rsidR="007D55C9">
        <w:rPr>
          <w:rFonts w:ascii="David" w:hAnsi="David"/>
          <w:rtl/>
        </w:rPr>
        <w:t xml:space="preserve"> </w:t>
      </w:r>
      <w:r>
        <w:rPr>
          <w:rFonts w:ascii="David" w:hAnsi="David"/>
          <w:rtl/>
        </w:rPr>
        <w:t>(11.11.2018)).</w:t>
      </w:r>
    </w:p>
    <w:p w14:paraId="6A88B0EC" w14:textId="77777777" w:rsidR="006E105C" w:rsidRDefault="006E105C" w:rsidP="006E105C">
      <w:pPr>
        <w:numPr>
          <w:ilvl w:val="0"/>
          <w:numId w:val="2"/>
        </w:numPr>
        <w:spacing w:after="120" w:line="360" w:lineRule="auto"/>
        <w:ind w:left="360"/>
        <w:jc w:val="both"/>
        <w:rPr>
          <w:rFonts w:ascii="David" w:hAnsi="David"/>
        </w:rPr>
      </w:pPr>
      <w:r>
        <w:rPr>
          <w:rFonts w:ascii="David" w:hAnsi="David"/>
          <w:rtl/>
        </w:rPr>
        <w:t>אשר ל</w:t>
      </w:r>
      <w:r>
        <w:rPr>
          <w:rFonts w:ascii="Tahoma" w:hAnsi="Tahoma"/>
          <w:rtl/>
        </w:rPr>
        <w:t xml:space="preserve">מדיניות הענישה הנהוגה הפנתה ב"כ המאשימה לפסיקה כלהלן: </w:t>
      </w:r>
      <w:hyperlink r:id="rId17" w:history="1">
        <w:r w:rsidR="007D55C9" w:rsidRPr="007D55C9">
          <w:rPr>
            <w:rFonts w:ascii="Tahoma" w:hAnsi="Tahoma"/>
            <w:color w:val="0000FF"/>
            <w:u w:val="single"/>
            <w:rtl/>
          </w:rPr>
          <w:t>רע"פ 8404/15</w:t>
        </w:r>
      </w:hyperlink>
      <w:r>
        <w:rPr>
          <w:rFonts w:ascii="Tahoma" w:hAnsi="Tahoma"/>
          <w:b/>
          <w:bCs/>
          <w:rtl/>
        </w:rPr>
        <w:t xml:space="preserve"> אלמוסראתי נ' מדינת ישראל</w:t>
      </w:r>
      <w:r>
        <w:rPr>
          <w:rFonts w:ascii="Tahoma" w:hAnsi="Tahoma"/>
          <w:rtl/>
        </w:rPr>
        <w:t xml:space="preserve"> (24.05.2016), שם נקבע מתחם עונש הולם שבין 8 חודשי מאסר בפועל לבין 18 חודשי מאסר בפועל להחזקת מעל 15 גרם קוקאין שלא לצריכה עצמית; </w:t>
      </w:r>
      <w:hyperlink r:id="rId18" w:history="1">
        <w:r w:rsidR="007D55C9" w:rsidRPr="007D55C9">
          <w:rPr>
            <w:rFonts w:ascii="Tahoma" w:hAnsi="Tahoma"/>
            <w:color w:val="0000FF"/>
            <w:u w:val="single"/>
            <w:rtl/>
          </w:rPr>
          <w:t>עפ"ג (מחוזי מרכז) 22857-04-17</w:t>
        </w:r>
      </w:hyperlink>
      <w:r>
        <w:rPr>
          <w:rFonts w:ascii="Tahoma" w:hAnsi="Tahoma"/>
          <w:rtl/>
        </w:rPr>
        <w:t xml:space="preserve"> </w:t>
      </w:r>
      <w:r>
        <w:rPr>
          <w:rFonts w:ascii="Tahoma" w:hAnsi="Tahoma"/>
          <w:b/>
          <w:bCs/>
          <w:rtl/>
        </w:rPr>
        <w:t>פרץ נ' מדינת ישראל</w:t>
      </w:r>
      <w:r>
        <w:rPr>
          <w:rFonts w:ascii="Tahoma" w:hAnsi="Tahoma"/>
          <w:rtl/>
        </w:rPr>
        <w:t xml:space="preserve"> (22.10.2017) – הגם ששם דובר על החזקת הסמים בבית עסק, דהיינו בנסיבות </w:t>
      </w:r>
      <w:r>
        <w:rPr>
          <w:rFonts w:ascii="David" w:hAnsi="David"/>
          <w:rtl/>
        </w:rPr>
        <w:t>של פוטנציאל הפצה גבוה מבענייננו.</w:t>
      </w:r>
    </w:p>
    <w:p w14:paraId="18F8428D" w14:textId="77777777" w:rsidR="006E105C" w:rsidRDefault="006E105C" w:rsidP="006E105C">
      <w:pPr>
        <w:numPr>
          <w:ilvl w:val="0"/>
          <w:numId w:val="2"/>
        </w:numPr>
        <w:spacing w:after="120" w:line="360" w:lineRule="auto"/>
        <w:ind w:left="360"/>
        <w:jc w:val="both"/>
        <w:rPr>
          <w:rFonts w:ascii="Tahoma" w:hAnsi="Tahoma"/>
        </w:rPr>
      </w:pPr>
      <w:r>
        <w:rPr>
          <w:rFonts w:ascii="Tahoma" w:hAnsi="Tahoma"/>
          <w:rtl/>
        </w:rPr>
        <w:t xml:space="preserve">אשר לגזירת עונשו של הנאשם בתוך מתחם העונש ההולם ציינה ב"כ המאשימה את גילו הצעיר של הנאשם ואת והיעדר עבר פלילי, אך גם את ההיבטים השליליים </w:t>
      </w:r>
      <w:r>
        <w:rPr>
          <w:rFonts w:ascii="Tahoma" w:hAnsi="Tahoma" w:hint="cs"/>
          <w:rtl/>
        </w:rPr>
        <w:t xml:space="preserve">העולים מתסקיר שירות המבחן </w:t>
      </w:r>
      <w:r>
        <w:rPr>
          <w:rFonts w:ascii="Tahoma" w:hAnsi="Tahoma"/>
          <w:rtl/>
        </w:rPr>
        <w:t>ובהם נטיית הנאשם לטשטש את אחריות</w:t>
      </w:r>
      <w:r>
        <w:rPr>
          <w:rFonts w:ascii="Tahoma" w:hAnsi="Tahoma" w:hint="cs"/>
          <w:rtl/>
        </w:rPr>
        <w:t>ו</w:t>
      </w:r>
      <w:r>
        <w:rPr>
          <w:rFonts w:ascii="Tahoma" w:hAnsi="Tahoma"/>
          <w:rtl/>
        </w:rPr>
        <w:t xml:space="preserve"> והעובדה שלא הציג מסמכים לגיבוי טענותיו אודות מצבו הבריאותי והתעסוקתי. בנסיבות אלה עתרה ב"כ המאשימה לגזירת הדין בשליש התחתון של מתחם העונש ההולם לו טענה, תוך השתת ענישה נלווית שתכלול מאסר מותנה, קנס כספי, פסילת רישיון נהיגה וחילוט (מוסכם) של הכסף המזומן בסך 1</w:t>
      </w:r>
      <w:r>
        <w:rPr>
          <w:rFonts w:ascii="Tahoma" w:hAnsi="Tahoma" w:hint="cs"/>
          <w:rtl/>
        </w:rPr>
        <w:t>5</w:t>
      </w:r>
      <w:r>
        <w:rPr>
          <w:rFonts w:ascii="Tahoma" w:hAnsi="Tahoma"/>
          <w:rtl/>
        </w:rPr>
        <w:t>,750 ₪</w:t>
      </w:r>
      <w:r>
        <w:rPr>
          <w:rFonts w:ascii="Tahoma" w:hAnsi="Tahoma" w:hint="cs"/>
          <w:rtl/>
        </w:rPr>
        <w:t>,</w:t>
      </w:r>
      <w:r>
        <w:rPr>
          <w:rFonts w:ascii="Tahoma" w:hAnsi="Tahoma"/>
          <w:rtl/>
        </w:rPr>
        <w:t xml:space="preserve"> ש</w:t>
      </w:r>
      <w:r>
        <w:rPr>
          <w:rFonts w:ascii="Tahoma" w:hAnsi="Tahoma" w:hint="cs"/>
          <w:rtl/>
        </w:rPr>
        <w:t xml:space="preserve">כאמור </w:t>
      </w:r>
      <w:r>
        <w:rPr>
          <w:rFonts w:ascii="Tahoma" w:hAnsi="Tahoma"/>
          <w:rtl/>
        </w:rPr>
        <w:t>נתפס ברשות הנאשם.</w:t>
      </w:r>
    </w:p>
    <w:p w14:paraId="071DD585" w14:textId="77777777" w:rsidR="006E105C" w:rsidRDefault="006E105C" w:rsidP="006E105C">
      <w:pPr>
        <w:numPr>
          <w:ilvl w:val="0"/>
          <w:numId w:val="2"/>
        </w:numPr>
        <w:spacing w:after="120" w:line="360" w:lineRule="auto"/>
        <w:ind w:left="360"/>
        <w:jc w:val="both"/>
        <w:rPr>
          <w:rFonts w:ascii="Tahoma" w:hAnsi="Tahoma"/>
        </w:rPr>
      </w:pPr>
      <w:r>
        <w:rPr>
          <w:rFonts w:ascii="Tahoma" w:hAnsi="Tahoma"/>
          <w:rtl/>
        </w:rPr>
        <w:t>ב"כ הנאשם, מצידו, זימן כעדת אופי את אמו של הנאשם וכן הגיש מסמכים רפואיים בעניין בדיקת תלונותיו של הנאשם בעניין בחילות, הקאות ושלשולים (סומנו ס/1). אמו של הנאשם תיארה, בעדותה בבית המשפט, את אופיו הטוב יוצא הדופן של הנאשם ואת העזרה הרבה שהושיט לה בגידול אחיו הצעיר, בהיותה גרושה (בפרוטוקול, עמ' 6 שורה 10 ואילך). כמו כן תיארה האם את הנאשם כחולני, ועתרה להתחשבות בית המשפט.</w:t>
      </w:r>
    </w:p>
    <w:p w14:paraId="1E950EEF" w14:textId="77777777" w:rsidR="006E105C" w:rsidRDefault="006E105C" w:rsidP="006E105C">
      <w:pPr>
        <w:numPr>
          <w:ilvl w:val="0"/>
          <w:numId w:val="2"/>
        </w:numPr>
        <w:spacing w:after="120" w:line="360" w:lineRule="auto"/>
        <w:ind w:left="360"/>
        <w:jc w:val="both"/>
        <w:rPr>
          <w:rFonts w:ascii="Tahoma" w:hAnsi="Tahoma"/>
        </w:rPr>
      </w:pPr>
      <w:r>
        <w:rPr>
          <w:rFonts w:ascii="Tahoma" w:hAnsi="Tahoma"/>
          <w:rtl/>
        </w:rPr>
        <w:t xml:space="preserve">בטיעוניו </w:t>
      </w:r>
      <w:r>
        <w:rPr>
          <w:rFonts w:ascii="Tahoma" w:hAnsi="Tahoma" w:hint="cs"/>
          <w:rtl/>
        </w:rPr>
        <w:t xml:space="preserve">לעונש </w:t>
      </w:r>
      <w:r>
        <w:rPr>
          <w:rFonts w:ascii="Tahoma" w:hAnsi="Tahoma"/>
          <w:rtl/>
        </w:rPr>
        <w:t>הרחיב ב"כ הנאשם בתיאור נסיבותיו המקלות של הנאשם, תוך שציין כי הנאשם הודה בכתב אישום מתוקן</w:t>
      </w:r>
      <w:r>
        <w:rPr>
          <w:rFonts w:ascii="Tahoma" w:hAnsi="Tahoma" w:hint="cs"/>
          <w:rtl/>
        </w:rPr>
        <w:t xml:space="preserve">, </w:t>
      </w:r>
      <w:r>
        <w:rPr>
          <w:rFonts w:ascii="Tahoma" w:hAnsi="Tahoma"/>
          <w:rtl/>
        </w:rPr>
        <w:t>חסך זמן שיפוטי רב וגם הסכים לחילוט סכום כסף משמעותי. הסניגור ער לכך שהנאשם הורשע בעבירה של החזקת סמים מסוכנים שלא לשימוש עצמי, אך בד בבד ביקש למצוא קולה בנסיבות ההחזקה</w:t>
      </w:r>
      <w:r>
        <w:rPr>
          <w:rFonts w:ascii="Tahoma" w:hAnsi="Tahoma" w:hint="cs"/>
          <w:rtl/>
        </w:rPr>
        <w:t xml:space="preserve"> כאמור</w:t>
      </w:r>
      <w:r>
        <w:rPr>
          <w:rFonts w:ascii="Tahoma" w:hAnsi="Tahoma"/>
          <w:rtl/>
        </w:rPr>
        <w:t xml:space="preserve">, כאשר אין </w:t>
      </w:r>
      <w:r>
        <w:rPr>
          <w:rFonts w:ascii="Tahoma" w:hAnsi="Tahoma" w:hint="cs"/>
          <w:rtl/>
        </w:rPr>
        <w:t xml:space="preserve">ולו בדל </w:t>
      </w:r>
      <w:r>
        <w:rPr>
          <w:rFonts w:ascii="Tahoma" w:hAnsi="Tahoma"/>
          <w:rtl/>
        </w:rPr>
        <w:t>אינדיקציה לסחר בסמים.</w:t>
      </w:r>
    </w:p>
    <w:p w14:paraId="576AA277" w14:textId="77777777" w:rsidR="006E105C" w:rsidRDefault="006E105C" w:rsidP="006E105C">
      <w:pPr>
        <w:numPr>
          <w:ilvl w:val="0"/>
          <w:numId w:val="2"/>
        </w:numPr>
        <w:spacing w:after="120" w:line="360" w:lineRule="auto"/>
        <w:ind w:left="360"/>
        <w:jc w:val="both"/>
        <w:rPr>
          <w:rFonts w:ascii="Tahoma" w:hAnsi="Tahoma"/>
        </w:rPr>
      </w:pPr>
      <w:r>
        <w:rPr>
          <w:rFonts w:ascii="Tahoma" w:hAnsi="Tahoma"/>
          <w:rtl/>
        </w:rPr>
        <w:t xml:space="preserve">לשיטת הסניגור עסקינן באפיזודה חולפת בלבד, של נאשם ללא כל מעורבות שולית קודמת או מאוחרת, וללא דפוסים עברייניים מושרשים. לפיכך, בנסיבות </w:t>
      </w:r>
      <w:r>
        <w:rPr>
          <w:rFonts w:ascii="Tahoma" w:hAnsi="Tahoma" w:hint="cs"/>
          <w:rtl/>
        </w:rPr>
        <w:t>כ</w:t>
      </w:r>
      <w:r>
        <w:rPr>
          <w:rFonts w:ascii="Tahoma" w:hAnsi="Tahoma"/>
          <w:rtl/>
        </w:rPr>
        <w:t xml:space="preserve">אלה השתת עונש של מאסר בפועל מאחורי סורג ובריח על הנאשם לא תשיג את מטרתה אלא, כדברי שירות המבחן, תחשוף את הנאשם </w:t>
      </w:r>
      <w:r>
        <w:rPr>
          <w:rFonts w:ascii="Tahoma" w:hAnsi="Tahoma" w:hint="cs"/>
          <w:rtl/>
        </w:rPr>
        <w:t xml:space="preserve">באופן אינטנסיבי </w:t>
      </w:r>
      <w:r>
        <w:rPr>
          <w:rFonts w:ascii="Tahoma" w:hAnsi="Tahoma"/>
          <w:rtl/>
        </w:rPr>
        <w:t xml:space="preserve">לאוכלוסייה שולית ותביא חלילה לרגרסיה במצבו. לפיכך עתר הסניגור להקלה מרבית בעונשו של מרשו. </w:t>
      </w:r>
    </w:p>
    <w:p w14:paraId="30E79F8D" w14:textId="77777777" w:rsidR="006E105C" w:rsidRDefault="006E105C" w:rsidP="006E105C">
      <w:pPr>
        <w:numPr>
          <w:ilvl w:val="0"/>
          <w:numId w:val="2"/>
        </w:numPr>
        <w:spacing w:after="120" w:line="360" w:lineRule="auto"/>
        <w:ind w:left="360"/>
        <w:jc w:val="both"/>
        <w:rPr>
          <w:rFonts w:ascii="Tahoma" w:hAnsi="Tahoma"/>
        </w:rPr>
      </w:pPr>
      <w:r>
        <w:rPr>
          <w:rFonts w:ascii="Tahoma" w:hAnsi="Tahoma"/>
          <w:rtl/>
        </w:rPr>
        <w:t xml:space="preserve">אשר למדיניות הענישה הנהוגה הפנה ב"כ הנאשם לפסיקה רבה, </w:t>
      </w:r>
      <w:r>
        <w:rPr>
          <w:rFonts w:ascii="Tahoma" w:hAnsi="Tahoma" w:hint="cs"/>
          <w:rtl/>
        </w:rPr>
        <w:t>ש</w:t>
      </w:r>
      <w:r>
        <w:rPr>
          <w:rFonts w:ascii="Tahoma" w:hAnsi="Tahoma"/>
          <w:rtl/>
        </w:rPr>
        <w:t xml:space="preserve">רובה אינה רלוואנטית באשר עניינה בהחזקת סמים מסוכנים מסוג קנבוס. </w:t>
      </w:r>
      <w:r>
        <w:rPr>
          <w:rFonts w:ascii="Tahoma" w:hAnsi="Tahoma" w:hint="cs"/>
          <w:rtl/>
        </w:rPr>
        <w:t xml:space="preserve">עוד </w:t>
      </w:r>
      <w:r>
        <w:rPr>
          <w:rFonts w:ascii="Tahoma" w:hAnsi="Tahoma"/>
          <w:rtl/>
        </w:rPr>
        <w:t>הפנה ב"כ הנאשם ל</w:t>
      </w:r>
      <w:hyperlink r:id="rId19" w:history="1">
        <w:r w:rsidR="007D55C9" w:rsidRPr="007D55C9">
          <w:rPr>
            <w:rFonts w:ascii="Tahoma" w:hAnsi="Tahoma"/>
            <w:color w:val="0000FF"/>
            <w:u w:val="single"/>
            <w:rtl/>
          </w:rPr>
          <w:t>ת"פ (שלום י-ם) 7414-01-15</w:t>
        </w:r>
      </w:hyperlink>
      <w:r>
        <w:rPr>
          <w:rFonts w:ascii="Tahoma" w:hAnsi="Tahoma"/>
          <w:rtl/>
        </w:rPr>
        <w:t xml:space="preserve"> </w:t>
      </w:r>
      <w:r>
        <w:rPr>
          <w:rFonts w:ascii="Tahoma" w:hAnsi="Tahoma"/>
          <w:b/>
          <w:bCs/>
          <w:rtl/>
        </w:rPr>
        <w:t>מדינת ישראל נ' שגב</w:t>
      </w:r>
      <w:r>
        <w:rPr>
          <w:rFonts w:ascii="Tahoma" w:hAnsi="Tahoma"/>
          <w:rtl/>
        </w:rPr>
        <w:t xml:space="preserve"> (26.02.2017), אך מדובר בגזר דין שעליו התקבל ערעור המדינה (</w:t>
      </w:r>
      <w:hyperlink r:id="rId20" w:history="1">
        <w:r w:rsidR="007D55C9" w:rsidRPr="007D55C9">
          <w:rPr>
            <w:rFonts w:ascii="Tahoma" w:hAnsi="Tahoma"/>
            <w:color w:val="0000FF"/>
            <w:u w:val="single"/>
            <w:rtl/>
          </w:rPr>
          <w:t>עפ"ג (מחוזי י-ם) 7474-09-17</w:t>
        </w:r>
      </w:hyperlink>
      <w:r w:rsidR="007D55C9">
        <w:rPr>
          <w:rFonts w:ascii="Tahoma" w:hAnsi="Tahoma"/>
          <w:rtl/>
        </w:rPr>
        <w:t xml:space="preserve"> </w:t>
      </w:r>
      <w:r>
        <w:rPr>
          <w:rFonts w:ascii="Tahoma" w:hAnsi="Tahoma"/>
          <w:b/>
          <w:bCs/>
          <w:rtl/>
        </w:rPr>
        <w:t>מדינת ישראל נ' שגב</w:t>
      </w:r>
      <w:r>
        <w:rPr>
          <w:rFonts w:ascii="Tahoma" w:hAnsi="Tahoma"/>
          <w:rtl/>
        </w:rPr>
        <w:t xml:space="preserve"> (08.03.2018)</w:t>
      </w:r>
      <w:r>
        <w:rPr>
          <w:rFonts w:ascii="Tahoma" w:hAnsi="Tahoma" w:hint="cs"/>
          <w:rtl/>
        </w:rPr>
        <w:t>;</w:t>
      </w:r>
      <w:r>
        <w:rPr>
          <w:rFonts w:ascii="Tahoma" w:hAnsi="Tahoma"/>
          <w:rtl/>
        </w:rPr>
        <w:t xml:space="preserve"> וגם ל</w:t>
      </w:r>
      <w:hyperlink r:id="rId21" w:history="1">
        <w:r w:rsidR="007D55C9" w:rsidRPr="007D55C9">
          <w:rPr>
            <w:rFonts w:ascii="Tahoma" w:hAnsi="Tahoma"/>
            <w:color w:val="0000FF"/>
            <w:u w:val="single"/>
            <w:rtl/>
          </w:rPr>
          <w:t>ת"פ (שלום ת"א) 36827-11-15</w:t>
        </w:r>
      </w:hyperlink>
      <w:r>
        <w:rPr>
          <w:rFonts w:ascii="Tahoma" w:hAnsi="Tahoma"/>
          <w:rtl/>
        </w:rPr>
        <w:t xml:space="preserve"> </w:t>
      </w:r>
      <w:r>
        <w:rPr>
          <w:rFonts w:ascii="Tahoma" w:hAnsi="Tahoma"/>
          <w:b/>
          <w:bCs/>
          <w:rtl/>
        </w:rPr>
        <w:t>מדינת ישראל נ' בן שימון</w:t>
      </w:r>
      <w:r>
        <w:rPr>
          <w:rFonts w:ascii="Tahoma" w:hAnsi="Tahoma"/>
          <w:rtl/>
        </w:rPr>
        <w:t xml:space="preserve"> (02.10.2018), שם נקבע מתחם עונש הולם שבין 6 חודשי מאסר בפועל לבין 18 חודשי מאסר בגין החזקה של מגוון סמים </w:t>
      </w:r>
      <w:r>
        <w:rPr>
          <w:rFonts w:ascii="Tahoma" w:hAnsi="Tahoma" w:hint="cs"/>
          <w:rtl/>
        </w:rPr>
        <w:t>(</w:t>
      </w:r>
      <w:r>
        <w:rPr>
          <w:rFonts w:ascii="Tahoma" w:hAnsi="Tahoma"/>
          <w:rtl/>
        </w:rPr>
        <w:t>אך מצומצם מבענייננו</w:t>
      </w:r>
      <w:r>
        <w:rPr>
          <w:rFonts w:ascii="Tahoma" w:hAnsi="Tahoma" w:hint="cs"/>
          <w:rtl/>
        </w:rPr>
        <w:t>)</w:t>
      </w:r>
      <w:r>
        <w:rPr>
          <w:rFonts w:ascii="Tahoma" w:hAnsi="Tahoma"/>
          <w:rtl/>
        </w:rPr>
        <w:t>.</w:t>
      </w:r>
    </w:p>
    <w:p w14:paraId="40E0A26A" w14:textId="77777777" w:rsidR="006E105C" w:rsidRDefault="006E105C" w:rsidP="006E105C">
      <w:pPr>
        <w:numPr>
          <w:ilvl w:val="0"/>
          <w:numId w:val="2"/>
        </w:numPr>
        <w:spacing w:after="120" w:line="360" w:lineRule="auto"/>
        <w:ind w:left="360"/>
        <w:jc w:val="both"/>
        <w:rPr>
          <w:rFonts w:ascii="Tahoma" w:hAnsi="Tahoma"/>
        </w:rPr>
      </w:pPr>
      <w:r>
        <w:rPr>
          <w:rFonts w:ascii="Tahoma" w:hAnsi="Tahoma"/>
          <w:rtl/>
        </w:rPr>
        <w:t xml:space="preserve">לבסוף הנאשם, בדברו האחרון לעונש, טען כי מעולם לא עשה משהו על מנת לפגוע בעצמו או במישהו אחר וכי </w:t>
      </w:r>
      <w:r>
        <w:rPr>
          <w:rFonts w:ascii="Tahoma" w:hAnsi="Tahoma" w:hint="cs"/>
          <w:rtl/>
        </w:rPr>
        <w:t xml:space="preserve">כיום </w:t>
      </w:r>
      <w:r>
        <w:rPr>
          <w:rFonts w:ascii="Tahoma" w:hAnsi="Tahoma"/>
          <w:rtl/>
        </w:rPr>
        <w:t>אינו משתמש בסמים ו</w:t>
      </w:r>
      <w:r>
        <w:rPr>
          <w:rFonts w:ascii="Tahoma" w:hAnsi="Tahoma" w:hint="cs"/>
          <w:rtl/>
        </w:rPr>
        <w:t>ע</w:t>
      </w:r>
      <w:r>
        <w:rPr>
          <w:rFonts w:ascii="Tahoma" w:hAnsi="Tahoma"/>
          <w:rtl/>
        </w:rPr>
        <w:t>ל</w:t>
      </w:r>
      <w:r>
        <w:rPr>
          <w:rFonts w:ascii="Tahoma" w:hAnsi="Tahoma" w:hint="cs"/>
          <w:rtl/>
        </w:rPr>
        <w:t xml:space="preserve"> </w:t>
      </w:r>
      <w:r>
        <w:rPr>
          <w:rFonts w:ascii="Tahoma" w:hAnsi="Tahoma"/>
          <w:rtl/>
        </w:rPr>
        <w:t>כן בדיקות השתן ש</w:t>
      </w:r>
      <w:r>
        <w:rPr>
          <w:rFonts w:ascii="Tahoma" w:hAnsi="Tahoma" w:hint="cs"/>
          <w:rtl/>
        </w:rPr>
        <w:t xml:space="preserve">נערכו </w:t>
      </w:r>
      <w:r>
        <w:rPr>
          <w:rFonts w:ascii="Tahoma" w:hAnsi="Tahoma"/>
          <w:rtl/>
        </w:rPr>
        <w:t xml:space="preserve">לו </w:t>
      </w:r>
      <w:r>
        <w:rPr>
          <w:rFonts w:ascii="Tahoma" w:hAnsi="Tahoma" w:hint="cs"/>
          <w:rtl/>
        </w:rPr>
        <w:t xml:space="preserve">נמצאו </w:t>
      </w:r>
      <w:r>
        <w:rPr>
          <w:rFonts w:ascii="Tahoma" w:hAnsi="Tahoma"/>
          <w:rtl/>
        </w:rPr>
        <w:t>נקיות (בפרוטוקול, עמ' 8 שורה 22 ואילך).</w:t>
      </w:r>
    </w:p>
    <w:p w14:paraId="04C38D36" w14:textId="77777777" w:rsidR="006E105C" w:rsidRDefault="006E105C" w:rsidP="006E105C">
      <w:pPr>
        <w:spacing w:after="120" w:line="360" w:lineRule="auto"/>
        <w:jc w:val="both"/>
        <w:rPr>
          <w:rFonts w:ascii="David" w:hAnsi="David"/>
        </w:rPr>
      </w:pPr>
    </w:p>
    <w:p w14:paraId="5D0CF5C8" w14:textId="77777777" w:rsidR="006E105C" w:rsidRDefault="006E105C" w:rsidP="006E105C">
      <w:pPr>
        <w:pStyle w:val="a9"/>
        <w:numPr>
          <w:ilvl w:val="0"/>
          <w:numId w:val="1"/>
        </w:numPr>
        <w:spacing w:before="120" w:after="120" w:line="360" w:lineRule="auto"/>
        <w:ind w:left="360"/>
        <w:jc w:val="both"/>
        <w:rPr>
          <w:b/>
          <w:bCs/>
          <w:u w:val="single"/>
        </w:rPr>
      </w:pPr>
      <w:r>
        <w:rPr>
          <w:b/>
          <w:bCs/>
          <w:u w:val="single"/>
          <w:rtl/>
        </w:rPr>
        <w:t>קביעת מתחם העונש ההולם:</w:t>
      </w:r>
    </w:p>
    <w:p w14:paraId="553DD717" w14:textId="77777777" w:rsidR="006E105C" w:rsidRDefault="006E105C" w:rsidP="006E105C">
      <w:pPr>
        <w:numPr>
          <w:ilvl w:val="0"/>
          <w:numId w:val="2"/>
        </w:numPr>
        <w:spacing w:after="120" w:line="360" w:lineRule="auto"/>
        <w:ind w:left="360"/>
        <w:jc w:val="both"/>
        <w:rPr>
          <w:rFonts w:ascii="David" w:hAnsi="David"/>
          <w:rtl/>
        </w:rPr>
      </w:pPr>
      <w:r>
        <w:rPr>
          <w:rFonts w:ascii="David" w:hAnsi="David"/>
          <w:rtl/>
        </w:rPr>
        <w:t xml:space="preserve">בהתאם להוראות </w:t>
      </w:r>
      <w:hyperlink r:id="rId22" w:history="1">
        <w:r w:rsidR="007D55C9" w:rsidRPr="007D55C9">
          <w:rPr>
            <w:rFonts w:ascii="David" w:hAnsi="David"/>
            <w:color w:val="0000FF"/>
            <w:u w:val="single"/>
            <w:rtl/>
          </w:rPr>
          <w:t>חוק העונשין</w:t>
        </w:r>
      </w:hyperlink>
      <w:r>
        <w:rPr>
          <w:rFonts w:ascii="David" w:hAnsi="David"/>
          <w:rtl/>
        </w:rPr>
        <w:t xml:space="preserve">, תשל"ז-1977 (להלן – חוק העונשין), </w:t>
      </w:r>
      <w:r>
        <w:rPr>
          <w:rFonts w:ascii="Tahoma" w:hAnsi="Tahoma"/>
          <w:rtl/>
        </w:rPr>
        <w:t xml:space="preserve">בעת גזירת עונשו של נאשם על בית המשפט לקבוע, תחילה, את מתחם העונש ההולם לאירוע שבגינו הורשע הנאשם, וזאת בהתאם לעיקרון ההלימה. בהקשר זה יתחשב בית המשפט, בין השאר, בערכים החברתיים שנפגעו מביצוע העבירה ובמידת הפגיעה בהם, במדיניות הענישה הנהוגה ובנסיבות הקשורות בביצוע העבירה; לרבות אלה המנויות </w:t>
      </w:r>
      <w:r>
        <w:rPr>
          <w:rFonts w:ascii="David" w:hAnsi="David"/>
          <w:rtl/>
        </w:rPr>
        <w:t xml:space="preserve">בהוראות </w:t>
      </w:r>
      <w:hyperlink r:id="rId23" w:history="1">
        <w:r w:rsidR="00DD505A" w:rsidRPr="00DD505A">
          <w:rPr>
            <w:rStyle w:val="Hyperlink"/>
            <w:rFonts w:ascii="David" w:hAnsi="David"/>
            <w:rtl/>
          </w:rPr>
          <w:t>סעיף 40ט</w:t>
        </w:r>
      </w:hyperlink>
      <w:r>
        <w:rPr>
          <w:rFonts w:ascii="David" w:hAnsi="David"/>
          <w:rtl/>
        </w:rPr>
        <w:t xml:space="preserve"> ל</w:t>
      </w:r>
      <w:hyperlink r:id="rId24" w:history="1">
        <w:r w:rsidR="007D55C9" w:rsidRPr="007D55C9">
          <w:rPr>
            <w:rFonts w:ascii="David" w:hAnsi="David"/>
            <w:color w:val="0000FF"/>
            <w:u w:val="single"/>
            <w:rtl/>
          </w:rPr>
          <w:t>חוק העונשין</w:t>
        </w:r>
      </w:hyperlink>
      <w:r>
        <w:rPr>
          <w:rFonts w:ascii="David" w:hAnsi="David"/>
          <w:rtl/>
        </w:rPr>
        <w:t>.</w:t>
      </w:r>
    </w:p>
    <w:p w14:paraId="40717A9A" w14:textId="77777777" w:rsidR="006E105C" w:rsidRDefault="006E105C" w:rsidP="006E105C">
      <w:pPr>
        <w:numPr>
          <w:ilvl w:val="0"/>
          <w:numId w:val="2"/>
        </w:numPr>
        <w:spacing w:after="120" w:line="360" w:lineRule="auto"/>
        <w:ind w:left="360"/>
        <w:jc w:val="both"/>
        <w:rPr>
          <w:rFonts w:ascii="David" w:hAnsi="David"/>
        </w:rPr>
      </w:pPr>
      <w:r>
        <w:rPr>
          <w:rFonts w:ascii="Tahoma" w:hAnsi="Tahoma"/>
          <w:rtl/>
        </w:rPr>
        <w:t xml:space="preserve">לעניין הערכים </w:t>
      </w:r>
      <w:r>
        <w:rPr>
          <w:rFonts w:ascii="David" w:hAnsi="David"/>
          <w:rtl/>
        </w:rPr>
        <w:t xml:space="preserve">החברתיים שנפגעו כתולדה מביצוע העבירה, מעבר לאמור בטיעון ב"כ המאשימה יש להדגיש את חומרת עבירות הסמים הנובעת </w:t>
      </w:r>
      <w:r>
        <w:rPr>
          <w:rFonts w:ascii="David" w:hAnsi="David" w:hint="cs"/>
          <w:rtl/>
        </w:rPr>
        <w:t xml:space="preserve">בשל </w:t>
      </w:r>
      <w:r>
        <w:rPr>
          <w:rFonts w:ascii="David" w:hAnsi="David"/>
          <w:rtl/>
        </w:rPr>
        <w:t>היותן גורם מחולל פשיעה, דהיינו: גורם העומד ברקע ביצוע</w:t>
      </w:r>
      <w:r>
        <w:rPr>
          <w:rFonts w:ascii="David" w:hAnsi="David" w:hint="cs"/>
          <w:rtl/>
        </w:rPr>
        <w:t>ן</w:t>
      </w:r>
      <w:r>
        <w:rPr>
          <w:rFonts w:ascii="David" w:hAnsi="David"/>
          <w:rtl/>
        </w:rPr>
        <w:t xml:space="preserve"> של עבירות רבות אחרות. עם זאת, בעבירות סמים ניתנת משמעות רבה לכמויות הסמים, וכאשר מדובר – כבענייננו – בכמויות קטנות יחסית, הרף התחתון של מתחם העונש ההולם, המקובל בפסיקה, עומד על תקופת מאסר בפועל שניתן לשאת</w:t>
      </w:r>
      <w:r>
        <w:rPr>
          <w:rFonts w:ascii="David" w:hAnsi="David" w:hint="cs"/>
          <w:rtl/>
        </w:rPr>
        <w:t>ה</w:t>
      </w:r>
      <w:r>
        <w:rPr>
          <w:rFonts w:ascii="David" w:hAnsi="David"/>
          <w:rtl/>
        </w:rPr>
        <w:t xml:space="preserve"> בדרך של עבודות שירות.</w:t>
      </w:r>
    </w:p>
    <w:p w14:paraId="5C793957" w14:textId="77777777" w:rsidR="006E105C" w:rsidRDefault="006E105C" w:rsidP="006E105C">
      <w:pPr>
        <w:numPr>
          <w:ilvl w:val="0"/>
          <w:numId w:val="2"/>
        </w:numPr>
        <w:spacing w:after="120" w:line="360" w:lineRule="auto"/>
        <w:ind w:left="360"/>
        <w:jc w:val="both"/>
        <w:rPr>
          <w:rFonts w:ascii="David" w:hAnsi="David"/>
        </w:rPr>
      </w:pPr>
      <w:r>
        <w:rPr>
          <w:rFonts w:ascii="David" w:hAnsi="David"/>
          <w:rtl/>
        </w:rPr>
        <w:t>בנוסף, בקביעת מתחם העונש ההולם יש להתחשב כאמור גם בנסיבות הספציפיות שבהן בוצעה העבירה, כאשר במקרה דנא מדובר בהחזקת הסמים במקום מגורים</w:t>
      </w:r>
      <w:r>
        <w:rPr>
          <w:rFonts w:ascii="David" w:hAnsi="David" w:hint="cs"/>
          <w:rtl/>
        </w:rPr>
        <w:t>;</w:t>
      </w:r>
      <w:r>
        <w:rPr>
          <w:rFonts w:ascii="David" w:hAnsi="David"/>
          <w:rtl/>
        </w:rPr>
        <w:t xml:space="preserve"> כלומר בהחזקה בנסיבות שבהן פוטנציאל ההפצה, כמו גם הנזק לציבור, פחותים בחומרתם בהשוואה למשל להחזקה ברכב או במקום בילוי. בנסיבות אלה ניתן ללמוד לענייננו מגזר הדין שניתן לאחרונה ב</w:t>
      </w:r>
      <w:hyperlink r:id="rId25" w:history="1">
        <w:r w:rsidR="007D55C9" w:rsidRPr="007D55C9">
          <w:rPr>
            <w:rFonts w:ascii="David" w:hAnsi="David"/>
            <w:color w:val="0000FF"/>
            <w:u w:val="single"/>
            <w:rtl/>
          </w:rPr>
          <w:t>ת"פ (שלום ת"א) 30558-12-21</w:t>
        </w:r>
      </w:hyperlink>
      <w:r w:rsidR="007D55C9">
        <w:rPr>
          <w:rFonts w:ascii="David" w:hAnsi="David"/>
          <w:rtl/>
        </w:rPr>
        <w:t xml:space="preserve"> </w:t>
      </w:r>
      <w:r>
        <w:rPr>
          <w:rFonts w:ascii="David" w:hAnsi="David"/>
          <w:b/>
          <w:bCs/>
          <w:rtl/>
        </w:rPr>
        <w:t>מדינת ישראל נ' אדרי</w:t>
      </w:r>
      <w:r w:rsidR="007D55C9">
        <w:rPr>
          <w:rFonts w:ascii="David" w:hAnsi="David"/>
          <w:rtl/>
        </w:rPr>
        <w:t xml:space="preserve"> </w:t>
      </w:r>
      <w:r>
        <w:rPr>
          <w:rFonts w:ascii="David" w:hAnsi="David"/>
          <w:rtl/>
        </w:rPr>
        <w:t>(20.06.2024)</w:t>
      </w:r>
      <w:r>
        <w:rPr>
          <w:rFonts w:ascii="David" w:hAnsi="David" w:hint="cs"/>
          <w:rtl/>
        </w:rPr>
        <w:t xml:space="preserve"> (והאסמכתאות שם)</w:t>
      </w:r>
      <w:r>
        <w:rPr>
          <w:rFonts w:ascii="David" w:hAnsi="David"/>
          <w:rtl/>
        </w:rPr>
        <w:t>, שם נקבע מתחם עונש הולם שתחילתו בתשעה חודשי מאסר, כאשר דובר בכמויות דומות (אם כי בסך הכל קטנות יותר), אך בשני מקרים</w:t>
      </w:r>
      <w:r>
        <w:rPr>
          <w:rFonts w:ascii="David" w:hAnsi="David" w:hint="cs"/>
          <w:rtl/>
        </w:rPr>
        <w:t xml:space="preserve"> נפרדים</w:t>
      </w:r>
      <w:r>
        <w:rPr>
          <w:rFonts w:ascii="David" w:hAnsi="David"/>
          <w:rtl/>
        </w:rPr>
        <w:t xml:space="preserve">. </w:t>
      </w:r>
    </w:p>
    <w:p w14:paraId="31999ED1" w14:textId="77777777" w:rsidR="006E105C" w:rsidRPr="0072704B" w:rsidRDefault="006E105C" w:rsidP="006E105C">
      <w:pPr>
        <w:numPr>
          <w:ilvl w:val="0"/>
          <w:numId w:val="2"/>
        </w:numPr>
        <w:spacing w:after="120" w:line="360" w:lineRule="auto"/>
        <w:ind w:left="360"/>
        <w:jc w:val="both"/>
        <w:rPr>
          <w:rFonts w:ascii="Tahoma" w:hAnsi="Tahoma"/>
        </w:rPr>
      </w:pPr>
      <w:r>
        <w:rPr>
          <w:rFonts w:hint="cs"/>
          <w:rtl/>
        </w:rPr>
        <w:t>אני קובע אפוא את מתחם העונש ההולם, במקרה זה, בין 9 חודשי מאסר בפועל, לנשיאה בדרך של עבודות שירות, לבין 24 חודשי מאסר בפועל.</w:t>
      </w:r>
    </w:p>
    <w:p w14:paraId="6D6E7417" w14:textId="77777777" w:rsidR="006E105C" w:rsidRPr="00D22D18" w:rsidRDefault="006E105C" w:rsidP="006E105C">
      <w:pPr>
        <w:spacing w:after="120" w:line="360" w:lineRule="auto"/>
        <w:jc w:val="both"/>
        <w:rPr>
          <w:rFonts w:ascii="Tahoma" w:hAnsi="Tahoma"/>
          <w:rtl/>
        </w:rPr>
      </w:pPr>
    </w:p>
    <w:p w14:paraId="41689117" w14:textId="77777777" w:rsidR="006E105C" w:rsidRDefault="006E105C" w:rsidP="006E105C">
      <w:pPr>
        <w:pStyle w:val="a9"/>
        <w:numPr>
          <w:ilvl w:val="0"/>
          <w:numId w:val="1"/>
        </w:numPr>
        <w:spacing w:after="120" w:line="360" w:lineRule="auto"/>
        <w:ind w:left="360"/>
        <w:jc w:val="both"/>
        <w:rPr>
          <w:rFonts w:ascii="Tahoma" w:hAnsi="Tahoma"/>
          <w:b/>
          <w:bCs/>
          <w:u w:val="single"/>
          <w:rtl/>
        </w:rPr>
      </w:pPr>
      <w:r w:rsidRPr="00CE1F20">
        <w:rPr>
          <w:rFonts w:hint="cs"/>
          <w:b/>
          <w:bCs/>
          <w:u w:val="single"/>
          <w:rtl/>
        </w:rPr>
        <w:t>גזירת עונשו של הנאשם בתוך מתחם העונש ההולם:</w:t>
      </w:r>
    </w:p>
    <w:p w14:paraId="6392E736" w14:textId="77777777" w:rsidR="006E105C" w:rsidRDefault="006E105C" w:rsidP="006E105C">
      <w:pPr>
        <w:numPr>
          <w:ilvl w:val="0"/>
          <w:numId w:val="2"/>
        </w:numPr>
        <w:spacing w:after="120" w:line="360" w:lineRule="auto"/>
        <w:ind w:left="360"/>
        <w:jc w:val="both"/>
        <w:rPr>
          <w:rFonts w:ascii="Tahoma" w:hAnsi="Tahoma"/>
        </w:rPr>
      </w:pPr>
      <w:r>
        <w:rPr>
          <w:rFonts w:hint="cs"/>
          <w:rtl/>
        </w:rPr>
        <w:t xml:space="preserve">לאחר קביעת מתחם העונש ההולם על בית המשפט לגזור את עונשו של הנאשם בתוך מתחם זה </w:t>
      </w:r>
      <w:r>
        <w:rPr>
          <w:rtl/>
        </w:rPr>
        <w:t>–</w:t>
      </w:r>
      <w:r>
        <w:rPr>
          <w:rFonts w:hint="cs"/>
          <w:rtl/>
        </w:rPr>
        <w:t xml:space="preserve"> למעט במקרים יוצאי דופן, בהם הוא רשאי לחרוג מכך, שאין עניינם לכאן </w:t>
      </w:r>
      <w:r>
        <w:rPr>
          <w:rtl/>
        </w:rPr>
        <w:t>–</w:t>
      </w:r>
      <w:r>
        <w:rPr>
          <w:rFonts w:hint="cs"/>
          <w:rtl/>
        </w:rPr>
        <w:t xml:space="preserve"> תוך התחשבות בנסיבות שאינן קשורות בביצוע העבירות, לרבות אלה המנויות בהוראות </w:t>
      </w:r>
      <w:hyperlink r:id="rId26" w:history="1">
        <w:r w:rsidR="00DD505A" w:rsidRPr="00DD505A">
          <w:rPr>
            <w:rStyle w:val="Hyperlink"/>
            <w:rFonts w:hint="eastAsia"/>
            <w:rtl/>
          </w:rPr>
          <w:t>סעיף</w:t>
        </w:r>
        <w:r w:rsidR="00DD505A" w:rsidRPr="00DD505A">
          <w:rPr>
            <w:rStyle w:val="Hyperlink"/>
            <w:rtl/>
          </w:rPr>
          <w:t xml:space="preserve"> 40יא</w:t>
        </w:r>
      </w:hyperlink>
      <w:r>
        <w:rPr>
          <w:rFonts w:hint="cs"/>
          <w:rtl/>
        </w:rPr>
        <w:t xml:space="preserve"> ל</w:t>
      </w:r>
      <w:hyperlink r:id="rId27" w:history="1">
        <w:r w:rsidR="007D55C9" w:rsidRPr="007D55C9">
          <w:rPr>
            <w:color w:val="0000FF"/>
            <w:u w:val="single"/>
            <w:rtl/>
          </w:rPr>
          <w:t>חוק העונשין</w:t>
        </w:r>
      </w:hyperlink>
      <w:r>
        <w:rPr>
          <w:rFonts w:hint="cs"/>
          <w:rtl/>
        </w:rPr>
        <w:t>.</w:t>
      </w:r>
    </w:p>
    <w:p w14:paraId="15BCE3E1" w14:textId="77777777" w:rsidR="006E105C" w:rsidRPr="00A10DD1" w:rsidRDefault="006E105C" w:rsidP="006E105C">
      <w:pPr>
        <w:numPr>
          <w:ilvl w:val="0"/>
          <w:numId w:val="2"/>
        </w:numPr>
        <w:spacing w:after="120" w:line="360" w:lineRule="auto"/>
        <w:ind w:left="360"/>
        <w:jc w:val="both"/>
        <w:rPr>
          <w:rFonts w:ascii="Tahoma" w:hAnsi="Tahoma"/>
        </w:rPr>
      </w:pPr>
      <w:r>
        <w:rPr>
          <w:rFonts w:hint="cs"/>
          <w:rtl/>
        </w:rPr>
        <w:t>אשר לנאשם שלפניי, על פני הדברים מכלול נתוניו, לרבות כהשתקפותם בתסקיר שירות המבחן ובהמלצותיו, מלמדים כי יש למקמו ברף התחתון של מתחם העונש ההולם. עסקינן בנאשם צעיר יחסית, יליד שנת 1998, ללא דפוסים עברייניים מושרשים, שנטל אחריות מידית על מעשיו עוד בדיון הראשון שנערך לפניי. בנוסף, מעבר לכך שלנאשם אין כל רישומים פליליים קודמים, גם בתקופת הזמן הלא מבוטלת שחלפה מאז ביצוע העבירה לא שב הנאשם והסתבך בפלילים.</w:t>
      </w:r>
    </w:p>
    <w:p w14:paraId="0A7ED960" w14:textId="77777777" w:rsidR="006E105C" w:rsidRDefault="006E105C" w:rsidP="006E105C">
      <w:pPr>
        <w:numPr>
          <w:ilvl w:val="0"/>
          <w:numId w:val="2"/>
        </w:numPr>
        <w:spacing w:after="120" w:line="360" w:lineRule="auto"/>
        <w:ind w:left="360"/>
        <w:jc w:val="both"/>
        <w:rPr>
          <w:rFonts w:ascii="Tahoma" w:hAnsi="Tahoma"/>
        </w:rPr>
      </w:pPr>
      <w:r>
        <w:rPr>
          <w:rFonts w:hint="cs"/>
          <w:rtl/>
        </w:rPr>
        <w:t>עוד יש לציין כי בדיקת שתן שנערכה לנאשם נמצאה נקייה, ובכך יש משום תמיכה בטענתו כי הפסיק כל שימוש בסמים מסוכנים, כאשר כיום הוא מתמודד עם כאביו באמצעות תרופות טבעיות בלבד.</w:t>
      </w:r>
      <w:r w:rsidRPr="00A10DD1">
        <w:rPr>
          <w:rFonts w:ascii="Tahoma" w:hAnsi="Tahoma" w:hint="cs"/>
          <w:rtl/>
        </w:rPr>
        <w:t xml:space="preserve"> בנסיבות אלה ניתן, כאמור, להסתפק בגזירת הדין </w:t>
      </w:r>
      <w:r>
        <w:rPr>
          <w:rFonts w:ascii="Tahoma" w:hAnsi="Tahoma" w:hint="cs"/>
          <w:rtl/>
        </w:rPr>
        <w:t>ברף התחתון של מתחם העונש ההולם.</w:t>
      </w:r>
    </w:p>
    <w:p w14:paraId="3F65F8EA" w14:textId="77777777" w:rsidR="006E105C" w:rsidRPr="00A10DD1" w:rsidRDefault="006E105C" w:rsidP="006E105C">
      <w:pPr>
        <w:numPr>
          <w:ilvl w:val="0"/>
          <w:numId w:val="2"/>
        </w:numPr>
        <w:spacing w:after="120" w:line="360" w:lineRule="auto"/>
        <w:ind w:left="360"/>
        <w:jc w:val="both"/>
        <w:rPr>
          <w:rFonts w:ascii="Tahoma" w:hAnsi="Tahoma"/>
        </w:rPr>
      </w:pPr>
      <w:r>
        <w:rPr>
          <w:rFonts w:ascii="Tahoma" w:hAnsi="Tahoma" w:hint="cs"/>
          <w:rtl/>
        </w:rPr>
        <w:t>כ</w:t>
      </w:r>
      <w:r w:rsidRPr="00A10DD1">
        <w:rPr>
          <w:rFonts w:ascii="Tahoma" w:hAnsi="Tahoma"/>
          <w:rtl/>
        </w:rPr>
        <w:t xml:space="preserve">יוון שמדובר בעבירות סמים יש לגזור על הנאשם גם ענישה כלכלית, אך </w:t>
      </w:r>
      <w:r>
        <w:rPr>
          <w:rFonts w:ascii="Tahoma" w:hAnsi="Tahoma" w:hint="cs"/>
          <w:rtl/>
        </w:rPr>
        <w:t xml:space="preserve">בהקשר זה יש להתחשב בכך שנתפס ברשות הנאשם סכום כסף ניכר, שהוסכם בין הצדדים לעתור לחילוטו. לבסוף, לעניין פסילת רישיון הנהיגה ניתן, בנסיבות העניין, </w:t>
      </w:r>
      <w:r w:rsidRPr="00A10DD1">
        <w:rPr>
          <w:rFonts w:ascii="Tahoma" w:hAnsi="Tahoma"/>
          <w:rtl/>
        </w:rPr>
        <w:t>להסתפק בפסילה מותנית בלבד.</w:t>
      </w:r>
    </w:p>
    <w:p w14:paraId="460AF5F6" w14:textId="77777777" w:rsidR="006E105C" w:rsidRPr="002059D0" w:rsidRDefault="006E105C" w:rsidP="006E105C">
      <w:pPr>
        <w:spacing w:after="120" w:line="360" w:lineRule="auto"/>
        <w:jc w:val="both"/>
        <w:rPr>
          <w:rFonts w:ascii="Tahoma" w:hAnsi="Tahoma"/>
          <w:rtl/>
        </w:rPr>
      </w:pPr>
    </w:p>
    <w:p w14:paraId="2D8AA6C0" w14:textId="77777777" w:rsidR="006E105C" w:rsidRDefault="006E105C" w:rsidP="006E105C">
      <w:pPr>
        <w:pStyle w:val="a9"/>
        <w:numPr>
          <w:ilvl w:val="0"/>
          <w:numId w:val="1"/>
        </w:numPr>
        <w:spacing w:after="120" w:line="360" w:lineRule="auto"/>
        <w:ind w:left="360"/>
        <w:jc w:val="both"/>
        <w:rPr>
          <w:rFonts w:ascii="Tahoma" w:hAnsi="Tahoma"/>
          <w:b/>
          <w:bCs/>
          <w:u w:val="single"/>
          <w:rtl/>
        </w:rPr>
      </w:pPr>
      <w:r>
        <w:rPr>
          <w:rFonts w:hint="cs"/>
          <w:b/>
          <w:bCs/>
          <w:u w:val="single"/>
          <w:rtl/>
        </w:rPr>
        <w:t>סוף דבר</w:t>
      </w:r>
      <w:r w:rsidRPr="00CE1F20">
        <w:rPr>
          <w:rFonts w:hint="cs"/>
          <w:b/>
          <w:bCs/>
          <w:u w:val="single"/>
          <w:rtl/>
        </w:rPr>
        <w:t>:</w:t>
      </w:r>
    </w:p>
    <w:p w14:paraId="3B2BD90F" w14:textId="77777777" w:rsidR="006E105C" w:rsidRPr="002059D0" w:rsidRDefault="006E105C" w:rsidP="006E105C">
      <w:pPr>
        <w:numPr>
          <w:ilvl w:val="0"/>
          <w:numId w:val="2"/>
        </w:numPr>
        <w:spacing w:after="120" w:line="360" w:lineRule="auto"/>
        <w:ind w:left="360"/>
        <w:jc w:val="both"/>
        <w:rPr>
          <w:rFonts w:ascii="Tahoma" w:hAnsi="Tahoma"/>
          <w:rtl/>
        </w:rPr>
      </w:pPr>
      <w:r>
        <w:rPr>
          <w:rFonts w:hint="cs"/>
          <w:rtl/>
        </w:rPr>
        <w:t xml:space="preserve">אשר על כן </w:t>
      </w:r>
      <w:r>
        <w:rPr>
          <w:rtl/>
        </w:rPr>
        <w:t>–</w:t>
      </w:r>
      <w:r>
        <w:rPr>
          <w:rFonts w:hint="cs"/>
          <w:rtl/>
        </w:rPr>
        <w:t xml:space="preserve"> ובהתחשב בשיקולים לכף חומרה ולכף קולה, אשר פורטו לעיל </w:t>
      </w:r>
      <w:r>
        <w:rPr>
          <w:rtl/>
        </w:rPr>
        <w:t>–</w:t>
      </w:r>
      <w:r>
        <w:rPr>
          <w:rFonts w:hint="cs"/>
          <w:rtl/>
        </w:rPr>
        <w:t xml:space="preserve"> אני גוזר על הנאשם את העונשים הבאים:</w:t>
      </w:r>
    </w:p>
    <w:p w14:paraId="1C32EEF7" w14:textId="77777777" w:rsidR="006E105C" w:rsidRDefault="006E105C" w:rsidP="006E105C">
      <w:pPr>
        <w:spacing w:after="120" w:line="360" w:lineRule="auto"/>
        <w:ind w:left="1080" w:hanging="720"/>
        <w:jc w:val="both"/>
        <w:rPr>
          <w:rFonts w:ascii="Tahoma" w:hAnsi="Tahoma"/>
          <w:rtl/>
        </w:rPr>
      </w:pPr>
      <w:r>
        <w:rPr>
          <w:rFonts w:hint="cs"/>
          <w:rtl/>
        </w:rPr>
        <w:t>(א)</w:t>
      </w:r>
      <w:r>
        <w:rPr>
          <w:rtl/>
        </w:rPr>
        <w:tab/>
      </w:r>
      <w:r>
        <w:rPr>
          <w:rFonts w:hint="cs"/>
          <w:rtl/>
        </w:rPr>
        <w:t>9 חודשי מאסר בפועל.</w:t>
      </w:r>
    </w:p>
    <w:p w14:paraId="69063D63" w14:textId="77777777" w:rsidR="006E105C" w:rsidRDefault="006E105C" w:rsidP="006E105C">
      <w:pPr>
        <w:spacing w:after="120" w:line="360" w:lineRule="auto"/>
        <w:ind w:left="1080"/>
        <w:jc w:val="both"/>
        <w:rPr>
          <w:rFonts w:ascii="Tahoma" w:hAnsi="Tahoma"/>
          <w:rtl/>
        </w:rPr>
      </w:pPr>
      <w:r>
        <w:rPr>
          <w:rFonts w:ascii="Tahoma" w:hAnsi="Tahoma" w:hint="cs"/>
          <w:rtl/>
        </w:rPr>
        <w:t>הנאשם יישא את עונש המאסר בדרך של עבודות שירות, כאמור בחוות דעתו של הממונה על עבודות השירות בשירות בתי הסוהר מיום 07.07.2024.</w:t>
      </w:r>
    </w:p>
    <w:p w14:paraId="2F6DFFFE" w14:textId="77777777" w:rsidR="006E105C" w:rsidRDefault="006E105C" w:rsidP="006E105C">
      <w:pPr>
        <w:spacing w:after="120" w:line="360" w:lineRule="auto"/>
        <w:ind w:left="1080"/>
        <w:jc w:val="both"/>
        <w:rPr>
          <w:rFonts w:ascii="Tahoma" w:hAnsi="Tahoma"/>
          <w:rtl/>
        </w:rPr>
      </w:pPr>
      <w:r>
        <w:rPr>
          <w:rFonts w:ascii="Tahoma" w:hAnsi="Tahoma" w:hint="cs"/>
          <w:rtl/>
        </w:rPr>
        <w:t>על הנאשם להתייצב לנשיאת עונשו במשרדי הממונה על עבודות השירות, ביום 27.10.2024 עד השעה 08:00.</w:t>
      </w:r>
    </w:p>
    <w:p w14:paraId="2A0284DF" w14:textId="77777777" w:rsidR="006E105C" w:rsidRDefault="006E105C" w:rsidP="006E105C">
      <w:pPr>
        <w:spacing w:after="120" w:line="360" w:lineRule="auto"/>
        <w:ind w:left="1080"/>
        <w:jc w:val="both"/>
        <w:rPr>
          <w:rFonts w:ascii="Tahoma" w:hAnsi="Tahoma"/>
        </w:rPr>
      </w:pPr>
      <w:r>
        <w:rPr>
          <w:rFonts w:ascii="Tahoma" w:hAnsi="Tahoma" w:hint="cs"/>
          <w:rtl/>
        </w:rPr>
        <w:t>מובהר בזה לנאשם כי בכל הקשור לעבודות השירות עליו לציית להוראות הממונה על עבודות השירות, או למי שהוסמך לכך מטעמו. עוד מובהר לנאשם, כי במידה ולא יציית להוראות כאמור הוא עשוי לשאת את מאסרו, או את יתרת מאסרו, במאסר מאחורי סורג ובריח בבית סוהר.</w:t>
      </w:r>
    </w:p>
    <w:p w14:paraId="3DB0316F" w14:textId="77777777" w:rsidR="006E105C" w:rsidRDefault="006E105C" w:rsidP="006E105C">
      <w:pPr>
        <w:spacing w:after="120" w:line="360" w:lineRule="auto"/>
        <w:ind w:left="1080" w:hanging="720"/>
        <w:jc w:val="both"/>
        <w:rPr>
          <w:rtl/>
        </w:rPr>
      </w:pPr>
      <w:r>
        <w:rPr>
          <w:rFonts w:hint="cs"/>
          <w:rtl/>
        </w:rPr>
        <w:t>(ב)</w:t>
      </w:r>
      <w:r>
        <w:rPr>
          <w:rtl/>
        </w:rPr>
        <w:tab/>
      </w:r>
      <w:r>
        <w:rPr>
          <w:rFonts w:hint="cs"/>
          <w:rtl/>
        </w:rPr>
        <w:t xml:space="preserve">מאסר על תנאי למשך 6 חודשים, אותו לא יישא הנאשם אלא אם כן יעבור, תוך שלוש שנים מיום סיום נשיאת המאסר בעבודות שירות, עבירה לפי הוראות </w:t>
      </w:r>
      <w:hyperlink r:id="rId28" w:history="1">
        <w:r w:rsidR="007D55C9" w:rsidRPr="007D55C9">
          <w:rPr>
            <w:color w:val="0000FF"/>
            <w:u w:val="single"/>
            <w:rtl/>
          </w:rPr>
          <w:t>פקודת הסמים המסוכנים</w:t>
        </w:r>
      </w:hyperlink>
      <w:r>
        <w:rPr>
          <w:rFonts w:hint="cs"/>
          <w:rtl/>
        </w:rPr>
        <w:t xml:space="preserve"> מסוג פשע.</w:t>
      </w:r>
    </w:p>
    <w:p w14:paraId="2B6541AC" w14:textId="77777777" w:rsidR="006E105C" w:rsidRDefault="006E105C" w:rsidP="006E105C">
      <w:pPr>
        <w:spacing w:after="120" w:line="360" w:lineRule="auto"/>
        <w:ind w:left="1080" w:hanging="720"/>
        <w:jc w:val="both"/>
        <w:rPr>
          <w:rtl/>
        </w:rPr>
      </w:pPr>
      <w:r>
        <w:rPr>
          <w:rFonts w:hint="cs"/>
          <w:rtl/>
        </w:rPr>
        <w:t>(ג)</w:t>
      </w:r>
      <w:r>
        <w:rPr>
          <w:rtl/>
        </w:rPr>
        <w:tab/>
      </w:r>
      <w:r>
        <w:rPr>
          <w:rFonts w:hint="cs"/>
          <w:rtl/>
        </w:rPr>
        <w:t>קנס בסך של 2,000 ₪, או 8 ימי מאסר תמורתו.</w:t>
      </w:r>
    </w:p>
    <w:p w14:paraId="66952EDC" w14:textId="77777777" w:rsidR="006E105C" w:rsidRDefault="006E105C" w:rsidP="006E105C">
      <w:pPr>
        <w:spacing w:after="120" w:line="360" w:lineRule="auto"/>
        <w:ind w:left="1080"/>
        <w:jc w:val="both"/>
        <w:rPr>
          <w:rFonts w:ascii="Tahoma" w:hAnsi="Tahoma"/>
          <w:rtl/>
        </w:rPr>
      </w:pPr>
      <w:r>
        <w:rPr>
          <w:rFonts w:hint="cs"/>
          <w:rtl/>
        </w:rPr>
        <w:t>הקנס ישולם ב-4 תשלומים חודשיים, שווים ורצופים, החל מיום 01.10.2024 ובכל אחד בחודש שלאחריו. היה והנאשם לא ישלם את אחד התשלומים במועד תועמד כל יתרת הקנס לפירעון מידי.</w:t>
      </w:r>
    </w:p>
    <w:p w14:paraId="0433A3CA" w14:textId="77777777" w:rsidR="006E105C" w:rsidRDefault="006E105C" w:rsidP="006E105C">
      <w:pPr>
        <w:spacing w:after="120" w:line="360" w:lineRule="auto"/>
        <w:ind w:left="1080" w:hanging="720"/>
        <w:jc w:val="both"/>
        <w:rPr>
          <w:rFonts w:ascii="Tahoma" w:hAnsi="Tahoma"/>
        </w:rPr>
      </w:pPr>
      <w:r>
        <w:rPr>
          <w:rFonts w:hint="cs"/>
          <w:rtl/>
        </w:rPr>
        <w:t>(ד)</w:t>
      </w:r>
      <w:r>
        <w:rPr>
          <w:rtl/>
        </w:rPr>
        <w:tab/>
      </w:r>
      <w:r>
        <w:rPr>
          <w:rFonts w:hint="cs"/>
          <w:rtl/>
        </w:rPr>
        <w:t>פסילה מלקבל או להחזיק רישיון נהיגה למשך 3 חודשים על תנאי, והתנאי הוא שבמשך שנתיים מהיום לא יעבור הנאשם עבירה מהעבירות המנויות ב</w:t>
      </w:r>
      <w:hyperlink r:id="rId29" w:history="1">
        <w:r w:rsidR="007D55C9" w:rsidRPr="007D55C9">
          <w:rPr>
            <w:color w:val="0000FF"/>
            <w:u w:val="single"/>
            <w:rtl/>
          </w:rPr>
          <w:t>פקודת הסמים המסוכנים</w:t>
        </w:r>
      </w:hyperlink>
      <w:r>
        <w:rPr>
          <w:rFonts w:hint="cs"/>
          <w:rtl/>
        </w:rPr>
        <w:t>.</w:t>
      </w:r>
    </w:p>
    <w:p w14:paraId="4C1F2525" w14:textId="77777777" w:rsidR="006E105C" w:rsidRDefault="006E105C" w:rsidP="006E105C">
      <w:pPr>
        <w:spacing w:after="120" w:line="360" w:lineRule="auto"/>
        <w:ind w:left="1080" w:hanging="720"/>
        <w:jc w:val="both"/>
        <w:rPr>
          <w:rtl/>
        </w:rPr>
      </w:pPr>
      <w:r>
        <w:rPr>
          <w:rFonts w:hint="cs"/>
          <w:rtl/>
        </w:rPr>
        <w:t>(ה)</w:t>
      </w:r>
      <w:r>
        <w:rPr>
          <w:rtl/>
        </w:rPr>
        <w:tab/>
      </w:r>
      <w:r>
        <w:rPr>
          <w:rFonts w:hint="cs"/>
          <w:rtl/>
        </w:rPr>
        <w:t>חילוט הכסף המזומן בסך של 15,750 ₪ שנתפס ברשות הנאשם, כאמור בהודעה שבסיפא לכתב האישום המתוקן.</w:t>
      </w:r>
    </w:p>
    <w:p w14:paraId="61E0CF16" w14:textId="77777777" w:rsidR="006E105C" w:rsidRDefault="006E105C" w:rsidP="006E105C">
      <w:pPr>
        <w:spacing w:after="120" w:line="360" w:lineRule="auto"/>
        <w:jc w:val="both"/>
        <w:rPr>
          <w:rtl/>
        </w:rPr>
      </w:pPr>
      <w:r w:rsidRPr="00BF022E">
        <w:rPr>
          <w:rtl/>
        </w:rPr>
        <w:t>ככל ש</w:t>
      </w:r>
      <w:r>
        <w:rPr>
          <w:rFonts w:hint="cs"/>
          <w:rtl/>
        </w:rPr>
        <w:t xml:space="preserve">נותר בתיק בית המשפט </w:t>
      </w:r>
      <w:r>
        <w:rPr>
          <w:rtl/>
        </w:rPr>
        <w:t>–</w:t>
      </w:r>
      <w:r>
        <w:rPr>
          <w:rFonts w:hint="cs"/>
          <w:rtl/>
        </w:rPr>
        <w:t xml:space="preserve"> או בתיקים קשורים </w:t>
      </w:r>
      <w:r>
        <w:rPr>
          <w:rtl/>
        </w:rPr>
        <w:t>–</w:t>
      </w:r>
      <w:r>
        <w:rPr>
          <w:rFonts w:hint="cs"/>
          <w:rtl/>
        </w:rPr>
        <w:t xml:space="preserve"> פיקדון שהופקד מטעם הנאשם, בהסכמת ההגנה יקוזז הפיקדון לתשלום הפיצויים והקנס, כאשר הנאשם יידרש לשלם רק את יתרת הסכום שתיוותר. ככל שתיוותר יתרת פיקדון היא תושב לנאשם או למי מטעמו, וזאת בהיעדר עיקול או מניעה אחרת על פי דין להשבת הפיקדון.</w:t>
      </w:r>
    </w:p>
    <w:p w14:paraId="0875663F" w14:textId="77777777" w:rsidR="006E105C" w:rsidRDefault="007D55C9" w:rsidP="006E105C">
      <w:pPr>
        <w:spacing w:after="120" w:line="360" w:lineRule="auto"/>
        <w:jc w:val="both"/>
        <w:rPr>
          <w:rtl/>
        </w:rPr>
      </w:pPr>
      <w:r w:rsidRPr="007D55C9">
        <w:rPr>
          <w:color w:val="FFFFFF"/>
          <w:sz w:val="2"/>
          <w:szCs w:val="2"/>
          <w:rtl/>
        </w:rPr>
        <w:t>5129371</w:t>
      </w:r>
      <w:r w:rsidR="006E105C">
        <w:rPr>
          <w:rFonts w:hint="cs"/>
          <w:rtl/>
        </w:rPr>
        <w:t>ניתן בזה צו כללי, לעניין מוצגים, לשיקול דעתו של קצין משטרה. הסמים יושמדו.</w:t>
      </w:r>
    </w:p>
    <w:p w14:paraId="1AE03DE7" w14:textId="77777777" w:rsidR="006E105C" w:rsidRDefault="007D55C9" w:rsidP="006E105C">
      <w:pPr>
        <w:snapToGrid w:val="0"/>
        <w:spacing w:after="120" w:line="360" w:lineRule="auto"/>
        <w:jc w:val="both"/>
        <w:rPr>
          <w:rtl/>
        </w:rPr>
      </w:pPr>
      <w:r w:rsidRPr="007D55C9">
        <w:rPr>
          <w:color w:val="FFFFFF"/>
          <w:sz w:val="2"/>
          <w:szCs w:val="2"/>
          <w:rtl/>
        </w:rPr>
        <w:t>54678313</w:t>
      </w:r>
      <w:r w:rsidR="006E105C">
        <w:rPr>
          <w:rFonts w:hint="cs"/>
          <w:rtl/>
        </w:rPr>
        <w:t>זכות ערעור בתוך 45 יום מהיום.</w:t>
      </w:r>
    </w:p>
    <w:p w14:paraId="27B3978B" w14:textId="77777777" w:rsidR="006E105C" w:rsidRPr="00761D70" w:rsidRDefault="006E105C" w:rsidP="006E105C">
      <w:pPr>
        <w:spacing w:after="120" w:line="360" w:lineRule="auto"/>
        <w:jc w:val="both"/>
        <w:rPr>
          <w:rFonts w:ascii="Tahoma" w:hAnsi="Tahoma"/>
          <w:rtl/>
        </w:rPr>
      </w:pPr>
      <w:r>
        <w:rPr>
          <w:rFonts w:hint="cs"/>
          <w:rtl/>
        </w:rPr>
        <w:t>המזכירות תמציא גזר דין זה לשירות המבחן.</w:t>
      </w:r>
    </w:p>
    <w:p w14:paraId="2FC9740F" w14:textId="77777777" w:rsidR="006E105C" w:rsidRPr="000F2247" w:rsidRDefault="007D55C9" w:rsidP="006E105C">
      <w:pPr>
        <w:spacing w:line="360" w:lineRule="auto"/>
        <w:jc w:val="both"/>
        <w:rPr>
          <w:rFonts w:ascii="Arial" w:hAnsi="Arial"/>
          <w:b/>
          <w:bCs/>
          <w:sz w:val="26"/>
          <w:szCs w:val="26"/>
          <w:rtl/>
        </w:rPr>
      </w:pPr>
      <w:bookmarkStart w:id="8" w:name="Nitan"/>
      <w:r>
        <w:rPr>
          <w:rFonts w:ascii="Arial" w:hAnsi="Arial"/>
          <w:rtl/>
        </w:rPr>
        <w:t xml:space="preserve">ניתן היום, י"ב אלול תשפ"ד, 15 ספטמבר 2024, במעמד הצדדים. </w:t>
      </w:r>
      <w:bookmarkEnd w:id="8"/>
      <w:r w:rsidR="006E105C">
        <w:rPr>
          <w:rFonts w:ascii="Arial" w:hAnsi="Arial"/>
          <w:b/>
          <w:bCs/>
          <w:sz w:val="26"/>
          <w:szCs w:val="26"/>
          <w:rtl/>
        </w:rPr>
        <w:tab/>
      </w:r>
      <w:r w:rsidR="006E105C">
        <w:rPr>
          <w:rFonts w:ascii="Arial" w:hAnsi="Arial"/>
          <w:b/>
          <w:bCs/>
          <w:sz w:val="26"/>
          <w:szCs w:val="26"/>
          <w:rtl/>
        </w:rPr>
        <w:tab/>
      </w:r>
      <w:r w:rsidR="006E105C">
        <w:rPr>
          <w:rFonts w:ascii="Arial" w:hAnsi="Arial"/>
          <w:b/>
          <w:bCs/>
          <w:sz w:val="26"/>
          <w:szCs w:val="26"/>
          <w:rtl/>
        </w:rPr>
        <w:tab/>
      </w:r>
      <w:r w:rsidR="006E105C">
        <w:rPr>
          <w:rFonts w:ascii="Arial" w:hAnsi="Arial"/>
          <w:b/>
          <w:bCs/>
          <w:sz w:val="26"/>
          <w:szCs w:val="26"/>
          <w:rtl/>
        </w:rPr>
        <w:tab/>
      </w:r>
      <w:r w:rsidR="006E105C">
        <w:rPr>
          <w:rFonts w:ascii="Arial" w:hAnsi="Arial"/>
          <w:b/>
          <w:bCs/>
          <w:sz w:val="26"/>
          <w:szCs w:val="26"/>
          <w:rtl/>
        </w:rPr>
        <w:tab/>
      </w:r>
      <w:r w:rsidR="006E105C">
        <w:rPr>
          <w:rFonts w:ascii="Arial" w:hAnsi="Arial"/>
          <w:b/>
          <w:bCs/>
          <w:sz w:val="26"/>
          <w:szCs w:val="26"/>
          <w:rtl/>
        </w:rPr>
        <w:tab/>
      </w:r>
      <w:r w:rsidR="006E105C">
        <w:rPr>
          <w:rFonts w:ascii="Arial" w:hAnsi="Arial"/>
          <w:b/>
          <w:bCs/>
          <w:sz w:val="26"/>
          <w:szCs w:val="26"/>
          <w:rtl/>
        </w:rPr>
        <w:tab/>
      </w:r>
      <w:r w:rsidR="006E105C">
        <w:rPr>
          <w:rFonts w:ascii="Arial" w:hAnsi="Arial" w:hint="cs"/>
          <w:b/>
          <w:bCs/>
          <w:sz w:val="26"/>
          <w:szCs w:val="26"/>
          <w:rtl/>
        </w:rPr>
        <w:t xml:space="preserve">         </w:t>
      </w:r>
    </w:p>
    <w:p w14:paraId="5E761EA4" w14:textId="77777777" w:rsidR="006E105C" w:rsidRPr="000F2247" w:rsidRDefault="006E105C" w:rsidP="007D55C9">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4826672" w14:textId="77777777" w:rsidR="006E105C" w:rsidRPr="000F2247" w:rsidRDefault="006E105C" w:rsidP="006E105C">
      <w:pPr>
        <w:jc w:val="center"/>
        <w:rPr>
          <w:rFonts w:ascii="Arial" w:hAnsi="Arial"/>
          <w:b/>
          <w:bCs/>
          <w:sz w:val="26"/>
          <w:szCs w:val="26"/>
          <w:rtl/>
        </w:rPr>
      </w:pPr>
    </w:p>
    <w:p w14:paraId="49A120B2" w14:textId="77777777" w:rsidR="00FE03E2" w:rsidRPr="007D55C9" w:rsidRDefault="00FE03E2" w:rsidP="007D55C9">
      <w:pPr>
        <w:keepNext/>
        <w:rPr>
          <w:rFonts w:ascii="David" w:hAnsi="David"/>
          <w:color w:val="000000"/>
          <w:sz w:val="22"/>
          <w:szCs w:val="22"/>
          <w:rtl/>
        </w:rPr>
      </w:pPr>
    </w:p>
    <w:p w14:paraId="45701B1D" w14:textId="77777777" w:rsidR="007D55C9" w:rsidRPr="007D55C9" w:rsidRDefault="007D55C9" w:rsidP="007D55C9">
      <w:pPr>
        <w:keepNext/>
        <w:rPr>
          <w:rFonts w:ascii="David" w:hAnsi="David"/>
          <w:color w:val="000000"/>
          <w:sz w:val="22"/>
          <w:szCs w:val="22"/>
          <w:rtl/>
        </w:rPr>
      </w:pPr>
      <w:r w:rsidRPr="007D55C9">
        <w:rPr>
          <w:rFonts w:ascii="David" w:hAnsi="David"/>
          <w:color w:val="000000"/>
          <w:sz w:val="22"/>
          <w:szCs w:val="22"/>
          <w:rtl/>
        </w:rPr>
        <w:t>שאול אבינור 54678313</w:t>
      </w:r>
    </w:p>
    <w:p w14:paraId="78CD0831" w14:textId="77777777" w:rsidR="007D55C9" w:rsidRDefault="007D55C9" w:rsidP="007D55C9">
      <w:r w:rsidRPr="007D55C9">
        <w:rPr>
          <w:color w:val="000000"/>
          <w:rtl/>
        </w:rPr>
        <w:t>נוסח מסמך זה כפוף לשינויי ניסוח ועריכה</w:t>
      </w:r>
    </w:p>
    <w:p w14:paraId="6CC025C7" w14:textId="77777777" w:rsidR="007D55C9" w:rsidRDefault="007D55C9" w:rsidP="007D55C9">
      <w:pPr>
        <w:rPr>
          <w:rtl/>
        </w:rPr>
      </w:pPr>
    </w:p>
    <w:p w14:paraId="22762560" w14:textId="77777777" w:rsidR="007D55C9" w:rsidRDefault="007D55C9" w:rsidP="007D55C9">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2984A4E0" w14:textId="77777777" w:rsidR="007D55C9" w:rsidRPr="007D55C9" w:rsidRDefault="007D55C9" w:rsidP="007D55C9">
      <w:pPr>
        <w:jc w:val="center"/>
        <w:rPr>
          <w:color w:val="0000FF"/>
          <w:u w:val="single"/>
        </w:rPr>
      </w:pPr>
    </w:p>
    <w:sectPr w:rsidR="007D55C9" w:rsidRPr="007D55C9" w:rsidSect="007D55C9">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6F1CE4" w14:textId="77777777" w:rsidR="00143553" w:rsidRDefault="00143553" w:rsidP="00F32F56">
      <w:r>
        <w:separator/>
      </w:r>
    </w:p>
  </w:endnote>
  <w:endnote w:type="continuationSeparator" w:id="0">
    <w:p w14:paraId="4FDB805F" w14:textId="77777777" w:rsidR="00143553" w:rsidRDefault="00143553" w:rsidP="00F32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C3E76" w14:textId="77777777" w:rsidR="007D55C9" w:rsidRDefault="007D55C9" w:rsidP="007D55C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724F1A2" w14:textId="77777777" w:rsidR="00115FC3" w:rsidRPr="007D55C9" w:rsidRDefault="007D55C9" w:rsidP="007D55C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B3C68" w14:textId="77777777" w:rsidR="007D55C9" w:rsidRDefault="007D55C9" w:rsidP="007D55C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1658A">
      <w:rPr>
        <w:rFonts w:ascii="FrankRuehl" w:hAnsi="FrankRuehl" w:cs="FrankRuehl"/>
        <w:noProof/>
        <w:rtl/>
      </w:rPr>
      <w:t>1</w:t>
    </w:r>
    <w:r>
      <w:rPr>
        <w:rFonts w:ascii="FrankRuehl" w:hAnsi="FrankRuehl" w:cs="FrankRuehl"/>
        <w:rtl/>
      </w:rPr>
      <w:fldChar w:fldCharType="end"/>
    </w:r>
  </w:p>
  <w:p w14:paraId="48E95E89" w14:textId="77777777" w:rsidR="00115FC3" w:rsidRPr="007D55C9" w:rsidRDefault="007D55C9" w:rsidP="007D55C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08D06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553D76" w14:textId="77777777" w:rsidR="00143553" w:rsidRDefault="00143553" w:rsidP="00F32F56">
      <w:r>
        <w:separator/>
      </w:r>
    </w:p>
  </w:footnote>
  <w:footnote w:type="continuationSeparator" w:id="0">
    <w:p w14:paraId="13C77C90" w14:textId="77777777" w:rsidR="00143553" w:rsidRDefault="00143553" w:rsidP="00F32F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0392C" w14:textId="77777777" w:rsidR="007D55C9" w:rsidRPr="007D55C9" w:rsidRDefault="007D55C9" w:rsidP="007D55C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56726-02-23</w:t>
    </w:r>
    <w:r>
      <w:rPr>
        <w:rFonts w:ascii="David" w:hAnsi="David"/>
        <w:color w:val="000000"/>
        <w:sz w:val="22"/>
        <w:szCs w:val="22"/>
        <w:rtl/>
      </w:rPr>
      <w:tab/>
      <w:t xml:space="preserve"> מדינת ישראל נ' לירון אנג'ל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97748" w14:textId="77777777" w:rsidR="007D55C9" w:rsidRPr="007D55C9" w:rsidRDefault="007D55C9" w:rsidP="007D55C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56726-02-23</w:t>
    </w:r>
    <w:r>
      <w:rPr>
        <w:rFonts w:ascii="David" w:hAnsi="David"/>
        <w:color w:val="000000"/>
        <w:sz w:val="22"/>
        <w:szCs w:val="22"/>
        <w:rtl/>
      </w:rPr>
      <w:tab/>
      <w:t xml:space="preserve"> מדינת ישראל נ' לירון אנג'ל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4461A"/>
    <w:multiLevelType w:val="hybridMultilevel"/>
    <w:tmpl w:val="41A00F2A"/>
    <w:lvl w:ilvl="0" w:tplc="44D03E22">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B65310C"/>
    <w:multiLevelType w:val="hybridMultilevel"/>
    <w:tmpl w:val="9448F7A0"/>
    <w:lvl w:ilvl="0" w:tplc="29AC2444">
      <w:start w:val="1"/>
      <w:numFmt w:val="hebrew1"/>
      <w:lvlText w:val="%1."/>
      <w:lvlJc w:val="left"/>
      <w:pPr>
        <w:ind w:left="728" w:hanging="360"/>
      </w:pPr>
      <w:rPr>
        <w:strike w:val="0"/>
        <w:dstrike w:val="0"/>
        <w:u w:val="none"/>
        <w:effect w:val="none"/>
      </w:rPr>
    </w:lvl>
    <w:lvl w:ilvl="1" w:tplc="04090019">
      <w:start w:val="1"/>
      <w:numFmt w:val="lowerLetter"/>
      <w:lvlText w:val="%2."/>
      <w:lvlJc w:val="left"/>
      <w:pPr>
        <w:ind w:left="1448" w:hanging="360"/>
      </w:pPr>
    </w:lvl>
    <w:lvl w:ilvl="2" w:tplc="0409001B">
      <w:start w:val="1"/>
      <w:numFmt w:val="lowerRoman"/>
      <w:lvlText w:val="%3."/>
      <w:lvlJc w:val="right"/>
      <w:pPr>
        <w:ind w:left="2168" w:hanging="180"/>
      </w:pPr>
    </w:lvl>
    <w:lvl w:ilvl="3" w:tplc="0409000F">
      <w:start w:val="1"/>
      <w:numFmt w:val="decimal"/>
      <w:lvlText w:val="%4."/>
      <w:lvlJc w:val="left"/>
      <w:pPr>
        <w:ind w:left="2888" w:hanging="360"/>
      </w:pPr>
    </w:lvl>
    <w:lvl w:ilvl="4" w:tplc="04090019">
      <w:start w:val="1"/>
      <w:numFmt w:val="lowerLetter"/>
      <w:lvlText w:val="%5."/>
      <w:lvlJc w:val="left"/>
      <w:pPr>
        <w:ind w:left="3608" w:hanging="360"/>
      </w:pPr>
    </w:lvl>
    <w:lvl w:ilvl="5" w:tplc="0409001B">
      <w:start w:val="1"/>
      <w:numFmt w:val="lowerRoman"/>
      <w:lvlText w:val="%6."/>
      <w:lvlJc w:val="right"/>
      <w:pPr>
        <w:ind w:left="4328" w:hanging="180"/>
      </w:pPr>
    </w:lvl>
    <w:lvl w:ilvl="6" w:tplc="0409000F">
      <w:start w:val="1"/>
      <w:numFmt w:val="decimal"/>
      <w:lvlText w:val="%7."/>
      <w:lvlJc w:val="left"/>
      <w:pPr>
        <w:ind w:left="5048" w:hanging="360"/>
      </w:pPr>
    </w:lvl>
    <w:lvl w:ilvl="7" w:tplc="04090019">
      <w:start w:val="1"/>
      <w:numFmt w:val="lowerLetter"/>
      <w:lvlText w:val="%8."/>
      <w:lvlJc w:val="left"/>
      <w:pPr>
        <w:ind w:left="5768" w:hanging="360"/>
      </w:pPr>
    </w:lvl>
    <w:lvl w:ilvl="8" w:tplc="0409001B">
      <w:start w:val="1"/>
      <w:numFmt w:val="lowerRoman"/>
      <w:lvlText w:val="%9."/>
      <w:lvlJc w:val="right"/>
      <w:pPr>
        <w:ind w:left="6488" w:hanging="180"/>
      </w:pPr>
    </w:lvl>
  </w:abstractNum>
  <w:num w:numId="1" w16cid:durableId="11452728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810311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E105C"/>
    <w:rsid w:val="00115FC3"/>
    <w:rsid w:val="00143553"/>
    <w:rsid w:val="001B5A3B"/>
    <w:rsid w:val="0021658A"/>
    <w:rsid w:val="006E105C"/>
    <w:rsid w:val="007D55C9"/>
    <w:rsid w:val="00A81C45"/>
    <w:rsid w:val="00B6772C"/>
    <w:rsid w:val="00C37E1B"/>
    <w:rsid w:val="00CC275E"/>
    <w:rsid w:val="00DD505A"/>
    <w:rsid w:val="00F3188A"/>
    <w:rsid w:val="00F32F56"/>
    <w:rsid w:val="00F91951"/>
    <w:rsid w:val="00FE03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E98CF9"/>
  <w15:chartTrackingRefBased/>
  <w15:docId w15:val="{530B4FB0-D3D8-45BA-B347-D1F31D24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E105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E105C"/>
    <w:pPr>
      <w:tabs>
        <w:tab w:val="center" w:pos="4153"/>
        <w:tab w:val="right" w:pos="8306"/>
      </w:tabs>
    </w:pPr>
  </w:style>
  <w:style w:type="character" w:customStyle="1" w:styleId="a4">
    <w:name w:val="כותרת עליונה תו"/>
    <w:link w:val="a3"/>
    <w:rsid w:val="006E105C"/>
    <w:rPr>
      <w:rFonts w:ascii="Times New Roman" w:eastAsia="Times New Roman" w:hAnsi="Times New Roman" w:cs="David"/>
      <w:sz w:val="24"/>
      <w:szCs w:val="24"/>
    </w:rPr>
  </w:style>
  <w:style w:type="paragraph" w:styleId="a5">
    <w:name w:val="footer"/>
    <w:basedOn w:val="a"/>
    <w:link w:val="a6"/>
    <w:rsid w:val="006E105C"/>
    <w:pPr>
      <w:tabs>
        <w:tab w:val="center" w:pos="4153"/>
        <w:tab w:val="right" w:pos="8306"/>
      </w:tabs>
    </w:pPr>
  </w:style>
  <w:style w:type="character" w:customStyle="1" w:styleId="a6">
    <w:name w:val="כותרת תחתונה תו"/>
    <w:link w:val="a5"/>
    <w:rsid w:val="006E105C"/>
    <w:rPr>
      <w:rFonts w:ascii="Times New Roman" w:eastAsia="Times New Roman" w:hAnsi="Times New Roman" w:cs="David"/>
      <w:sz w:val="24"/>
      <w:szCs w:val="24"/>
    </w:rPr>
  </w:style>
  <w:style w:type="table" w:styleId="a7">
    <w:name w:val="Table Grid"/>
    <w:basedOn w:val="a1"/>
    <w:rsid w:val="006E105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E105C"/>
  </w:style>
  <w:style w:type="paragraph" w:styleId="a9">
    <w:name w:val="List Paragraph"/>
    <w:basedOn w:val="a"/>
    <w:qFormat/>
    <w:rsid w:val="006E105C"/>
    <w:pPr>
      <w:ind w:left="720"/>
      <w:contextualSpacing/>
    </w:pPr>
    <w:rPr>
      <w:rFonts w:ascii="David" w:eastAsia="David" w:hAnsi="David"/>
    </w:rPr>
  </w:style>
  <w:style w:type="character" w:styleId="Hyperlink">
    <w:name w:val="Hyperlink"/>
    <w:rsid w:val="007D55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case/22533809" TargetMode="External"/><Relationship Id="rId26" Type="http://schemas.openxmlformats.org/officeDocument/2006/relationships/hyperlink" Target="http://www.nevo.co.il/law/70301/40ja" TargetMode="External"/><Relationship Id="rId3" Type="http://schemas.openxmlformats.org/officeDocument/2006/relationships/settings" Target="settings.xml"/><Relationship Id="rId21" Type="http://schemas.openxmlformats.org/officeDocument/2006/relationships/hyperlink" Target="http://www.nevo.co.il/case/20732772" TargetMode="External"/><Relationship Id="rId34"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case/20784268" TargetMode="External"/><Relationship Id="rId25" Type="http://schemas.openxmlformats.org/officeDocument/2006/relationships/hyperlink" Target="http://www.nevo.co.il/case/28173398"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24287803" TargetMode="External"/><Relationship Id="rId20" Type="http://schemas.openxmlformats.org/officeDocument/2006/relationships/hyperlink" Target="http://www.nevo.co.il/case/22956321"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law/70301"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law/70301/40i" TargetMode="External"/><Relationship Id="rId28" Type="http://schemas.openxmlformats.org/officeDocument/2006/relationships/hyperlink" Target="http://www.nevo.co.il/law/4216" TargetMode="External"/><Relationship Id="rId36"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case/18791199"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2079</Words>
  <Characters>10399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12454</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8257637</vt:i4>
      </vt:variant>
      <vt:variant>
        <vt:i4>66</vt:i4>
      </vt:variant>
      <vt:variant>
        <vt:i4>0</vt:i4>
      </vt:variant>
      <vt:variant>
        <vt:i4>5</vt:i4>
      </vt:variant>
      <vt:variant>
        <vt:lpwstr>http://www.nevo.co.il/law/4216</vt:lpwstr>
      </vt:variant>
      <vt:variant>
        <vt:lpwstr/>
      </vt:variant>
      <vt:variant>
        <vt:i4>8257637</vt:i4>
      </vt:variant>
      <vt:variant>
        <vt:i4>63</vt:i4>
      </vt:variant>
      <vt:variant>
        <vt:i4>0</vt:i4>
      </vt:variant>
      <vt:variant>
        <vt:i4>5</vt:i4>
      </vt:variant>
      <vt:variant>
        <vt:lpwstr>http://www.nevo.co.il/law/4216</vt:lpwstr>
      </vt:variant>
      <vt:variant>
        <vt:lpwstr/>
      </vt:variant>
      <vt:variant>
        <vt:i4>7995492</vt:i4>
      </vt:variant>
      <vt:variant>
        <vt:i4>60</vt:i4>
      </vt:variant>
      <vt:variant>
        <vt:i4>0</vt:i4>
      </vt:variant>
      <vt:variant>
        <vt:i4>5</vt:i4>
      </vt:variant>
      <vt:variant>
        <vt:lpwstr>http://www.nevo.co.il/law/70301</vt:lpwstr>
      </vt:variant>
      <vt:variant>
        <vt:lpwstr/>
      </vt:variant>
      <vt:variant>
        <vt:i4>262155</vt:i4>
      </vt:variant>
      <vt:variant>
        <vt:i4>57</vt:i4>
      </vt:variant>
      <vt:variant>
        <vt:i4>0</vt:i4>
      </vt:variant>
      <vt:variant>
        <vt:i4>5</vt:i4>
      </vt:variant>
      <vt:variant>
        <vt:lpwstr>http://www.nevo.co.il/law/70301/40ja</vt:lpwstr>
      </vt:variant>
      <vt:variant>
        <vt:lpwstr/>
      </vt:variant>
      <vt:variant>
        <vt:i4>3735672</vt:i4>
      </vt:variant>
      <vt:variant>
        <vt:i4>54</vt:i4>
      </vt:variant>
      <vt:variant>
        <vt:i4>0</vt:i4>
      </vt:variant>
      <vt:variant>
        <vt:i4>5</vt:i4>
      </vt:variant>
      <vt:variant>
        <vt:lpwstr>http://www.nevo.co.il/case/28173398</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7995492</vt:i4>
      </vt:variant>
      <vt:variant>
        <vt:i4>45</vt:i4>
      </vt:variant>
      <vt:variant>
        <vt:i4>0</vt:i4>
      </vt:variant>
      <vt:variant>
        <vt:i4>5</vt:i4>
      </vt:variant>
      <vt:variant>
        <vt:lpwstr>http://www.nevo.co.il/law/70301</vt:lpwstr>
      </vt:variant>
      <vt:variant>
        <vt:lpwstr/>
      </vt:variant>
      <vt:variant>
        <vt:i4>3145840</vt:i4>
      </vt:variant>
      <vt:variant>
        <vt:i4>42</vt:i4>
      </vt:variant>
      <vt:variant>
        <vt:i4>0</vt:i4>
      </vt:variant>
      <vt:variant>
        <vt:i4>5</vt:i4>
      </vt:variant>
      <vt:variant>
        <vt:lpwstr>http://www.nevo.co.il/case/20732772</vt:lpwstr>
      </vt:variant>
      <vt:variant>
        <vt:lpwstr/>
      </vt:variant>
      <vt:variant>
        <vt:i4>4128880</vt:i4>
      </vt:variant>
      <vt:variant>
        <vt:i4>39</vt:i4>
      </vt:variant>
      <vt:variant>
        <vt:i4>0</vt:i4>
      </vt:variant>
      <vt:variant>
        <vt:i4>5</vt:i4>
      </vt:variant>
      <vt:variant>
        <vt:lpwstr>http://www.nevo.co.il/case/22956321</vt:lpwstr>
      </vt:variant>
      <vt:variant>
        <vt:lpwstr/>
      </vt:variant>
      <vt:variant>
        <vt:i4>4063348</vt:i4>
      </vt:variant>
      <vt:variant>
        <vt:i4>36</vt:i4>
      </vt:variant>
      <vt:variant>
        <vt:i4>0</vt:i4>
      </vt:variant>
      <vt:variant>
        <vt:i4>5</vt:i4>
      </vt:variant>
      <vt:variant>
        <vt:lpwstr>http://www.nevo.co.il/case/18791199</vt:lpwstr>
      </vt:variant>
      <vt:variant>
        <vt:lpwstr/>
      </vt:variant>
      <vt:variant>
        <vt:i4>3407997</vt:i4>
      </vt:variant>
      <vt:variant>
        <vt:i4>33</vt:i4>
      </vt:variant>
      <vt:variant>
        <vt:i4>0</vt:i4>
      </vt:variant>
      <vt:variant>
        <vt:i4>5</vt:i4>
      </vt:variant>
      <vt:variant>
        <vt:lpwstr>http://www.nevo.co.il/case/22533809</vt:lpwstr>
      </vt:variant>
      <vt:variant>
        <vt:lpwstr/>
      </vt:variant>
      <vt:variant>
        <vt:i4>3604606</vt:i4>
      </vt:variant>
      <vt:variant>
        <vt:i4>30</vt:i4>
      </vt:variant>
      <vt:variant>
        <vt:i4>0</vt:i4>
      </vt:variant>
      <vt:variant>
        <vt:i4>5</vt:i4>
      </vt:variant>
      <vt:variant>
        <vt:lpwstr>http://www.nevo.co.il/case/20784268</vt:lpwstr>
      </vt:variant>
      <vt:variant>
        <vt:lpwstr/>
      </vt:variant>
      <vt:variant>
        <vt:i4>3604592</vt:i4>
      </vt:variant>
      <vt:variant>
        <vt:i4>27</vt:i4>
      </vt:variant>
      <vt:variant>
        <vt:i4>0</vt:i4>
      </vt:variant>
      <vt:variant>
        <vt:i4>5</vt:i4>
      </vt:variant>
      <vt:variant>
        <vt:lpwstr>http://www.nevo.co.il/case/24287803</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2025-04-23T01:43:00Z</dcterms:created>
  <dcterms:modified xsi:type="dcterms:W3CDTF">2025-04-23T01:43:00Z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56726</vt:lpwstr>
  </property>
  <property fmtid="{D5CDD505-2E9C-101B-9397-08002B2CF9AE}" pid="6" name="NEWPARTB">
    <vt:lpwstr>02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לירון אנג'ל</vt:lpwstr>
  </property>
  <property fmtid="{D5CDD505-2E9C-101B-9397-08002B2CF9AE}" pid="10" name="LAWYER">
    <vt:lpwstr>שני מגדי;משה אלון</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20240915</vt:lpwstr>
  </property>
  <property fmtid="{D5CDD505-2E9C-101B-9397-08002B2CF9AE}" pid="14" name="TYPE_N_DATE">
    <vt:lpwstr>38020240915</vt:lpwstr>
  </property>
  <property fmtid="{D5CDD505-2E9C-101B-9397-08002B2CF9AE}" pid="15" name="WORDNUMPAGES">
    <vt:lpwstr>7</vt:lpwstr>
  </property>
  <property fmtid="{D5CDD505-2E9C-101B-9397-08002B2CF9AE}" pid="16" name="TYPE_ABS_DATE">
    <vt:lpwstr>380020240915</vt:lpwstr>
  </property>
  <property fmtid="{D5CDD505-2E9C-101B-9397-08002B2CF9AE}" pid="17" name="ISABSTRACT">
    <vt:lpwstr>Y</vt:lpwstr>
  </property>
  <property fmtid="{D5CDD505-2E9C-101B-9397-08002B2CF9AE}" pid="18" name="CASESLISTTMP1">
    <vt:lpwstr>24287803;20784268;22533809;18791199;22956321;20732772;28173398</vt:lpwstr>
  </property>
  <property fmtid="{D5CDD505-2E9C-101B-9397-08002B2CF9AE}" pid="19" name="LAWLISTTMP1">
    <vt:lpwstr>4216/007.a;007.c</vt:lpwstr>
  </property>
  <property fmtid="{D5CDD505-2E9C-101B-9397-08002B2CF9AE}" pid="20" name="LAWLISTTMP2">
    <vt:lpwstr>70301/040i;40ja</vt:lpwstr>
  </property>
</Properties>
</file>