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45D88" w:rsidRPr="00B072AA" w14:paraId="1506C3EB" w14:textId="77777777" w:rsidTr="00B52BAA">
        <w:trPr>
          <w:trHeight w:hRule="exact" w:val="418"/>
          <w:jc w:val="center"/>
        </w:trPr>
        <w:tc>
          <w:tcPr>
            <w:tcW w:w="8721" w:type="dxa"/>
            <w:gridSpan w:val="2"/>
          </w:tcPr>
          <w:p w14:paraId="414BD3BD" w14:textId="77777777" w:rsidR="00145D88" w:rsidRPr="00B072AA" w:rsidRDefault="00145D88" w:rsidP="009F7561">
            <w:pPr>
              <w:pStyle w:val="a3"/>
              <w:jc w:val="center"/>
              <w:rPr>
                <w:rFonts w:ascii="Tahoma" w:hAnsi="Tahoma" w:cs="Tahoma"/>
                <w:color w:val="000080"/>
                <w:rtl/>
              </w:rPr>
            </w:pPr>
            <w:bookmarkStart w:id="0" w:name="LastJudge"/>
            <w:r w:rsidRPr="00B072AA">
              <w:rPr>
                <w:rFonts w:ascii="Tahoma" w:hAnsi="Tahoma" w:cs="Tahoma"/>
                <w:b/>
                <w:bCs/>
                <w:color w:val="000080"/>
                <w:rtl/>
              </w:rPr>
              <w:t>בית משפט השלום בירושלים</w:t>
            </w:r>
          </w:p>
        </w:tc>
      </w:tr>
      <w:tr w:rsidR="00145D88" w:rsidRPr="00B072AA" w14:paraId="57507D72" w14:textId="77777777" w:rsidTr="00B52BAA">
        <w:trPr>
          <w:trHeight w:val="337"/>
          <w:jc w:val="center"/>
        </w:trPr>
        <w:tc>
          <w:tcPr>
            <w:tcW w:w="5055" w:type="dxa"/>
          </w:tcPr>
          <w:p w14:paraId="3F96C212" w14:textId="77777777" w:rsidR="00145D88" w:rsidRPr="00B072AA" w:rsidRDefault="00145D88" w:rsidP="009F7561">
            <w:pPr>
              <w:rPr>
                <w:rFonts w:ascii="David" w:hAnsi="David"/>
                <w:b/>
                <w:bCs/>
                <w:sz w:val="28"/>
                <w:szCs w:val="28"/>
                <w:rtl/>
              </w:rPr>
            </w:pPr>
            <w:r w:rsidRPr="00B072AA">
              <w:rPr>
                <w:rFonts w:ascii="David" w:hAnsi="David"/>
                <w:b/>
                <w:bCs/>
                <w:sz w:val="28"/>
                <w:szCs w:val="28"/>
                <w:rtl/>
              </w:rPr>
              <w:t>ת"פ 12451-03-23 מדינת ישראל נ' נגר</w:t>
            </w:r>
          </w:p>
          <w:p w14:paraId="15A0131E" w14:textId="77777777" w:rsidR="00145D88" w:rsidRPr="00B072AA" w:rsidRDefault="00145D88" w:rsidP="009F7561">
            <w:pPr>
              <w:pStyle w:val="a3"/>
              <w:rPr>
                <w:rFonts w:cs="FrankRuehl"/>
                <w:sz w:val="28"/>
                <w:szCs w:val="28"/>
                <w:rtl/>
              </w:rPr>
            </w:pPr>
          </w:p>
        </w:tc>
        <w:tc>
          <w:tcPr>
            <w:tcW w:w="3666" w:type="dxa"/>
          </w:tcPr>
          <w:p w14:paraId="390A32ED" w14:textId="77777777" w:rsidR="00145D88" w:rsidRPr="00B072AA" w:rsidRDefault="00145D88" w:rsidP="009F7561">
            <w:pPr>
              <w:pStyle w:val="a3"/>
              <w:jc w:val="right"/>
              <w:rPr>
                <w:rFonts w:cs="FrankRuehl"/>
                <w:sz w:val="28"/>
                <w:szCs w:val="28"/>
                <w:rtl/>
              </w:rPr>
            </w:pPr>
          </w:p>
        </w:tc>
      </w:tr>
    </w:tbl>
    <w:p w14:paraId="45E965F7" w14:textId="77777777" w:rsidR="00145D88" w:rsidRPr="00B072AA" w:rsidRDefault="00145D88" w:rsidP="00145D88">
      <w:pPr>
        <w:pStyle w:val="a3"/>
        <w:rPr>
          <w:rtl/>
        </w:rPr>
      </w:pPr>
      <w:r w:rsidRPr="00B072AA">
        <w:rPr>
          <w:rFonts w:hint="cs"/>
          <w:rtl/>
        </w:rPr>
        <w:t xml:space="preserve"> </w:t>
      </w:r>
    </w:p>
    <w:p w14:paraId="25F98F9F" w14:textId="77777777" w:rsidR="00145D88" w:rsidRPr="00B072AA" w:rsidRDefault="00145D88" w:rsidP="00145D88">
      <w:pPr>
        <w:rPr>
          <w:rtl/>
        </w:rPr>
      </w:pPr>
    </w:p>
    <w:p w14:paraId="720786E6" w14:textId="77777777" w:rsidR="00145D88" w:rsidRPr="00B072AA" w:rsidRDefault="00145D88" w:rsidP="00145D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45D88" w:rsidRPr="00B072AA" w14:paraId="4D5166DE" w14:textId="77777777" w:rsidTr="00145D88">
        <w:trPr>
          <w:trHeight w:val="295"/>
          <w:jc w:val="center"/>
        </w:trPr>
        <w:tc>
          <w:tcPr>
            <w:tcW w:w="923" w:type="dxa"/>
            <w:tcBorders>
              <w:top w:val="nil"/>
              <w:left w:val="nil"/>
              <w:bottom w:val="nil"/>
              <w:right w:val="nil"/>
            </w:tcBorders>
            <w:shd w:val="clear" w:color="auto" w:fill="auto"/>
          </w:tcPr>
          <w:p w14:paraId="25CF11FA" w14:textId="77777777" w:rsidR="00145D88" w:rsidRPr="00B072AA" w:rsidRDefault="00145D88" w:rsidP="00145D88">
            <w:pPr>
              <w:jc w:val="both"/>
              <w:rPr>
                <w:rFonts w:ascii="David" w:hAnsi="David"/>
                <w:b/>
                <w:bCs/>
                <w:sz w:val="26"/>
                <w:szCs w:val="26"/>
              </w:rPr>
            </w:pPr>
            <w:r w:rsidRPr="00B072AA">
              <w:rPr>
                <w:rFonts w:ascii="David" w:hAnsi="David" w:hint="cs"/>
                <w:b/>
                <w:bCs/>
                <w:sz w:val="26"/>
                <w:szCs w:val="26"/>
                <w:rtl/>
              </w:rPr>
              <w:t>ל</w:t>
            </w:r>
            <w:r w:rsidRPr="00B072AA">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13F1775E" w14:textId="77777777" w:rsidR="00145D88" w:rsidRPr="00B072AA" w:rsidRDefault="00145D88" w:rsidP="009F7561">
            <w:pPr>
              <w:rPr>
                <w:rFonts w:ascii="David" w:hAnsi="David"/>
                <w:b/>
                <w:bCs/>
                <w:sz w:val="26"/>
                <w:szCs w:val="26"/>
                <w:rtl/>
              </w:rPr>
            </w:pPr>
            <w:r w:rsidRPr="00B072AA">
              <w:rPr>
                <w:rFonts w:ascii="David" w:hAnsi="David"/>
                <w:b/>
                <w:bCs/>
                <w:sz w:val="26"/>
                <w:szCs w:val="26"/>
                <w:rtl/>
              </w:rPr>
              <w:t>כבוד השופט  דוד שאול גבאי ריכטר</w:t>
            </w:r>
          </w:p>
          <w:p w14:paraId="317D18EE" w14:textId="77777777" w:rsidR="00145D88" w:rsidRPr="00B072AA" w:rsidRDefault="00145D88" w:rsidP="009F7561">
            <w:pPr>
              <w:rPr>
                <w:rFonts w:ascii="David" w:hAnsi="David"/>
                <w:b/>
                <w:bCs/>
                <w:sz w:val="26"/>
                <w:szCs w:val="26"/>
                <w:rtl/>
              </w:rPr>
            </w:pPr>
          </w:p>
          <w:p w14:paraId="27323CC0" w14:textId="77777777" w:rsidR="00145D88" w:rsidRPr="00B072AA" w:rsidRDefault="00145D88" w:rsidP="00145D88">
            <w:pPr>
              <w:jc w:val="both"/>
              <w:rPr>
                <w:rFonts w:ascii="David" w:hAnsi="David"/>
                <w:b/>
                <w:bCs/>
                <w:sz w:val="26"/>
                <w:szCs w:val="26"/>
              </w:rPr>
            </w:pPr>
          </w:p>
        </w:tc>
      </w:tr>
      <w:tr w:rsidR="00145D88" w:rsidRPr="00B072AA" w14:paraId="72A94920" w14:textId="77777777" w:rsidTr="00145D88">
        <w:trPr>
          <w:trHeight w:val="355"/>
          <w:jc w:val="center"/>
        </w:trPr>
        <w:tc>
          <w:tcPr>
            <w:tcW w:w="923" w:type="dxa"/>
            <w:tcBorders>
              <w:top w:val="nil"/>
              <w:left w:val="nil"/>
              <w:bottom w:val="nil"/>
              <w:right w:val="nil"/>
            </w:tcBorders>
            <w:shd w:val="clear" w:color="auto" w:fill="auto"/>
          </w:tcPr>
          <w:p w14:paraId="46E439AD" w14:textId="77777777" w:rsidR="00145D88" w:rsidRPr="00B072AA" w:rsidRDefault="00145D88" w:rsidP="00145D88">
            <w:pPr>
              <w:jc w:val="both"/>
              <w:rPr>
                <w:rFonts w:ascii="David" w:hAnsi="David"/>
                <w:b/>
                <w:bCs/>
                <w:sz w:val="26"/>
                <w:szCs w:val="26"/>
              </w:rPr>
            </w:pPr>
            <w:bookmarkStart w:id="1" w:name="FirstAppellant"/>
            <w:bookmarkStart w:id="2" w:name="FirstLawyer"/>
            <w:r w:rsidRPr="00B072AA">
              <w:rPr>
                <w:rFonts w:ascii="David" w:hAnsi="David"/>
                <w:b/>
                <w:bCs/>
                <w:sz w:val="26"/>
                <w:szCs w:val="26"/>
                <w:rtl/>
              </w:rPr>
              <w:t>בעניין:</w:t>
            </w:r>
          </w:p>
        </w:tc>
        <w:tc>
          <w:tcPr>
            <w:tcW w:w="3219" w:type="dxa"/>
            <w:tcBorders>
              <w:top w:val="nil"/>
              <w:left w:val="nil"/>
              <w:bottom w:val="nil"/>
              <w:right w:val="nil"/>
            </w:tcBorders>
            <w:shd w:val="clear" w:color="auto" w:fill="auto"/>
          </w:tcPr>
          <w:p w14:paraId="3C857252" w14:textId="77777777" w:rsidR="00145D88" w:rsidRPr="00B072AA" w:rsidRDefault="00145D88" w:rsidP="00145D88">
            <w:pPr>
              <w:suppressLineNumbers/>
              <w:rPr>
                <w:b/>
                <w:bCs/>
                <w:sz w:val="26"/>
                <w:szCs w:val="26"/>
              </w:rPr>
            </w:pPr>
            <w:r w:rsidRPr="00B072AA">
              <w:rPr>
                <w:rFonts w:ascii="Arial" w:hAnsi="Arial" w:hint="cs"/>
                <w:b/>
                <w:bCs/>
                <w:sz w:val="26"/>
                <w:szCs w:val="26"/>
                <w:rtl/>
              </w:rPr>
              <w:t>ה</w:t>
            </w:r>
            <w:r w:rsidRPr="00B072AA">
              <w:rPr>
                <w:rFonts w:ascii="Arial" w:hAnsi="Arial"/>
                <w:b/>
                <w:bCs/>
                <w:sz w:val="26"/>
                <w:szCs w:val="26"/>
                <w:rtl/>
              </w:rPr>
              <w:t>מאשימה</w:t>
            </w:r>
          </w:p>
          <w:p w14:paraId="667F90C6" w14:textId="77777777" w:rsidR="00145D88" w:rsidRPr="00B072AA" w:rsidRDefault="00145D88" w:rsidP="009F7561">
            <w:pPr>
              <w:rPr>
                <w:rFonts w:ascii="David" w:hAnsi="David"/>
                <w:b/>
                <w:bCs/>
                <w:sz w:val="26"/>
                <w:szCs w:val="26"/>
              </w:rPr>
            </w:pPr>
          </w:p>
        </w:tc>
        <w:tc>
          <w:tcPr>
            <w:tcW w:w="4678" w:type="dxa"/>
            <w:tcBorders>
              <w:top w:val="nil"/>
              <w:left w:val="nil"/>
              <w:bottom w:val="nil"/>
              <w:right w:val="nil"/>
            </w:tcBorders>
            <w:shd w:val="clear" w:color="auto" w:fill="auto"/>
            <w:vAlign w:val="center"/>
          </w:tcPr>
          <w:p w14:paraId="46E1E5BA" w14:textId="77777777" w:rsidR="00145D88" w:rsidRPr="00B072AA" w:rsidRDefault="00145D88" w:rsidP="00145D88">
            <w:pPr>
              <w:suppressLineNumbers/>
              <w:rPr>
                <w:rFonts w:ascii="Arial" w:hAnsi="Arial"/>
                <w:b/>
                <w:bCs/>
                <w:sz w:val="26"/>
                <w:szCs w:val="26"/>
                <w:rtl/>
              </w:rPr>
            </w:pPr>
            <w:r w:rsidRPr="00B072AA">
              <w:rPr>
                <w:rFonts w:ascii="Arial" w:hAnsi="Arial"/>
                <w:b/>
                <w:bCs/>
                <w:sz w:val="26"/>
                <w:szCs w:val="26"/>
                <w:rtl/>
              </w:rPr>
              <w:t>מדינת ישראל</w:t>
            </w:r>
            <w:r w:rsidRPr="00B072AA">
              <w:rPr>
                <w:rFonts w:ascii="Arial" w:hAnsi="Arial" w:hint="cs"/>
                <w:b/>
                <w:bCs/>
                <w:sz w:val="26"/>
                <w:szCs w:val="26"/>
                <w:rtl/>
              </w:rPr>
              <w:t xml:space="preserve"> </w:t>
            </w:r>
          </w:p>
          <w:p w14:paraId="6336FCB1" w14:textId="77777777" w:rsidR="00145D88" w:rsidRPr="00B072AA" w:rsidRDefault="00145D88" w:rsidP="00145D88">
            <w:pPr>
              <w:suppressLineNumbers/>
              <w:rPr>
                <w:b/>
                <w:bCs/>
                <w:sz w:val="26"/>
                <w:szCs w:val="26"/>
                <w:rtl/>
              </w:rPr>
            </w:pPr>
            <w:r w:rsidRPr="00B072AA">
              <w:rPr>
                <w:rFonts w:ascii="Arial" w:hAnsi="Arial"/>
                <w:b/>
                <w:bCs/>
                <w:sz w:val="26"/>
                <w:szCs w:val="26"/>
                <w:rtl/>
              </w:rPr>
              <w:t xml:space="preserve">ע"י ב"כ </w:t>
            </w:r>
            <w:r w:rsidRPr="00B072AA">
              <w:rPr>
                <w:rFonts w:ascii="Arial" w:hAnsi="Arial" w:hint="cs"/>
                <w:b/>
                <w:bCs/>
                <w:sz w:val="26"/>
                <w:szCs w:val="26"/>
                <w:rtl/>
              </w:rPr>
              <w:t>בנימין אמסלם, מתמחה</w:t>
            </w:r>
          </w:p>
          <w:p w14:paraId="4F88F043" w14:textId="77777777" w:rsidR="00145D88" w:rsidRPr="00B072AA" w:rsidRDefault="00145D88" w:rsidP="00145D88">
            <w:pPr>
              <w:suppressLineNumbers/>
              <w:rPr>
                <w:b/>
                <w:bCs/>
                <w:sz w:val="26"/>
                <w:szCs w:val="26"/>
              </w:rPr>
            </w:pPr>
            <w:r w:rsidRPr="00B072AA">
              <w:rPr>
                <w:rFonts w:hint="cs"/>
                <w:b/>
                <w:bCs/>
                <w:sz w:val="26"/>
                <w:szCs w:val="26"/>
                <w:rtl/>
              </w:rPr>
              <w:t>מטעם תביעות ירושלים</w:t>
            </w:r>
          </w:p>
          <w:p w14:paraId="53760BA3" w14:textId="77777777" w:rsidR="00145D88" w:rsidRPr="00B072AA" w:rsidRDefault="00145D88" w:rsidP="009F7561">
            <w:pPr>
              <w:rPr>
                <w:rFonts w:ascii="David" w:hAnsi="David"/>
                <w:b/>
                <w:bCs/>
                <w:sz w:val="26"/>
                <w:szCs w:val="26"/>
              </w:rPr>
            </w:pPr>
          </w:p>
        </w:tc>
      </w:tr>
      <w:bookmarkEnd w:id="1"/>
      <w:bookmarkEnd w:id="2"/>
      <w:tr w:rsidR="00145D88" w:rsidRPr="00B072AA" w14:paraId="1AB51F56" w14:textId="77777777" w:rsidTr="00145D88">
        <w:trPr>
          <w:trHeight w:val="355"/>
          <w:jc w:val="center"/>
        </w:trPr>
        <w:tc>
          <w:tcPr>
            <w:tcW w:w="923" w:type="dxa"/>
            <w:tcBorders>
              <w:top w:val="nil"/>
              <w:left w:val="nil"/>
              <w:bottom w:val="nil"/>
              <w:right w:val="nil"/>
            </w:tcBorders>
            <w:shd w:val="clear" w:color="auto" w:fill="auto"/>
          </w:tcPr>
          <w:p w14:paraId="63673374" w14:textId="77777777" w:rsidR="00145D88" w:rsidRPr="00B072AA" w:rsidRDefault="00145D88" w:rsidP="00145D8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92DD976" w14:textId="77777777" w:rsidR="00145D88" w:rsidRPr="00B072AA" w:rsidRDefault="00145D88" w:rsidP="00145D88">
            <w:pPr>
              <w:jc w:val="center"/>
              <w:rPr>
                <w:rFonts w:ascii="David" w:hAnsi="David"/>
                <w:b/>
                <w:bCs/>
                <w:sz w:val="26"/>
                <w:szCs w:val="26"/>
                <w:rtl/>
              </w:rPr>
            </w:pPr>
          </w:p>
          <w:p w14:paraId="3EFC420F" w14:textId="77777777" w:rsidR="00145D88" w:rsidRPr="00B072AA" w:rsidRDefault="00145D88" w:rsidP="00145D88">
            <w:pPr>
              <w:jc w:val="center"/>
              <w:rPr>
                <w:rFonts w:ascii="David" w:hAnsi="David"/>
                <w:b/>
                <w:bCs/>
                <w:sz w:val="26"/>
                <w:szCs w:val="26"/>
                <w:rtl/>
              </w:rPr>
            </w:pPr>
            <w:r w:rsidRPr="00B072AA">
              <w:rPr>
                <w:rFonts w:ascii="David" w:hAnsi="David"/>
                <w:b/>
                <w:bCs/>
                <w:sz w:val="26"/>
                <w:szCs w:val="26"/>
                <w:rtl/>
              </w:rPr>
              <w:t>נגד</w:t>
            </w:r>
          </w:p>
          <w:p w14:paraId="6E7F0A25" w14:textId="77777777" w:rsidR="00145D88" w:rsidRPr="00B072AA" w:rsidRDefault="00145D88" w:rsidP="00145D88">
            <w:pPr>
              <w:jc w:val="both"/>
              <w:rPr>
                <w:rFonts w:ascii="David" w:hAnsi="David"/>
                <w:b/>
                <w:bCs/>
                <w:sz w:val="26"/>
                <w:szCs w:val="26"/>
              </w:rPr>
            </w:pPr>
          </w:p>
        </w:tc>
      </w:tr>
      <w:tr w:rsidR="00145D88" w:rsidRPr="00B072AA" w14:paraId="5AD82FDB" w14:textId="77777777" w:rsidTr="00145D88">
        <w:trPr>
          <w:trHeight w:val="355"/>
          <w:jc w:val="center"/>
        </w:trPr>
        <w:tc>
          <w:tcPr>
            <w:tcW w:w="923" w:type="dxa"/>
            <w:tcBorders>
              <w:top w:val="nil"/>
              <w:left w:val="nil"/>
              <w:bottom w:val="nil"/>
              <w:right w:val="nil"/>
            </w:tcBorders>
            <w:shd w:val="clear" w:color="auto" w:fill="auto"/>
          </w:tcPr>
          <w:p w14:paraId="317FDD51" w14:textId="77777777" w:rsidR="00145D88" w:rsidRPr="00B072AA" w:rsidRDefault="00145D88" w:rsidP="009F7561">
            <w:pPr>
              <w:rPr>
                <w:rFonts w:ascii="David" w:hAnsi="David"/>
                <w:b/>
                <w:bCs/>
                <w:sz w:val="26"/>
                <w:szCs w:val="26"/>
                <w:rtl/>
              </w:rPr>
            </w:pPr>
          </w:p>
        </w:tc>
        <w:tc>
          <w:tcPr>
            <w:tcW w:w="3219" w:type="dxa"/>
            <w:tcBorders>
              <w:top w:val="nil"/>
              <w:left w:val="nil"/>
              <w:bottom w:val="nil"/>
              <w:right w:val="nil"/>
            </w:tcBorders>
            <w:shd w:val="clear" w:color="auto" w:fill="auto"/>
          </w:tcPr>
          <w:p w14:paraId="115A3350" w14:textId="77777777" w:rsidR="00145D88" w:rsidRPr="00B072AA" w:rsidRDefault="00145D88" w:rsidP="009F7561">
            <w:pPr>
              <w:rPr>
                <w:rFonts w:ascii="Arial" w:hAnsi="Arial"/>
                <w:b/>
                <w:bCs/>
                <w:sz w:val="26"/>
                <w:szCs w:val="26"/>
                <w:rtl/>
              </w:rPr>
            </w:pPr>
            <w:r w:rsidRPr="00B072A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C6F3118" w14:textId="77777777" w:rsidR="00145D88" w:rsidRPr="00B072AA" w:rsidRDefault="00145D88" w:rsidP="00145D88">
            <w:pPr>
              <w:suppressLineNumbers/>
              <w:rPr>
                <w:rFonts w:ascii="Arial" w:hAnsi="Arial"/>
                <w:b/>
                <w:bCs/>
                <w:sz w:val="26"/>
                <w:szCs w:val="26"/>
                <w:rtl/>
              </w:rPr>
            </w:pPr>
            <w:r w:rsidRPr="00B072AA">
              <w:rPr>
                <w:rFonts w:ascii="Arial" w:hAnsi="Arial"/>
                <w:b/>
                <w:bCs/>
                <w:sz w:val="26"/>
                <w:szCs w:val="26"/>
                <w:rtl/>
              </w:rPr>
              <w:t>איתמר נגר</w:t>
            </w:r>
            <w:r w:rsidRPr="00B072AA">
              <w:rPr>
                <w:rFonts w:ascii="Arial" w:hAnsi="Arial" w:hint="cs"/>
                <w:b/>
                <w:bCs/>
                <w:sz w:val="26"/>
                <w:szCs w:val="26"/>
                <w:rtl/>
              </w:rPr>
              <w:t xml:space="preserve"> </w:t>
            </w:r>
          </w:p>
          <w:p w14:paraId="60BB45ED" w14:textId="77777777" w:rsidR="00145D88" w:rsidRPr="00B072AA" w:rsidRDefault="00145D88" w:rsidP="00145D88">
            <w:pPr>
              <w:suppressLineNumbers/>
              <w:rPr>
                <w:b/>
                <w:bCs/>
                <w:sz w:val="26"/>
                <w:szCs w:val="26"/>
              </w:rPr>
            </w:pPr>
            <w:r w:rsidRPr="00B072AA">
              <w:rPr>
                <w:rFonts w:ascii="Arial" w:hAnsi="Arial"/>
                <w:b/>
                <w:bCs/>
                <w:sz w:val="26"/>
                <w:szCs w:val="26"/>
                <w:rtl/>
              </w:rPr>
              <w:t>ע"י ב"כ עוה"ד</w:t>
            </w:r>
            <w:r w:rsidRPr="00B072AA">
              <w:rPr>
                <w:rFonts w:hint="cs"/>
                <w:b/>
                <w:bCs/>
                <w:sz w:val="26"/>
                <w:szCs w:val="26"/>
                <w:rtl/>
              </w:rPr>
              <w:t xml:space="preserve"> שלום בן שבת</w:t>
            </w:r>
          </w:p>
          <w:p w14:paraId="0B7677A2" w14:textId="77777777" w:rsidR="00145D88" w:rsidRPr="00B072AA" w:rsidRDefault="00145D88" w:rsidP="009F7561">
            <w:pPr>
              <w:rPr>
                <w:rFonts w:ascii="David" w:hAnsi="David"/>
                <w:b/>
                <w:bCs/>
                <w:sz w:val="26"/>
                <w:szCs w:val="26"/>
              </w:rPr>
            </w:pPr>
          </w:p>
        </w:tc>
      </w:tr>
    </w:tbl>
    <w:p w14:paraId="32B0D2A1" w14:textId="77777777" w:rsidR="00264C07" w:rsidRPr="00264C07" w:rsidRDefault="00264C07" w:rsidP="00264C07">
      <w:pPr>
        <w:spacing w:before="120" w:after="120" w:line="240" w:lineRule="exact"/>
        <w:ind w:left="283" w:hanging="283"/>
        <w:jc w:val="both"/>
        <w:rPr>
          <w:rFonts w:ascii="FrankRuehl" w:hAnsi="FrankRuehl" w:cs="FrankRuehl"/>
          <w:rtl/>
        </w:rPr>
      </w:pPr>
    </w:p>
    <w:p w14:paraId="448D3DCF" w14:textId="77777777" w:rsidR="00873BDC" w:rsidRDefault="00873BDC" w:rsidP="00873BDC">
      <w:pPr>
        <w:rPr>
          <w:sz w:val="26"/>
          <w:szCs w:val="26"/>
          <w:rtl/>
        </w:rPr>
      </w:pPr>
      <w:bookmarkStart w:id="3" w:name="LawTable"/>
      <w:bookmarkEnd w:id="3"/>
    </w:p>
    <w:p w14:paraId="79890770" w14:textId="77777777" w:rsidR="00873BDC" w:rsidRPr="00873BDC" w:rsidRDefault="00873BDC" w:rsidP="00873BDC">
      <w:pPr>
        <w:spacing w:before="120" w:after="120" w:line="240" w:lineRule="exact"/>
        <w:ind w:left="283" w:hanging="283"/>
        <w:jc w:val="both"/>
        <w:rPr>
          <w:rFonts w:ascii="FrankRuehl" w:hAnsi="FrankRuehl" w:cs="FrankRuehl"/>
          <w:rtl/>
        </w:rPr>
      </w:pPr>
    </w:p>
    <w:p w14:paraId="18EF3A58" w14:textId="77777777" w:rsidR="00873BDC" w:rsidRPr="00873BDC" w:rsidRDefault="00873BDC" w:rsidP="00873BDC">
      <w:pPr>
        <w:spacing w:before="120" w:after="120" w:line="240" w:lineRule="exact"/>
        <w:ind w:left="283" w:hanging="283"/>
        <w:jc w:val="both"/>
        <w:rPr>
          <w:rFonts w:ascii="FrankRuehl" w:hAnsi="FrankRuehl" w:cs="FrankRuehl"/>
          <w:rtl/>
        </w:rPr>
      </w:pPr>
    </w:p>
    <w:p w14:paraId="2C9DEFC0" w14:textId="77777777" w:rsidR="00873BDC" w:rsidRPr="00873BDC" w:rsidRDefault="00873BDC" w:rsidP="00873BDC">
      <w:pPr>
        <w:spacing w:before="120" w:after="120" w:line="240" w:lineRule="exact"/>
        <w:ind w:left="283" w:hanging="283"/>
        <w:jc w:val="both"/>
        <w:rPr>
          <w:rFonts w:ascii="FrankRuehl" w:hAnsi="FrankRuehl" w:cs="FrankRuehl"/>
          <w:rtl/>
        </w:rPr>
      </w:pPr>
      <w:r w:rsidRPr="00873BDC">
        <w:rPr>
          <w:rFonts w:ascii="FrankRuehl" w:hAnsi="FrankRuehl" w:cs="FrankRuehl"/>
          <w:rtl/>
        </w:rPr>
        <w:t xml:space="preserve">חקיקה שאוזכרה: </w:t>
      </w:r>
    </w:p>
    <w:p w14:paraId="420371EA" w14:textId="77777777" w:rsidR="00873BDC" w:rsidRPr="00873BDC" w:rsidRDefault="00873BDC" w:rsidP="00873BDC">
      <w:pPr>
        <w:spacing w:before="120" w:after="120" w:line="240" w:lineRule="exact"/>
        <w:ind w:left="283" w:hanging="283"/>
        <w:jc w:val="both"/>
        <w:rPr>
          <w:rFonts w:ascii="FrankRuehl" w:hAnsi="FrankRuehl" w:cs="FrankRuehl"/>
          <w:rtl/>
        </w:rPr>
      </w:pPr>
      <w:hyperlink r:id="rId7" w:history="1">
        <w:r w:rsidRPr="00873BDC">
          <w:rPr>
            <w:rFonts w:ascii="FrankRuehl" w:hAnsi="FrankRuehl" w:cs="FrankRuehl"/>
            <w:color w:val="0000FF"/>
            <w:rtl/>
          </w:rPr>
          <w:t>פקודת הסמים המסוכנים [נוסח חדש], תשל"ג-1973</w:t>
        </w:r>
      </w:hyperlink>
      <w:r w:rsidRPr="00873BDC">
        <w:rPr>
          <w:rFonts w:ascii="FrankRuehl" w:hAnsi="FrankRuehl" w:cs="FrankRuehl"/>
          <w:rtl/>
        </w:rPr>
        <w:t xml:space="preserve">: סע'  </w:t>
      </w:r>
      <w:hyperlink r:id="rId8" w:history="1">
        <w:r w:rsidRPr="00873BDC">
          <w:rPr>
            <w:rFonts w:ascii="FrankRuehl" w:hAnsi="FrankRuehl" w:cs="FrankRuehl"/>
            <w:color w:val="0000FF"/>
            <w:rtl/>
          </w:rPr>
          <w:t>7(א)(ג)</w:t>
        </w:r>
      </w:hyperlink>
      <w:r w:rsidRPr="00873BDC">
        <w:rPr>
          <w:rFonts w:ascii="FrankRuehl" w:hAnsi="FrankRuehl" w:cs="FrankRuehl"/>
          <w:rtl/>
        </w:rPr>
        <w:t xml:space="preserve">, </w:t>
      </w:r>
      <w:hyperlink r:id="rId9" w:history="1">
        <w:r w:rsidRPr="00873BDC">
          <w:rPr>
            <w:rFonts w:ascii="FrankRuehl" w:hAnsi="FrankRuehl" w:cs="FrankRuehl"/>
            <w:color w:val="0000FF"/>
            <w:rtl/>
          </w:rPr>
          <w:t>13</w:t>
        </w:r>
      </w:hyperlink>
      <w:r w:rsidRPr="00873BDC">
        <w:rPr>
          <w:rFonts w:ascii="FrankRuehl" w:hAnsi="FrankRuehl" w:cs="FrankRuehl"/>
          <w:rtl/>
        </w:rPr>
        <w:t xml:space="preserve">, </w:t>
      </w:r>
      <w:hyperlink r:id="rId10" w:history="1">
        <w:r w:rsidRPr="00873BDC">
          <w:rPr>
            <w:rFonts w:ascii="FrankRuehl" w:hAnsi="FrankRuehl" w:cs="FrankRuehl"/>
            <w:color w:val="0000FF"/>
            <w:rtl/>
          </w:rPr>
          <w:t>19א</w:t>
        </w:r>
      </w:hyperlink>
    </w:p>
    <w:p w14:paraId="1935FDB2" w14:textId="77777777" w:rsidR="00873BDC" w:rsidRPr="00873BDC" w:rsidRDefault="00873BDC" w:rsidP="00873BDC">
      <w:pPr>
        <w:spacing w:before="120" w:after="120" w:line="240" w:lineRule="exact"/>
        <w:ind w:left="283" w:hanging="283"/>
        <w:jc w:val="both"/>
        <w:rPr>
          <w:rFonts w:ascii="FrankRuehl" w:hAnsi="FrankRuehl" w:cs="FrankRuehl"/>
          <w:rtl/>
        </w:rPr>
      </w:pPr>
      <w:hyperlink r:id="rId11" w:history="1">
        <w:r w:rsidRPr="00873BDC">
          <w:rPr>
            <w:rFonts w:ascii="FrankRuehl" w:hAnsi="FrankRuehl" w:cs="FrankRuehl"/>
            <w:color w:val="0000FF"/>
            <w:rtl/>
          </w:rPr>
          <w:t>פקודת התעבורה [נוסח חדש]</w:t>
        </w:r>
      </w:hyperlink>
      <w:r w:rsidRPr="00873BDC">
        <w:rPr>
          <w:rFonts w:ascii="FrankRuehl" w:hAnsi="FrankRuehl" w:cs="FrankRuehl"/>
          <w:rtl/>
        </w:rPr>
        <w:t xml:space="preserve">: סע'  </w:t>
      </w:r>
      <w:hyperlink r:id="rId12" w:history="1">
        <w:r w:rsidRPr="00873BDC">
          <w:rPr>
            <w:rFonts w:ascii="FrankRuehl" w:hAnsi="FrankRuehl" w:cs="FrankRuehl"/>
            <w:color w:val="0000FF"/>
            <w:rtl/>
          </w:rPr>
          <w:t>43</w:t>
        </w:r>
      </w:hyperlink>
    </w:p>
    <w:p w14:paraId="4752476B" w14:textId="77777777" w:rsidR="00873BDC" w:rsidRPr="00873BDC" w:rsidRDefault="00873BDC" w:rsidP="00873BDC">
      <w:pPr>
        <w:rPr>
          <w:sz w:val="26"/>
          <w:szCs w:val="26"/>
          <w:rtl/>
        </w:rPr>
      </w:pPr>
      <w:bookmarkStart w:id="4" w:name="LawTable_End"/>
      <w:bookmarkEnd w:id="4"/>
    </w:p>
    <w:p w14:paraId="3A8A9EBA" w14:textId="77777777" w:rsidR="00145D88" w:rsidRPr="00264C07" w:rsidRDefault="00145D88" w:rsidP="00264C0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5D88" w14:paraId="73FC27AC" w14:textId="77777777" w:rsidTr="00145D88">
        <w:trPr>
          <w:trHeight w:val="355"/>
          <w:jc w:val="center"/>
        </w:trPr>
        <w:tc>
          <w:tcPr>
            <w:tcW w:w="8820" w:type="dxa"/>
            <w:tcBorders>
              <w:top w:val="nil"/>
              <w:left w:val="nil"/>
              <w:bottom w:val="nil"/>
              <w:right w:val="nil"/>
            </w:tcBorders>
            <w:shd w:val="clear" w:color="auto" w:fill="auto"/>
          </w:tcPr>
          <w:p w14:paraId="72F80AA7" w14:textId="77777777" w:rsidR="00B072AA" w:rsidRPr="00B072AA" w:rsidRDefault="00B072AA" w:rsidP="00B072AA">
            <w:pPr>
              <w:jc w:val="center"/>
              <w:rPr>
                <w:rFonts w:ascii="David" w:hAnsi="David"/>
                <w:b/>
                <w:bCs/>
                <w:sz w:val="32"/>
                <w:szCs w:val="32"/>
                <w:u w:val="single"/>
                <w:rtl/>
              </w:rPr>
            </w:pPr>
            <w:bookmarkStart w:id="5" w:name="PsakDin" w:colFirst="0" w:colLast="0"/>
            <w:bookmarkEnd w:id="0"/>
            <w:r w:rsidRPr="00B072AA">
              <w:rPr>
                <w:rFonts w:ascii="David" w:hAnsi="David"/>
                <w:b/>
                <w:bCs/>
                <w:sz w:val="32"/>
                <w:szCs w:val="32"/>
                <w:u w:val="single"/>
                <w:rtl/>
              </w:rPr>
              <w:t>גזר דין</w:t>
            </w:r>
          </w:p>
          <w:p w14:paraId="30BD94A4" w14:textId="77777777" w:rsidR="00145D88" w:rsidRPr="00B072AA" w:rsidRDefault="00145D88" w:rsidP="00B072AA">
            <w:pPr>
              <w:jc w:val="center"/>
              <w:rPr>
                <w:rFonts w:ascii="David" w:hAnsi="David"/>
                <w:bCs/>
                <w:sz w:val="32"/>
                <w:szCs w:val="32"/>
                <w:u w:val="single"/>
                <w:rtl/>
              </w:rPr>
            </w:pPr>
          </w:p>
        </w:tc>
      </w:tr>
      <w:bookmarkEnd w:id="5"/>
    </w:tbl>
    <w:p w14:paraId="2B8AF85B" w14:textId="77777777" w:rsidR="00145D88" w:rsidRPr="000F2247" w:rsidRDefault="00145D88" w:rsidP="00145D88">
      <w:pPr>
        <w:rPr>
          <w:rFonts w:ascii="Arial" w:hAnsi="Arial"/>
          <w:b/>
          <w:bCs/>
          <w:sz w:val="26"/>
          <w:szCs w:val="26"/>
          <w:rtl/>
        </w:rPr>
      </w:pPr>
    </w:p>
    <w:p w14:paraId="0D66931A" w14:textId="77777777" w:rsidR="00145D88" w:rsidRPr="000F2247" w:rsidRDefault="00145D88" w:rsidP="00145D88">
      <w:pPr>
        <w:rPr>
          <w:rFonts w:ascii="Arial" w:hAnsi="Arial"/>
          <w:b/>
          <w:bCs/>
          <w:sz w:val="26"/>
          <w:szCs w:val="26"/>
          <w:rtl/>
        </w:rPr>
      </w:pPr>
    </w:p>
    <w:p w14:paraId="33261055" w14:textId="77777777" w:rsidR="00145D88" w:rsidRDefault="00145D88" w:rsidP="00145D88">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564D5615" w14:textId="77777777" w:rsidR="00145D88" w:rsidRDefault="00145D88" w:rsidP="00145D88">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FE629D">
        <w:rPr>
          <w:rFonts w:ascii="David" w:hAnsi="David" w:hint="cs"/>
          <w:b/>
          <w:bCs/>
          <w:sz w:val="26"/>
          <w:szCs w:val="26"/>
          <w:rtl/>
        </w:rPr>
        <w:t>החזקת סם שלא לצריכה עצמית</w:t>
      </w:r>
      <w:r>
        <w:rPr>
          <w:rFonts w:ascii="David" w:hAnsi="David" w:hint="cs"/>
          <w:sz w:val="26"/>
          <w:szCs w:val="26"/>
          <w:rtl/>
        </w:rPr>
        <w:t xml:space="preserve">, לפי </w:t>
      </w:r>
      <w:hyperlink r:id="rId13" w:history="1">
        <w:r w:rsidR="00B52BAA" w:rsidRPr="00B52BAA">
          <w:rPr>
            <w:rStyle w:val="Hyperlink"/>
            <w:rFonts w:ascii="David" w:hAnsi="David" w:hint="eastAsia"/>
            <w:sz w:val="26"/>
            <w:szCs w:val="26"/>
            <w:rtl/>
          </w:rPr>
          <w:t>סעיפים</w:t>
        </w:r>
        <w:r w:rsidR="00B52BAA" w:rsidRPr="00B52BAA">
          <w:rPr>
            <w:rStyle w:val="Hyperlink"/>
            <w:rFonts w:ascii="David" w:hAnsi="David"/>
            <w:sz w:val="26"/>
            <w:szCs w:val="26"/>
            <w:rtl/>
          </w:rPr>
          <w:t xml:space="preserve"> 7(א)(ג)</w:t>
        </w:r>
      </w:hyperlink>
      <w:r>
        <w:rPr>
          <w:rFonts w:ascii="David" w:hAnsi="David" w:hint="cs"/>
          <w:sz w:val="26"/>
          <w:szCs w:val="26"/>
          <w:rtl/>
        </w:rPr>
        <w:t xml:space="preserve"> רישא </w:t>
      </w:r>
      <w:hyperlink r:id="rId14" w:history="1">
        <w:r w:rsidR="00B52BAA" w:rsidRPr="00B52BAA">
          <w:rPr>
            <w:rStyle w:val="Hyperlink"/>
            <w:rFonts w:ascii="David" w:hAnsi="David" w:hint="eastAsia"/>
            <w:sz w:val="26"/>
            <w:szCs w:val="26"/>
            <w:rtl/>
          </w:rPr>
          <w:t>לפקודת</w:t>
        </w:r>
        <w:r w:rsidR="00B52BAA" w:rsidRPr="00B52BAA">
          <w:rPr>
            <w:rStyle w:val="Hyperlink"/>
            <w:rFonts w:ascii="David" w:hAnsi="David"/>
            <w:sz w:val="26"/>
            <w:szCs w:val="26"/>
            <w:rtl/>
          </w:rPr>
          <w:t xml:space="preserve"> הסמים</w:t>
        </w:r>
      </w:hyperlink>
      <w:r>
        <w:rPr>
          <w:rFonts w:ascii="David" w:hAnsi="David" w:hint="cs"/>
          <w:sz w:val="26"/>
          <w:szCs w:val="26"/>
          <w:rtl/>
        </w:rPr>
        <w:t xml:space="preserve">; 3 עבירות </w:t>
      </w:r>
      <w:r w:rsidRPr="00FE629D">
        <w:rPr>
          <w:rFonts w:ascii="David" w:hAnsi="David" w:hint="cs"/>
          <w:b/>
          <w:bCs/>
          <w:sz w:val="26"/>
          <w:szCs w:val="26"/>
          <w:rtl/>
        </w:rPr>
        <w:t>סחר בסמים</w:t>
      </w:r>
      <w:r>
        <w:rPr>
          <w:rFonts w:ascii="David" w:hAnsi="David" w:hint="cs"/>
          <w:sz w:val="26"/>
          <w:szCs w:val="26"/>
          <w:rtl/>
        </w:rPr>
        <w:t xml:space="preserve"> לפי </w:t>
      </w:r>
      <w:hyperlink r:id="rId15" w:history="1">
        <w:r w:rsidR="00B52BAA" w:rsidRPr="00B52BAA">
          <w:rPr>
            <w:rStyle w:val="Hyperlink"/>
            <w:rFonts w:ascii="David" w:hAnsi="David" w:hint="eastAsia"/>
            <w:sz w:val="26"/>
            <w:szCs w:val="26"/>
            <w:rtl/>
          </w:rPr>
          <w:t>סעיפים</w:t>
        </w:r>
        <w:r w:rsidR="00B52BAA" w:rsidRPr="00B52BAA">
          <w:rPr>
            <w:rStyle w:val="Hyperlink"/>
            <w:rFonts w:ascii="David" w:hAnsi="David"/>
            <w:sz w:val="26"/>
            <w:szCs w:val="26"/>
            <w:rtl/>
          </w:rPr>
          <w:t xml:space="preserve"> 13</w:t>
        </w:r>
      </w:hyperlink>
      <w:r>
        <w:rPr>
          <w:rFonts w:ascii="David" w:hAnsi="David" w:hint="cs"/>
          <w:sz w:val="26"/>
          <w:szCs w:val="26"/>
          <w:rtl/>
        </w:rPr>
        <w:t xml:space="preserve"> ו-</w:t>
      </w:r>
      <w:hyperlink r:id="rId16" w:history="1">
        <w:r w:rsidR="00B52BAA" w:rsidRPr="00B52BAA">
          <w:rPr>
            <w:rStyle w:val="Hyperlink"/>
            <w:rFonts w:ascii="David" w:hAnsi="David"/>
            <w:sz w:val="26"/>
            <w:szCs w:val="26"/>
            <w:rtl/>
          </w:rPr>
          <w:t>19א</w:t>
        </w:r>
      </w:hyperlink>
      <w:r>
        <w:rPr>
          <w:rFonts w:ascii="David" w:hAnsi="David" w:hint="cs"/>
          <w:sz w:val="26"/>
          <w:szCs w:val="26"/>
          <w:rtl/>
        </w:rPr>
        <w:t xml:space="preserve"> לפקודה ו-3 עבירות של </w:t>
      </w:r>
      <w:r w:rsidRPr="00FE629D">
        <w:rPr>
          <w:rFonts w:ascii="David" w:hAnsi="David" w:hint="cs"/>
          <w:b/>
          <w:bCs/>
          <w:sz w:val="26"/>
          <w:szCs w:val="26"/>
          <w:rtl/>
        </w:rPr>
        <w:t>הסתייעות ברכב לביצוע עבירה</w:t>
      </w:r>
      <w:r>
        <w:rPr>
          <w:rFonts w:ascii="David" w:hAnsi="David" w:hint="cs"/>
          <w:sz w:val="26"/>
          <w:szCs w:val="26"/>
          <w:rtl/>
        </w:rPr>
        <w:t xml:space="preserve"> לפי </w:t>
      </w:r>
      <w:hyperlink r:id="rId17" w:history="1">
        <w:r w:rsidR="00B52BAA" w:rsidRPr="00B52BAA">
          <w:rPr>
            <w:rStyle w:val="Hyperlink"/>
            <w:rFonts w:ascii="David" w:hAnsi="David" w:hint="eastAsia"/>
            <w:sz w:val="26"/>
            <w:szCs w:val="26"/>
            <w:rtl/>
          </w:rPr>
          <w:t>סעיף</w:t>
        </w:r>
        <w:r w:rsidR="00B52BAA" w:rsidRPr="00B52BAA">
          <w:rPr>
            <w:rStyle w:val="Hyperlink"/>
            <w:rFonts w:ascii="David" w:hAnsi="David"/>
            <w:sz w:val="26"/>
            <w:szCs w:val="26"/>
            <w:rtl/>
          </w:rPr>
          <w:t xml:space="preserve"> 43</w:t>
        </w:r>
      </w:hyperlink>
      <w:r>
        <w:rPr>
          <w:rFonts w:ascii="David" w:hAnsi="David" w:hint="cs"/>
          <w:sz w:val="26"/>
          <w:szCs w:val="26"/>
          <w:rtl/>
        </w:rPr>
        <w:t xml:space="preserve"> ל</w:t>
      </w:r>
      <w:hyperlink r:id="rId18" w:history="1">
        <w:r w:rsidR="00B072AA" w:rsidRPr="00B072AA">
          <w:rPr>
            <w:rFonts w:ascii="David" w:hAnsi="David"/>
            <w:color w:val="0000FF"/>
            <w:sz w:val="26"/>
            <w:szCs w:val="26"/>
            <w:u w:val="single"/>
            <w:rtl/>
          </w:rPr>
          <w:t>פקודת התעבורה</w:t>
        </w:r>
      </w:hyperlink>
      <w:r>
        <w:rPr>
          <w:rFonts w:ascii="David" w:hAnsi="David" w:hint="cs"/>
          <w:sz w:val="26"/>
          <w:szCs w:val="26"/>
          <w:rtl/>
        </w:rPr>
        <w:t xml:space="preserve">. מהאישום הראשון עולה, כי ביום 22.2.2023 נתפס הנאשם ברכבו וברכב נמצאו למעלה מ-210 גרם קנביס וחשיש מחולק לאריזות וכן כ-4,000 ₪ במזומן. משלושה אישומים נוספים עולה, כי הנאשם סחר בסם מסוג קנביס בשלוש הזדמנויות תוך שימוש ברכב </w:t>
      </w:r>
      <w:r>
        <w:rPr>
          <w:rFonts w:ascii="David" w:hAnsi="David" w:hint="cs"/>
          <w:sz w:val="26"/>
          <w:szCs w:val="26"/>
          <w:rtl/>
        </w:rPr>
        <w:lastRenderedPageBreak/>
        <w:t xml:space="preserve">ותיאום העסקאות בטלגרם. בשתי עסקאות מכר 5 גרם קנביס תמורת 350 ₪ בכל עסקה, ובעסקה נוספת מכר 30 גרם קנביס תמורת 1,000 ₪. </w:t>
      </w:r>
    </w:p>
    <w:p w14:paraId="6FEC4F39" w14:textId="77777777" w:rsidR="00145D88" w:rsidRDefault="00145D88" w:rsidP="00145D88">
      <w:pPr>
        <w:pStyle w:val="a9"/>
        <w:spacing w:after="160" w:line="360" w:lineRule="auto"/>
        <w:ind w:left="360"/>
        <w:jc w:val="both"/>
        <w:rPr>
          <w:rFonts w:ascii="David" w:hAnsi="David"/>
          <w:sz w:val="26"/>
          <w:szCs w:val="26"/>
        </w:rPr>
      </w:pPr>
      <w:bookmarkStart w:id="7" w:name="ABSTRACT_END"/>
      <w:bookmarkEnd w:id="7"/>
    </w:p>
    <w:p w14:paraId="57A8379D" w14:textId="77777777" w:rsidR="00145D88" w:rsidRDefault="00145D88" w:rsidP="00145D88">
      <w:pPr>
        <w:spacing w:after="160" w:line="360" w:lineRule="auto"/>
        <w:jc w:val="both"/>
        <w:rPr>
          <w:rFonts w:ascii="David" w:hAnsi="David"/>
          <w:b/>
          <w:bCs/>
          <w:sz w:val="26"/>
          <w:szCs w:val="26"/>
          <w:u w:val="single"/>
        </w:rPr>
      </w:pPr>
    </w:p>
    <w:p w14:paraId="6B6A7041" w14:textId="77777777" w:rsidR="00145D88" w:rsidRDefault="00145D88" w:rsidP="00145D88">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6D614EDE" w14:textId="77777777" w:rsidR="00145D88" w:rsidRDefault="00145D88" w:rsidP="00145D88">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היה עצור 8 ימים במסגרת "מעצר ימים", ושוחרר עוד בשלב זה למעצר בית מלא, שבהמשך הוקל בהדרגה. בהמשך הוטל על הנאשם צו פיקוח מעצרים. הנאשם הודה לפניי בכתב אישום מתוקן ללא הסדר לעונש, כאשר המאשימה הצהירה כי עמדתה למאסר בפועל. הנאשם נשלח לשירות המבחן ולממונה על עבודות השירות.</w:t>
      </w:r>
    </w:p>
    <w:p w14:paraId="491B9229" w14:textId="77777777" w:rsidR="00145D88" w:rsidRDefault="00145D88" w:rsidP="00145D88">
      <w:pPr>
        <w:spacing w:after="160" w:line="360" w:lineRule="auto"/>
        <w:jc w:val="both"/>
        <w:rPr>
          <w:rFonts w:ascii="David" w:hAnsi="David"/>
          <w:b/>
          <w:bCs/>
          <w:sz w:val="26"/>
          <w:szCs w:val="26"/>
          <w:u w:val="single"/>
        </w:rPr>
      </w:pPr>
    </w:p>
    <w:p w14:paraId="41C2FDF2" w14:textId="77777777" w:rsidR="00145D88" w:rsidRDefault="00145D88" w:rsidP="00145D88">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7094F897" w14:textId="77777777" w:rsidR="00145D88" w:rsidRDefault="00145D88" w:rsidP="00145D88">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כי הוא בן 34, רווק, כיום עובד בתחום התיירות. הנאשם מגיע מרקע משפחתי מורכב. הוא סיים 12 שנות לימוד ושירת שירות צבאי מלא. בנוסף השתלם במקצועות שונים, אך עבד בעיקר בתחום התיירות לאורך השנים. הוא חווה באופן משמעותי את אובדן אביו במהלך שנת 2020, והשירות מעריך כי חוויות אלו היו בין יתר הסיבות לביצוע העבירות, נוסף להתדרדרות לשימוש בסמים וחבירה לסביבה שולית. הנאשם קיבל אחריות מלאה למעשיו, טען שביצע אותם על רקע תקופה משברית בה השתמש לרעה בסמים וחבר לחברה שולית וכן הסתבך כלכלית. הנאשם השתלב לאורך תקופה ארוכה בטיפול קבוצתי במסגרת צו פיקוח המעצרים. במסגרת הצו שמר הנאשם על ניקיון מסמים. שירות המבחן מעריך שללא טיפול קיימת רמת סיכון לביצוע עבירות. במכלול השיקולים המליץ שירות המבחן על הטלת מאסר בעבודות שירות, צו מבחן וענישה נלווית.</w:t>
      </w:r>
    </w:p>
    <w:p w14:paraId="1E11A43B" w14:textId="77777777" w:rsidR="00145D88" w:rsidRDefault="00145D88" w:rsidP="00145D88">
      <w:pPr>
        <w:spacing w:after="160" w:line="360" w:lineRule="auto"/>
        <w:jc w:val="both"/>
        <w:rPr>
          <w:rFonts w:ascii="David" w:hAnsi="David"/>
          <w:b/>
          <w:bCs/>
          <w:sz w:val="26"/>
          <w:szCs w:val="26"/>
          <w:u w:val="single"/>
        </w:rPr>
      </w:pPr>
    </w:p>
    <w:p w14:paraId="25D62A27" w14:textId="77777777" w:rsidR="00145D88" w:rsidRDefault="00145D88" w:rsidP="00145D88">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241BCEEB" w14:textId="77777777" w:rsidR="00145D88" w:rsidRDefault="00145D88" w:rsidP="00145D88">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מתאים לעבודות שירות בבית לחם יהודה בפתח תקווה, החל מיום 14.11.2024.</w:t>
      </w:r>
    </w:p>
    <w:p w14:paraId="59DDE26A" w14:textId="77777777" w:rsidR="00145D88" w:rsidRDefault="00145D88" w:rsidP="00145D88">
      <w:pPr>
        <w:spacing w:after="160" w:line="360" w:lineRule="auto"/>
        <w:jc w:val="both"/>
        <w:rPr>
          <w:rFonts w:ascii="David" w:hAnsi="David"/>
          <w:sz w:val="26"/>
          <w:szCs w:val="26"/>
        </w:rPr>
      </w:pPr>
    </w:p>
    <w:p w14:paraId="3043DC91" w14:textId="77777777" w:rsidR="00145D88" w:rsidRDefault="00145D88" w:rsidP="00145D88">
      <w:pPr>
        <w:spacing w:after="160" w:line="360" w:lineRule="auto"/>
        <w:jc w:val="both"/>
        <w:rPr>
          <w:rFonts w:ascii="David" w:hAnsi="David"/>
          <w:b/>
          <w:bCs/>
          <w:sz w:val="26"/>
          <w:szCs w:val="26"/>
          <w:u w:val="single"/>
          <w:rtl/>
        </w:rPr>
      </w:pPr>
      <w:r>
        <w:rPr>
          <w:rFonts w:ascii="David" w:hAnsi="David"/>
          <w:b/>
          <w:bCs/>
          <w:sz w:val="26"/>
          <w:szCs w:val="26"/>
          <w:u w:val="single"/>
          <w:rtl/>
        </w:rPr>
        <w:lastRenderedPageBreak/>
        <w:t>טיעונים לעונש</w:t>
      </w:r>
    </w:p>
    <w:p w14:paraId="36717B45" w14:textId="77777777" w:rsidR="00145D88" w:rsidRDefault="00145D88" w:rsidP="00145D88">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עתר למתחם עונש שבין 4 ל-12 חודשים לכל אישום, ועתר להטיל על הנאשם עונש של 9 חודשי מאסר בעבודות שירות וענישה נלווית. כן עתר לחילוט הרכוש שנתפס והשמדת הסמים.  </w:t>
      </w:r>
      <w:r>
        <w:rPr>
          <w:rFonts w:ascii="David" w:hAnsi="David"/>
          <w:sz w:val="26"/>
          <w:szCs w:val="26"/>
          <w:rtl/>
        </w:rPr>
        <w:t xml:space="preserve">מאידך גיסא, ב"כ הנאשם טען </w:t>
      </w:r>
      <w:r>
        <w:rPr>
          <w:rFonts w:ascii="David" w:hAnsi="David" w:hint="cs"/>
          <w:sz w:val="26"/>
          <w:szCs w:val="26"/>
          <w:rtl/>
        </w:rPr>
        <w:t xml:space="preserve">כי יש לשפוט את הנאשם לכף זכות וביקש שלא להחמיר עמו. </w:t>
      </w:r>
    </w:p>
    <w:p w14:paraId="3A92E2AE" w14:textId="77777777" w:rsidR="00145D88" w:rsidRDefault="00145D88" w:rsidP="00145D88">
      <w:pPr>
        <w:spacing w:after="160" w:line="360" w:lineRule="auto"/>
        <w:jc w:val="both"/>
        <w:rPr>
          <w:rFonts w:ascii="David" w:hAnsi="David"/>
          <w:b/>
          <w:bCs/>
          <w:sz w:val="26"/>
          <w:szCs w:val="26"/>
          <w:u w:val="single"/>
          <w:rtl/>
        </w:rPr>
      </w:pPr>
    </w:p>
    <w:p w14:paraId="300EF42B" w14:textId="77777777" w:rsidR="00145D88" w:rsidRDefault="00145D88" w:rsidP="00145D88">
      <w:pPr>
        <w:spacing w:after="160" w:line="360" w:lineRule="auto"/>
        <w:jc w:val="both"/>
        <w:rPr>
          <w:rFonts w:ascii="David" w:hAnsi="David"/>
          <w:b/>
          <w:bCs/>
          <w:sz w:val="26"/>
          <w:szCs w:val="26"/>
          <w:u w:val="single"/>
          <w:rtl/>
        </w:rPr>
      </w:pPr>
    </w:p>
    <w:p w14:paraId="48B9EFFC" w14:textId="77777777" w:rsidR="00145D88" w:rsidRDefault="00145D88" w:rsidP="00145D88">
      <w:pPr>
        <w:spacing w:after="160" w:line="360" w:lineRule="auto"/>
        <w:jc w:val="both"/>
        <w:rPr>
          <w:rFonts w:ascii="David" w:hAnsi="David"/>
          <w:b/>
          <w:bCs/>
          <w:sz w:val="26"/>
          <w:szCs w:val="26"/>
          <w:u w:val="single"/>
          <w:rtl/>
        </w:rPr>
      </w:pPr>
    </w:p>
    <w:p w14:paraId="203872A3" w14:textId="77777777" w:rsidR="00145D88" w:rsidRDefault="00145D88" w:rsidP="00145D88">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309293C2" w14:textId="77777777" w:rsidR="00145D88" w:rsidRDefault="00145D88" w:rsidP="00145D88">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23B4A54" w14:textId="77777777" w:rsidR="00145D88" w:rsidRDefault="00145D88" w:rsidP="00145D88">
      <w:pPr>
        <w:spacing w:after="160" w:line="360" w:lineRule="auto"/>
        <w:jc w:val="both"/>
        <w:rPr>
          <w:rFonts w:ascii="David" w:hAnsi="David"/>
          <w:b/>
          <w:bCs/>
          <w:sz w:val="26"/>
          <w:szCs w:val="26"/>
          <w:u w:val="single"/>
        </w:rPr>
      </w:pPr>
    </w:p>
    <w:p w14:paraId="379F2B9E" w14:textId="77777777" w:rsidR="00145D88" w:rsidRDefault="00145D88" w:rsidP="00145D88">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 xml:space="preserve">ביטחון הציבור ובריאותו, כל זאת במידה בינונית. </w:t>
      </w:r>
    </w:p>
    <w:p w14:paraId="70592197" w14:textId="77777777" w:rsidR="00145D88" w:rsidRDefault="00145D88" w:rsidP="00145D88">
      <w:pPr>
        <w:pStyle w:val="a9"/>
        <w:rPr>
          <w:rFonts w:ascii="David" w:hAnsi="David"/>
          <w:sz w:val="26"/>
          <w:szCs w:val="26"/>
          <w:rtl/>
        </w:rPr>
      </w:pPr>
    </w:p>
    <w:p w14:paraId="266AA2DB" w14:textId="77777777" w:rsidR="00145D88" w:rsidRDefault="00145D88" w:rsidP="00145D88">
      <w:pPr>
        <w:spacing w:after="160" w:line="360" w:lineRule="auto"/>
        <w:jc w:val="both"/>
        <w:rPr>
          <w:rFonts w:ascii="David" w:hAnsi="David"/>
          <w:sz w:val="26"/>
          <w:szCs w:val="26"/>
          <w:rtl/>
        </w:rPr>
      </w:pPr>
    </w:p>
    <w:p w14:paraId="63F66EEB" w14:textId="77777777" w:rsidR="00145D88" w:rsidRDefault="00145D88" w:rsidP="00145D88">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מתוכננות שבוצעו באופן "מקצועי" למען בצע כסף. הסם, גם אם מדובר בסם "קל", הופץ לכל דורש תמורת כסף. העסקאות תואמו ביישומון טלגרם, ונעשה שימוש ברכב לצורך ביצוע העסקאות. הנאשם אחראי באופן מלא למעשים וגרם נזקים למשתמשים להם מכר. פוטנציאל הנזק עלול להיות משמעותי. </w:t>
      </w:r>
    </w:p>
    <w:p w14:paraId="000A1287" w14:textId="77777777" w:rsidR="00145D88" w:rsidRDefault="00145D88" w:rsidP="00145D88">
      <w:pPr>
        <w:pStyle w:val="a9"/>
        <w:spacing w:after="160" w:line="360" w:lineRule="auto"/>
        <w:ind w:left="360"/>
        <w:jc w:val="both"/>
        <w:rPr>
          <w:rFonts w:ascii="David" w:hAnsi="David"/>
          <w:sz w:val="26"/>
          <w:szCs w:val="26"/>
          <w:rtl/>
        </w:rPr>
      </w:pPr>
    </w:p>
    <w:p w14:paraId="1D7580C3" w14:textId="77777777" w:rsidR="00145D88" w:rsidRPr="008846A3" w:rsidRDefault="00145D88" w:rsidP="00145D88">
      <w:pPr>
        <w:pStyle w:val="a9"/>
        <w:numPr>
          <w:ilvl w:val="0"/>
          <w:numId w:val="2"/>
        </w:numPr>
        <w:spacing w:after="160" w:line="360" w:lineRule="auto"/>
        <w:jc w:val="both"/>
        <w:rPr>
          <w:rFonts w:ascii="David" w:hAnsi="David"/>
          <w:b/>
          <w:bCs/>
          <w:sz w:val="26"/>
          <w:szCs w:val="26"/>
          <w:u w:val="single"/>
        </w:rPr>
      </w:pPr>
      <w:r w:rsidRPr="008846A3">
        <w:rPr>
          <w:rFonts w:ascii="David" w:hAnsi="David"/>
          <w:b/>
          <w:bCs/>
          <w:sz w:val="26"/>
          <w:szCs w:val="26"/>
          <w:rtl/>
        </w:rPr>
        <w:t xml:space="preserve">אשר למדיניות הענישה הנוהגת, </w:t>
      </w:r>
      <w:r w:rsidRPr="008846A3">
        <w:rPr>
          <w:rFonts w:ascii="David" w:hAnsi="David" w:hint="cs"/>
          <w:sz w:val="26"/>
          <w:szCs w:val="26"/>
          <w:rtl/>
        </w:rPr>
        <w:t>לרוב בעבירות סמים העונשים המוטלים הם מאסר בפועל או בעבודות שירות. סטיה מרמת ענישה זו תיעשה בשל שיקולי שיקום במקרים המתאימים.</w:t>
      </w:r>
      <w:r w:rsidRPr="008846A3">
        <w:rPr>
          <w:rFonts w:ascii="David" w:hAnsi="David" w:hint="cs"/>
          <w:b/>
          <w:bCs/>
          <w:sz w:val="26"/>
          <w:szCs w:val="26"/>
          <w:rtl/>
        </w:rPr>
        <w:t xml:space="preserve"> </w:t>
      </w:r>
    </w:p>
    <w:p w14:paraId="3FD989C4" w14:textId="77777777" w:rsidR="00145D88" w:rsidRPr="008846A3" w:rsidRDefault="00145D88" w:rsidP="00145D88">
      <w:pPr>
        <w:pStyle w:val="a9"/>
        <w:rPr>
          <w:rFonts w:ascii="David" w:hAnsi="David"/>
          <w:b/>
          <w:bCs/>
          <w:sz w:val="26"/>
          <w:szCs w:val="26"/>
          <w:u w:val="single"/>
          <w:rtl/>
        </w:rPr>
      </w:pPr>
    </w:p>
    <w:p w14:paraId="1786EBEA" w14:textId="77777777" w:rsidR="00145D88" w:rsidRDefault="00B072AA" w:rsidP="00145D88">
      <w:pPr>
        <w:pStyle w:val="a9"/>
        <w:numPr>
          <w:ilvl w:val="0"/>
          <w:numId w:val="4"/>
        </w:numPr>
        <w:spacing w:after="160" w:line="360" w:lineRule="auto"/>
        <w:jc w:val="both"/>
        <w:rPr>
          <w:rFonts w:ascii="David" w:hAnsi="David"/>
          <w:sz w:val="26"/>
          <w:szCs w:val="26"/>
          <w:rtl/>
        </w:rPr>
      </w:pPr>
      <w:hyperlink r:id="rId19" w:history="1">
        <w:r w:rsidRPr="00B072AA">
          <w:rPr>
            <w:rFonts w:ascii="David" w:hAnsi="David"/>
            <w:color w:val="0000FF"/>
            <w:sz w:val="26"/>
            <w:szCs w:val="26"/>
            <w:u w:val="single"/>
            <w:rtl/>
          </w:rPr>
          <w:t>רע"פ 8388/22</w:t>
        </w:r>
      </w:hyperlink>
      <w:r w:rsidR="00145D88">
        <w:rPr>
          <w:rFonts w:ascii="David" w:hAnsi="David" w:hint="cs"/>
          <w:sz w:val="26"/>
          <w:szCs w:val="26"/>
          <w:rtl/>
        </w:rPr>
        <w:t xml:space="preserve"> </w:t>
      </w:r>
      <w:r w:rsidR="00145D88" w:rsidRPr="00E172DE">
        <w:rPr>
          <w:rFonts w:ascii="David" w:hAnsi="David" w:hint="cs"/>
          <w:b/>
          <w:bCs/>
          <w:sz w:val="26"/>
          <w:szCs w:val="26"/>
          <w:rtl/>
        </w:rPr>
        <w:t>אביבי נ' מ"י</w:t>
      </w:r>
      <w:r w:rsidR="00145D88">
        <w:rPr>
          <w:rFonts w:ascii="David" w:hAnsi="David" w:hint="cs"/>
          <w:sz w:val="26"/>
          <w:szCs w:val="26"/>
          <w:rtl/>
        </w:rPr>
        <w:t xml:space="preserve"> (מיום 8.12.2022) </w:t>
      </w:r>
      <w:r w:rsidR="00145D88">
        <w:rPr>
          <w:rFonts w:ascii="David" w:hAnsi="David"/>
          <w:sz w:val="26"/>
          <w:szCs w:val="26"/>
          <w:rtl/>
        </w:rPr>
        <w:t>–</w:t>
      </w:r>
      <w:r w:rsidR="00145D88">
        <w:rPr>
          <w:rFonts w:ascii="David" w:hAnsi="David" w:hint="cs"/>
          <w:sz w:val="26"/>
          <w:szCs w:val="26"/>
          <w:rtl/>
        </w:rPr>
        <w:t xml:space="preserve"> נאשם שביצע 4 עבירות סחר במסגרת תיקים שונים נדון ל-16 חודשי מאסר בפועל. לגבי הסחר נקבע מתחם שבין 10 ל-24 חודשים.</w:t>
      </w:r>
    </w:p>
    <w:p w14:paraId="2E151CF7" w14:textId="77777777" w:rsidR="00145D88" w:rsidRDefault="00B072AA" w:rsidP="00145D88">
      <w:pPr>
        <w:pStyle w:val="a9"/>
        <w:numPr>
          <w:ilvl w:val="0"/>
          <w:numId w:val="4"/>
        </w:numPr>
        <w:spacing w:after="160" w:line="360" w:lineRule="auto"/>
        <w:jc w:val="both"/>
        <w:rPr>
          <w:rFonts w:ascii="David" w:hAnsi="David"/>
          <w:sz w:val="26"/>
          <w:szCs w:val="26"/>
          <w:rtl/>
        </w:rPr>
      </w:pPr>
      <w:hyperlink r:id="rId20" w:history="1">
        <w:r w:rsidRPr="00B072AA">
          <w:rPr>
            <w:rFonts w:ascii="David" w:hAnsi="David"/>
            <w:color w:val="0000FF"/>
            <w:sz w:val="26"/>
            <w:szCs w:val="26"/>
            <w:u w:val="single"/>
            <w:rtl/>
          </w:rPr>
          <w:t>רע"פ 4894/21</w:t>
        </w:r>
      </w:hyperlink>
      <w:r w:rsidR="00145D88">
        <w:rPr>
          <w:rFonts w:ascii="David" w:hAnsi="David" w:hint="cs"/>
          <w:sz w:val="26"/>
          <w:szCs w:val="26"/>
          <w:rtl/>
        </w:rPr>
        <w:t xml:space="preserve"> </w:t>
      </w:r>
      <w:r w:rsidR="00145D88" w:rsidRPr="00E172DE">
        <w:rPr>
          <w:rFonts w:ascii="David" w:hAnsi="David" w:hint="cs"/>
          <w:b/>
          <w:bCs/>
          <w:sz w:val="26"/>
          <w:szCs w:val="26"/>
          <w:rtl/>
        </w:rPr>
        <w:t>אלטוחי נ' מ"י</w:t>
      </w:r>
      <w:r w:rsidR="00145D88">
        <w:rPr>
          <w:rFonts w:ascii="David" w:hAnsi="David" w:hint="cs"/>
          <w:sz w:val="26"/>
          <w:szCs w:val="26"/>
          <w:rtl/>
        </w:rPr>
        <w:t xml:space="preserve"> (מיום 18.7.2021) </w:t>
      </w:r>
      <w:r w:rsidR="00145D88">
        <w:rPr>
          <w:rFonts w:ascii="David" w:hAnsi="David"/>
          <w:sz w:val="26"/>
          <w:szCs w:val="26"/>
          <w:rtl/>
        </w:rPr>
        <w:t>–</w:t>
      </w:r>
      <w:r w:rsidR="00145D88">
        <w:rPr>
          <w:rFonts w:ascii="David" w:hAnsi="David" w:hint="cs"/>
          <w:sz w:val="26"/>
          <w:szCs w:val="26"/>
          <w:rtl/>
        </w:rPr>
        <w:t xml:space="preserve"> מדובר בסחר מול סוכן של 12 פלטות חשיש. התיק הסתיים בשנת מאסר בפועל.</w:t>
      </w:r>
    </w:p>
    <w:p w14:paraId="7B0508F7" w14:textId="77777777" w:rsidR="00145D88" w:rsidRDefault="00B072AA" w:rsidP="00145D88">
      <w:pPr>
        <w:pStyle w:val="a9"/>
        <w:numPr>
          <w:ilvl w:val="0"/>
          <w:numId w:val="4"/>
        </w:numPr>
        <w:spacing w:after="160" w:line="360" w:lineRule="auto"/>
        <w:jc w:val="both"/>
        <w:rPr>
          <w:rFonts w:ascii="David" w:hAnsi="David"/>
          <w:sz w:val="26"/>
          <w:szCs w:val="26"/>
          <w:rtl/>
        </w:rPr>
      </w:pPr>
      <w:hyperlink r:id="rId21" w:history="1">
        <w:r w:rsidRPr="00B072AA">
          <w:rPr>
            <w:rFonts w:ascii="David" w:hAnsi="David"/>
            <w:color w:val="0000FF"/>
            <w:sz w:val="26"/>
            <w:szCs w:val="26"/>
            <w:u w:val="single"/>
            <w:rtl/>
          </w:rPr>
          <w:t>רע"פ 3059/21</w:t>
        </w:r>
      </w:hyperlink>
      <w:r w:rsidR="00145D88">
        <w:rPr>
          <w:rFonts w:ascii="David" w:hAnsi="David" w:hint="cs"/>
          <w:sz w:val="26"/>
          <w:szCs w:val="26"/>
          <w:rtl/>
        </w:rPr>
        <w:t xml:space="preserve"> </w:t>
      </w:r>
      <w:r w:rsidR="00145D88" w:rsidRPr="00E172DE">
        <w:rPr>
          <w:rFonts w:ascii="David" w:hAnsi="David" w:hint="cs"/>
          <w:b/>
          <w:bCs/>
          <w:sz w:val="26"/>
          <w:szCs w:val="26"/>
          <w:rtl/>
        </w:rPr>
        <w:t>ימין נ' מ"י</w:t>
      </w:r>
      <w:r w:rsidR="00145D88">
        <w:rPr>
          <w:rFonts w:ascii="David" w:hAnsi="David" w:hint="cs"/>
          <w:sz w:val="26"/>
          <w:szCs w:val="26"/>
          <w:rtl/>
        </w:rPr>
        <w:t xml:space="preserve"> (מיום 5.5.2021) </w:t>
      </w:r>
      <w:r w:rsidR="00145D88">
        <w:rPr>
          <w:rFonts w:ascii="David" w:hAnsi="David"/>
          <w:sz w:val="26"/>
          <w:szCs w:val="26"/>
          <w:rtl/>
        </w:rPr>
        <w:t>–</w:t>
      </w:r>
      <w:r w:rsidR="00145D88">
        <w:rPr>
          <w:rFonts w:ascii="David" w:hAnsi="David" w:hint="cs"/>
          <w:sz w:val="26"/>
          <w:szCs w:val="26"/>
          <w:rtl/>
        </w:rPr>
        <w:t xml:space="preserve"> נאשם שהורשע בחמש עבירות סחר בקנביס והחזקת 50גרם קנביס ומזומן בסכום גבוה נדון ל-8 חודשי עבודות שירות על בסיס מתחם שבין 10 ל-20 חודשים.</w:t>
      </w:r>
    </w:p>
    <w:p w14:paraId="0B35F8C0" w14:textId="77777777" w:rsidR="00145D88" w:rsidRDefault="00B072AA" w:rsidP="00145D88">
      <w:pPr>
        <w:pStyle w:val="a9"/>
        <w:numPr>
          <w:ilvl w:val="0"/>
          <w:numId w:val="4"/>
        </w:numPr>
        <w:spacing w:after="160" w:line="360" w:lineRule="auto"/>
        <w:jc w:val="both"/>
        <w:rPr>
          <w:rFonts w:ascii="David" w:hAnsi="David"/>
          <w:sz w:val="26"/>
          <w:szCs w:val="26"/>
          <w:rtl/>
        </w:rPr>
      </w:pPr>
      <w:hyperlink r:id="rId22" w:history="1">
        <w:r w:rsidRPr="00B072AA">
          <w:rPr>
            <w:rFonts w:ascii="David" w:hAnsi="David"/>
            <w:color w:val="0000FF"/>
            <w:sz w:val="26"/>
            <w:szCs w:val="26"/>
            <w:u w:val="single"/>
            <w:rtl/>
          </w:rPr>
          <w:t>רע"פ 678/21</w:t>
        </w:r>
      </w:hyperlink>
      <w:r w:rsidR="00145D88">
        <w:rPr>
          <w:rFonts w:ascii="David" w:hAnsi="David" w:hint="cs"/>
          <w:sz w:val="26"/>
          <w:szCs w:val="26"/>
          <w:rtl/>
        </w:rPr>
        <w:t xml:space="preserve"> </w:t>
      </w:r>
      <w:r w:rsidR="00145D88" w:rsidRPr="00E172DE">
        <w:rPr>
          <w:rFonts w:ascii="David" w:hAnsi="David" w:hint="cs"/>
          <w:b/>
          <w:bCs/>
          <w:sz w:val="26"/>
          <w:szCs w:val="26"/>
          <w:rtl/>
        </w:rPr>
        <w:t>יהודה נ' מ"י</w:t>
      </w:r>
      <w:r w:rsidR="00145D88">
        <w:rPr>
          <w:rFonts w:ascii="David" w:hAnsi="David" w:hint="cs"/>
          <w:sz w:val="26"/>
          <w:szCs w:val="26"/>
          <w:rtl/>
        </w:rPr>
        <w:t xml:space="preserve"> (מיום 9.2.2021) </w:t>
      </w:r>
      <w:r w:rsidR="00145D88">
        <w:rPr>
          <w:rFonts w:ascii="David" w:hAnsi="David"/>
          <w:sz w:val="26"/>
          <w:szCs w:val="26"/>
          <w:rtl/>
        </w:rPr>
        <w:t>–</w:t>
      </w:r>
      <w:r w:rsidR="00145D88">
        <w:rPr>
          <w:rFonts w:ascii="David" w:hAnsi="David" w:hint="cs"/>
          <w:sz w:val="26"/>
          <w:szCs w:val="26"/>
          <w:rtl/>
        </w:rPr>
        <w:t xml:space="preserve"> הנאשם הורשע בעשרות עבירות סחר ובהחזקת קנביס במשקל 400 גרם. נדון ל-13 חודשי מאסר.</w:t>
      </w:r>
    </w:p>
    <w:p w14:paraId="30948B88" w14:textId="77777777" w:rsidR="00145D88" w:rsidRDefault="00B072AA" w:rsidP="00145D88">
      <w:pPr>
        <w:pStyle w:val="a9"/>
        <w:numPr>
          <w:ilvl w:val="0"/>
          <w:numId w:val="4"/>
        </w:numPr>
        <w:spacing w:after="160" w:line="360" w:lineRule="auto"/>
        <w:jc w:val="both"/>
        <w:rPr>
          <w:rFonts w:ascii="David" w:hAnsi="David"/>
          <w:sz w:val="26"/>
          <w:szCs w:val="26"/>
        </w:rPr>
      </w:pPr>
      <w:hyperlink r:id="rId23" w:history="1">
        <w:r w:rsidRPr="00B072AA">
          <w:rPr>
            <w:rFonts w:ascii="David" w:hAnsi="David"/>
            <w:color w:val="0000FF"/>
            <w:sz w:val="26"/>
            <w:szCs w:val="26"/>
            <w:u w:val="single"/>
            <w:rtl/>
          </w:rPr>
          <w:t>עפ"ג (ירושלים) 27783-03-20</w:t>
        </w:r>
      </w:hyperlink>
      <w:r w:rsidR="00145D88">
        <w:rPr>
          <w:rFonts w:ascii="David" w:hAnsi="David" w:hint="cs"/>
          <w:sz w:val="26"/>
          <w:szCs w:val="26"/>
          <w:rtl/>
        </w:rPr>
        <w:t xml:space="preserve"> </w:t>
      </w:r>
      <w:r w:rsidR="00145D88" w:rsidRPr="00E172DE">
        <w:rPr>
          <w:rFonts w:ascii="David" w:hAnsi="David" w:hint="cs"/>
          <w:b/>
          <w:bCs/>
          <w:sz w:val="26"/>
          <w:szCs w:val="26"/>
          <w:rtl/>
        </w:rPr>
        <w:t>מ"י נ' אבן צור</w:t>
      </w:r>
      <w:r w:rsidR="00145D88">
        <w:rPr>
          <w:rFonts w:ascii="David" w:hAnsi="David" w:hint="cs"/>
          <w:sz w:val="26"/>
          <w:szCs w:val="26"/>
          <w:rtl/>
        </w:rPr>
        <w:t xml:space="preserve"> (מיום 30.1.2020) </w:t>
      </w:r>
      <w:r w:rsidR="00145D88">
        <w:rPr>
          <w:rFonts w:ascii="David" w:hAnsi="David"/>
          <w:sz w:val="26"/>
          <w:szCs w:val="26"/>
          <w:rtl/>
        </w:rPr>
        <w:t>–</w:t>
      </w:r>
      <w:r w:rsidR="00145D88">
        <w:rPr>
          <w:rFonts w:ascii="David" w:hAnsi="David" w:hint="cs"/>
          <w:sz w:val="26"/>
          <w:szCs w:val="26"/>
          <w:rtl/>
        </w:rPr>
        <w:t xml:space="preserve"> תיק סחר בסמים שהסתיים בשל"ץ בשל חריגה מטעמי שיקום. </w:t>
      </w:r>
    </w:p>
    <w:p w14:paraId="4DB9B992" w14:textId="77777777" w:rsidR="00145D88" w:rsidRPr="008846A3" w:rsidRDefault="00145D88" w:rsidP="00145D88">
      <w:pPr>
        <w:pStyle w:val="a9"/>
        <w:spacing w:after="160" w:line="360" w:lineRule="auto"/>
        <w:ind w:left="1080"/>
        <w:jc w:val="both"/>
        <w:rPr>
          <w:rFonts w:ascii="David" w:hAnsi="David"/>
          <w:sz w:val="26"/>
          <w:szCs w:val="26"/>
          <w:rtl/>
        </w:rPr>
      </w:pPr>
    </w:p>
    <w:p w14:paraId="6910F5B8" w14:textId="77777777" w:rsidR="00145D88" w:rsidRDefault="00145D88" w:rsidP="00145D88">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חודשיים ועד ל-10 חודשי מאסר, כאשר מדובר במתחם אחד, נוכח קיומו של קשר הדוק בין המעשים, שיטת הפעולה, טיב הסמים וסמיכות הזמנים שבה בוצעו המעשים. </w:t>
      </w:r>
    </w:p>
    <w:p w14:paraId="4AAF9253" w14:textId="77777777" w:rsidR="00145D88" w:rsidRDefault="00145D88" w:rsidP="00145D88">
      <w:pPr>
        <w:spacing w:after="160" w:line="360" w:lineRule="auto"/>
        <w:jc w:val="both"/>
        <w:rPr>
          <w:rFonts w:ascii="David" w:hAnsi="David"/>
          <w:b/>
          <w:bCs/>
          <w:sz w:val="26"/>
          <w:szCs w:val="26"/>
          <w:u w:val="single"/>
          <w:rtl/>
        </w:rPr>
      </w:pPr>
    </w:p>
    <w:p w14:paraId="4C8D4501" w14:textId="77777777" w:rsidR="00145D88" w:rsidRDefault="00145D88" w:rsidP="00145D88">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629D22CF" w14:textId="77777777" w:rsidR="00145D88" w:rsidRDefault="00145D88" w:rsidP="00145D88">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ללא עבר פלילי, בשנות השלושים לחייו. בסה"כ ניהל אורח חיים נורמטיבי לאורך השנים, קיבל אחריות למעשיו והשתלב בטיפול לשביעות רצון שירות המבחן. התמונה הכוללת מלמדת, כי מדובר בטעות בשיקול דעת של הנאשם, ובמעשים שאינם מאפיינים את אורחותיו כלל וכלל. במכלול הנסיבות יש למקמו בתחתית מתחם העונש ויש מקום לאמץ את המלצת שירות המבחן. </w:t>
      </w:r>
    </w:p>
    <w:p w14:paraId="414D4B2C" w14:textId="77777777" w:rsidR="00145D88" w:rsidRDefault="00145D88" w:rsidP="00145D88">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4D49A702" w14:textId="77777777" w:rsidR="00145D88" w:rsidRDefault="00145D88" w:rsidP="00145D88">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1D98D145" w14:textId="77777777" w:rsidR="00145D88" w:rsidRDefault="00145D88" w:rsidP="00145D88">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חודשיים (2 חודשים) </w:t>
      </w:r>
      <w:r>
        <w:rPr>
          <w:rFonts w:ascii="David" w:hAnsi="David"/>
          <w:sz w:val="26"/>
          <w:szCs w:val="26"/>
          <w:rtl/>
        </w:rPr>
        <w:t>מאסר, אשר ירוצו בעבודות שירות ב</w:t>
      </w:r>
      <w:r>
        <w:rPr>
          <w:rFonts w:ascii="David" w:hAnsi="David" w:hint="cs"/>
          <w:sz w:val="26"/>
          <w:szCs w:val="26"/>
          <w:rtl/>
        </w:rPr>
        <w:t xml:space="preserve">"בית לחם יהודה פ"ת) בפתח תקווה, </w:t>
      </w:r>
      <w:r>
        <w:rPr>
          <w:rFonts w:ascii="David" w:hAnsi="David"/>
          <w:sz w:val="26"/>
          <w:szCs w:val="26"/>
          <w:rtl/>
        </w:rPr>
        <w:t>וזאת על פי חוות דעת הממונה על עבודות השירות</w:t>
      </w:r>
      <w:r>
        <w:rPr>
          <w:rFonts w:ascii="David" w:hAnsi="David" w:hint="cs"/>
          <w:sz w:val="26"/>
          <w:szCs w:val="26"/>
          <w:rtl/>
        </w:rPr>
        <w:t>. מתקופה זו יש לנכות את ימי מעצרו ע"פ חישוב שב"ס שיכריע</w:t>
      </w:r>
      <w:r>
        <w:rPr>
          <w:rFonts w:ascii="David" w:hAnsi="David"/>
          <w:sz w:val="26"/>
          <w:szCs w:val="26"/>
          <w:rtl/>
        </w:rPr>
        <w:t xml:space="preserve">. על הנאשם להתייצב ביום </w:t>
      </w:r>
      <w:r>
        <w:rPr>
          <w:rFonts w:ascii="David" w:hAnsi="David" w:hint="cs"/>
          <w:sz w:val="26"/>
          <w:szCs w:val="26"/>
          <w:rtl/>
        </w:rPr>
        <w:t>14.11.2024</w:t>
      </w:r>
      <w:r>
        <w:rPr>
          <w:rFonts w:ascii="David" w:hAnsi="David"/>
          <w:sz w:val="26"/>
          <w:szCs w:val="26"/>
          <w:rtl/>
        </w:rPr>
        <w:t xml:space="preserve">  עד לשעה 08:00 במשרד הממונה על עבודות שירות –</w:t>
      </w:r>
      <w:r>
        <w:rPr>
          <w:rFonts w:ascii="David" w:hAnsi="David" w:hint="cs"/>
          <w:sz w:val="26"/>
          <w:szCs w:val="26"/>
          <w:rtl/>
        </w:rPr>
        <w:t xml:space="preserve"> על הנאשם לברר את מיקומו - </w:t>
      </w:r>
      <w:r>
        <w:rPr>
          <w:rFonts w:ascii="David" w:hAnsi="David"/>
          <w:sz w:val="26"/>
          <w:szCs w:val="26"/>
          <w:rtl/>
        </w:rPr>
        <w:t>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0AA0F9DE" w14:textId="77777777" w:rsidR="00145D88" w:rsidRDefault="00145D88" w:rsidP="00145D88">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מסיום עבודות השירות כל עביר</w:t>
      </w:r>
      <w:r>
        <w:rPr>
          <w:rFonts w:ascii="David" w:hAnsi="David" w:hint="cs"/>
          <w:sz w:val="26"/>
          <w:szCs w:val="26"/>
          <w:rtl/>
        </w:rPr>
        <w:t>ת סמים מסוג פשע</w:t>
      </w:r>
      <w:r>
        <w:rPr>
          <w:rFonts w:ascii="David" w:hAnsi="David"/>
          <w:sz w:val="26"/>
          <w:szCs w:val="26"/>
          <w:rtl/>
        </w:rPr>
        <w:t>;</w:t>
      </w:r>
    </w:p>
    <w:p w14:paraId="5C9E7D28" w14:textId="77777777" w:rsidR="00145D88" w:rsidRDefault="00145D88" w:rsidP="00145D8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שנתיים מסיום עבודות השירות עבירות סמים מסוג עוון</w:t>
      </w:r>
      <w:r>
        <w:rPr>
          <w:rFonts w:ascii="David" w:hAnsi="David"/>
          <w:sz w:val="26"/>
          <w:szCs w:val="26"/>
          <w:rtl/>
        </w:rPr>
        <w:t>;</w:t>
      </w:r>
    </w:p>
    <w:p w14:paraId="47345A9F" w14:textId="77777777" w:rsidR="00145D88" w:rsidRDefault="00145D88" w:rsidP="00145D88">
      <w:pPr>
        <w:numPr>
          <w:ilvl w:val="0"/>
          <w:numId w:val="1"/>
        </w:numPr>
        <w:spacing w:after="160" w:line="360" w:lineRule="auto"/>
        <w:contextualSpacing/>
        <w:jc w:val="both"/>
        <w:rPr>
          <w:rFonts w:ascii="David" w:hAnsi="David"/>
          <w:sz w:val="26"/>
          <w:szCs w:val="26"/>
          <w:rtl/>
        </w:rPr>
      </w:pPr>
      <w:r>
        <w:rPr>
          <w:rFonts w:ascii="David" w:hAnsi="David"/>
          <w:sz w:val="26"/>
          <w:szCs w:val="26"/>
          <w:rtl/>
        </w:rPr>
        <w:t>קנס בסך</w:t>
      </w:r>
      <w:r>
        <w:rPr>
          <w:rFonts w:ascii="David" w:hAnsi="David" w:hint="cs"/>
          <w:sz w:val="26"/>
          <w:szCs w:val="26"/>
          <w:rtl/>
        </w:rPr>
        <w:t xml:space="preserve"> 3,000 </w:t>
      </w:r>
      <w:r>
        <w:rPr>
          <w:rFonts w:ascii="David" w:hAnsi="David"/>
          <w:sz w:val="26"/>
          <w:szCs w:val="26"/>
          <w:rtl/>
        </w:rPr>
        <w:t xml:space="preserve">₪, או </w:t>
      </w:r>
      <w:r>
        <w:rPr>
          <w:rFonts w:ascii="David" w:hAnsi="David" w:hint="cs"/>
          <w:sz w:val="26"/>
          <w:szCs w:val="26"/>
          <w:rtl/>
        </w:rPr>
        <w:t xml:space="preserve">12 </w:t>
      </w:r>
      <w:r>
        <w:rPr>
          <w:rFonts w:ascii="David" w:hAnsi="David"/>
          <w:sz w:val="26"/>
          <w:szCs w:val="26"/>
          <w:rtl/>
        </w:rPr>
        <w:t xml:space="preserve">ימי מאסר תמורתו אם לא ישולם. הקנס ישולם עד ליום </w:t>
      </w:r>
      <w:r>
        <w:rPr>
          <w:rFonts w:ascii="David" w:hAnsi="David" w:hint="cs"/>
          <w:sz w:val="26"/>
          <w:szCs w:val="26"/>
          <w:rtl/>
        </w:rPr>
        <w:t>1.12.2024;</w:t>
      </w:r>
    </w:p>
    <w:p w14:paraId="3E855F9A" w14:textId="77777777" w:rsidR="00145D88" w:rsidRDefault="00145D88" w:rsidP="00145D88">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w:t>
      </w:r>
      <w:r>
        <w:rPr>
          <w:rFonts w:ascii="David" w:hAnsi="David"/>
          <w:sz w:val="26"/>
          <w:szCs w:val="26"/>
          <w:rtl/>
        </w:rPr>
        <w:t>;</w:t>
      </w:r>
    </w:p>
    <w:p w14:paraId="1DB1689F" w14:textId="77777777" w:rsidR="00145D88" w:rsidRDefault="00145D88" w:rsidP="00145D88">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w:t>
      </w:r>
      <w:r>
        <w:rPr>
          <w:rFonts w:ascii="David" w:hAnsi="David"/>
          <w:sz w:val="26"/>
          <w:szCs w:val="26"/>
          <w:rtl/>
        </w:rPr>
        <w:t xml:space="preserve"> ₪ שלא לעבור כל עביר</w:t>
      </w:r>
      <w:r>
        <w:rPr>
          <w:rFonts w:ascii="David" w:hAnsi="David" w:hint="cs"/>
          <w:sz w:val="26"/>
          <w:szCs w:val="26"/>
          <w:rtl/>
        </w:rPr>
        <w:t>ת סמים מסוג פשע</w:t>
      </w:r>
      <w:r>
        <w:rPr>
          <w:rFonts w:ascii="David" w:hAnsi="David"/>
          <w:sz w:val="26"/>
          <w:szCs w:val="26"/>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3A074ECA" w14:textId="77777777" w:rsidR="00145D88" w:rsidRDefault="00145D88" w:rsidP="00145D8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מורה על השמדת הסמים וחילוט המוצגים. אין מקום לחלט את הרכב ולכן הבקשה נדחית.  החילוט מכוח פקודת סדר הדין הפלילי נוכח טיבם של המוצגים. </w:t>
      </w:r>
    </w:p>
    <w:p w14:paraId="4566699C" w14:textId="77777777" w:rsidR="00145D88" w:rsidRDefault="00145D88" w:rsidP="00145D88">
      <w:pPr>
        <w:spacing w:after="160" w:line="360" w:lineRule="auto"/>
        <w:jc w:val="both"/>
        <w:rPr>
          <w:rFonts w:ascii="David" w:hAnsi="David"/>
          <w:b/>
          <w:bCs/>
          <w:sz w:val="26"/>
          <w:szCs w:val="26"/>
          <w:rtl/>
        </w:rPr>
      </w:pPr>
    </w:p>
    <w:p w14:paraId="04EE516E" w14:textId="77777777" w:rsidR="00145D88" w:rsidRDefault="00145D88" w:rsidP="00145D88">
      <w:pPr>
        <w:spacing w:after="160" w:line="360" w:lineRule="auto"/>
        <w:jc w:val="both"/>
        <w:rPr>
          <w:rFonts w:ascii="David" w:hAnsi="David"/>
          <w:b/>
          <w:bCs/>
          <w:sz w:val="26"/>
          <w:szCs w:val="26"/>
        </w:rPr>
      </w:pPr>
      <w:r>
        <w:rPr>
          <w:rFonts w:ascii="David" w:hAnsi="David"/>
          <w:b/>
          <w:bCs/>
          <w:sz w:val="26"/>
          <w:szCs w:val="26"/>
          <w:rtl/>
        </w:rPr>
        <w:t>הנאשם הוזהר כי אי ביצוע צו המבחן עלול להוביל להפקעתו ולהטלת כל עונש חלופי לרבות מאסר.</w:t>
      </w:r>
    </w:p>
    <w:p w14:paraId="45B68E93" w14:textId="77777777" w:rsidR="00145D88" w:rsidRDefault="00145D88" w:rsidP="00145D88">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7887E4A" w14:textId="77777777" w:rsidR="00145D88" w:rsidRDefault="00145D88" w:rsidP="00145D88">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A618B0B" w14:textId="77777777" w:rsidR="00145D88" w:rsidRDefault="00145D88" w:rsidP="00145D88">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2B1FD447" w14:textId="77777777" w:rsidR="00145D88" w:rsidRDefault="00145D88" w:rsidP="00145D88">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7F1F72DE" w14:textId="77777777" w:rsidR="00145D88" w:rsidRDefault="00145D88" w:rsidP="00145D88">
      <w:pPr>
        <w:spacing w:line="360" w:lineRule="auto"/>
        <w:jc w:val="both"/>
        <w:rPr>
          <w:rFonts w:ascii="David" w:hAnsi="David"/>
          <w:b/>
          <w:bCs/>
          <w:sz w:val="26"/>
          <w:szCs w:val="26"/>
          <w:rtl/>
        </w:rPr>
      </w:pPr>
    </w:p>
    <w:p w14:paraId="7486AEFF" w14:textId="77777777" w:rsidR="00145D88" w:rsidRDefault="00145D88" w:rsidP="00145D88">
      <w:pPr>
        <w:spacing w:line="360" w:lineRule="auto"/>
        <w:jc w:val="both"/>
        <w:rPr>
          <w:rFonts w:ascii="David" w:hAnsi="David"/>
          <w:b/>
          <w:bCs/>
          <w:sz w:val="26"/>
          <w:szCs w:val="26"/>
          <w:rtl/>
        </w:rPr>
      </w:pPr>
      <w:r>
        <w:rPr>
          <w:rFonts w:ascii="David" w:hAnsi="David"/>
          <w:b/>
          <w:bCs/>
          <w:sz w:val="26"/>
          <w:szCs w:val="26"/>
          <w:rtl/>
        </w:rPr>
        <w:t>לא יונפקו שוברי תשלום.</w:t>
      </w:r>
    </w:p>
    <w:p w14:paraId="6DF472AE" w14:textId="77777777" w:rsidR="00145D88" w:rsidRDefault="00145D88" w:rsidP="00145D88">
      <w:pPr>
        <w:spacing w:line="360" w:lineRule="auto"/>
        <w:jc w:val="both"/>
        <w:rPr>
          <w:b/>
          <w:bCs/>
          <w:sz w:val="26"/>
          <w:szCs w:val="26"/>
          <w:rtl/>
        </w:rPr>
      </w:pPr>
    </w:p>
    <w:p w14:paraId="55E07BC4" w14:textId="77777777" w:rsidR="00145D88" w:rsidRDefault="00145D88" w:rsidP="00145D88">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14:paraId="1FF8E01A" w14:textId="77777777" w:rsidR="00145D88" w:rsidRDefault="00145D88" w:rsidP="00145D88">
      <w:pPr>
        <w:spacing w:line="360" w:lineRule="auto"/>
        <w:jc w:val="both"/>
        <w:rPr>
          <w:b/>
          <w:bCs/>
          <w:sz w:val="26"/>
          <w:szCs w:val="26"/>
        </w:rPr>
      </w:pPr>
    </w:p>
    <w:p w14:paraId="29BA0D61" w14:textId="77777777" w:rsidR="00145D88" w:rsidRPr="007F7A49" w:rsidRDefault="00B072AA" w:rsidP="00145D88">
      <w:pPr>
        <w:spacing w:after="160" w:line="360" w:lineRule="auto"/>
        <w:rPr>
          <w:rFonts w:ascii="David" w:hAnsi="David"/>
          <w:b/>
          <w:bCs/>
          <w:sz w:val="26"/>
          <w:szCs w:val="26"/>
        </w:rPr>
      </w:pPr>
      <w:r w:rsidRPr="00B072AA">
        <w:rPr>
          <w:rFonts w:ascii="David" w:hAnsi="David"/>
          <w:b/>
          <w:bCs/>
          <w:color w:val="FFFFFF"/>
          <w:sz w:val="2"/>
          <w:szCs w:val="2"/>
          <w:rtl/>
        </w:rPr>
        <w:t>5129371</w:t>
      </w:r>
      <w:r w:rsidR="00145D88" w:rsidRPr="007F7A49">
        <w:rPr>
          <w:rFonts w:ascii="David" w:hAnsi="David"/>
          <w:b/>
          <w:bCs/>
          <w:sz w:val="26"/>
          <w:szCs w:val="26"/>
          <w:rtl/>
        </w:rPr>
        <w:t>יש לשלוח לשירות המבחן ולממונה על עבודות שירות.</w:t>
      </w:r>
    </w:p>
    <w:p w14:paraId="61A00419" w14:textId="77777777" w:rsidR="00145D88" w:rsidRDefault="00B072AA" w:rsidP="00145D88">
      <w:pPr>
        <w:spacing w:after="160" w:line="252" w:lineRule="auto"/>
        <w:rPr>
          <w:rFonts w:ascii="David" w:hAnsi="David"/>
          <w:b/>
          <w:bCs/>
          <w:sz w:val="26"/>
          <w:szCs w:val="26"/>
        </w:rPr>
      </w:pPr>
      <w:r w:rsidRPr="00B072AA">
        <w:rPr>
          <w:rFonts w:ascii="David" w:hAnsi="David"/>
          <w:b/>
          <w:bCs/>
          <w:color w:val="FFFFFF"/>
          <w:sz w:val="2"/>
          <w:szCs w:val="2"/>
          <w:rtl/>
        </w:rPr>
        <w:t>54678313</w:t>
      </w:r>
      <w:r w:rsidR="00145D88">
        <w:rPr>
          <w:rFonts w:ascii="David" w:hAnsi="David"/>
          <w:b/>
          <w:bCs/>
          <w:sz w:val="26"/>
          <w:szCs w:val="26"/>
          <w:rtl/>
        </w:rPr>
        <w:t>זכות ערעור כחוק לבית המשפט המחוזי בירושלים בתוך 45 יום מהיום.</w:t>
      </w:r>
    </w:p>
    <w:p w14:paraId="52CA2652" w14:textId="77777777" w:rsidR="00145D88" w:rsidRPr="000F2247" w:rsidRDefault="00145D88" w:rsidP="00145D88">
      <w:pPr>
        <w:rPr>
          <w:rFonts w:ascii="Arial" w:hAnsi="Arial"/>
          <w:b/>
          <w:bCs/>
          <w:sz w:val="26"/>
          <w:szCs w:val="26"/>
          <w:rtl/>
        </w:rPr>
      </w:pPr>
    </w:p>
    <w:p w14:paraId="302CFF91" w14:textId="77777777" w:rsidR="00145D88" w:rsidRPr="000F2247" w:rsidRDefault="00B072AA" w:rsidP="00145D8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אלול תשפ"ד, 01 אוקטובר 2024, במעמד הצדדים. </w:t>
      </w:r>
      <w:bookmarkEnd w:id="8"/>
      <w:r w:rsidR="00145D88">
        <w:rPr>
          <w:rFonts w:ascii="Arial" w:hAnsi="Arial"/>
          <w:b/>
          <w:bCs/>
          <w:sz w:val="26"/>
          <w:szCs w:val="26"/>
          <w:rtl/>
        </w:rPr>
        <w:tab/>
      </w:r>
      <w:r w:rsidR="00145D88">
        <w:rPr>
          <w:rFonts w:ascii="Arial" w:hAnsi="Arial"/>
          <w:b/>
          <w:bCs/>
          <w:sz w:val="26"/>
          <w:szCs w:val="26"/>
          <w:rtl/>
        </w:rPr>
        <w:tab/>
      </w:r>
      <w:r w:rsidR="00145D88">
        <w:rPr>
          <w:rFonts w:ascii="Arial" w:hAnsi="Arial"/>
          <w:b/>
          <w:bCs/>
          <w:sz w:val="26"/>
          <w:szCs w:val="26"/>
          <w:rtl/>
        </w:rPr>
        <w:tab/>
      </w:r>
      <w:r w:rsidR="00145D88">
        <w:rPr>
          <w:rFonts w:ascii="Arial" w:hAnsi="Arial"/>
          <w:b/>
          <w:bCs/>
          <w:sz w:val="26"/>
          <w:szCs w:val="26"/>
          <w:rtl/>
        </w:rPr>
        <w:tab/>
      </w:r>
      <w:r w:rsidR="00145D88">
        <w:rPr>
          <w:rFonts w:ascii="Arial" w:hAnsi="Arial"/>
          <w:b/>
          <w:bCs/>
          <w:sz w:val="26"/>
          <w:szCs w:val="26"/>
          <w:rtl/>
        </w:rPr>
        <w:tab/>
      </w:r>
      <w:r w:rsidR="00145D88">
        <w:rPr>
          <w:rFonts w:ascii="Arial" w:hAnsi="Arial"/>
          <w:b/>
          <w:bCs/>
          <w:sz w:val="26"/>
          <w:szCs w:val="26"/>
          <w:rtl/>
        </w:rPr>
        <w:tab/>
      </w:r>
      <w:r w:rsidR="00145D88">
        <w:rPr>
          <w:rFonts w:ascii="Arial" w:hAnsi="Arial"/>
          <w:b/>
          <w:bCs/>
          <w:sz w:val="26"/>
          <w:szCs w:val="26"/>
          <w:rtl/>
        </w:rPr>
        <w:tab/>
      </w:r>
      <w:r w:rsidR="00145D88">
        <w:rPr>
          <w:rFonts w:ascii="Arial" w:hAnsi="Arial" w:hint="cs"/>
          <w:b/>
          <w:bCs/>
          <w:sz w:val="26"/>
          <w:szCs w:val="26"/>
          <w:rtl/>
        </w:rPr>
        <w:t xml:space="preserve">         </w:t>
      </w:r>
    </w:p>
    <w:p w14:paraId="4955271B" w14:textId="77777777" w:rsidR="00145D88" w:rsidRPr="000F2247" w:rsidRDefault="00145D88" w:rsidP="00B072A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2CA10F2" w14:textId="77777777" w:rsidR="00145D88" w:rsidRPr="000F2247" w:rsidRDefault="00145D88" w:rsidP="00145D88">
      <w:pPr>
        <w:jc w:val="center"/>
        <w:rPr>
          <w:rFonts w:ascii="Arial" w:hAnsi="Arial"/>
          <w:b/>
          <w:bCs/>
          <w:sz w:val="26"/>
          <w:szCs w:val="26"/>
          <w:rtl/>
        </w:rPr>
      </w:pPr>
    </w:p>
    <w:p w14:paraId="7CF90175" w14:textId="77777777" w:rsidR="004B458E" w:rsidRPr="00B072AA" w:rsidRDefault="004B458E" w:rsidP="00B072AA">
      <w:pPr>
        <w:keepNext/>
        <w:rPr>
          <w:rFonts w:ascii="David" w:hAnsi="David"/>
          <w:color w:val="000000"/>
          <w:sz w:val="22"/>
          <w:szCs w:val="22"/>
          <w:rtl/>
        </w:rPr>
      </w:pPr>
    </w:p>
    <w:p w14:paraId="77B9D4C5" w14:textId="77777777" w:rsidR="00B072AA" w:rsidRPr="00B072AA" w:rsidRDefault="00B072AA" w:rsidP="00B072AA">
      <w:pPr>
        <w:keepNext/>
        <w:rPr>
          <w:rFonts w:ascii="David" w:hAnsi="David"/>
          <w:color w:val="000000"/>
          <w:sz w:val="22"/>
          <w:szCs w:val="22"/>
          <w:rtl/>
        </w:rPr>
      </w:pPr>
      <w:r w:rsidRPr="00B072AA">
        <w:rPr>
          <w:rFonts w:ascii="David" w:hAnsi="David"/>
          <w:color w:val="000000"/>
          <w:sz w:val="22"/>
          <w:szCs w:val="22"/>
          <w:rtl/>
        </w:rPr>
        <w:t>דוד שאול גבאי ריכטר 54678313</w:t>
      </w:r>
    </w:p>
    <w:p w14:paraId="2F247FBB" w14:textId="77777777" w:rsidR="00B072AA" w:rsidRDefault="00B072AA" w:rsidP="00B072AA">
      <w:r w:rsidRPr="00B072AA">
        <w:rPr>
          <w:color w:val="000000"/>
          <w:rtl/>
        </w:rPr>
        <w:t>נוסח מסמך זה כפוף לשינויי ניסוח ועריכה</w:t>
      </w:r>
    </w:p>
    <w:p w14:paraId="2644EDA5" w14:textId="77777777" w:rsidR="00B072AA" w:rsidRDefault="00B072AA" w:rsidP="00B072AA">
      <w:pPr>
        <w:rPr>
          <w:rtl/>
        </w:rPr>
      </w:pPr>
    </w:p>
    <w:p w14:paraId="3D5D9C12" w14:textId="77777777" w:rsidR="00B072AA" w:rsidRDefault="00B072AA" w:rsidP="00B072AA">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B39432B" w14:textId="77777777" w:rsidR="00B072AA" w:rsidRPr="00B072AA" w:rsidRDefault="00B072AA" w:rsidP="00B072AA">
      <w:pPr>
        <w:jc w:val="center"/>
        <w:rPr>
          <w:color w:val="0000FF"/>
          <w:u w:val="single"/>
        </w:rPr>
      </w:pPr>
    </w:p>
    <w:sectPr w:rsidR="00B072AA" w:rsidRPr="00B072AA" w:rsidSect="00B072AA">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5C029" w14:textId="77777777" w:rsidR="00321C2B" w:rsidRDefault="00321C2B" w:rsidP="003543CD">
      <w:r>
        <w:separator/>
      </w:r>
    </w:p>
  </w:endnote>
  <w:endnote w:type="continuationSeparator" w:id="0">
    <w:p w14:paraId="59F99739" w14:textId="77777777" w:rsidR="00321C2B" w:rsidRDefault="00321C2B" w:rsidP="0035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88E3A" w14:textId="77777777" w:rsidR="00B072AA" w:rsidRDefault="00B072AA" w:rsidP="00B072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F4EEB6" w14:textId="77777777" w:rsidR="009F7561" w:rsidRPr="00B072AA" w:rsidRDefault="00B072AA" w:rsidP="00B072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54613" w14:textId="77777777" w:rsidR="00B072AA" w:rsidRDefault="00B072AA" w:rsidP="00B072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2F80">
      <w:rPr>
        <w:rFonts w:ascii="FrankRuehl" w:hAnsi="FrankRuehl" w:cs="FrankRuehl"/>
        <w:noProof/>
        <w:rtl/>
      </w:rPr>
      <w:t>1</w:t>
    </w:r>
    <w:r>
      <w:rPr>
        <w:rFonts w:ascii="FrankRuehl" w:hAnsi="FrankRuehl" w:cs="FrankRuehl"/>
        <w:rtl/>
      </w:rPr>
      <w:fldChar w:fldCharType="end"/>
    </w:r>
  </w:p>
  <w:p w14:paraId="18FE004D" w14:textId="77777777" w:rsidR="009F7561" w:rsidRPr="00B072AA" w:rsidRDefault="00B072AA" w:rsidP="00B072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3EA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BFE4B" w14:textId="77777777" w:rsidR="00321C2B" w:rsidRDefault="00321C2B" w:rsidP="003543CD">
      <w:r>
        <w:separator/>
      </w:r>
    </w:p>
  </w:footnote>
  <w:footnote w:type="continuationSeparator" w:id="0">
    <w:p w14:paraId="1ED661E6" w14:textId="77777777" w:rsidR="00321C2B" w:rsidRDefault="00321C2B" w:rsidP="00354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93B6E" w14:textId="77777777" w:rsidR="00B072AA" w:rsidRPr="00B072AA" w:rsidRDefault="00B072AA" w:rsidP="00B072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12451-03-23</w:t>
    </w:r>
    <w:r>
      <w:rPr>
        <w:rFonts w:ascii="David" w:hAnsi="David"/>
        <w:color w:val="000000"/>
        <w:sz w:val="22"/>
        <w:szCs w:val="22"/>
        <w:rtl/>
      </w:rPr>
      <w:tab/>
      <w:t xml:space="preserve"> מדינת ישראל נ' איתמר נגר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206AF" w14:textId="77777777" w:rsidR="00B072AA" w:rsidRPr="00B072AA" w:rsidRDefault="00B072AA" w:rsidP="00B072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12451-03-23</w:t>
    </w:r>
    <w:r>
      <w:rPr>
        <w:rFonts w:ascii="David" w:hAnsi="David"/>
        <w:color w:val="000000"/>
        <w:sz w:val="22"/>
        <w:szCs w:val="22"/>
        <w:rtl/>
      </w:rPr>
      <w:tab/>
      <w:t xml:space="preserve"> מדינת ישראל נ' איתמר נגר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E07003A"/>
    <w:multiLevelType w:val="hybridMultilevel"/>
    <w:tmpl w:val="9AD6A3B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45261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7940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678418">
    <w:abstractNumId w:val="0"/>
  </w:num>
  <w:num w:numId="4" w16cid:durableId="42056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5D88"/>
    <w:rsid w:val="0011657E"/>
    <w:rsid w:val="00145D88"/>
    <w:rsid w:val="00183189"/>
    <w:rsid w:val="001B5A3B"/>
    <w:rsid w:val="00264C07"/>
    <w:rsid w:val="00321C2B"/>
    <w:rsid w:val="003543CD"/>
    <w:rsid w:val="004B458E"/>
    <w:rsid w:val="00873BDC"/>
    <w:rsid w:val="008E53F5"/>
    <w:rsid w:val="009F7561"/>
    <w:rsid w:val="00B06072"/>
    <w:rsid w:val="00B072AA"/>
    <w:rsid w:val="00B15749"/>
    <w:rsid w:val="00B52BAA"/>
    <w:rsid w:val="00C62F80"/>
    <w:rsid w:val="00E276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D8A26A"/>
  <w15:chartTrackingRefBased/>
  <w15:docId w15:val="{BAD486F9-67A8-40A8-B8DD-288BC7AB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5D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5D88"/>
    <w:pPr>
      <w:tabs>
        <w:tab w:val="center" w:pos="4153"/>
        <w:tab w:val="right" w:pos="8306"/>
      </w:tabs>
    </w:pPr>
  </w:style>
  <w:style w:type="character" w:customStyle="1" w:styleId="a4">
    <w:name w:val="כותרת עליונה תו"/>
    <w:link w:val="a3"/>
    <w:rsid w:val="00145D88"/>
    <w:rPr>
      <w:rFonts w:ascii="Times New Roman" w:eastAsia="Times New Roman" w:hAnsi="Times New Roman" w:cs="David"/>
      <w:sz w:val="24"/>
      <w:szCs w:val="24"/>
    </w:rPr>
  </w:style>
  <w:style w:type="paragraph" w:styleId="a5">
    <w:name w:val="footer"/>
    <w:basedOn w:val="a"/>
    <w:link w:val="a6"/>
    <w:rsid w:val="00145D88"/>
    <w:pPr>
      <w:tabs>
        <w:tab w:val="center" w:pos="4153"/>
        <w:tab w:val="right" w:pos="8306"/>
      </w:tabs>
    </w:pPr>
  </w:style>
  <w:style w:type="character" w:customStyle="1" w:styleId="a6">
    <w:name w:val="כותרת תחתונה תו"/>
    <w:link w:val="a5"/>
    <w:rsid w:val="00145D88"/>
    <w:rPr>
      <w:rFonts w:ascii="Times New Roman" w:eastAsia="Times New Roman" w:hAnsi="Times New Roman" w:cs="David"/>
      <w:sz w:val="24"/>
      <w:szCs w:val="24"/>
    </w:rPr>
  </w:style>
  <w:style w:type="table" w:styleId="a7">
    <w:name w:val="Table Grid"/>
    <w:basedOn w:val="a1"/>
    <w:rsid w:val="00145D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5D88"/>
  </w:style>
  <w:style w:type="character" w:styleId="Hyperlink">
    <w:name w:val="Hyperlink"/>
    <w:rsid w:val="00145D88"/>
    <w:rPr>
      <w:noProof w:val="0"/>
      <w:color w:val="0000FF"/>
      <w:u w:val="single"/>
    </w:rPr>
  </w:style>
  <w:style w:type="paragraph" w:styleId="a9">
    <w:name w:val="List Paragraph"/>
    <w:basedOn w:val="a"/>
    <w:qFormat/>
    <w:rsid w:val="00145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7.a.c" TargetMode="External"/><Relationship Id="rId18" Type="http://schemas.openxmlformats.org/officeDocument/2006/relationships/hyperlink" Target="http://www.nevo.co.il/law/522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7592536" TargetMode="External"/><Relationship Id="rId7" Type="http://schemas.openxmlformats.org/officeDocument/2006/relationships/hyperlink" Target="http://www.nevo.co.il/law/4216" TargetMode="External"/><Relationship Id="rId12" Type="http://schemas.openxmlformats.org/officeDocument/2006/relationships/hyperlink" Target="http://www.nevo.co.il/law/5227/43" TargetMode="External"/><Relationship Id="rId17" Type="http://schemas.openxmlformats.org/officeDocument/2006/relationships/hyperlink" Target="http://www.nevo.co.il/law/5227/43"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778290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6536237" TargetMode="External"/><Relationship Id="rId28"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nevo.co.il/case/2920073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365552"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6360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7617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7864368</vt:i4>
      </vt:variant>
      <vt:variant>
        <vt:i4>51</vt:i4>
      </vt:variant>
      <vt:variant>
        <vt:i4>0</vt:i4>
      </vt:variant>
      <vt:variant>
        <vt:i4>5</vt:i4>
      </vt:variant>
      <vt:variant>
        <vt:lpwstr>http://www.eca.gov.il/</vt:lpwstr>
      </vt:variant>
      <vt:variant>
        <vt:lpwstr/>
      </vt:variant>
      <vt:variant>
        <vt:i4>3276915</vt:i4>
      </vt:variant>
      <vt:variant>
        <vt:i4>48</vt:i4>
      </vt:variant>
      <vt:variant>
        <vt:i4>0</vt:i4>
      </vt:variant>
      <vt:variant>
        <vt:i4>5</vt:i4>
      </vt:variant>
      <vt:variant>
        <vt:lpwstr>http://www.nevo.co.il/case/26536237</vt:lpwstr>
      </vt:variant>
      <vt:variant>
        <vt:lpwstr/>
      </vt:variant>
      <vt:variant>
        <vt:i4>3211376</vt:i4>
      </vt:variant>
      <vt:variant>
        <vt:i4>45</vt:i4>
      </vt:variant>
      <vt:variant>
        <vt:i4>0</vt:i4>
      </vt:variant>
      <vt:variant>
        <vt:i4>5</vt:i4>
      </vt:variant>
      <vt:variant>
        <vt:lpwstr>http://www.nevo.co.il/case/27365552</vt:lpwstr>
      </vt:variant>
      <vt:variant>
        <vt:lpwstr/>
      </vt:variant>
      <vt:variant>
        <vt:i4>3539071</vt:i4>
      </vt:variant>
      <vt:variant>
        <vt:i4>42</vt:i4>
      </vt:variant>
      <vt:variant>
        <vt:i4>0</vt:i4>
      </vt:variant>
      <vt:variant>
        <vt:i4>5</vt:i4>
      </vt:variant>
      <vt:variant>
        <vt:lpwstr>http://www.nevo.co.il/case/27592536</vt:lpwstr>
      </vt:variant>
      <vt:variant>
        <vt:lpwstr/>
      </vt:variant>
      <vt:variant>
        <vt:i4>3604594</vt:i4>
      </vt:variant>
      <vt:variant>
        <vt:i4>39</vt:i4>
      </vt:variant>
      <vt:variant>
        <vt:i4>0</vt:i4>
      </vt:variant>
      <vt:variant>
        <vt:i4>5</vt:i4>
      </vt:variant>
      <vt:variant>
        <vt:lpwstr>http://www.nevo.co.il/case/27782907</vt:lpwstr>
      </vt:variant>
      <vt:variant>
        <vt:lpwstr/>
      </vt:variant>
      <vt:variant>
        <vt:i4>3342458</vt:i4>
      </vt:variant>
      <vt:variant>
        <vt:i4>36</vt:i4>
      </vt:variant>
      <vt:variant>
        <vt:i4>0</vt:i4>
      </vt:variant>
      <vt:variant>
        <vt:i4>5</vt:i4>
      </vt:variant>
      <vt:variant>
        <vt:lpwstr>http://www.nevo.co.il/case/29200734</vt:lpwstr>
      </vt:variant>
      <vt:variant>
        <vt:lpwstr/>
      </vt:variant>
      <vt:variant>
        <vt:i4>8323175</vt:i4>
      </vt:variant>
      <vt:variant>
        <vt:i4>33</vt:i4>
      </vt:variant>
      <vt:variant>
        <vt:i4>0</vt:i4>
      </vt:variant>
      <vt:variant>
        <vt:i4>5</vt:i4>
      </vt:variant>
      <vt:variant>
        <vt:lpwstr>http://www.nevo.co.il/law/5227</vt:lpwstr>
      </vt:variant>
      <vt:variant>
        <vt:lpwstr/>
      </vt:variant>
      <vt:variant>
        <vt:i4>4915272</vt:i4>
      </vt:variant>
      <vt:variant>
        <vt:i4>30</vt:i4>
      </vt:variant>
      <vt:variant>
        <vt:i4>0</vt:i4>
      </vt:variant>
      <vt:variant>
        <vt:i4>5</vt:i4>
      </vt:variant>
      <vt:variant>
        <vt:lpwstr>http://www.nevo.co.il/law/5227/43</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4915272</vt:i4>
      </vt:variant>
      <vt:variant>
        <vt:i4>15</vt:i4>
      </vt:variant>
      <vt:variant>
        <vt:i4>0</vt:i4>
      </vt:variant>
      <vt:variant>
        <vt:i4>5</vt:i4>
      </vt:variant>
      <vt:variant>
        <vt:lpwstr>http://www.nevo.co.il/law/5227/43</vt:lpwstr>
      </vt:variant>
      <vt:variant>
        <vt:lpwstr/>
      </vt:variant>
      <vt:variant>
        <vt:i4>8323175</vt:i4>
      </vt:variant>
      <vt:variant>
        <vt:i4>12</vt:i4>
      </vt:variant>
      <vt:variant>
        <vt:i4>0</vt:i4>
      </vt:variant>
      <vt:variant>
        <vt:i4>5</vt:i4>
      </vt:variant>
      <vt:variant>
        <vt:lpwstr>http://www.nevo.co.il/law/5227</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12451</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איתמר נגר</vt:lpwstr>
  </property>
  <property fmtid="{D5CDD505-2E9C-101B-9397-08002B2CF9AE}" pid="10" name="LAWYER">
    <vt:lpwstr>בנימין אמסלם;שלום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20241001</vt:lpwstr>
  </property>
  <property fmtid="{D5CDD505-2E9C-101B-9397-08002B2CF9AE}" pid="14" name="TYPE_N_DATE">
    <vt:lpwstr>38020241001</vt:lpwstr>
  </property>
  <property fmtid="{D5CDD505-2E9C-101B-9397-08002B2CF9AE}" pid="15" name="WORDNUMPAGES">
    <vt:lpwstr>6</vt:lpwstr>
  </property>
  <property fmtid="{D5CDD505-2E9C-101B-9397-08002B2CF9AE}" pid="16" name="TYPE_ABS_DATE">
    <vt:lpwstr>380020241001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29200734;27782907;27592536;27365552;26536237</vt:lpwstr>
  </property>
  <property fmtid="{D5CDD505-2E9C-101B-9397-08002B2CF9AE}" pid="36" name="LAWLISTTMP1">
    <vt:lpwstr>4216/007.a.c;013;019a</vt:lpwstr>
  </property>
  <property fmtid="{D5CDD505-2E9C-101B-9397-08002B2CF9AE}" pid="37" name="LAWLISTTMP2">
    <vt:lpwstr>5227/043</vt:lpwstr>
  </property>
</Properties>
</file>