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F4DC9" w:rsidRPr="00B746B9" w14:paraId="38B8C00A" w14:textId="77777777" w:rsidTr="002C7BEE">
        <w:trPr>
          <w:trHeight w:hRule="exact" w:val="418"/>
          <w:jc w:val="center"/>
        </w:trPr>
        <w:tc>
          <w:tcPr>
            <w:tcW w:w="8721" w:type="dxa"/>
            <w:gridSpan w:val="2"/>
          </w:tcPr>
          <w:p w14:paraId="71BB47A7" w14:textId="77777777" w:rsidR="000F4DC9" w:rsidRPr="00B746B9" w:rsidRDefault="000F4DC9" w:rsidP="008C5DB2">
            <w:pPr>
              <w:pStyle w:val="a3"/>
              <w:jc w:val="center"/>
              <w:rPr>
                <w:rFonts w:ascii="Tahoma" w:hAnsi="Tahoma" w:cs="Tahoma"/>
                <w:color w:val="000080"/>
                <w:rtl/>
              </w:rPr>
            </w:pPr>
            <w:bookmarkStart w:id="0" w:name="LastJudge"/>
            <w:r w:rsidRPr="00B746B9">
              <w:rPr>
                <w:rFonts w:ascii="Tahoma" w:hAnsi="Tahoma" w:cs="Tahoma"/>
                <w:b/>
                <w:bCs/>
                <w:color w:val="000080"/>
                <w:rtl/>
              </w:rPr>
              <w:t>בית משפט השלום בירושלים</w:t>
            </w:r>
          </w:p>
        </w:tc>
      </w:tr>
      <w:tr w:rsidR="000F4DC9" w:rsidRPr="00B746B9" w14:paraId="38CC7524" w14:textId="77777777" w:rsidTr="002C7BEE">
        <w:trPr>
          <w:trHeight w:val="337"/>
          <w:jc w:val="center"/>
        </w:trPr>
        <w:tc>
          <w:tcPr>
            <w:tcW w:w="5057" w:type="dxa"/>
          </w:tcPr>
          <w:p w14:paraId="22AC088A" w14:textId="77777777" w:rsidR="000F4DC9" w:rsidRPr="00B746B9" w:rsidRDefault="000F4DC9" w:rsidP="008C5DB2">
            <w:pPr>
              <w:rPr>
                <w:rFonts w:ascii="David" w:hAnsi="David"/>
                <w:b/>
                <w:bCs/>
                <w:sz w:val="28"/>
                <w:szCs w:val="28"/>
                <w:rtl/>
              </w:rPr>
            </w:pPr>
            <w:r w:rsidRPr="00B746B9">
              <w:rPr>
                <w:rFonts w:ascii="David" w:hAnsi="David"/>
                <w:b/>
                <w:bCs/>
                <w:sz w:val="28"/>
                <w:szCs w:val="28"/>
                <w:rtl/>
              </w:rPr>
              <w:t>ת"פ 20257-03-23 מדינת ישראל נ' מסקאלצי</w:t>
            </w:r>
          </w:p>
          <w:p w14:paraId="3CD065DB" w14:textId="77777777" w:rsidR="000F4DC9" w:rsidRPr="00B746B9" w:rsidRDefault="000F4DC9" w:rsidP="008C5DB2">
            <w:pPr>
              <w:pStyle w:val="a3"/>
              <w:rPr>
                <w:rFonts w:cs="FrankRuehl"/>
                <w:sz w:val="28"/>
                <w:szCs w:val="28"/>
                <w:rtl/>
              </w:rPr>
            </w:pPr>
          </w:p>
        </w:tc>
        <w:tc>
          <w:tcPr>
            <w:tcW w:w="3664" w:type="dxa"/>
          </w:tcPr>
          <w:p w14:paraId="21E06697" w14:textId="77777777" w:rsidR="000F4DC9" w:rsidRPr="00B746B9" w:rsidRDefault="000F4DC9" w:rsidP="008C5DB2">
            <w:pPr>
              <w:pStyle w:val="a3"/>
              <w:jc w:val="right"/>
              <w:rPr>
                <w:rFonts w:cs="FrankRuehl"/>
                <w:sz w:val="28"/>
                <w:szCs w:val="28"/>
                <w:rtl/>
              </w:rPr>
            </w:pPr>
          </w:p>
        </w:tc>
      </w:tr>
    </w:tbl>
    <w:p w14:paraId="16B6A818" w14:textId="77777777" w:rsidR="000F4DC9" w:rsidRPr="00B746B9" w:rsidRDefault="000F4DC9" w:rsidP="002C7BEE">
      <w:pPr>
        <w:pStyle w:val="a3"/>
        <w:rPr>
          <w:rtl/>
        </w:rPr>
      </w:pPr>
      <w:r w:rsidRPr="00B746B9">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3211"/>
        <w:gridCol w:w="4664"/>
      </w:tblGrid>
      <w:tr w:rsidR="000F4DC9" w:rsidRPr="00B746B9" w14:paraId="35758335" w14:textId="77777777" w:rsidTr="002C7BEE">
        <w:trPr>
          <w:trHeight w:val="295"/>
          <w:jc w:val="center"/>
        </w:trPr>
        <w:tc>
          <w:tcPr>
            <w:tcW w:w="945" w:type="dxa"/>
            <w:tcBorders>
              <w:top w:val="nil"/>
              <w:left w:val="nil"/>
              <w:bottom w:val="nil"/>
              <w:right w:val="nil"/>
            </w:tcBorders>
            <w:shd w:val="clear" w:color="auto" w:fill="auto"/>
          </w:tcPr>
          <w:p w14:paraId="785B552A" w14:textId="77777777" w:rsidR="000F4DC9" w:rsidRPr="00B746B9" w:rsidRDefault="000F4DC9" w:rsidP="000F4DC9">
            <w:pPr>
              <w:jc w:val="both"/>
              <w:rPr>
                <w:rFonts w:ascii="David" w:hAnsi="David"/>
                <w:b/>
                <w:bCs/>
                <w:sz w:val="28"/>
                <w:szCs w:val="28"/>
              </w:rPr>
            </w:pPr>
            <w:r w:rsidRPr="00B746B9">
              <w:rPr>
                <w:rFonts w:ascii="David" w:hAnsi="David" w:hint="cs"/>
                <w:b/>
                <w:bCs/>
                <w:sz w:val="28"/>
                <w:szCs w:val="28"/>
                <w:rtl/>
              </w:rPr>
              <w:t>ל</w:t>
            </w:r>
            <w:r w:rsidRPr="00B746B9">
              <w:rPr>
                <w:rFonts w:ascii="David" w:hAnsi="David"/>
                <w:b/>
                <w:bCs/>
                <w:sz w:val="28"/>
                <w:szCs w:val="28"/>
                <w:rtl/>
              </w:rPr>
              <w:t xml:space="preserve">פני </w:t>
            </w:r>
          </w:p>
        </w:tc>
        <w:tc>
          <w:tcPr>
            <w:tcW w:w="7875" w:type="dxa"/>
            <w:gridSpan w:val="2"/>
            <w:tcBorders>
              <w:top w:val="nil"/>
              <w:left w:val="nil"/>
              <w:bottom w:val="nil"/>
              <w:right w:val="nil"/>
            </w:tcBorders>
            <w:shd w:val="clear" w:color="auto" w:fill="auto"/>
          </w:tcPr>
          <w:p w14:paraId="62DF3227" w14:textId="77777777" w:rsidR="000F4DC9" w:rsidRPr="00B746B9" w:rsidRDefault="000F4DC9" w:rsidP="008C5DB2">
            <w:pPr>
              <w:rPr>
                <w:rFonts w:ascii="David" w:hAnsi="David"/>
                <w:b/>
                <w:bCs/>
                <w:sz w:val="28"/>
                <w:szCs w:val="28"/>
                <w:rtl/>
              </w:rPr>
            </w:pPr>
            <w:r w:rsidRPr="00B746B9">
              <w:rPr>
                <w:rFonts w:ascii="David" w:hAnsi="David"/>
                <w:b/>
                <w:bCs/>
                <w:sz w:val="28"/>
                <w:szCs w:val="28"/>
                <w:rtl/>
              </w:rPr>
              <w:t>כבוד השופט  דוד שאול גבאי ריכטר</w:t>
            </w:r>
          </w:p>
          <w:p w14:paraId="2793F2C9" w14:textId="77777777" w:rsidR="000F4DC9" w:rsidRPr="00B746B9" w:rsidRDefault="000F4DC9" w:rsidP="008C5DB2">
            <w:pPr>
              <w:rPr>
                <w:rFonts w:ascii="David" w:hAnsi="David"/>
                <w:b/>
                <w:bCs/>
                <w:sz w:val="28"/>
                <w:szCs w:val="28"/>
                <w:rtl/>
              </w:rPr>
            </w:pPr>
          </w:p>
          <w:p w14:paraId="71D5E315" w14:textId="77777777" w:rsidR="000F4DC9" w:rsidRPr="00B746B9" w:rsidRDefault="000F4DC9" w:rsidP="000F4DC9">
            <w:pPr>
              <w:jc w:val="both"/>
              <w:rPr>
                <w:rFonts w:ascii="David" w:hAnsi="David"/>
                <w:b/>
                <w:bCs/>
                <w:sz w:val="28"/>
                <w:szCs w:val="28"/>
              </w:rPr>
            </w:pPr>
          </w:p>
        </w:tc>
      </w:tr>
      <w:tr w:rsidR="000F4DC9" w:rsidRPr="00B746B9" w14:paraId="5FF8A3D0" w14:textId="77777777" w:rsidTr="002C7BEE">
        <w:trPr>
          <w:trHeight w:val="355"/>
          <w:jc w:val="center"/>
        </w:trPr>
        <w:tc>
          <w:tcPr>
            <w:tcW w:w="945" w:type="dxa"/>
            <w:tcBorders>
              <w:top w:val="nil"/>
              <w:left w:val="nil"/>
              <w:bottom w:val="nil"/>
              <w:right w:val="nil"/>
            </w:tcBorders>
            <w:shd w:val="clear" w:color="auto" w:fill="auto"/>
          </w:tcPr>
          <w:p w14:paraId="7837555A" w14:textId="77777777" w:rsidR="000F4DC9" w:rsidRPr="00B746B9" w:rsidRDefault="000F4DC9" w:rsidP="000F4DC9">
            <w:pPr>
              <w:jc w:val="both"/>
              <w:rPr>
                <w:rFonts w:ascii="David" w:hAnsi="David"/>
                <w:b/>
                <w:bCs/>
                <w:sz w:val="28"/>
                <w:szCs w:val="28"/>
              </w:rPr>
            </w:pPr>
            <w:bookmarkStart w:id="1" w:name="FirstAppellant"/>
            <w:bookmarkStart w:id="2" w:name="FirstLawyer"/>
            <w:r w:rsidRPr="00B746B9">
              <w:rPr>
                <w:rFonts w:ascii="David" w:hAnsi="David"/>
                <w:b/>
                <w:bCs/>
                <w:sz w:val="28"/>
                <w:szCs w:val="28"/>
                <w:rtl/>
              </w:rPr>
              <w:t>בעניין:</w:t>
            </w:r>
          </w:p>
        </w:tc>
        <w:tc>
          <w:tcPr>
            <w:tcW w:w="3211" w:type="dxa"/>
            <w:tcBorders>
              <w:top w:val="nil"/>
              <w:left w:val="nil"/>
              <w:bottom w:val="nil"/>
              <w:right w:val="nil"/>
            </w:tcBorders>
            <w:shd w:val="clear" w:color="auto" w:fill="auto"/>
          </w:tcPr>
          <w:p w14:paraId="7DD25A5F" w14:textId="77777777" w:rsidR="000F4DC9" w:rsidRPr="00B746B9" w:rsidRDefault="000F4DC9" w:rsidP="000F4DC9">
            <w:pPr>
              <w:suppressLineNumbers/>
              <w:rPr>
                <w:b/>
                <w:bCs/>
                <w:sz w:val="28"/>
                <w:szCs w:val="28"/>
              </w:rPr>
            </w:pPr>
            <w:r w:rsidRPr="00B746B9">
              <w:rPr>
                <w:rFonts w:ascii="Arial" w:hAnsi="Arial" w:hint="cs"/>
                <w:b/>
                <w:bCs/>
                <w:sz w:val="28"/>
                <w:szCs w:val="28"/>
                <w:rtl/>
              </w:rPr>
              <w:t>ה</w:t>
            </w:r>
            <w:r w:rsidRPr="00B746B9">
              <w:rPr>
                <w:rFonts w:ascii="Arial" w:hAnsi="Arial"/>
                <w:b/>
                <w:bCs/>
                <w:sz w:val="28"/>
                <w:szCs w:val="28"/>
                <w:rtl/>
              </w:rPr>
              <w:t>מאשימה</w:t>
            </w:r>
          </w:p>
          <w:p w14:paraId="09E1F84F" w14:textId="77777777" w:rsidR="000F4DC9" w:rsidRPr="00B746B9" w:rsidRDefault="000F4DC9" w:rsidP="008C5DB2">
            <w:pPr>
              <w:rPr>
                <w:rFonts w:ascii="David" w:hAnsi="David"/>
                <w:b/>
                <w:bCs/>
                <w:sz w:val="28"/>
                <w:szCs w:val="28"/>
              </w:rPr>
            </w:pPr>
          </w:p>
        </w:tc>
        <w:tc>
          <w:tcPr>
            <w:tcW w:w="4664" w:type="dxa"/>
            <w:tcBorders>
              <w:top w:val="nil"/>
              <w:left w:val="nil"/>
              <w:bottom w:val="nil"/>
              <w:right w:val="nil"/>
            </w:tcBorders>
            <w:shd w:val="clear" w:color="auto" w:fill="auto"/>
            <w:vAlign w:val="center"/>
          </w:tcPr>
          <w:p w14:paraId="3CFFA3AD" w14:textId="77777777" w:rsidR="000F4DC9" w:rsidRPr="00B746B9" w:rsidRDefault="000F4DC9" w:rsidP="000F4DC9">
            <w:pPr>
              <w:suppressLineNumbers/>
              <w:rPr>
                <w:rFonts w:ascii="Arial" w:hAnsi="Arial"/>
                <w:b/>
                <w:bCs/>
                <w:sz w:val="28"/>
                <w:szCs w:val="28"/>
                <w:rtl/>
              </w:rPr>
            </w:pPr>
            <w:r w:rsidRPr="00B746B9">
              <w:rPr>
                <w:rFonts w:ascii="Arial" w:hAnsi="Arial"/>
                <w:b/>
                <w:bCs/>
                <w:sz w:val="28"/>
                <w:szCs w:val="28"/>
                <w:rtl/>
              </w:rPr>
              <w:t>מדינת ישראל</w:t>
            </w:r>
            <w:r w:rsidRPr="00B746B9">
              <w:rPr>
                <w:rFonts w:ascii="Arial" w:hAnsi="Arial" w:hint="cs"/>
                <w:b/>
                <w:bCs/>
                <w:sz w:val="28"/>
                <w:szCs w:val="28"/>
                <w:rtl/>
              </w:rPr>
              <w:t xml:space="preserve"> </w:t>
            </w:r>
          </w:p>
          <w:p w14:paraId="3636E76F" w14:textId="77777777" w:rsidR="000F4DC9" w:rsidRPr="00B746B9" w:rsidRDefault="000F4DC9" w:rsidP="000F4DC9">
            <w:pPr>
              <w:suppressLineNumbers/>
              <w:rPr>
                <w:b/>
                <w:bCs/>
                <w:sz w:val="28"/>
                <w:szCs w:val="28"/>
                <w:rtl/>
              </w:rPr>
            </w:pPr>
            <w:r w:rsidRPr="00B746B9">
              <w:rPr>
                <w:rFonts w:ascii="Arial" w:hAnsi="Arial"/>
                <w:b/>
                <w:bCs/>
                <w:sz w:val="28"/>
                <w:szCs w:val="28"/>
                <w:rtl/>
              </w:rPr>
              <w:t xml:space="preserve">ע"י ב"כ </w:t>
            </w:r>
            <w:r w:rsidRPr="00B746B9">
              <w:rPr>
                <w:rFonts w:ascii="Arial" w:hAnsi="Arial" w:hint="cs"/>
                <w:b/>
                <w:bCs/>
                <w:sz w:val="28"/>
                <w:szCs w:val="28"/>
                <w:rtl/>
              </w:rPr>
              <w:t>גב' תהילה לויאני, מתמחה</w:t>
            </w:r>
          </w:p>
          <w:p w14:paraId="73596104" w14:textId="77777777" w:rsidR="000F4DC9" w:rsidRPr="00B746B9" w:rsidRDefault="000F4DC9" w:rsidP="000F4DC9">
            <w:pPr>
              <w:suppressLineNumbers/>
              <w:rPr>
                <w:b/>
                <w:bCs/>
                <w:sz w:val="28"/>
                <w:szCs w:val="28"/>
              </w:rPr>
            </w:pPr>
            <w:r w:rsidRPr="00B746B9">
              <w:rPr>
                <w:rFonts w:hint="cs"/>
                <w:b/>
                <w:bCs/>
                <w:sz w:val="28"/>
                <w:szCs w:val="28"/>
                <w:rtl/>
              </w:rPr>
              <w:t xml:space="preserve">מטעם תביעות ירושלים </w:t>
            </w:r>
          </w:p>
          <w:p w14:paraId="46EBD289" w14:textId="77777777" w:rsidR="000F4DC9" w:rsidRPr="00B746B9" w:rsidRDefault="000F4DC9" w:rsidP="008C5DB2">
            <w:pPr>
              <w:rPr>
                <w:rFonts w:ascii="David" w:hAnsi="David"/>
                <w:b/>
                <w:bCs/>
                <w:sz w:val="28"/>
                <w:szCs w:val="28"/>
              </w:rPr>
            </w:pPr>
          </w:p>
        </w:tc>
      </w:tr>
      <w:bookmarkEnd w:id="1"/>
      <w:bookmarkEnd w:id="2"/>
      <w:tr w:rsidR="000F4DC9" w:rsidRPr="00B746B9" w14:paraId="2B163629" w14:textId="77777777" w:rsidTr="002C7BEE">
        <w:trPr>
          <w:trHeight w:val="355"/>
          <w:jc w:val="center"/>
        </w:trPr>
        <w:tc>
          <w:tcPr>
            <w:tcW w:w="945" w:type="dxa"/>
            <w:tcBorders>
              <w:top w:val="nil"/>
              <w:left w:val="nil"/>
              <w:bottom w:val="nil"/>
              <w:right w:val="nil"/>
            </w:tcBorders>
            <w:shd w:val="clear" w:color="auto" w:fill="auto"/>
          </w:tcPr>
          <w:p w14:paraId="60B15ECB" w14:textId="77777777" w:rsidR="000F4DC9" w:rsidRPr="00B746B9" w:rsidRDefault="000F4DC9" w:rsidP="000F4DC9">
            <w:pPr>
              <w:jc w:val="both"/>
              <w:rPr>
                <w:rFonts w:ascii="David" w:hAnsi="David"/>
                <w:b/>
                <w:bCs/>
                <w:sz w:val="28"/>
                <w:szCs w:val="28"/>
                <w:rtl/>
              </w:rPr>
            </w:pPr>
          </w:p>
        </w:tc>
        <w:tc>
          <w:tcPr>
            <w:tcW w:w="7875" w:type="dxa"/>
            <w:gridSpan w:val="2"/>
            <w:tcBorders>
              <w:top w:val="nil"/>
              <w:left w:val="nil"/>
              <w:bottom w:val="nil"/>
              <w:right w:val="nil"/>
            </w:tcBorders>
            <w:shd w:val="clear" w:color="auto" w:fill="auto"/>
          </w:tcPr>
          <w:p w14:paraId="0F8E71BC" w14:textId="77777777" w:rsidR="000F4DC9" w:rsidRPr="00B746B9" w:rsidRDefault="000F4DC9" w:rsidP="000F4DC9">
            <w:pPr>
              <w:jc w:val="center"/>
              <w:rPr>
                <w:rFonts w:ascii="David" w:hAnsi="David"/>
                <w:b/>
                <w:bCs/>
                <w:sz w:val="28"/>
                <w:szCs w:val="28"/>
                <w:rtl/>
              </w:rPr>
            </w:pPr>
          </w:p>
          <w:p w14:paraId="66ADE08F" w14:textId="77777777" w:rsidR="000F4DC9" w:rsidRPr="00B746B9" w:rsidRDefault="000F4DC9" w:rsidP="000F4DC9">
            <w:pPr>
              <w:jc w:val="center"/>
              <w:rPr>
                <w:rFonts w:ascii="David" w:hAnsi="David"/>
                <w:b/>
                <w:bCs/>
                <w:sz w:val="28"/>
                <w:szCs w:val="28"/>
                <w:rtl/>
              </w:rPr>
            </w:pPr>
            <w:r w:rsidRPr="00B746B9">
              <w:rPr>
                <w:rFonts w:ascii="David" w:hAnsi="David"/>
                <w:b/>
                <w:bCs/>
                <w:sz w:val="28"/>
                <w:szCs w:val="28"/>
                <w:rtl/>
              </w:rPr>
              <w:t>נגד</w:t>
            </w:r>
          </w:p>
          <w:p w14:paraId="378CAEAF" w14:textId="77777777" w:rsidR="000F4DC9" w:rsidRPr="00B746B9" w:rsidRDefault="000F4DC9" w:rsidP="000F4DC9">
            <w:pPr>
              <w:jc w:val="both"/>
              <w:rPr>
                <w:rFonts w:ascii="David" w:hAnsi="David"/>
                <w:b/>
                <w:bCs/>
                <w:sz w:val="28"/>
                <w:szCs w:val="28"/>
              </w:rPr>
            </w:pPr>
          </w:p>
        </w:tc>
      </w:tr>
      <w:tr w:rsidR="000F4DC9" w:rsidRPr="00B746B9" w14:paraId="08E36BFB" w14:textId="77777777" w:rsidTr="002C7BEE">
        <w:trPr>
          <w:trHeight w:val="355"/>
          <w:jc w:val="center"/>
        </w:trPr>
        <w:tc>
          <w:tcPr>
            <w:tcW w:w="945" w:type="dxa"/>
            <w:tcBorders>
              <w:top w:val="nil"/>
              <w:left w:val="nil"/>
              <w:bottom w:val="nil"/>
              <w:right w:val="nil"/>
            </w:tcBorders>
            <w:shd w:val="clear" w:color="auto" w:fill="auto"/>
          </w:tcPr>
          <w:p w14:paraId="0E287A6B" w14:textId="77777777" w:rsidR="000F4DC9" w:rsidRPr="00B746B9" w:rsidRDefault="000F4DC9" w:rsidP="008C5DB2">
            <w:pPr>
              <w:rPr>
                <w:rFonts w:ascii="David" w:hAnsi="David"/>
                <w:b/>
                <w:bCs/>
                <w:sz w:val="28"/>
                <w:szCs w:val="28"/>
                <w:rtl/>
              </w:rPr>
            </w:pPr>
          </w:p>
        </w:tc>
        <w:tc>
          <w:tcPr>
            <w:tcW w:w="3211" w:type="dxa"/>
            <w:tcBorders>
              <w:top w:val="nil"/>
              <w:left w:val="nil"/>
              <w:bottom w:val="nil"/>
              <w:right w:val="nil"/>
            </w:tcBorders>
            <w:shd w:val="clear" w:color="auto" w:fill="auto"/>
          </w:tcPr>
          <w:p w14:paraId="41ED2533" w14:textId="77777777" w:rsidR="000F4DC9" w:rsidRPr="00B746B9" w:rsidRDefault="000F4DC9" w:rsidP="008C5DB2">
            <w:pPr>
              <w:rPr>
                <w:rFonts w:ascii="Arial" w:hAnsi="Arial"/>
                <w:b/>
                <w:bCs/>
                <w:sz w:val="28"/>
                <w:szCs w:val="28"/>
                <w:rtl/>
              </w:rPr>
            </w:pPr>
            <w:r w:rsidRPr="00B746B9">
              <w:rPr>
                <w:rFonts w:ascii="Arial" w:hAnsi="Arial"/>
                <w:b/>
                <w:bCs/>
                <w:sz w:val="28"/>
                <w:szCs w:val="28"/>
                <w:rtl/>
              </w:rPr>
              <w:t>הנאשם</w:t>
            </w:r>
          </w:p>
        </w:tc>
        <w:tc>
          <w:tcPr>
            <w:tcW w:w="4664" w:type="dxa"/>
            <w:tcBorders>
              <w:top w:val="nil"/>
              <w:left w:val="nil"/>
              <w:bottom w:val="nil"/>
              <w:right w:val="nil"/>
            </w:tcBorders>
            <w:shd w:val="clear" w:color="auto" w:fill="auto"/>
            <w:vAlign w:val="center"/>
          </w:tcPr>
          <w:p w14:paraId="41B8F68F" w14:textId="77777777" w:rsidR="000F4DC9" w:rsidRPr="00B746B9" w:rsidRDefault="000F4DC9" w:rsidP="000F4DC9">
            <w:pPr>
              <w:suppressLineNumbers/>
              <w:rPr>
                <w:rFonts w:ascii="Arial" w:hAnsi="Arial"/>
                <w:b/>
                <w:bCs/>
                <w:sz w:val="28"/>
                <w:szCs w:val="28"/>
                <w:rtl/>
              </w:rPr>
            </w:pPr>
            <w:r w:rsidRPr="00B746B9">
              <w:rPr>
                <w:rFonts w:ascii="Arial" w:hAnsi="Arial"/>
                <w:b/>
                <w:bCs/>
                <w:sz w:val="28"/>
                <w:szCs w:val="28"/>
                <w:rtl/>
              </w:rPr>
              <w:t>רוני מסקאלצי (אחר/נוסף)</w:t>
            </w:r>
            <w:r w:rsidRPr="00B746B9">
              <w:rPr>
                <w:rFonts w:ascii="Arial" w:hAnsi="Arial" w:hint="cs"/>
                <w:b/>
                <w:bCs/>
                <w:sz w:val="28"/>
                <w:szCs w:val="28"/>
                <w:rtl/>
              </w:rPr>
              <w:t xml:space="preserve"> </w:t>
            </w:r>
          </w:p>
          <w:p w14:paraId="6FD7AE67" w14:textId="77777777" w:rsidR="000F4DC9" w:rsidRPr="00B746B9" w:rsidRDefault="000F4DC9" w:rsidP="000F4DC9">
            <w:pPr>
              <w:suppressLineNumbers/>
              <w:rPr>
                <w:b/>
                <w:bCs/>
                <w:sz w:val="28"/>
                <w:szCs w:val="28"/>
              </w:rPr>
            </w:pPr>
            <w:r w:rsidRPr="00B746B9">
              <w:rPr>
                <w:rFonts w:ascii="Arial" w:hAnsi="Arial"/>
                <w:b/>
                <w:bCs/>
                <w:sz w:val="28"/>
                <w:szCs w:val="28"/>
                <w:rtl/>
              </w:rPr>
              <w:t>ע"י ב"כ עוה"ד</w:t>
            </w:r>
            <w:r w:rsidRPr="00B746B9">
              <w:rPr>
                <w:rFonts w:ascii="Arial" w:hAnsi="Arial" w:hint="cs"/>
                <w:b/>
                <w:bCs/>
                <w:sz w:val="28"/>
                <w:szCs w:val="28"/>
                <w:rtl/>
              </w:rPr>
              <w:t xml:space="preserve"> עודד רגב</w:t>
            </w:r>
          </w:p>
          <w:p w14:paraId="404A992F" w14:textId="77777777" w:rsidR="000F4DC9" w:rsidRPr="00B746B9" w:rsidRDefault="000F4DC9" w:rsidP="008C5DB2">
            <w:pPr>
              <w:rPr>
                <w:rFonts w:ascii="David" w:hAnsi="David"/>
                <w:b/>
                <w:bCs/>
                <w:sz w:val="28"/>
                <w:szCs w:val="28"/>
              </w:rPr>
            </w:pPr>
          </w:p>
        </w:tc>
      </w:tr>
    </w:tbl>
    <w:p w14:paraId="17B22FBD" w14:textId="77777777" w:rsidR="00B746B9" w:rsidRPr="00B746B9" w:rsidRDefault="00B746B9" w:rsidP="00B746B9">
      <w:pPr>
        <w:spacing w:before="120" w:after="120" w:line="240" w:lineRule="exact"/>
        <w:ind w:left="283" w:hanging="283"/>
        <w:jc w:val="both"/>
        <w:rPr>
          <w:rFonts w:ascii="FrankRuehl" w:hAnsi="FrankRuehl" w:cs="FrankRuehl"/>
          <w:rtl/>
        </w:rPr>
      </w:pPr>
    </w:p>
    <w:p w14:paraId="29DE17F0" w14:textId="77777777" w:rsidR="00B746B9" w:rsidRPr="00B746B9" w:rsidRDefault="00B746B9" w:rsidP="00B746B9">
      <w:pPr>
        <w:rPr>
          <w:sz w:val="26"/>
          <w:szCs w:val="26"/>
          <w:rtl/>
        </w:rPr>
      </w:pPr>
    </w:p>
    <w:p w14:paraId="48492775" w14:textId="77777777" w:rsidR="002C7BEE" w:rsidRPr="002C7BEE" w:rsidRDefault="002C7BEE" w:rsidP="002C7BEE">
      <w:pPr>
        <w:spacing w:before="120" w:after="120" w:line="240" w:lineRule="exact"/>
        <w:ind w:left="283" w:hanging="283"/>
        <w:jc w:val="both"/>
        <w:rPr>
          <w:rFonts w:ascii="FrankRuehl" w:hAnsi="FrankRuehl" w:cs="FrankRuehl"/>
          <w:rtl/>
        </w:rPr>
      </w:pPr>
    </w:p>
    <w:p w14:paraId="397B821B" w14:textId="77777777" w:rsidR="008E1855" w:rsidRPr="008E1855" w:rsidRDefault="008E1855" w:rsidP="008E1855">
      <w:pPr>
        <w:spacing w:before="120" w:after="120" w:line="240" w:lineRule="exact"/>
        <w:ind w:left="283" w:hanging="283"/>
        <w:jc w:val="both"/>
        <w:rPr>
          <w:rFonts w:ascii="FrankRuehl" w:hAnsi="FrankRuehl" w:cs="FrankRuehl"/>
          <w:rtl/>
        </w:rPr>
      </w:pPr>
    </w:p>
    <w:p w14:paraId="523B0E0A" w14:textId="77777777" w:rsidR="00735E42" w:rsidRDefault="00735E42" w:rsidP="00735E42">
      <w:pPr>
        <w:rPr>
          <w:sz w:val="26"/>
          <w:szCs w:val="26"/>
          <w:rtl/>
        </w:rPr>
      </w:pPr>
      <w:bookmarkStart w:id="3" w:name="LawTable"/>
      <w:bookmarkEnd w:id="3"/>
    </w:p>
    <w:p w14:paraId="3E96735E" w14:textId="77777777" w:rsidR="00735E42" w:rsidRPr="00735E42" w:rsidRDefault="00735E42" w:rsidP="00735E42">
      <w:pPr>
        <w:spacing w:before="120" w:after="120" w:line="240" w:lineRule="exact"/>
        <w:ind w:left="283" w:hanging="283"/>
        <w:jc w:val="both"/>
        <w:rPr>
          <w:rFonts w:ascii="FrankRuehl" w:hAnsi="FrankRuehl" w:cs="FrankRuehl"/>
          <w:rtl/>
        </w:rPr>
      </w:pPr>
    </w:p>
    <w:p w14:paraId="2CD4BFE8" w14:textId="77777777" w:rsidR="00735E42" w:rsidRPr="00735E42" w:rsidRDefault="00735E42" w:rsidP="00735E42">
      <w:pPr>
        <w:spacing w:before="120" w:after="120" w:line="240" w:lineRule="exact"/>
        <w:ind w:left="283" w:hanging="283"/>
        <w:jc w:val="both"/>
        <w:rPr>
          <w:rFonts w:ascii="FrankRuehl" w:hAnsi="FrankRuehl" w:cs="FrankRuehl"/>
          <w:rtl/>
        </w:rPr>
      </w:pPr>
    </w:p>
    <w:p w14:paraId="78D2EA30" w14:textId="77777777" w:rsidR="00735E42" w:rsidRPr="00735E42" w:rsidRDefault="00735E42" w:rsidP="00735E42">
      <w:pPr>
        <w:spacing w:before="120" w:after="120" w:line="240" w:lineRule="exact"/>
        <w:ind w:left="283" w:hanging="283"/>
        <w:jc w:val="both"/>
        <w:rPr>
          <w:rFonts w:ascii="FrankRuehl" w:hAnsi="FrankRuehl" w:cs="FrankRuehl"/>
          <w:rtl/>
        </w:rPr>
      </w:pPr>
      <w:r w:rsidRPr="00735E42">
        <w:rPr>
          <w:rFonts w:ascii="FrankRuehl" w:hAnsi="FrankRuehl" w:cs="FrankRuehl"/>
          <w:rtl/>
        </w:rPr>
        <w:t xml:space="preserve">חקיקה שאוזכרה: </w:t>
      </w:r>
    </w:p>
    <w:p w14:paraId="4E6F3B82" w14:textId="77777777" w:rsidR="00735E42" w:rsidRPr="00735E42" w:rsidRDefault="00735E42" w:rsidP="00735E42">
      <w:pPr>
        <w:spacing w:before="120" w:after="120" w:line="240" w:lineRule="exact"/>
        <w:ind w:left="283" w:hanging="283"/>
        <w:jc w:val="both"/>
        <w:rPr>
          <w:rFonts w:ascii="FrankRuehl" w:hAnsi="FrankRuehl" w:cs="FrankRuehl"/>
          <w:rtl/>
        </w:rPr>
      </w:pPr>
      <w:hyperlink r:id="rId7" w:history="1">
        <w:r w:rsidRPr="00735E42">
          <w:rPr>
            <w:rFonts w:ascii="FrankRuehl" w:hAnsi="FrankRuehl" w:cs="FrankRuehl"/>
            <w:color w:val="0000FF"/>
            <w:rtl/>
          </w:rPr>
          <w:t>פקודת הסמים המסוכנים [נוסח חדש], תשל"ג-1973</w:t>
        </w:r>
      </w:hyperlink>
      <w:r w:rsidRPr="00735E42">
        <w:rPr>
          <w:rFonts w:ascii="FrankRuehl" w:hAnsi="FrankRuehl" w:cs="FrankRuehl"/>
          <w:rtl/>
        </w:rPr>
        <w:t xml:space="preserve">: סע'  </w:t>
      </w:r>
      <w:hyperlink r:id="rId8" w:history="1">
        <w:r w:rsidRPr="00735E42">
          <w:rPr>
            <w:rFonts w:ascii="FrankRuehl" w:hAnsi="FrankRuehl" w:cs="FrankRuehl"/>
            <w:color w:val="0000FF"/>
            <w:rtl/>
          </w:rPr>
          <w:t>7.א.</w:t>
        </w:r>
      </w:hyperlink>
      <w:r w:rsidRPr="00735E42">
        <w:rPr>
          <w:rFonts w:ascii="FrankRuehl" w:hAnsi="FrankRuehl" w:cs="FrankRuehl"/>
          <w:rtl/>
        </w:rPr>
        <w:t xml:space="preserve">, </w:t>
      </w:r>
      <w:hyperlink r:id="rId9" w:history="1">
        <w:r w:rsidRPr="00735E42">
          <w:rPr>
            <w:rFonts w:ascii="FrankRuehl" w:hAnsi="FrankRuehl" w:cs="FrankRuehl"/>
            <w:color w:val="0000FF"/>
            <w:rtl/>
          </w:rPr>
          <w:t>7.ג</w:t>
        </w:r>
      </w:hyperlink>
      <w:r w:rsidRPr="00735E42">
        <w:rPr>
          <w:rFonts w:ascii="FrankRuehl" w:hAnsi="FrankRuehl" w:cs="FrankRuehl"/>
          <w:rtl/>
        </w:rPr>
        <w:t xml:space="preserve">, </w:t>
      </w:r>
      <w:hyperlink r:id="rId10" w:history="1">
        <w:r w:rsidRPr="00735E42">
          <w:rPr>
            <w:rFonts w:ascii="FrankRuehl" w:hAnsi="FrankRuehl" w:cs="FrankRuehl"/>
            <w:color w:val="0000FF"/>
            <w:rtl/>
          </w:rPr>
          <w:t>13</w:t>
        </w:r>
      </w:hyperlink>
      <w:r w:rsidRPr="00735E42">
        <w:rPr>
          <w:rFonts w:ascii="FrankRuehl" w:hAnsi="FrankRuehl" w:cs="FrankRuehl"/>
          <w:rtl/>
        </w:rPr>
        <w:t xml:space="preserve">, </w:t>
      </w:r>
      <w:hyperlink r:id="rId11" w:history="1">
        <w:r w:rsidRPr="00735E42">
          <w:rPr>
            <w:rFonts w:ascii="FrankRuehl" w:hAnsi="FrankRuehl" w:cs="FrankRuehl"/>
            <w:color w:val="0000FF"/>
            <w:rtl/>
          </w:rPr>
          <w:t>19א</w:t>
        </w:r>
      </w:hyperlink>
    </w:p>
    <w:p w14:paraId="1C4ABEAC" w14:textId="77777777" w:rsidR="00735E42" w:rsidRPr="00735E42" w:rsidRDefault="00735E42" w:rsidP="00735E42">
      <w:pPr>
        <w:spacing w:before="120" w:after="120" w:line="240" w:lineRule="exact"/>
        <w:ind w:left="283" w:hanging="283"/>
        <w:jc w:val="both"/>
        <w:rPr>
          <w:rFonts w:ascii="FrankRuehl" w:hAnsi="FrankRuehl" w:cs="FrankRuehl"/>
          <w:rtl/>
        </w:rPr>
      </w:pPr>
      <w:hyperlink r:id="rId12" w:history="1">
        <w:r w:rsidRPr="00735E42">
          <w:rPr>
            <w:rFonts w:ascii="FrankRuehl" w:hAnsi="FrankRuehl" w:cs="FrankRuehl"/>
            <w:color w:val="0000FF"/>
            <w:rtl/>
          </w:rPr>
          <w:t>תקנות התעבורה, תשכ"א-1961 - לא מרובדות</w:t>
        </w:r>
      </w:hyperlink>
      <w:r w:rsidRPr="00735E42">
        <w:rPr>
          <w:rFonts w:ascii="FrankRuehl" w:hAnsi="FrankRuehl" w:cs="FrankRuehl"/>
          <w:rtl/>
        </w:rPr>
        <w:t xml:space="preserve">: סע'  </w:t>
      </w:r>
      <w:hyperlink r:id="rId13" w:history="1">
        <w:r w:rsidRPr="00735E42">
          <w:rPr>
            <w:rFonts w:ascii="FrankRuehl" w:hAnsi="FrankRuehl" w:cs="FrankRuehl"/>
            <w:color w:val="0000FF"/>
            <w:rtl/>
          </w:rPr>
          <w:t>15ב(1)</w:t>
        </w:r>
      </w:hyperlink>
    </w:p>
    <w:p w14:paraId="7A819B28" w14:textId="77777777" w:rsidR="00735E42" w:rsidRPr="00735E42" w:rsidRDefault="00735E42" w:rsidP="00735E42">
      <w:pPr>
        <w:rPr>
          <w:sz w:val="26"/>
          <w:szCs w:val="26"/>
          <w:rtl/>
        </w:rPr>
      </w:pPr>
      <w:bookmarkStart w:id="4" w:name="LawTable_End"/>
      <w:bookmarkEnd w:id="4"/>
    </w:p>
    <w:p w14:paraId="592A4318" w14:textId="77777777" w:rsidR="002C7BEE" w:rsidRPr="008E1855" w:rsidRDefault="002C7BEE" w:rsidP="008E1855">
      <w:pPr>
        <w:rPr>
          <w:rFonts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F4DC9" w14:paraId="1CA18D5F" w14:textId="77777777" w:rsidTr="000F4DC9">
        <w:trPr>
          <w:trHeight w:val="355"/>
          <w:jc w:val="center"/>
        </w:trPr>
        <w:tc>
          <w:tcPr>
            <w:tcW w:w="8820" w:type="dxa"/>
            <w:tcBorders>
              <w:top w:val="nil"/>
              <w:left w:val="nil"/>
              <w:bottom w:val="nil"/>
              <w:right w:val="nil"/>
            </w:tcBorders>
            <w:shd w:val="clear" w:color="auto" w:fill="auto"/>
          </w:tcPr>
          <w:p w14:paraId="455CC968" w14:textId="77777777" w:rsidR="00B746B9" w:rsidRPr="00B746B9" w:rsidRDefault="00B746B9" w:rsidP="00B746B9">
            <w:pPr>
              <w:jc w:val="center"/>
              <w:rPr>
                <w:rFonts w:ascii="David" w:hAnsi="David"/>
                <w:b/>
                <w:bCs/>
                <w:sz w:val="32"/>
                <w:szCs w:val="32"/>
                <w:u w:val="single"/>
                <w:rtl/>
              </w:rPr>
            </w:pPr>
            <w:bookmarkStart w:id="5" w:name="PsakDin" w:colFirst="0" w:colLast="0"/>
            <w:bookmarkEnd w:id="0"/>
            <w:r w:rsidRPr="00B746B9">
              <w:rPr>
                <w:rFonts w:ascii="David" w:hAnsi="David"/>
                <w:b/>
                <w:bCs/>
                <w:sz w:val="32"/>
                <w:szCs w:val="32"/>
                <w:u w:val="single"/>
                <w:rtl/>
              </w:rPr>
              <w:t>גזר דין</w:t>
            </w:r>
          </w:p>
          <w:p w14:paraId="13A784E2" w14:textId="77777777" w:rsidR="000F4DC9" w:rsidRPr="00B746B9" w:rsidRDefault="000F4DC9" w:rsidP="00B746B9">
            <w:pPr>
              <w:jc w:val="center"/>
              <w:rPr>
                <w:rFonts w:ascii="David" w:hAnsi="David"/>
                <w:bCs/>
                <w:sz w:val="32"/>
                <w:szCs w:val="32"/>
                <w:u w:val="single"/>
                <w:rtl/>
              </w:rPr>
            </w:pPr>
          </w:p>
        </w:tc>
      </w:tr>
      <w:bookmarkEnd w:id="5"/>
    </w:tbl>
    <w:p w14:paraId="7CB942FC" w14:textId="77777777" w:rsidR="000F4DC9" w:rsidRPr="000F2247" w:rsidRDefault="000F4DC9" w:rsidP="000F4DC9">
      <w:pPr>
        <w:rPr>
          <w:rFonts w:ascii="Arial" w:hAnsi="Arial"/>
          <w:b/>
          <w:bCs/>
          <w:sz w:val="26"/>
          <w:szCs w:val="26"/>
          <w:rtl/>
        </w:rPr>
      </w:pPr>
    </w:p>
    <w:p w14:paraId="6A4BB6B4" w14:textId="77777777" w:rsidR="000F4DC9" w:rsidRPr="000F2247" w:rsidRDefault="000F4DC9" w:rsidP="000F4DC9">
      <w:pPr>
        <w:rPr>
          <w:rFonts w:ascii="Arial" w:hAnsi="Arial"/>
          <w:b/>
          <w:bCs/>
          <w:sz w:val="26"/>
          <w:szCs w:val="26"/>
          <w:rtl/>
        </w:rPr>
      </w:pPr>
    </w:p>
    <w:p w14:paraId="75AD0CA7" w14:textId="77777777" w:rsidR="000F4DC9" w:rsidRDefault="000F4DC9" w:rsidP="000F4DC9">
      <w:pPr>
        <w:spacing w:after="160" w:line="252" w:lineRule="auto"/>
        <w:rPr>
          <w:rFonts w:ascii="David" w:hAnsi="David"/>
          <w:b/>
          <w:bCs/>
          <w:sz w:val="26"/>
          <w:szCs w:val="26"/>
          <w:u w:val="single"/>
        </w:rPr>
      </w:pPr>
      <w:r>
        <w:rPr>
          <w:rFonts w:ascii="David" w:hAnsi="David"/>
          <w:b/>
          <w:bCs/>
          <w:sz w:val="26"/>
          <w:szCs w:val="26"/>
          <w:u w:val="single"/>
          <w:rtl/>
        </w:rPr>
        <w:t>כתב האישום</w:t>
      </w:r>
      <w:r>
        <w:rPr>
          <w:rFonts w:ascii="David" w:hAnsi="David" w:hint="cs"/>
          <w:b/>
          <w:bCs/>
          <w:sz w:val="26"/>
          <w:szCs w:val="26"/>
          <w:u w:val="single"/>
          <w:rtl/>
        </w:rPr>
        <w:t xml:space="preserve"> המקורי בו הודה הנאשם</w:t>
      </w:r>
    </w:p>
    <w:p w14:paraId="0ACB46C7" w14:textId="77777777" w:rsidR="000F4DC9" w:rsidRDefault="000F4DC9" w:rsidP="000F4DC9">
      <w:pPr>
        <w:pStyle w:val="a9"/>
        <w:numPr>
          <w:ilvl w:val="0"/>
          <w:numId w:val="2"/>
        </w:numPr>
        <w:spacing w:after="160" w:line="360" w:lineRule="auto"/>
        <w:jc w:val="both"/>
        <w:rPr>
          <w:rFonts w:ascii="David" w:hAnsi="David"/>
          <w:sz w:val="26"/>
          <w:szCs w:val="26"/>
        </w:rPr>
      </w:pPr>
      <w:bookmarkStart w:id="6" w:name="ABSTRACT_START"/>
      <w:bookmarkEnd w:id="6"/>
      <w:r>
        <w:rPr>
          <w:rFonts w:ascii="David" w:hAnsi="David"/>
          <w:sz w:val="26"/>
          <w:szCs w:val="26"/>
          <w:rtl/>
        </w:rPr>
        <w:t>הנאשם הורשע על פי הודאתו ב</w:t>
      </w:r>
      <w:r>
        <w:rPr>
          <w:rFonts w:ascii="David" w:hAnsi="David" w:hint="cs"/>
          <w:sz w:val="26"/>
          <w:szCs w:val="26"/>
          <w:rtl/>
        </w:rPr>
        <w:t xml:space="preserve">ביצוע </w:t>
      </w:r>
      <w:r w:rsidRPr="006C0B17">
        <w:rPr>
          <w:rFonts w:ascii="David" w:hAnsi="David" w:hint="cs"/>
          <w:b/>
          <w:bCs/>
          <w:sz w:val="26"/>
          <w:szCs w:val="26"/>
          <w:rtl/>
        </w:rPr>
        <w:t>3 עבירות של סחר בסמים</w:t>
      </w:r>
      <w:r>
        <w:rPr>
          <w:rFonts w:ascii="David" w:hAnsi="David" w:hint="cs"/>
          <w:sz w:val="26"/>
          <w:szCs w:val="26"/>
          <w:rtl/>
        </w:rPr>
        <w:t xml:space="preserve"> לפי </w:t>
      </w:r>
      <w:hyperlink r:id="rId14" w:history="1">
        <w:r w:rsidR="002C7BEE" w:rsidRPr="002C7BEE">
          <w:rPr>
            <w:rStyle w:val="Hyperlink"/>
            <w:rFonts w:ascii="David" w:hAnsi="David" w:hint="eastAsia"/>
            <w:sz w:val="26"/>
            <w:szCs w:val="26"/>
            <w:rtl/>
          </w:rPr>
          <w:t>סעיפים</w:t>
        </w:r>
        <w:r w:rsidR="002C7BEE" w:rsidRPr="002C7BEE">
          <w:rPr>
            <w:rStyle w:val="Hyperlink"/>
            <w:rFonts w:ascii="David" w:hAnsi="David"/>
            <w:sz w:val="26"/>
            <w:szCs w:val="26"/>
            <w:rtl/>
          </w:rPr>
          <w:t xml:space="preserve"> 13</w:t>
        </w:r>
      </w:hyperlink>
      <w:r>
        <w:rPr>
          <w:rFonts w:ascii="David" w:hAnsi="David" w:hint="cs"/>
          <w:sz w:val="26"/>
          <w:szCs w:val="26"/>
          <w:rtl/>
        </w:rPr>
        <w:t xml:space="preserve"> ו-</w:t>
      </w:r>
      <w:hyperlink r:id="rId15" w:history="1">
        <w:r w:rsidR="002C7BEE" w:rsidRPr="002C7BEE">
          <w:rPr>
            <w:rStyle w:val="Hyperlink"/>
            <w:rFonts w:ascii="David" w:hAnsi="David"/>
            <w:sz w:val="26"/>
            <w:szCs w:val="26"/>
            <w:rtl/>
          </w:rPr>
          <w:t>19א</w:t>
        </w:r>
      </w:hyperlink>
      <w:r>
        <w:rPr>
          <w:rFonts w:ascii="David" w:hAnsi="David" w:hint="cs"/>
          <w:sz w:val="26"/>
          <w:szCs w:val="26"/>
          <w:rtl/>
        </w:rPr>
        <w:t xml:space="preserve"> ל</w:t>
      </w:r>
      <w:hyperlink r:id="rId16" w:history="1">
        <w:r w:rsidR="00B746B9" w:rsidRPr="00B746B9">
          <w:rPr>
            <w:rFonts w:ascii="David" w:hAnsi="David"/>
            <w:color w:val="0000FF"/>
            <w:sz w:val="26"/>
            <w:szCs w:val="26"/>
            <w:u w:val="single"/>
            <w:rtl/>
          </w:rPr>
          <w:t>פקודת הסמ</w:t>
        </w:r>
        <w:r w:rsidR="00B746B9" w:rsidRPr="00B746B9">
          <w:rPr>
            <w:rFonts w:ascii="David" w:hAnsi="David"/>
            <w:color w:val="0000FF"/>
            <w:sz w:val="26"/>
            <w:szCs w:val="26"/>
            <w:u w:val="single"/>
            <w:rtl/>
          </w:rPr>
          <w:t>י</w:t>
        </w:r>
        <w:r w:rsidR="00B746B9" w:rsidRPr="00B746B9">
          <w:rPr>
            <w:rFonts w:ascii="David" w:hAnsi="David"/>
            <w:color w:val="0000FF"/>
            <w:sz w:val="26"/>
            <w:szCs w:val="26"/>
            <w:u w:val="single"/>
            <w:rtl/>
          </w:rPr>
          <w:t>ם המסוכנים</w:t>
        </w:r>
      </w:hyperlink>
      <w:r>
        <w:rPr>
          <w:rFonts w:ascii="David" w:hAnsi="David" w:hint="cs"/>
          <w:sz w:val="26"/>
          <w:szCs w:val="26"/>
          <w:rtl/>
        </w:rPr>
        <w:t xml:space="preserve">, ובעבירה של </w:t>
      </w:r>
      <w:r w:rsidRPr="006C0B17">
        <w:rPr>
          <w:rFonts w:ascii="David" w:hAnsi="David" w:hint="cs"/>
          <w:b/>
          <w:bCs/>
          <w:sz w:val="26"/>
          <w:szCs w:val="26"/>
          <w:rtl/>
        </w:rPr>
        <w:t>החזקת סמים שלא לצריכה עצמית</w:t>
      </w:r>
      <w:r>
        <w:rPr>
          <w:rFonts w:ascii="David" w:hAnsi="David" w:hint="cs"/>
          <w:sz w:val="26"/>
          <w:szCs w:val="26"/>
          <w:rtl/>
        </w:rPr>
        <w:t xml:space="preserve">, לפי </w:t>
      </w:r>
      <w:r w:rsidR="002C7BEE" w:rsidRPr="002C7BEE">
        <w:rPr>
          <w:rFonts w:ascii="David" w:hAnsi="David" w:hint="eastAsia"/>
          <w:sz w:val="26"/>
          <w:szCs w:val="26"/>
          <w:rtl/>
        </w:rPr>
        <w:t>סעיפים</w:t>
      </w:r>
      <w:r w:rsidR="002C7BEE" w:rsidRPr="002C7BEE">
        <w:rPr>
          <w:rFonts w:ascii="David" w:hAnsi="David"/>
          <w:sz w:val="26"/>
          <w:szCs w:val="26"/>
          <w:rtl/>
        </w:rPr>
        <w:t xml:space="preserve"> </w:t>
      </w:r>
      <w:hyperlink r:id="rId17" w:history="1">
        <w:r w:rsidR="002C7BEE" w:rsidRPr="002C7BEE">
          <w:rPr>
            <w:rStyle w:val="Hyperlink"/>
            <w:rFonts w:ascii="David" w:hAnsi="David"/>
            <w:sz w:val="26"/>
            <w:szCs w:val="26"/>
            <w:rtl/>
          </w:rPr>
          <w:t>7(א)(ג)</w:t>
        </w:r>
      </w:hyperlink>
      <w:r>
        <w:rPr>
          <w:rFonts w:ascii="David" w:hAnsi="David" w:hint="cs"/>
          <w:sz w:val="26"/>
          <w:szCs w:val="26"/>
          <w:rtl/>
        </w:rPr>
        <w:t xml:space="preserve"> רישא לפקודת הסמים. </w:t>
      </w:r>
      <w:r w:rsidRPr="006C0B17">
        <w:rPr>
          <w:rFonts w:ascii="David" w:hAnsi="David" w:hint="cs"/>
          <w:b/>
          <w:bCs/>
          <w:sz w:val="26"/>
          <w:szCs w:val="26"/>
          <w:rtl/>
        </w:rPr>
        <w:t>מהאישום הראשון</w:t>
      </w:r>
      <w:r>
        <w:rPr>
          <w:rFonts w:ascii="David" w:hAnsi="David" w:hint="cs"/>
          <w:sz w:val="26"/>
          <w:szCs w:val="26"/>
          <w:rtl/>
        </w:rPr>
        <w:t xml:space="preserve"> עולה, כי ביום 27.2.2023 נתפס הנאשם במונית כשהוא מחזיק למעלה מ-700 גרם קנביס מחולק ל-124 שקיות, וכן למעלה מ-60 גרם חשיש אף הוא במספר אריות. </w:t>
      </w:r>
      <w:r w:rsidRPr="002801C2">
        <w:rPr>
          <w:rFonts w:ascii="David" w:hAnsi="David" w:hint="cs"/>
          <w:b/>
          <w:bCs/>
          <w:sz w:val="26"/>
          <w:szCs w:val="26"/>
          <w:rtl/>
        </w:rPr>
        <w:t>מהאישום השני</w:t>
      </w:r>
      <w:r>
        <w:rPr>
          <w:rFonts w:ascii="David" w:hAnsi="David" w:hint="cs"/>
          <w:sz w:val="26"/>
          <w:szCs w:val="26"/>
          <w:rtl/>
        </w:rPr>
        <w:t xml:space="preserve"> עולה, כי ביום </w:t>
      </w:r>
      <w:r>
        <w:rPr>
          <w:rFonts w:ascii="David" w:hAnsi="David" w:hint="cs"/>
          <w:sz w:val="26"/>
          <w:szCs w:val="26"/>
          <w:rtl/>
        </w:rPr>
        <w:lastRenderedPageBreak/>
        <w:t xml:space="preserve">13.2.2023 תיאם הנאשם בטלגרם עסקת סמים במסגרתה מכר לי"ד 10 גרם קנביס תמורת 600 ₪. </w:t>
      </w:r>
      <w:r w:rsidRPr="002801C2">
        <w:rPr>
          <w:rFonts w:ascii="David" w:hAnsi="David" w:hint="cs"/>
          <w:b/>
          <w:bCs/>
          <w:sz w:val="26"/>
          <w:szCs w:val="26"/>
          <w:rtl/>
        </w:rPr>
        <w:t>מהאישום השלישי</w:t>
      </w:r>
      <w:r>
        <w:rPr>
          <w:rFonts w:ascii="David" w:hAnsi="David" w:hint="cs"/>
          <w:sz w:val="26"/>
          <w:szCs w:val="26"/>
          <w:rtl/>
        </w:rPr>
        <w:t xml:space="preserve"> עולה, כי הנאשם מכר בשתי הזדמנויות לנ"י קנביס במשקל מצטבר של 20 גרם תמורת סכום כולל של 1,000 ₪ וזאת בימים 7.2.2023 ו-20.2.2023.</w:t>
      </w:r>
    </w:p>
    <w:p w14:paraId="3366E72F" w14:textId="77777777" w:rsidR="000F4DC9" w:rsidRPr="002801C2" w:rsidRDefault="000F4DC9" w:rsidP="000F4DC9">
      <w:pPr>
        <w:spacing w:after="160"/>
        <w:jc w:val="both"/>
        <w:rPr>
          <w:rFonts w:ascii="David" w:hAnsi="David"/>
          <w:b/>
          <w:bCs/>
          <w:sz w:val="26"/>
          <w:szCs w:val="26"/>
          <w:u w:val="single"/>
        </w:rPr>
      </w:pPr>
      <w:bookmarkStart w:id="7" w:name="ABSTRACT_END"/>
      <w:bookmarkEnd w:id="7"/>
    </w:p>
    <w:p w14:paraId="0DBFB3F8" w14:textId="77777777"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מהלך הדיון</w:t>
      </w:r>
    </w:p>
    <w:p w14:paraId="0E67E5EC" w14:textId="77777777" w:rsidR="000F4DC9" w:rsidRDefault="000F4DC9" w:rsidP="000F4DC9">
      <w:pPr>
        <w:pStyle w:val="a9"/>
        <w:numPr>
          <w:ilvl w:val="0"/>
          <w:numId w:val="2"/>
        </w:numPr>
        <w:spacing w:after="160" w:line="360" w:lineRule="auto"/>
        <w:jc w:val="both"/>
        <w:rPr>
          <w:rFonts w:ascii="David" w:hAnsi="David"/>
          <w:sz w:val="26"/>
          <w:szCs w:val="26"/>
        </w:rPr>
      </w:pPr>
      <w:r>
        <w:rPr>
          <w:rFonts w:ascii="David" w:hAnsi="David" w:hint="cs"/>
          <w:sz w:val="26"/>
          <w:szCs w:val="26"/>
          <w:rtl/>
        </w:rPr>
        <w:t>הנאשם נעצר ביום 27.2.2023 ושוחרר למעצר בית מלא ביום 9.3.2023. בחודש מאי 2023 הותר לנאשם לצאת לעבודה ובמועד הכרעת הדין בחודש ספטמבר 2023, הותרתי אותו בתנאי מעצר בית לילי, שבוטלו בחודש יולי 2024. במעמד הכרעת הדין ביקש הסניגור לשלוח את הנאשם לשירות המבחן להכנת תסקיר, וביקש לבחון את שאלת ביטול הרשעת הנאשם, שהוא נהג מונית. כמו כן נשלח הנאשם לממונה על עבודות השירות.</w:t>
      </w:r>
    </w:p>
    <w:p w14:paraId="42EC4462" w14:textId="77777777" w:rsidR="000F4DC9" w:rsidRPr="00CA73FA" w:rsidRDefault="000F4DC9" w:rsidP="000F4DC9">
      <w:pPr>
        <w:spacing w:after="160" w:line="360" w:lineRule="auto"/>
        <w:jc w:val="both"/>
        <w:rPr>
          <w:rFonts w:ascii="David" w:hAnsi="David"/>
          <w:b/>
          <w:bCs/>
          <w:sz w:val="26"/>
          <w:szCs w:val="26"/>
          <w:u w:val="single"/>
        </w:rPr>
      </w:pPr>
    </w:p>
    <w:p w14:paraId="7D083F89" w14:textId="77777777"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תסקיר שירות המבחן</w:t>
      </w:r>
    </w:p>
    <w:p w14:paraId="407A661A" w14:textId="77777777" w:rsidR="000F4DC9" w:rsidRDefault="000F4DC9" w:rsidP="000F4DC9">
      <w:pPr>
        <w:pStyle w:val="a9"/>
        <w:numPr>
          <w:ilvl w:val="0"/>
          <w:numId w:val="2"/>
        </w:numPr>
        <w:spacing w:after="160" w:line="360" w:lineRule="auto"/>
        <w:jc w:val="both"/>
        <w:rPr>
          <w:rFonts w:ascii="David" w:hAnsi="David"/>
          <w:sz w:val="26"/>
          <w:szCs w:val="26"/>
        </w:rPr>
      </w:pPr>
      <w:r>
        <w:rPr>
          <w:rFonts w:ascii="David" w:hAnsi="David"/>
          <w:sz w:val="26"/>
          <w:szCs w:val="26"/>
          <w:rtl/>
        </w:rPr>
        <w:t>מהתסקיר שהוגש בעניינו של הנאשם עולה</w:t>
      </w:r>
      <w:r>
        <w:rPr>
          <w:rFonts w:ascii="David" w:hAnsi="David" w:hint="cs"/>
          <w:sz w:val="26"/>
          <w:szCs w:val="26"/>
          <w:rtl/>
        </w:rPr>
        <w:t xml:space="preserve"> כי מדובר באדם כבן 54, גרוש ואב לשלושה ילדים, כולם בגירים, בן הזקונים התגייס לאחרונה. הנאשם מגיע מרקע נורמטיבי, סיים 12 שנות לימוד ושירת שירות צבאי מלא. לאחר מכן ובמשך למעלה מ-30 שנה עבד כנהג מונית. לאורך כל חייו התפרנס הנאשם בכבוד ממשלח ידו עד שבשנת 2018, עקב סיבות שונות התדרדר מצבו הכלכלי, והוא הסתבך בחובות, לרבות לשוק האפור, שהובילוהו לביצוע העבירות. עוד ברקע, גירושיו המפתיעים, מבחינתו, שאף הם העמיקו את המשבר אליו נקלע. יצוין, כי הנאשם דיווח כי הוא מצוי ביחסים תקינים וחיוביים עם גרושתו, התומכת בו גם לאורך הליך זה. הנאשם קיבל אחריות מלאה למעשים, והביע נכונות לטיפול ששירות המבחן סבר שצריך להתמקד בשיפור יכולותיו של הנאשם להתמודד עם משברים וכן ביחס להתנהלות כלכלית מיטיבה. הנאשם הביע חשש מאובדן רישיון נהיגת המונית, לאחר שבפועל לדבריו, נשלל בעקבות ההליך הפלילי (הוצג מסמך). לדבריו, בגילו, יתקשה למצוא משלח יד אחר ולכן הביע חשש מהותרת הרשעתו על כנה. במכלול השיקולים סבר שירות המבחן כי ניתן להסתפק במקרה זה בעונש של של"ץ בהיקף 300 שעות, וצו מבחן להבטחת הטיפול. שירות המבחן המליץ על ביטול ההרשעה נוכח הנזק שנגרם לנאשם ביחס לעבודתו כנהג מונית.</w:t>
      </w:r>
    </w:p>
    <w:p w14:paraId="32ABCCB0" w14:textId="77777777" w:rsidR="000F4DC9" w:rsidRPr="00866C98" w:rsidRDefault="000F4DC9" w:rsidP="000F4DC9">
      <w:pPr>
        <w:spacing w:after="160"/>
        <w:jc w:val="both"/>
        <w:rPr>
          <w:rFonts w:ascii="David" w:hAnsi="David"/>
          <w:b/>
          <w:bCs/>
          <w:sz w:val="26"/>
          <w:szCs w:val="26"/>
          <w:u w:val="single"/>
        </w:rPr>
      </w:pPr>
    </w:p>
    <w:p w14:paraId="03D83C3B" w14:textId="77777777" w:rsidR="000F4DC9" w:rsidRDefault="000F4DC9" w:rsidP="000F4DC9">
      <w:pPr>
        <w:spacing w:after="160" w:line="360" w:lineRule="auto"/>
        <w:jc w:val="both"/>
        <w:rPr>
          <w:rFonts w:ascii="David" w:hAnsi="David"/>
          <w:b/>
          <w:bCs/>
          <w:sz w:val="26"/>
          <w:szCs w:val="26"/>
          <w:u w:val="single"/>
        </w:rPr>
      </w:pPr>
      <w:r>
        <w:rPr>
          <w:rFonts w:ascii="David" w:hAnsi="David"/>
          <w:b/>
          <w:bCs/>
          <w:sz w:val="26"/>
          <w:szCs w:val="26"/>
          <w:u w:val="single"/>
          <w:rtl/>
        </w:rPr>
        <w:t>חוות הדעת של הממונה על עבודות השירות</w:t>
      </w:r>
    </w:p>
    <w:p w14:paraId="198B5111" w14:textId="77777777" w:rsidR="000F4DC9" w:rsidRDefault="000F4DC9" w:rsidP="000F4DC9">
      <w:pPr>
        <w:pStyle w:val="a9"/>
        <w:numPr>
          <w:ilvl w:val="0"/>
          <w:numId w:val="2"/>
        </w:numPr>
        <w:spacing w:after="160" w:line="360" w:lineRule="auto"/>
        <w:jc w:val="both"/>
        <w:rPr>
          <w:rFonts w:ascii="David" w:hAnsi="David"/>
          <w:sz w:val="26"/>
          <w:szCs w:val="26"/>
        </w:rPr>
      </w:pPr>
      <w:r>
        <w:rPr>
          <w:rFonts w:ascii="David" w:hAnsi="David"/>
          <w:sz w:val="26"/>
          <w:szCs w:val="26"/>
          <w:rtl/>
        </w:rPr>
        <w:lastRenderedPageBreak/>
        <w:t xml:space="preserve">הממונה הגיש חוות דעת על אודות כשירות הנאשם לבצע מאסר בעבודות שירות. מחוות הדעת עולה, כי </w:t>
      </w:r>
      <w:r>
        <w:rPr>
          <w:rFonts w:ascii="David" w:hAnsi="David" w:hint="cs"/>
          <w:sz w:val="26"/>
          <w:szCs w:val="26"/>
          <w:rtl/>
        </w:rPr>
        <w:t xml:space="preserve">הנאשם נמצא כשיר לבצע עבודות שירות ב"מפעל חיים" בירושלים. </w:t>
      </w:r>
    </w:p>
    <w:p w14:paraId="10B1C468" w14:textId="77777777" w:rsidR="000F4DC9" w:rsidRDefault="000F4DC9" w:rsidP="000F4DC9">
      <w:pPr>
        <w:spacing w:after="160"/>
        <w:jc w:val="both"/>
        <w:rPr>
          <w:rFonts w:ascii="David" w:hAnsi="David"/>
          <w:sz w:val="26"/>
          <w:szCs w:val="26"/>
        </w:rPr>
      </w:pPr>
    </w:p>
    <w:p w14:paraId="0EC88B59" w14:textId="77777777"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טיעונים לעונש</w:t>
      </w:r>
    </w:p>
    <w:p w14:paraId="3E968656"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sz w:val="26"/>
          <w:szCs w:val="26"/>
          <w:rtl/>
        </w:rPr>
        <w:t>הצדדים לא הגיעו להסכמה עונשית. מחד גיסא, ב"כ המאשימה</w:t>
      </w:r>
      <w:r>
        <w:rPr>
          <w:rFonts w:ascii="David" w:hAnsi="David" w:hint="cs"/>
          <w:sz w:val="26"/>
          <w:szCs w:val="26"/>
          <w:rtl/>
        </w:rPr>
        <w:t xml:space="preserve"> עתרה לשלושה מתחמי ענישה נפרדים בגין כל מעשה שבין 4-6 חודשים ועד לשנת מאסר. המאשימה סברה כי יש להטיל על הנאשם מאסר בעבודות שירות וענישה נלווית ועמדה על הותרת הרשעתו על כנה בין היתר נוכח </w:t>
      </w:r>
      <w:r>
        <w:rPr>
          <w:rFonts w:ascii="David" w:hAnsi="David"/>
          <w:sz w:val="26"/>
          <w:szCs w:val="26"/>
          <w:rtl/>
        </w:rPr>
        <w:t xml:space="preserve"> </w:t>
      </w:r>
      <w:r>
        <w:rPr>
          <w:rFonts w:ascii="David" w:hAnsi="David" w:hint="cs"/>
          <w:sz w:val="26"/>
          <w:szCs w:val="26"/>
          <w:rtl/>
        </w:rPr>
        <w:t>העובדה שהעבירות בוצעו במוניתו ומתוך מוניתו של הנאשם.</w:t>
      </w:r>
      <w:r>
        <w:rPr>
          <w:rFonts w:ascii="David" w:hAnsi="David"/>
          <w:sz w:val="26"/>
          <w:szCs w:val="26"/>
          <w:rtl/>
        </w:rPr>
        <w:t xml:space="preserve"> מאידך גיסא , ב"כ הנאשם </w:t>
      </w:r>
      <w:r>
        <w:rPr>
          <w:rFonts w:ascii="David" w:hAnsi="David" w:hint="cs"/>
          <w:sz w:val="26"/>
          <w:szCs w:val="26"/>
          <w:rtl/>
        </w:rPr>
        <w:t>הדגיש את נסיבותיו האישיות של הנאשם, את היעדר עברו הפלילי וחייו הנורמטיביים, את המשברים אליהם נקלע ושעל רקעם ביצע את העבירות, ואת העובדה שנשלל רשיונו (הוצגה אסמכתא ממשרד הרישוי)</w:t>
      </w:r>
    </w:p>
    <w:p w14:paraId="2FAC6324" w14:textId="77777777" w:rsidR="000F4DC9" w:rsidRDefault="000F4DC9" w:rsidP="000F4DC9">
      <w:pPr>
        <w:spacing w:after="160"/>
        <w:jc w:val="both"/>
        <w:rPr>
          <w:rFonts w:ascii="David" w:hAnsi="David"/>
          <w:b/>
          <w:bCs/>
          <w:sz w:val="26"/>
          <w:szCs w:val="26"/>
          <w:u w:val="single"/>
          <w:rtl/>
        </w:rPr>
      </w:pPr>
    </w:p>
    <w:p w14:paraId="03642403" w14:textId="77777777"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קביעת מתחם הענישה</w:t>
      </w:r>
    </w:p>
    <w:p w14:paraId="33C648F4" w14:textId="77777777" w:rsidR="000F4DC9" w:rsidRDefault="000F4DC9" w:rsidP="000F4DC9">
      <w:pPr>
        <w:pStyle w:val="a9"/>
        <w:numPr>
          <w:ilvl w:val="0"/>
          <w:numId w:val="2"/>
        </w:numPr>
        <w:spacing w:after="160" w:line="360" w:lineRule="auto"/>
        <w:jc w:val="both"/>
        <w:rPr>
          <w:rFonts w:ascii="David" w:hAnsi="David"/>
          <w:b/>
          <w:bCs/>
          <w:sz w:val="26"/>
          <w:szCs w:val="26"/>
          <w:u w:val="single"/>
          <w:rtl/>
        </w:rPr>
      </w:pPr>
      <w:r>
        <w:rPr>
          <w:rFonts w:ascii="David" w:hAnsi="David"/>
          <w:sz w:val="26"/>
          <w:szCs w:val="26"/>
          <w:rtl/>
        </w:rPr>
        <w:t xml:space="preserve">מתחם הענישה צריך להתייחס לעקרון ההלימה, הנוגע ליחס לערך החברתי המוגן, מידת הפגיעה בו, נסיבות ביצוע העבירה ומידת אשמו של הנאשם, ומדיניות הענישה. </w:t>
      </w:r>
    </w:p>
    <w:p w14:paraId="58E98584" w14:textId="77777777" w:rsidR="000F4DC9" w:rsidRDefault="000F4DC9" w:rsidP="000F4DC9">
      <w:pPr>
        <w:spacing w:after="160"/>
        <w:jc w:val="both"/>
        <w:rPr>
          <w:rFonts w:ascii="David" w:hAnsi="David"/>
          <w:b/>
          <w:bCs/>
          <w:sz w:val="26"/>
          <w:szCs w:val="26"/>
          <w:u w:val="single"/>
        </w:rPr>
      </w:pPr>
    </w:p>
    <w:p w14:paraId="11B400BB"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b/>
          <w:bCs/>
          <w:sz w:val="26"/>
          <w:szCs w:val="26"/>
          <w:rtl/>
        </w:rPr>
        <w:t xml:space="preserve">אשר לערכים המוגנים, </w:t>
      </w:r>
      <w:r>
        <w:rPr>
          <w:rFonts w:ascii="David" w:hAnsi="David"/>
          <w:sz w:val="26"/>
          <w:szCs w:val="26"/>
          <w:rtl/>
        </w:rPr>
        <w:t xml:space="preserve">במעשיו פגע הנאשם בערכים המוגנים של </w:t>
      </w:r>
      <w:r>
        <w:rPr>
          <w:rFonts w:ascii="David" w:hAnsi="David" w:hint="cs"/>
          <w:sz w:val="26"/>
          <w:szCs w:val="26"/>
          <w:rtl/>
        </w:rPr>
        <w:t>שלום הציבור בריאותו וביטחונו, כל זאת במידה בינונית-נמוכה.</w:t>
      </w:r>
    </w:p>
    <w:p w14:paraId="418CCF5D" w14:textId="77777777" w:rsidR="000F4DC9" w:rsidRDefault="000F4DC9" w:rsidP="000F4DC9">
      <w:pPr>
        <w:pStyle w:val="a9"/>
        <w:rPr>
          <w:rFonts w:ascii="David" w:hAnsi="David"/>
          <w:sz w:val="26"/>
          <w:szCs w:val="26"/>
          <w:rtl/>
        </w:rPr>
      </w:pPr>
    </w:p>
    <w:p w14:paraId="51FBFCEC" w14:textId="77777777" w:rsidR="000F4DC9" w:rsidRDefault="000F4DC9" w:rsidP="000F4DC9">
      <w:pPr>
        <w:spacing w:after="160"/>
        <w:jc w:val="both"/>
        <w:rPr>
          <w:rFonts w:ascii="David" w:hAnsi="David"/>
          <w:sz w:val="26"/>
          <w:szCs w:val="26"/>
          <w:rtl/>
        </w:rPr>
      </w:pPr>
    </w:p>
    <w:p w14:paraId="4B22D747" w14:textId="77777777" w:rsidR="000F4DC9" w:rsidRDefault="000F4DC9" w:rsidP="000F4DC9">
      <w:pPr>
        <w:pStyle w:val="a9"/>
        <w:numPr>
          <w:ilvl w:val="0"/>
          <w:numId w:val="2"/>
        </w:numPr>
        <w:spacing w:after="160" w:line="360" w:lineRule="auto"/>
        <w:jc w:val="both"/>
        <w:rPr>
          <w:rFonts w:ascii="David" w:hAnsi="David"/>
          <w:sz w:val="26"/>
          <w:szCs w:val="26"/>
        </w:rPr>
      </w:pPr>
      <w:r>
        <w:rPr>
          <w:rFonts w:ascii="David" w:hAnsi="David"/>
          <w:b/>
          <w:bCs/>
          <w:sz w:val="26"/>
          <w:szCs w:val="26"/>
          <w:rtl/>
        </w:rPr>
        <w:t>אשר לנסיבות הקשורות בביצוע העבירה</w:t>
      </w:r>
      <w:r>
        <w:rPr>
          <w:rFonts w:ascii="David" w:hAnsi="David"/>
          <w:sz w:val="26"/>
          <w:szCs w:val="26"/>
          <w:rtl/>
        </w:rPr>
        <w:t>, בין הנסיבות הקשורות בביצוע העבירה יש לשקול את אלה, לעניין קביעת המתחם:</w:t>
      </w:r>
      <w:r>
        <w:rPr>
          <w:rFonts w:ascii="David" w:hAnsi="David" w:hint="cs"/>
          <w:sz w:val="26"/>
          <w:szCs w:val="26"/>
          <w:rtl/>
        </w:rPr>
        <w:t xml:space="preserve"> מדובר בעבירות מתוכנות שבוצעו ע"י הנאשם על-מנת להתמודד עם חובות כספיים. ביצוע עבירות ממניע כספי מהווה נסיבה לחומרה יחד עם ביצוע מספר עבירות מתוכננות בתקופת זמן קצרה. לקולה, סוג הסם וכמותו הלא גדולה. הנאשם אחראי למעשיו, גרם נזקים ללקוחות שרכשו ממנו את הסם, כשפוטנציאל הנזק עלול היה להיות משמעותי יותר.</w:t>
      </w:r>
    </w:p>
    <w:p w14:paraId="12A9AE11" w14:textId="77777777" w:rsidR="000F4DC9" w:rsidRDefault="000F4DC9" w:rsidP="000F4DC9">
      <w:pPr>
        <w:pStyle w:val="a9"/>
        <w:spacing w:after="160" w:line="360" w:lineRule="auto"/>
        <w:ind w:left="360"/>
        <w:jc w:val="both"/>
        <w:rPr>
          <w:rFonts w:ascii="David" w:hAnsi="David"/>
          <w:sz w:val="26"/>
          <w:szCs w:val="26"/>
          <w:rtl/>
        </w:rPr>
      </w:pPr>
    </w:p>
    <w:p w14:paraId="12876B8A" w14:textId="77777777" w:rsidR="000F4DC9" w:rsidRDefault="000F4DC9" w:rsidP="000F4DC9">
      <w:pPr>
        <w:pStyle w:val="a9"/>
        <w:numPr>
          <w:ilvl w:val="0"/>
          <w:numId w:val="2"/>
        </w:numPr>
        <w:spacing w:after="160" w:line="360" w:lineRule="auto"/>
        <w:jc w:val="both"/>
        <w:rPr>
          <w:rFonts w:ascii="David" w:hAnsi="David"/>
          <w:sz w:val="26"/>
          <w:szCs w:val="26"/>
        </w:rPr>
      </w:pPr>
      <w:r>
        <w:rPr>
          <w:rFonts w:ascii="David" w:hAnsi="David"/>
          <w:b/>
          <w:bCs/>
          <w:sz w:val="26"/>
          <w:szCs w:val="26"/>
          <w:rtl/>
        </w:rPr>
        <w:t xml:space="preserve">אשר למדיניות הענישה הנוהגת, </w:t>
      </w:r>
      <w:r>
        <w:rPr>
          <w:rFonts w:ascii="David" w:hAnsi="David"/>
          <w:sz w:val="26"/>
          <w:szCs w:val="26"/>
          <w:rtl/>
        </w:rPr>
        <w:t>זו מגוונת ונעה בין של"ץ למאסר בפועל.</w:t>
      </w:r>
      <w:r>
        <w:rPr>
          <w:rFonts w:ascii="David" w:hAnsi="David"/>
          <w:b/>
          <w:bCs/>
          <w:sz w:val="26"/>
          <w:szCs w:val="26"/>
          <w:rtl/>
        </w:rPr>
        <w:t xml:space="preserve"> </w:t>
      </w:r>
    </w:p>
    <w:p w14:paraId="70354ACC" w14:textId="77777777" w:rsidR="000F4DC9" w:rsidRDefault="00B746B9" w:rsidP="000F4DC9">
      <w:pPr>
        <w:pStyle w:val="a9"/>
        <w:numPr>
          <w:ilvl w:val="0"/>
          <w:numId w:val="4"/>
        </w:numPr>
        <w:spacing w:after="160" w:line="360" w:lineRule="auto"/>
        <w:jc w:val="both"/>
        <w:rPr>
          <w:rFonts w:ascii="David" w:hAnsi="David"/>
          <w:sz w:val="26"/>
          <w:szCs w:val="26"/>
          <w:rtl/>
        </w:rPr>
      </w:pPr>
      <w:hyperlink r:id="rId18" w:history="1">
        <w:r w:rsidRPr="00B746B9">
          <w:rPr>
            <w:rFonts w:ascii="David" w:hAnsi="David"/>
            <w:color w:val="0000FF"/>
            <w:sz w:val="26"/>
            <w:szCs w:val="26"/>
            <w:u w:val="single"/>
            <w:rtl/>
          </w:rPr>
          <w:t>רע"פ 5478/19</w:t>
        </w:r>
      </w:hyperlink>
      <w:r w:rsidR="000F4DC9">
        <w:rPr>
          <w:rFonts w:ascii="David" w:hAnsi="David"/>
          <w:sz w:val="26"/>
          <w:szCs w:val="26"/>
          <w:rtl/>
        </w:rPr>
        <w:t xml:space="preserve"> </w:t>
      </w:r>
      <w:r w:rsidR="000F4DC9">
        <w:rPr>
          <w:rFonts w:ascii="David" w:hAnsi="David"/>
          <w:b/>
          <w:bCs/>
          <w:sz w:val="26"/>
          <w:szCs w:val="26"/>
          <w:rtl/>
        </w:rPr>
        <w:t>לוין נ' מ"י</w:t>
      </w:r>
      <w:r w:rsidR="000F4DC9">
        <w:rPr>
          <w:rFonts w:ascii="David" w:hAnsi="David"/>
          <w:sz w:val="26"/>
          <w:szCs w:val="26"/>
          <w:rtl/>
        </w:rPr>
        <w:t xml:space="preserve"> (מיום 25.8.2019) – ריבוי מקרים של סחר בקנביס וחשיש לרבות לקטינים. אושר עונש של של"ץ.</w:t>
      </w:r>
    </w:p>
    <w:p w14:paraId="478360C1" w14:textId="77777777" w:rsidR="000F4DC9" w:rsidRDefault="00B746B9" w:rsidP="000F4DC9">
      <w:pPr>
        <w:pStyle w:val="a9"/>
        <w:numPr>
          <w:ilvl w:val="0"/>
          <w:numId w:val="4"/>
        </w:numPr>
        <w:spacing w:after="160" w:line="360" w:lineRule="auto"/>
        <w:jc w:val="both"/>
        <w:rPr>
          <w:rFonts w:ascii="David" w:hAnsi="David"/>
          <w:sz w:val="26"/>
          <w:szCs w:val="26"/>
          <w:rtl/>
        </w:rPr>
      </w:pPr>
      <w:hyperlink r:id="rId19" w:history="1">
        <w:r w:rsidRPr="00B746B9">
          <w:rPr>
            <w:rFonts w:ascii="David" w:hAnsi="David"/>
            <w:color w:val="0000FF"/>
            <w:sz w:val="26"/>
            <w:szCs w:val="26"/>
            <w:u w:val="single"/>
            <w:rtl/>
          </w:rPr>
          <w:t>רע"פ 6401/18</w:t>
        </w:r>
      </w:hyperlink>
      <w:r w:rsidR="000F4DC9">
        <w:rPr>
          <w:rFonts w:ascii="David" w:hAnsi="David"/>
          <w:sz w:val="26"/>
          <w:szCs w:val="26"/>
          <w:rtl/>
        </w:rPr>
        <w:t xml:space="preserve"> </w:t>
      </w:r>
      <w:r w:rsidR="000F4DC9">
        <w:rPr>
          <w:rFonts w:ascii="David" w:hAnsi="David"/>
          <w:b/>
          <w:bCs/>
          <w:sz w:val="26"/>
          <w:szCs w:val="26"/>
          <w:rtl/>
        </w:rPr>
        <w:t>ספיר נ' מ"י</w:t>
      </w:r>
      <w:r w:rsidR="000F4DC9">
        <w:rPr>
          <w:rFonts w:ascii="David" w:hAnsi="David"/>
          <w:sz w:val="26"/>
          <w:szCs w:val="26"/>
          <w:rtl/>
        </w:rPr>
        <w:t xml:space="preserve"> (מיום 17.9.2018) – ריבוי מקרי סחר בקנביס בכמויות גדולות ממקרנו וכן הפרעה לשוטר והחזקת סם שלא לצריכה עצמית. אושר מתחם שבין 16 ל-36 חודשים ושנת מאסר בפועל.</w:t>
      </w:r>
    </w:p>
    <w:p w14:paraId="1623B4A4" w14:textId="77777777" w:rsidR="000F4DC9" w:rsidRDefault="00B746B9" w:rsidP="000F4DC9">
      <w:pPr>
        <w:pStyle w:val="a9"/>
        <w:numPr>
          <w:ilvl w:val="0"/>
          <w:numId w:val="4"/>
        </w:numPr>
        <w:spacing w:after="160" w:line="360" w:lineRule="auto"/>
        <w:jc w:val="both"/>
        <w:rPr>
          <w:rFonts w:ascii="David" w:hAnsi="David"/>
          <w:sz w:val="26"/>
          <w:szCs w:val="26"/>
          <w:rtl/>
        </w:rPr>
      </w:pPr>
      <w:hyperlink r:id="rId20" w:history="1">
        <w:r w:rsidRPr="00B746B9">
          <w:rPr>
            <w:rFonts w:ascii="David" w:hAnsi="David"/>
            <w:color w:val="0000FF"/>
            <w:sz w:val="26"/>
            <w:szCs w:val="26"/>
            <w:u w:val="single"/>
            <w:rtl/>
          </w:rPr>
          <w:t>עפ"ג (ירושלים) 27783-03-20</w:t>
        </w:r>
      </w:hyperlink>
      <w:r w:rsidR="000F4DC9">
        <w:rPr>
          <w:rFonts w:ascii="David" w:hAnsi="David"/>
          <w:sz w:val="26"/>
          <w:szCs w:val="26"/>
          <w:rtl/>
        </w:rPr>
        <w:t xml:space="preserve"> </w:t>
      </w:r>
      <w:r w:rsidR="000F4DC9">
        <w:rPr>
          <w:rFonts w:ascii="David" w:hAnsi="David"/>
          <w:b/>
          <w:bCs/>
          <w:sz w:val="26"/>
          <w:szCs w:val="26"/>
          <w:rtl/>
        </w:rPr>
        <w:t>מ"י נ' אבן צור</w:t>
      </w:r>
      <w:r w:rsidR="000F4DC9">
        <w:rPr>
          <w:rFonts w:ascii="David" w:hAnsi="David"/>
          <w:sz w:val="26"/>
          <w:szCs w:val="26"/>
          <w:rtl/>
        </w:rPr>
        <w:t xml:space="preserve"> (מיום 30.10.2020) – ריבוי עסקאות בכמויות קטנות של קנביס, לרבות לקטינים, הסתיים בשל"ץ מאסר מותנה, התחייבות ומבחן. </w:t>
      </w:r>
    </w:p>
    <w:p w14:paraId="72D5B9F6" w14:textId="77777777" w:rsidR="000F4DC9" w:rsidRDefault="00B746B9" w:rsidP="000F4DC9">
      <w:pPr>
        <w:pStyle w:val="a9"/>
        <w:numPr>
          <w:ilvl w:val="0"/>
          <w:numId w:val="4"/>
        </w:numPr>
        <w:spacing w:after="160" w:line="360" w:lineRule="auto"/>
        <w:jc w:val="both"/>
        <w:rPr>
          <w:rFonts w:ascii="David" w:hAnsi="David"/>
          <w:sz w:val="26"/>
          <w:szCs w:val="26"/>
          <w:rtl/>
        </w:rPr>
      </w:pPr>
      <w:hyperlink r:id="rId21" w:history="1">
        <w:r w:rsidRPr="00B746B9">
          <w:rPr>
            <w:rFonts w:ascii="David" w:hAnsi="David"/>
            <w:color w:val="0000FF"/>
            <w:sz w:val="26"/>
            <w:szCs w:val="26"/>
            <w:u w:val="single"/>
            <w:rtl/>
          </w:rPr>
          <w:t>עפ"ג (ירושלים) 13953-09-19</w:t>
        </w:r>
      </w:hyperlink>
      <w:r w:rsidR="000F4DC9">
        <w:rPr>
          <w:rFonts w:ascii="David" w:hAnsi="David"/>
          <w:sz w:val="26"/>
          <w:szCs w:val="26"/>
          <w:rtl/>
        </w:rPr>
        <w:t xml:space="preserve"> </w:t>
      </w:r>
      <w:r w:rsidR="000F4DC9">
        <w:rPr>
          <w:rFonts w:ascii="David" w:hAnsi="David"/>
          <w:b/>
          <w:bCs/>
          <w:sz w:val="26"/>
          <w:szCs w:val="26"/>
          <w:rtl/>
        </w:rPr>
        <w:t>מדינה נ' מ"י</w:t>
      </w:r>
      <w:r w:rsidR="000F4DC9">
        <w:rPr>
          <w:rFonts w:ascii="David" w:hAnsi="David"/>
          <w:sz w:val="26"/>
          <w:szCs w:val="26"/>
        </w:rPr>
        <w:t xml:space="preserve"> </w:t>
      </w:r>
      <w:r w:rsidR="000F4DC9">
        <w:rPr>
          <w:rFonts w:ascii="David" w:hAnsi="David"/>
          <w:sz w:val="26"/>
          <w:szCs w:val="26"/>
          <w:rtl/>
        </w:rPr>
        <w:t xml:space="preserve"> (מיום 14.6.2020) – מקרה חמור בהרבה ממקרנו של ריבוי מקרי סחר בטלגרם ותפיסת סכום כסף גדול אצל הנאשם. אושר עונש של 8 חודשי מאסר בעבודות שירות.</w:t>
      </w:r>
    </w:p>
    <w:p w14:paraId="0C4C1007" w14:textId="77777777" w:rsidR="000F4DC9" w:rsidRDefault="000F4DC9" w:rsidP="000F4DC9">
      <w:pPr>
        <w:pStyle w:val="a9"/>
        <w:numPr>
          <w:ilvl w:val="0"/>
          <w:numId w:val="4"/>
        </w:numPr>
        <w:spacing w:after="160" w:line="360" w:lineRule="auto"/>
        <w:jc w:val="both"/>
        <w:rPr>
          <w:rFonts w:ascii="David" w:hAnsi="David"/>
          <w:sz w:val="26"/>
          <w:szCs w:val="26"/>
        </w:rPr>
      </w:pPr>
      <w:r>
        <w:rPr>
          <w:rFonts w:ascii="David" w:hAnsi="David"/>
          <w:sz w:val="26"/>
          <w:szCs w:val="26"/>
          <w:rtl/>
        </w:rPr>
        <w:t xml:space="preserve">עפ"ג (ירושלים) </w:t>
      </w:r>
      <w:hyperlink r:id="rId22" w:history="1">
        <w:r w:rsidR="008E1855" w:rsidRPr="008E1855">
          <w:rPr>
            <w:rFonts w:ascii="David" w:hAnsi="David"/>
            <w:color w:val="0000FF"/>
            <w:sz w:val="26"/>
            <w:szCs w:val="26"/>
            <w:u w:val="single"/>
            <w:rtl/>
          </w:rPr>
          <w:t xml:space="preserve">33947-10-17 </w:t>
        </w:r>
      </w:hyperlink>
      <w:r>
        <w:rPr>
          <w:rFonts w:ascii="David" w:hAnsi="David"/>
          <w:sz w:val="26"/>
          <w:szCs w:val="26"/>
          <w:rtl/>
        </w:rPr>
        <w:t xml:space="preserve"> </w:t>
      </w:r>
      <w:r>
        <w:rPr>
          <w:rFonts w:ascii="David" w:hAnsi="David"/>
          <w:b/>
          <w:bCs/>
          <w:sz w:val="26"/>
          <w:szCs w:val="26"/>
          <w:rtl/>
        </w:rPr>
        <w:t>מ"י נ' קרוקוצקי</w:t>
      </w:r>
      <w:r>
        <w:rPr>
          <w:rFonts w:ascii="David" w:hAnsi="David"/>
          <w:sz w:val="26"/>
          <w:szCs w:val="26"/>
          <w:rtl/>
        </w:rPr>
        <w:t xml:space="preserve"> (מיום 20.3.2018) </w:t>
      </w:r>
      <w:r>
        <w:rPr>
          <w:rFonts w:ascii="David" w:hAnsi="David" w:hint="cs"/>
          <w:sz w:val="26"/>
          <w:szCs w:val="26"/>
          <w:rtl/>
        </w:rPr>
        <w:t>(</w:t>
      </w:r>
      <w:r w:rsidRPr="007E0710">
        <w:rPr>
          <w:rFonts w:ascii="David" w:hAnsi="David" w:hint="cs"/>
          <w:b/>
          <w:bCs/>
          <w:sz w:val="26"/>
          <w:szCs w:val="26"/>
          <w:rtl/>
        </w:rPr>
        <w:t>ענין קרוקוצקי</w:t>
      </w:r>
      <w:r>
        <w:rPr>
          <w:rFonts w:ascii="David" w:hAnsi="David" w:hint="cs"/>
          <w:sz w:val="26"/>
          <w:szCs w:val="26"/>
          <w:rtl/>
        </w:rPr>
        <w:t xml:space="preserve">) </w:t>
      </w:r>
      <w:r>
        <w:rPr>
          <w:rFonts w:ascii="David" w:hAnsi="David"/>
          <w:sz w:val="26"/>
          <w:szCs w:val="26"/>
          <w:rtl/>
        </w:rPr>
        <w:t xml:space="preserve">– אושר ביטול הרשעה והטלת של"ץ נרחב, במקרה של 6 עבירות סחר בקנביס, וזאת נוכח תהליך שיקומי. </w:t>
      </w:r>
    </w:p>
    <w:p w14:paraId="5D0F812E" w14:textId="77777777" w:rsidR="000F4DC9" w:rsidRDefault="000F4DC9" w:rsidP="000F4DC9">
      <w:pPr>
        <w:pStyle w:val="a9"/>
        <w:spacing w:after="160" w:line="360" w:lineRule="auto"/>
        <w:ind w:left="1080"/>
        <w:jc w:val="both"/>
        <w:rPr>
          <w:rFonts w:ascii="David" w:hAnsi="David"/>
          <w:sz w:val="26"/>
          <w:szCs w:val="26"/>
          <w:rtl/>
        </w:rPr>
      </w:pPr>
    </w:p>
    <w:p w14:paraId="36DBBB18"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b/>
          <w:bCs/>
          <w:sz w:val="26"/>
          <w:szCs w:val="26"/>
          <w:rtl/>
        </w:rPr>
        <w:t>מתחם הענישה</w:t>
      </w:r>
      <w:r>
        <w:rPr>
          <w:rFonts w:ascii="David" w:hAnsi="David"/>
          <w:sz w:val="26"/>
          <w:szCs w:val="26"/>
          <w:rtl/>
        </w:rPr>
        <w:t xml:space="preserve"> – לפיכך, מתחם הענישה צריך לעמוד על </w:t>
      </w:r>
      <w:r>
        <w:rPr>
          <w:rFonts w:ascii="David" w:hAnsi="David" w:hint="cs"/>
          <w:sz w:val="26"/>
          <w:szCs w:val="26"/>
          <w:rtl/>
        </w:rPr>
        <w:t xml:space="preserve">מאסר קצר או של"ץ נרחב ועד ל-8 חודשי מאסר. יש להתייחס לכלל המעשים כאל אירוע אחד, שכן מתקיים בין חלקי האירוע קשר הדוק נוכח טיב הסם, שיטת הפעולה והמועדים הקרובים שבהן בוצעו העבירות. </w:t>
      </w:r>
    </w:p>
    <w:p w14:paraId="26A56B73" w14:textId="77777777" w:rsidR="000F4DC9" w:rsidRDefault="000F4DC9" w:rsidP="000F4DC9">
      <w:pPr>
        <w:spacing w:after="160"/>
        <w:jc w:val="both"/>
        <w:rPr>
          <w:rFonts w:ascii="David" w:hAnsi="David"/>
          <w:b/>
          <w:bCs/>
          <w:sz w:val="26"/>
          <w:szCs w:val="26"/>
          <w:u w:val="single"/>
          <w:rtl/>
        </w:rPr>
      </w:pPr>
    </w:p>
    <w:p w14:paraId="3317EB8D" w14:textId="77777777"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נסיבות שאינן קשורות בביצוע העבירה והמיקום במתחם</w:t>
      </w:r>
    </w:p>
    <w:p w14:paraId="37B452B8"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sz w:val="26"/>
          <w:szCs w:val="26"/>
          <w:rtl/>
        </w:rPr>
        <w:t>ניתן  לתת משקל לנסיבות הבאות שאינן קשורות בביצוע העבירה, במסגרת גזירת העונש בתוך המתחם:</w:t>
      </w:r>
      <w:r>
        <w:rPr>
          <w:rFonts w:ascii="David" w:hAnsi="David" w:hint="cs"/>
          <w:sz w:val="26"/>
          <w:szCs w:val="26"/>
          <w:rtl/>
        </w:rPr>
        <w:t xml:space="preserve"> מדובר בנאשם שנעצר לראשונה בחייו, שהה בתנאים מגבילים ולאורך זמן לא הפר אותם. הוא קיבל אחריות למעשיו והביע נכונות להירתם לטיפול במוקדי הסיכון להישנות עבירות. הנאשם ניהל לאורך חייו אורח חיים נורמטיבי, פרנס בכבוד את משפחתו, שירת שירות צבאי קרבי ולא הסתבך בפלילים. מבלי להצדיק את העבירות שביצע, אלו בוצעו בעקבות משבר כלכלי ואישי אליו נקלע, שהובילו לטעות בהתנהלותו. יש למקם את הנאשם בתחתית המתחם. </w:t>
      </w:r>
    </w:p>
    <w:p w14:paraId="1BD63629" w14:textId="77777777" w:rsidR="000F4DC9" w:rsidRDefault="000F4DC9" w:rsidP="000F4DC9">
      <w:pPr>
        <w:spacing w:after="160" w:line="360" w:lineRule="auto"/>
        <w:jc w:val="both"/>
        <w:rPr>
          <w:rFonts w:ascii="David" w:hAnsi="David"/>
          <w:b/>
          <w:bCs/>
          <w:sz w:val="26"/>
          <w:szCs w:val="26"/>
          <w:u w:val="single"/>
          <w:rtl/>
        </w:rPr>
      </w:pPr>
    </w:p>
    <w:p w14:paraId="03E88A28" w14:textId="77777777"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ביטול הרשעה</w:t>
      </w:r>
    </w:p>
    <w:p w14:paraId="0B08CA0C"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sz w:val="26"/>
          <w:szCs w:val="26"/>
          <w:rtl/>
        </w:rPr>
        <w:t>בידוע, שעה שנמצא כי נאשם ביצע את העבירות המיוחסות לו, יש להרשיעו. זהו הכלל. אי-הרשעה הוא היוצא מן הכלל. ב</w:t>
      </w:r>
      <w:hyperlink r:id="rId23" w:history="1">
        <w:r w:rsidR="00B746B9" w:rsidRPr="00B746B9">
          <w:rPr>
            <w:rFonts w:ascii="David" w:hAnsi="David"/>
            <w:color w:val="0000FF"/>
            <w:sz w:val="26"/>
            <w:szCs w:val="26"/>
            <w:u w:val="single"/>
            <w:rtl/>
          </w:rPr>
          <w:t>ע"פ 2083/96</w:t>
        </w:r>
      </w:hyperlink>
      <w:r>
        <w:rPr>
          <w:rFonts w:ascii="David" w:hAnsi="David"/>
          <w:sz w:val="26"/>
          <w:szCs w:val="26"/>
          <w:rtl/>
        </w:rPr>
        <w:t xml:space="preserve"> </w:t>
      </w:r>
      <w:r>
        <w:rPr>
          <w:rFonts w:ascii="David" w:hAnsi="David"/>
          <w:b/>
          <w:bCs/>
          <w:sz w:val="26"/>
          <w:szCs w:val="26"/>
          <w:rtl/>
        </w:rPr>
        <w:t>כתב נ' מ"י</w:t>
      </w:r>
      <w:r>
        <w:rPr>
          <w:rFonts w:ascii="David" w:hAnsi="David"/>
          <w:sz w:val="26"/>
          <w:szCs w:val="26"/>
          <w:rtl/>
        </w:rPr>
        <w:t xml:space="preserve"> (מיום 21.8.1997) קבע בית המשפט העליון כי אי-הרשעה תיתכן בהינתן שני תנאים מצטברים: הראשון, כאשר טיב העבירה מאפשר אי-הרשעה מבחינת שיקולי הענישה ליחיד ולרבים; השני, כאשר הנזק העלול להיגרם לנאשם מעצם הרשעתו הוא קונקרטי ובלתי מידתי בנסיבות העניין. ראו בהקשר זה גם את </w:t>
      </w:r>
      <w:hyperlink r:id="rId24" w:history="1">
        <w:r w:rsidR="00B746B9" w:rsidRPr="00B746B9">
          <w:rPr>
            <w:rFonts w:ascii="David" w:hAnsi="David"/>
            <w:color w:val="0000FF"/>
            <w:sz w:val="26"/>
            <w:szCs w:val="26"/>
            <w:u w:val="single"/>
            <w:rtl/>
          </w:rPr>
          <w:t>ע"פ 5985/13</w:t>
        </w:r>
      </w:hyperlink>
      <w:r>
        <w:rPr>
          <w:rFonts w:ascii="David" w:hAnsi="David"/>
          <w:sz w:val="26"/>
          <w:szCs w:val="26"/>
          <w:rtl/>
        </w:rPr>
        <w:t xml:space="preserve"> </w:t>
      </w:r>
      <w:r>
        <w:rPr>
          <w:rFonts w:ascii="David" w:hAnsi="David"/>
          <w:b/>
          <w:bCs/>
          <w:sz w:val="26"/>
          <w:szCs w:val="26"/>
          <w:rtl/>
        </w:rPr>
        <w:t>אבן נ' מ"י</w:t>
      </w:r>
      <w:r>
        <w:rPr>
          <w:rFonts w:ascii="David" w:hAnsi="David"/>
          <w:sz w:val="26"/>
          <w:szCs w:val="26"/>
          <w:rtl/>
        </w:rPr>
        <w:t xml:space="preserve"> (מיום 2.4.2014) בפסקאות 6 ו-7. </w:t>
      </w:r>
      <w:r>
        <w:rPr>
          <w:rFonts w:ascii="David" w:hAnsi="David" w:hint="cs"/>
          <w:sz w:val="26"/>
          <w:szCs w:val="26"/>
          <w:rtl/>
        </w:rPr>
        <w:t xml:space="preserve"> אשר לתנאי הראשון, הגם שסחר בסמים הוא פסול וחמור מעצם טיבו יש לבחון כל מקרה לגופו, ואין כלל הפוסל עבירות סחר מביטול הרשעה. עינינו רואות זאת, לדוגמה ב</w:t>
      </w:r>
      <w:r w:rsidRPr="00105118">
        <w:rPr>
          <w:rFonts w:ascii="David" w:hAnsi="David" w:hint="cs"/>
          <w:b/>
          <w:bCs/>
          <w:sz w:val="26"/>
          <w:szCs w:val="26"/>
          <w:rtl/>
        </w:rPr>
        <w:t>עניין קרוקוצקי</w:t>
      </w:r>
      <w:r>
        <w:rPr>
          <w:rFonts w:ascii="David" w:hAnsi="David" w:hint="cs"/>
          <w:sz w:val="26"/>
          <w:szCs w:val="26"/>
          <w:rtl/>
        </w:rPr>
        <w:t xml:space="preserve"> שהוזכר לעיל, וכן ב</w:t>
      </w:r>
      <w:hyperlink r:id="rId25" w:history="1">
        <w:r w:rsidR="00B746B9" w:rsidRPr="00B746B9">
          <w:rPr>
            <w:rFonts w:ascii="David" w:hAnsi="David"/>
            <w:color w:val="0000FF"/>
            <w:sz w:val="26"/>
            <w:szCs w:val="26"/>
            <w:u w:val="single"/>
            <w:rtl/>
          </w:rPr>
          <w:t>עפ"ג (ירושלים) 67452-12-18</w:t>
        </w:r>
      </w:hyperlink>
      <w:r>
        <w:rPr>
          <w:rFonts w:ascii="David" w:hAnsi="David" w:hint="cs"/>
          <w:sz w:val="26"/>
          <w:szCs w:val="26"/>
          <w:rtl/>
        </w:rPr>
        <w:t xml:space="preserve"> </w:t>
      </w:r>
      <w:r w:rsidRPr="00105118">
        <w:rPr>
          <w:rFonts w:ascii="David" w:hAnsi="David" w:hint="cs"/>
          <w:b/>
          <w:bCs/>
          <w:sz w:val="26"/>
          <w:szCs w:val="26"/>
          <w:rtl/>
        </w:rPr>
        <w:t>מ"י נ' בוזגלו</w:t>
      </w:r>
      <w:r>
        <w:rPr>
          <w:rFonts w:ascii="David" w:hAnsi="David" w:hint="cs"/>
          <w:sz w:val="26"/>
          <w:szCs w:val="26"/>
          <w:rtl/>
        </w:rPr>
        <w:t xml:space="preserve"> (מיום 7.4.2019) אליו היפנה הסניגור, שם דובר בעבירות בסמים קשים יותר מסוג </w:t>
      </w:r>
      <w:r>
        <w:rPr>
          <w:rFonts w:ascii="David" w:hAnsi="David" w:hint="cs"/>
          <w:sz w:val="26"/>
          <w:szCs w:val="26"/>
        </w:rPr>
        <w:t>MDMA</w:t>
      </w:r>
      <w:r>
        <w:rPr>
          <w:rFonts w:ascii="David" w:hAnsi="David" w:hint="cs"/>
          <w:sz w:val="26"/>
          <w:szCs w:val="26"/>
          <w:rtl/>
        </w:rPr>
        <w:t xml:space="preserve">. כמו כן היפנה הסניגור לעפ"ג (ירושלים) </w:t>
      </w:r>
      <w:hyperlink r:id="rId26" w:history="1">
        <w:r w:rsidR="008E1855" w:rsidRPr="008E1855">
          <w:rPr>
            <w:rFonts w:ascii="David" w:hAnsi="David"/>
            <w:color w:val="0000FF"/>
            <w:sz w:val="26"/>
            <w:szCs w:val="26"/>
            <w:u w:val="single"/>
            <w:rtl/>
          </w:rPr>
          <w:t xml:space="preserve">11045-09-18 </w:t>
        </w:r>
      </w:hyperlink>
      <w:r>
        <w:rPr>
          <w:rFonts w:ascii="David" w:hAnsi="David" w:hint="cs"/>
          <w:sz w:val="26"/>
          <w:szCs w:val="26"/>
          <w:rtl/>
        </w:rPr>
        <w:t xml:space="preserve"> </w:t>
      </w:r>
      <w:r w:rsidRPr="00105118">
        <w:rPr>
          <w:rFonts w:ascii="David" w:hAnsi="David" w:hint="cs"/>
          <w:b/>
          <w:bCs/>
          <w:sz w:val="26"/>
          <w:szCs w:val="26"/>
          <w:rtl/>
        </w:rPr>
        <w:t>אליאסיאן נ' מ"י</w:t>
      </w:r>
      <w:r>
        <w:rPr>
          <w:rFonts w:ascii="David" w:hAnsi="David" w:hint="cs"/>
          <w:sz w:val="26"/>
          <w:szCs w:val="26"/>
          <w:rtl/>
        </w:rPr>
        <w:t xml:space="preserve"> (מיום 3.3.2019) שם בוטלה הרשעה בסחר בסמים בנסיבות חמורות ממקרנו, על אף שלא הוכח נזק קונקרטי אלא בשל נסיבות אישיות. לפיכך, הנאשם עומד בתנאי הראשון. אשר לתנאי השני, הנאשם הוכיח כי איבד את רישיון המונית בעקבות מעורבותו בפלילים ומכאן שהנזק התממש והוא אינו בגדר "נזק פוטנציאלי". בהקשר זה ראו את </w:t>
      </w:r>
      <w:hyperlink r:id="rId27" w:history="1">
        <w:r w:rsidR="002C7BEE" w:rsidRPr="002C7BEE">
          <w:rPr>
            <w:rStyle w:val="Hyperlink"/>
            <w:rFonts w:ascii="David" w:hAnsi="David" w:hint="eastAsia"/>
            <w:sz w:val="26"/>
            <w:szCs w:val="26"/>
            <w:rtl/>
          </w:rPr>
          <w:t>תקנה</w:t>
        </w:r>
        <w:r w:rsidR="002C7BEE" w:rsidRPr="002C7BEE">
          <w:rPr>
            <w:rStyle w:val="Hyperlink"/>
            <w:rFonts w:ascii="David" w:hAnsi="David"/>
            <w:sz w:val="26"/>
            <w:szCs w:val="26"/>
            <w:rtl/>
          </w:rPr>
          <w:t xml:space="preserve"> 15ב(1)</w:t>
        </w:r>
      </w:hyperlink>
      <w:r>
        <w:rPr>
          <w:rFonts w:ascii="David" w:hAnsi="David" w:hint="cs"/>
          <w:sz w:val="26"/>
          <w:szCs w:val="26"/>
          <w:rtl/>
        </w:rPr>
        <w:t xml:space="preserve"> ל</w:t>
      </w:r>
      <w:hyperlink r:id="rId28" w:history="1">
        <w:r w:rsidR="00B746B9" w:rsidRPr="00B746B9">
          <w:rPr>
            <w:rFonts w:ascii="David" w:hAnsi="David"/>
            <w:color w:val="0000FF"/>
            <w:sz w:val="26"/>
            <w:szCs w:val="26"/>
            <w:u w:val="single"/>
            <w:rtl/>
          </w:rPr>
          <w:t>תקנות התעבורה</w:t>
        </w:r>
      </w:hyperlink>
      <w:r>
        <w:rPr>
          <w:rFonts w:ascii="David" w:hAnsi="David" w:hint="cs"/>
          <w:sz w:val="26"/>
          <w:szCs w:val="26"/>
          <w:rtl/>
        </w:rPr>
        <w:t xml:space="preserve">, התשכ"א-1962. נוכח גילו של הנאשם, נוכח העובדה שמשלח ידו לאורך שלושה עשורים היה נהיגה במונית ולא סביר שיצליח למצוא משלח יד אחר, נוכח היעדר עבר, נוכח קבלת אחריות ונכונות להירתם לטיפול, ובהינתן הנזק המוכח, </w:t>
      </w:r>
      <w:r w:rsidRPr="00840B3B">
        <w:rPr>
          <w:rFonts w:ascii="David" w:hAnsi="David" w:hint="cs"/>
          <w:b/>
          <w:bCs/>
          <w:sz w:val="26"/>
          <w:szCs w:val="26"/>
          <w:rtl/>
        </w:rPr>
        <w:t>אני מורה על ביטול ההרשעה</w:t>
      </w:r>
      <w:r>
        <w:rPr>
          <w:rFonts w:ascii="David" w:hAnsi="David" w:hint="cs"/>
          <w:sz w:val="26"/>
          <w:szCs w:val="26"/>
          <w:rtl/>
        </w:rPr>
        <w:t>.</w:t>
      </w:r>
    </w:p>
    <w:p w14:paraId="6B3BD399" w14:textId="77777777" w:rsidR="000F4DC9" w:rsidRDefault="000F4DC9" w:rsidP="000F4DC9">
      <w:pPr>
        <w:spacing w:after="160" w:line="360" w:lineRule="auto"/>
        <w:jc w:val="both"/>
        <w:rPr>
          <w:rFonts w:ascii="David" w:hAnsi="David"/>
          <w:b/>
          <w:bCs/>
          <w:sz w:val="26"/>
          <w:szCs w:val="26"/>
          <w:u w:val="single"/>
          <w:rtl/>
        </w:rPr>
      </w:pPr>
    </w:p>
    <w:p w14:paraId="713178FC" w14:textId="77777777" w:rsidR="000F4DC9" w:rsidRDefault="000F4DC9" w:rsidP="000F4DC9">
      <w:pPr>
        <w:spacing w:after="160" w:line="360" w:lineRule="auto"/>
        <w:jc w:val="both"/>
        <w:rPr>
          <w:rFonts w:ascii="David" w:hAnsi="David"/>
          <w:b/>
          <w:bCs/>
          <w:sz w:val="26"/>
          <w:szCs w:val="26"/>
          <w:u w:val="single"/>
          <w:rtl/>
        </w:rPr>
      </w:pPr>
      <w:r>
        <w:rPr>
          <w:rFonts w:ascii="David" w:hAnsi="David"/>
          <w:b/>
          <w:bCs/>
          <w:sz w:val="26"/>
          <w:szCs w:val="26"/>
          <w:u w:val="single"/>
          <w:rtl/>
        </w:rPr>
        <w:t>גזירת הדין</w:t>
      </w:r>
    </w:p>
    <w:p w14:paraId="11FB44AD" w14:textId="77777777" w:rsidR="000F4DC9" w:rsidRDefault="000F4DC9" w:rsidP="000F4DC9">
      <w:pPr>
        <w:pStyle w:val="a9"/>
        <w:numPr>
          <w:ilvl w:val="0"/>
          <w:numId w:val="2"/>
        </w:numPr>
        <w:spacing w:after="160" w:line="360" w:lineRule="auto"/>
        <w:jc w:val="both"/>
        <w:rPr>
          <w:rFonts w:ascii="David" w:hAnsi="David"/>
          <w:sz w:val="26"/>
          <w:szCs w:val="26"/>
          <w:rtl/>
        </w:rPr>
      </w:pPr>
      <w:r>
        <w:rPr>
          <w:rFonts w:ascii="David" w:hAnsi="David"/>
          <w:sz w:val="26"/>
          <w:szCs w:val="26"/>
          <w:rtl/>
        </w:rPr>
        <w:t>לפיכך, אני מחליט לגזור על הנאשם את העונשים הבאים:</w:t>
      </w:r>
    </w:p>
    <w:p w14:paraId="6F864E54" w14:textId="77777777" w:rsidR="000F4DC9" w:rsidRDefault="000F4DC9" w:rsidP="000F4DC9">
      <w:pPr>
        <w:numPr>
          <w:ilvl w:val="0"/>
          <w:numId w:val="1"/>
        </w:numPr>
        <w:spacing w:after="160" w:line="360" w:lineRule="auto"/>
        <w:contextualSpacing/>
        <w:jc w:val="both"/>
        <w:rPr>
          <w:rFonts w:ascii="David" w:hAnsi="David"/>
          <w:sz w:val="26"/>
          <w:szCs w:val="26"/>
          <w:rtl/>
        </w:rPr>
      </w:pPr>
      <w:r>
        <w:rPr>
          <w:rFonts w:ascii="David" w:hAnsi="David" w:hint="cs"/>
          <w:sz w:val="26"/>
          <w:szCs w:val="26"/>
          <w:rtl/>
        </w:rPr>
        <w:t xml:space="preserve">300 </w:t>
      </w:r>
      <w:r>
        <w:rPr>
          <w:rFonts w:ascii="David" w:hAnsi="David"/>
          <w:sz w:val="26"/>
          <w:szCs w:val="26"/>
          <w:rtl/>
        </w:rPr>
        <w:t xml:space="preserve">שעות שירות לתועלת הציבור (של"ץ), אשר ירוצו החל מיום </w:t>
      </w:r>
      <w:r>
        <w:rPr>
          <w:rFonts w:ascii="David" w:hAnsi="David" w:hint="cs"/>
          <w:sz w:val="26"/>
          <w:szCs w:val="26"/>
          <w:rtl/>
        </w:rPr>
        <w:t xml:space="preserve">1.1.2025 </w:t>
      </w:r>
      <w:r>
        <w:rPr>
          <w:rFonts w:ascii="David" w:hAnsi="David"/>
          <w:sz w:val="26"/>
          <w:szCs w:val="26"/>
          <w:rtl/>
        </w:rPr>
        <w:t xml:space="preserve">על-פי תוכנית שיכין שירות המבחן ויגיש לבית המשפט </w:t>
      </w:r>
      <w:r>
        <w:rPr>
          <w:rFonts w:ascii="David" w:hAnsi="David" w:hint="cs"/>
          <w:sz w:val="26"/>
          <w:szCs w:val="26"/>
          <w:rtl/>
        </w:rPr>
        <w:t>עד ליום 1.11.2024;</w:t>
      </w:r>
    </w:p>
    <w:p w14:paraId="0E77D02C" w14:textId="77777777" w:rsidR="000F4DC9" w:rsidRDefault="000F4DC9" w:rsidP="000F4DC9">
      <w:pPr>
        <w:numPr>
          <w:ilvl w:val="0"/>
          <w:numId w:val="1"/>
        </w:numPr>
        <w:spacing w:after="160" w:line="360" w:lineRule="auto"/>
        <w:contextualSpacing/>
        <w:jc w:val="both"/>
        <w:rPr>
          <w:rFonts w:ascii="David" w:hAnsi="David"/>
          <w:sz w:val="26"/>
          <w:szCs w:val="26"/>
        </w:rPr>
      </w:pPr>
      <w:r>
        <w:rPr>
          <w:rFonts w:ascii="David" w:hAnsi="David"/>
          <w:sz w:val="26"/>
          <w:szCs w:val="26"/>
          <w:rtl/>
        </w:rPr>
        <w:t xml:space="preserve">צו מבחן לתקופה של </w:t>
      </w:r>
      <w:r>
        <w:rPr>
          <w:rFonts w:ascii="David" w:hAnsi="David" w:hint="cs"/>
          <w:sz w:val="26"/>
          <w:szCs w:val="26"/>
          <w:rtl/>
        </w:rPr>
        <w:t>12</w:t>
      </w:r>
      <w:r>
        <w:rPr>
          <w:rFonts w:ascii="David" w:hAnsi="David"/>
          <w:sz w:val="26"/>
          <w:szCs w:val="26"/>
          <w:rtl/>
        </w:rPr>
        <w:t xml:space="preserve"> חודשים</w:t>
      </w:r>
      <w:r>
        <w:rPr>
          <w:rFonts w:ascii="David" w:hAnsi="David" w:hint="cs"/>
          <w:sz w:val="26"/>
          <w:szCs w:val="26"/>
          <w:rtl/>
        </w:rPr>
        <w:t xml:space="preserve"> מהיום</w:t>
      </w:r>
      <w:r>
        <w:rPr>
          <w:rFonts w:ascii="David" w:hAnsi="David"/>
          <w:sz w:val="26"/>
          <w:szCs w:val="26"/>
          <w:rtl/>
        </w:rPr>
        <w:t>;</w:t>
      </w:r>
    </w:p>
    <w:p w14:paraId="2579F1F1" w14:textId="77777777" w:rsidR="000F4DC9" w:rsidRDefault="000F4DC9" w:rsidP="000F4DC9">
      <w:pPr>
        <w:numPr>
          <w:ilvl w:val="0"/>
          <w:numId w:val="1"/>
        </w:numPr>
        <w:spacing w:after="160" w:line="360" w:lineRule="auto"/>
        <w:contextualSpacing/>
        <w:jc w:val="both"/>
        <w:rPr>
          <w:rFonts w:ascii="David" w:hAnsi="David"/>
          <w:sz w:val="26"/>
          <w:szCs w:val="26"/>
          <w:rtl/>
        </w:rPr>
      </w:pPr>
      <w:r>
        <w:rPr>
          <w:rFonts w:ascii="David" w:hAnsi="David"/>
          <w:sz w:val="26"/>
          <w:szCs w:val="26"/>
          <w:rtl/>
        </w:rPr>
        <w:t xml:space="preserve">פיצוי </w:t>
      </w:r>
      <w:r>
        <w:rPr>
          <w:rFonts w:ascii="David" w:hAnsi="David" w:hint="cs"/>
          <w:sz w:val="26"/>
          <w:szCs w:val="26"/>
          <w:rtl/>
        </w:rPr>
        <w:t xml:space="preserve">לעמותת "אל סם" בסך 2,000 ₪. </w:t>
      </w:r>
      <w:r>
        <w:rPr>
          <w:rFonts w:ascii="David" w:hAnsi="David"/>
          <w:sz w:val="26"/>
          <w:szCs w:val="26"/>
          <w:rtl/>
        </w:rPr>
        <w:t xml:space="preserve">הפיצוי ישולם </w:t>
      </w:r>
      <w:r>
        <w:rPr>
          <w:rFonts w:ascii="David" w:hAnsi="David" w:hint="cs"/>
          <w:sz w:val="26"/>
          <w:szCs w:val="26"/>
          <w:rtl/>
        </w:rPr>
        <w:t>עד ליום 1.11.2024;</w:t>
      </w:r>
    </w:p>
    <w:p w14:paraId="524368BE" w14:textId="77777777" w:rsidR="000F4DC9" w:rsidRDefault="000F4DC9" w:rsidP="000F4DC9">
      <w:pPr>
        <w:numPr>
          <w:ilvl w:val="0"/>
          <w:numId w:val="1"/>
        </w:numPr>
        <w:spacing w:after="160" w:line="360" w:lineRule="auto"/>
        <w:contextualSpacing/>
        <w:jc w:val="both"/>
        <w:rPr>
          <w:rFonts w:ascii="David" w:hAnsi="David"/>
          <w:sz w:val="26"/>
          <w:szCs w:val="26"/>
        </w:rPr>
      </w:pPr>
      <w:r>
        <w:rPr>
          <w:rFonts w:ascii="David" w:hAnsi="David"/>
          <w:sz w:val="26"/>
          <w:szCs w:val="26"/>
          <w:rtl/>
        </w:rPr>
        <w:t>התחייבות בסך</w:t>
      </w:r>
      <w:r>
        <w:rPr>
          <w:rFonts w:ascii="David" w:hAnsi="David" w:hint="cs"/>
          <w:sz w:val="26"/>
          <w:szCs w:val="26"/>
          <w:rtl/>
        </w:rPr>
        <w:t xml:space="preserve"> 10,000 </w:t>
      </w:r>
      <w:r>
        <w:rPr>
          <w:rFonts w:ascii="David" w:hAnsi="David"/>
          <w:sz w:val="26"/>
          <w:szCs w:val="26"/>
          <w:rtl/>
        </w:rPr>
        <w:t xml:space="preserve">₪ שלא לעבור </w:t>
      </w:r>
      <w:r>
        <w:rPr>
          <w:rFonts w:ascii="David" w:hAnsi="David" w:hint="cs"/>
          <w:sz w:val="26"/>
          <w:szCs w:val="26"/>
          <w:rtl/>
        </w:rPr>
        <w:t xml:space="preserve">כל עבירת פשע לפי פקודת הסמים בתוך שנה מהיום. </w:t>
      </w:r>
      <w:r>
        <w:rPr>
          <w:rFonts w:ascii="David" w:hAnsi="David"/>
          <w:sz w:val="26"/>
          <w:szCs w:val="26"/>
          <w:rtl/>
        </w:rPr>
        <w:t>הובהר לנאשם שמשמעות ההתחייבות היא, כי אם יעבור את העבירה בתוך התקופה שצוינה, בית המשפט שיגזור את הדין יהא חייב לחלט את ההתחייבות כקנ</w:t>
      </w:r>
      <w:r>
        <w:rPr>
          <w:rFonts w:ascii="David" w:hAnsi="David" w:hint="cs"/>
          <w:sz w:val="26"/>
          <w:szCs w:val="26"/>
          <w:rtl/>
        </w:rPr>
        <w:t>ס;</w:t>
      </w:r>
    </w:p>
    <w:p w14:paraId="7F1611B8" w14:textId="77777777" w:rsidR="000F4DC9" w:rsidRPr="00840B3B" w:rsidRDefault="000F4DC9" w:rsidP="000F4DC9">
      <w:pPr>
        <w:numPr>
          <w:ilvl w:val="0"/>
          <w:numId w:val="1"/>
        </w:numPr>
        <w:spacing w:after="160" w:line="360" w:lineRule="auto"/>
        <w:contextualSpacing/>
        <w:jc w:val="both"/>
        <w:rPr>
          <w:rFonts w:ascii="David" w:hAnsi="David"/>
          <w:b/>
          <w:bCs/>
          <w:sz w:val="26"/>
          <w:szCs w:val="26"/>
          <w:rtl/>
        </w:rPr>
      </w:pPr>
      <w:r w:rsidRPr="00840B3B">
        <w:rPr>
          <w:rFonts w:ascii="David" w:hAnsi="David" w:hint="cs"/>
          <w:b/>
          <w:bCs/>
          <w:sz w:val="26"/>
          <w:szCs w:val="26"/>
          <w:rtl/>
        </w:rPr>
        <w:t>מורה על השמדת הסמים ועל חילוט הטלפונים והמזומן בסך 5,810 ₪ שנתפסו בעת מעצרו של הנאשם.</w:t>
      </w:r>
    </w:p>
    <w:p w14:paraId="0CB2B1BD" w14:textId="77777777" w:rsidR="000F4DC9" w:rsidRDefault="000F4DC9" w:rsidP="000F4DC9">
      <w:pPr>
        <w:spacing w:after="160" w:line="360" w:lineRule="auto"/>
        <w:rPr>
          <w:rFonts w:ascii="David" w:hAnsi="David"/>
          <w:sz w:val="26"/>
          <w:szCs w:val="26"/>
          <w:rtl/>
        </w:rPr>
      </w:pPr>
    </w:p>
    <w:p w14:paraId="3E5956BC" w14:textId="77777777" w:rsidR="000F4DC9" w:rsidRDefault="000F4DC9" w:rsidP="000F4DC9">
      <w:pPr>
        <w:spacing w:after="160" w:line="360" w:lineRule="auto"/>
        <w:jc w:val="both"/>
        <w:rPr>
          <w:rFonts w:ascii="David" w:hAnsi="David"/>
          <w:b/>
          <w:bCs/>
          <w:sz w:val="26"/>
          <w:szCs w:val="26"/>
        </w:rPr>
      </w:pPr>
      <w:r>
        <w:rPr>
          <w:rFonts w:ascii="David" w:hAnsi="David"/>
          <w:b/>
          <w:bCs/>
          <w:sz w:val="26"/>
          <w:szCs w:val="26"/>
          <w:rtl/>
        </w:rPr>
        <w:t>הנאשם הוזהר כי אי ביצוע צו המבחן וצו השל"ץ עלול להוביל להפקעתם ולהטלת כל עונש חלופי לרבות מאסר.</w:t>
      </w:r>
    </w:p>
    <w:p w14:paraId="0461312F" w14:textId="77777777" w:rsidR="000F4DC9" w:rsidRPr="00840B3B" w:rsidRDefault="000F4DC9" w:rsidP="000F4DC9">
      <w:pPr>
        <w:spacing w:line="360" w:lineRule="auto"/>
        <w:jc w:val="both"/>
        <w:rPr>
          <w:rFonts w:ascii="David" w:hAnsi="David"/>
          <w:b/>
          <w:bCs/>
          <w:sz w:val="26"/>
          <w:szCs w:val="26"/>
          <w:rtl/>
        </w:rPr>
      </w:pPr>
    </w:p>
    <w:p w14:paraId="1FA8851C" w14:textId="77777777" w:rsidR="000F4DC9" w:rsidRDefault="000F4DC9" w:rsidP="000F4DC9">
      <w:pPr>
        <w:spacing w:line="360" w:lineRule="auto"/>
        <w:jc w:val="both"/>
        <w:rPr>
          <w:rFonts w:ascii="David" w:hAnsi="David"/>
          <w:b/>
          <w:bCs/>
          <w:sz w:val="26"/>
          <w:szCs w:val="26"/>
          <w:rtl/>
        </w:rPr>
      </w:pPr>
      <w:r>
        <w:rPr>
          <w:rFonts w:ascii="David" w:hAnsi="David"/>
          <w:b/>
          <w:bCs/>
          <w:sz w:val="26"/>
          <w:szCs w:val="26"/>
          <w:rtl/>
        </w:rPr>
        <w:t>קנסות ופיצויים ניתן לשלם כעבור 3 ימים מיום מתן גזר הדין בחשבון המרכז לגביית קנסות בדרכים הבאות:</w:t>
      </w:r>
    </w:p>
    <w:p w14:paraId="1F073D05" w14:textId="77777777" w:rsidR="000F4DC9" w:rsidRDefault="000F4DC9" w:rsidP="000F4DC9">
      <w:pPr>
        <w:pStyle w:val="a9"/>
        <w:numPr>
          <w:ilvl w:val="0"/>
          <w:numId w:val="3"/>
        </w:numPr>
        <w:spacing w:line="360" w:lineRule="auto"/>
        <w:jc w:val="both"/>
        <w:rPr>
          <w:rFonts w:ascii="David" w:hAnsi="David"/>
          <w:b/>
          <w:bCs/>
          <w:sz w:val="26"/>
          <w:szCs w:val="26"/>
          <w:rtl/>
          <w:lang w:bidi="ar-JO"/>
        </w:rPr>
      </w:pPr>
      <w:r>
        <w:rPr>
          <w:rFonts w:ascii="David" w:hAnsi="David"/>
          <w:b/>
          <w:bCs/>
          <w:sz w:val="26"/>
          <w:szCs w:val="26"/>
          <w:rtl/>
        </w:rPr>
        <w:t xml:space="preserve">בכרטיס אשראי באתר </w:t>
      </w:r>
      <w:hyperlink r:id="rId29" w:history="1">
        <w:r>
          <w:rPr>
            <w:rStyle w:val="Hyperlink"/>
            <w:rFonts w:ascii="David" w:hAnsi="David"/>
            <w:b/>
            <w:bCs/>
            <w:sz w:val="26"/>
            <w:szCs w:val="26"/>
            <w:lang w:bidi="ar-JO"/>
          </w:rPr>
          <w:t>www.eca.gov.il</w:t>
        </w:r>
      </w:hyperlink>
      <w:r>
        <w:rPr>
          <w:rFonts w:ascii="David" w:hAnsi="David"/>
          <w:b/>
          <w:bCs/>
          <w:sz w:val="26"/>
          <w:szCs w:val="26"/>
          <w:lang w:bidi="ar-JO"/>
        </w:rPr>
        <w:t xml:space="preserve"> </w:t>
      </w:r>
    </w:p>
    <w:p w14:paraId="73BCA4FB" w14:textId="77777777" w:rsidR="000F4DC9" w:rsidRDefault="000F4DC9" w:rsidP="000F4DC9">
      <w:pPr>
        <w:pStyle w:val="a9"/>
        <w:numPr>
          <w:ilvl w:val="0"/>
          <w:numId w:val="3"/>
        </w:numPr>
        <w:spacing w:line="360" w:lineRule="auto"/>
        <w:jc w:val="both"/>
        <w:rPr>
          <w:rFonts w:ascii="David" w:hAnsi="David"/>
          <w:b/>
          <w:bCs/>
          <w:sz w:val="26"/>
          <w:szCs w:val="26"/>
          <w:rtl/>
        </w:rPr>
      </w:pPr>
      <w:r>
        <w:rPr>
          <w:rFonts w:ascii="David" w:hAnsi="David"/>
          <w:b/>
          <w:bCs/>
          <w:sz w:val="26"/>
          <w:szCs w:val="26"/>
          <w:rtl/>
        </w:rPr>
        <w:t>בטלפון: 35592* או 073-2055000</w:t>
      </w:r>
    </w:p>
    <w:p w14:paraId="27122BEB" w14:textId="77777777" w:rsidR="000F4DC9" w:rsidRDefault="000F4DC9" w:rsidP="000F4DC9">
      <w:pPr>
        <w:pStyle w:val="a9"/>
        <w:numPr>
          <w:ilvl w:val="0"/>
          <w:numId w:val="3"/>
        </w:numPr>
        <w:spacing w:line="360" w:lineRule="auto"/>
        <w:jc w:val="both"/>
        <w:rPr>
          <w:rFonts w:ascii="David" w:hAnsi="David"/>
          <w:b/>
          <w:bCs/>
          <w:sz w:val="26"/>
          <w:szCs w:val="26"/>
          <w:rtl/>
        </w:rPr>
      </w:pPr>
      <w:r>
        <w:rPr>
          <w:rFonts w:ascii="David" w:hAnsi="David"/>
          <w:b/>
          <w:bCs/>
          <w:sz w:val="26"/>
          <w:szCs w:val="26"/>
          <w:rtl/>
        </w:rPr>
        <w:t>במזומן בכל סניף של בנק הדואר בהצגת תעודת זהות בלבד</w:t>
      </w:r>
    </w:p>
    <w:p w14:paraId="7F2B9E39" w14:textId="77777777" w:rsidR="000F4DC9" w:rsidRDefault="000F4DC9" w:rsidP="000F4DC9">
      <w:pPr>
        <w:spacing w:line="360" w:lineRule="auto"/>
        <w:jc w:val="both"/>
        <w:rPr>
          <w:rFonts w:ascii="David" w:hAnsi="David"/>
          <w:b/>
          <w:bCs/>
          <w:sz w:val="26"/>
          <w:szCs w:val="26"/>
          <w:rtl/>
        </w:rPr>
      </w:pPr>
    </w:p>
    <w:p w14:paraId="4761F854" w14:textId="77777777" w:rsidR="000F4DC9" w:rsidRDefault="000F4DC9" w:rsidP="000F4DC9">
      <w:pPr>
        <w:spacing w:line="360" w:lineRule="auto"/>
        <w:jc w:val="both"/>
        <w:rPr>
          <w:rFonts w:ascii="David" w:hAnsi="David"/>
          <w:b/>
          <w:bCs/>
          <w:sz w:val="26"/>
          <w:szCs w:val="26"/>
          <w:rtl/>
        </w:rPr>
      </w:pPr>
      <w:r>
        <w:rPr>
          <w:rFonts w:ascii="David" w:hAnsi="David"/>
          <w:b/>
          <w:bCs/>
          <w:sz w:val="26"/>
          <w:szCs w:val="26"/>
          <w:rtl/>
        </w:rPr>
        <w:t>לא יונפקו שוברי תשלום.</w:t>
      </w:r>
    </w:p>
    <w:p w14:paraId="14807FAA" w14:textId="77777777" w:rsidR="000F4DC9" w:rsidRDefault="000F4DC9" w:rsidP="000F4DC9">
      <w:pPr>
        <w:spacing w:line="360" w:lineRule="auto"/>
        <w:jc w:val="both"/>
        <w:rPr>
          <w:b/>
          <w:bCs/>
          <w:sz w:val="26"/>
          <w:szCs w:val="26"/>
          <w:rtl/>
        </w:rPr>
      </w:pPr>
    </w:p>
    <w:p w14:paraId="20AE6BBC" w14:textId="77777777" w:rsidR="000F4DC9" w:rsidRDefault="000F4DC9" w:rsidP="000F4DC9">
      <w:pPr>
        <w:spacing w:line="360" w:lineRule="auto"/>
        <w:jc w:val="both"/>
        <w:rPr>
          <w:rFonts w:ascii="David" w:hAnsi="David"/>
          <w:b/>
          <w:bCs/>
          <w:sz w:val="26"/>
          <w:szCs w:val="26"/>
          <w:rtl/>
        </w:rPr>
      </w:pPr>
      <w:r>
        <w:rPr>
          <w:b/>
          <w:bCs/>
          <w:sz w:val="26"/>
          <w:szCs w:val="26"/>
          <w:rtl/>
        </w:rPr>
        <w:t>ניתן לקזז מכל הפקדה שבתיק או בתיק קשור על אף הודעת עיקול. ככל שקיימות יתרות זכות ואין עיקולים ניתן להשיב למפקיד.</w:t>
      </w:r>
      <w:r>
        <w:rPr>
          <w:rFonts w:ascii="David" w:hAnsi="David"/>
          <w:b/>
          <w:bCs/>
          <w:sz w:val="26"/>
          <w:szCs w:val="26"/>
          <w:rtl/>
        </w:rPr>
        <w:t xml:space="preserve"> מובהר כי ככל שבוצעו חילוטים, לא יושבו הכספים.</w:t>
      </w:r>
    </w:p>
    <w:p w14:paraId="5E67D001" w14:textId="77777777" w:rsidR="000F4DC9" w:rsidRDefault="000F4DC9" w:rsidP="000F4DC9">
      <w:pPr>
        <w:spacing w:line="360" w:lineRule="auto"/>
        <w:jc w:val="both"/>
        <w:rPr>
          <w:b/>
          <w:bCs/>
          <w:sz w:val="26"/>
          <w:szCs w:val="26"/>
        </w:rPr>
      </w:pPr>
    </w:p>
    <w:p w14:paraId="4FA3A5DB" w14:textId="77777777" w:rsidR="000F4DC9" w:rsidRPr="00840B3B" w:rsidRDefault="000F4DC9" w:rsidP="000F4DC9">
      <w:pPr>
        <w:spacing w:after="160" w:line="360" w:lineRule="auto"/>
        <w:rPr>
          <w:rFonts w:ascii="David" w:hAnsi="David"/>
          <w:b/>
          <w:bCs/>
          <w:sz w:val="26"/>
          <w:szCs w:val="26"/>
        </w:rPr>
      </w:pPr>
      <w:r w:rsidRPr="00840B3B">
        <w:rPr>
          <w:rFonts w:ascii="David" w:hAnsi="David"/>
          <w:b/>
          <w:bCs/>
          <w:sz w:val="26"/>
          <w:szCs w:val="26"/>
          <w:rtl/>
        </w:rPr>
        <w:t>יש לשלוח לשירות המבחן ולממונה על עבודות שירות.</w:t>
      </w:r>
    </w:p>
    <w:p w14:paraId="541EA730" w14:textId="77777777" w:rsidR="000F4DC9" w:rsidRPr="00840B3B" w:rsidRDefault="000F4DC9" w:rsidP="000F4DC9">
      <w:pPr>
        <w:spacing w:after="160" w:line="252" w:lineRule="auto"/>
        <w:rPr>
          <w:rFonts w:ascii="David" w:hAnsi="David"/>
          <w:sz w:val="26"/>
          <w:szCs w:val="26"/>
          <w:rtl/>
        </w:rPr>
      </w:pPr>
    </w:p>
    <w:p w14:paraId="3700B41B" w14:textId="77777777" w:rsidR="000F4DC9" w:rsidRDefault="00B746B9" w:rsidP="000F4DC9">
      <w:pPr>
        <w:spacing w:after="160" w:line="252" w:lineRule="auto"/>
        <w:rPr>
          <w:rFonts w:ascii="David" w:hAnsi="David"/>
          <w:b/>
          <w:bCs/>
          <w:sz w:val="26"/>
          <w:szCs w:val="26"/>
        </w:rPr>
      </w:pPr>
      <w:r w:rsidRPr="00B746B9">
        <w:rPr>
          <w:rFonts w:ascii="David" w:hAnsi="David"/>
          <w:b/>
          <w:bCs/>
          <w:color w:val="FFFFFF"/>
          <w:sz w:val="2"/>
          <w:szCs w:val="2"/>
          <w:rtl/>
        </w:rPr>
        <w:t>5129371</w:t>
      </w:r>
      <w:r w:rsidR="000F4DC9">
        <w:rPr>
          <w:rFonts w:ascii="David" w:hAnsi="David"/>
          <w:b/>
          <w:bCs/>
          <w:sz w:val="26"/>
          <w:szCs w:val="26"/>
          <w:rtl/>
        </w:rPr>
        <w:t>זכות ערעור כחוק לבית המשפט המחוזי בירושלים בתוך 45 יום מהיום.</w:t>
      </w:r>
    </w:p>
    <w:p w14:paraId="310A3737" w14:textId="77777777" w:rsidR="000F4DC9" w:rsidRPr="00B746B9" w:rsidRDefault="00B746B9" w:rsidP="000F4DC9">
      <w:pPr>
        <w:rPr>
          <w:rFonts w:ascii="Arial" w:hAnsi="Arial"/>
          <w:b/>
          <w:bCs/>
          <w:color w:val="FFFFFF"/>
          <w:sz w:val="2"/>
          <w:szCs w:val="2"/>
          <w:rtl/>
        </w:rPr>
      </w:pPr>
      <w:r w:rsidRPr="00B746B9">
        <w:rPr>
          <w:rFonts w:ascii="Arial" w:hAnsi="Arial"/>
          <w:b/>
          <w:bCs/>
          <w:color w:val="FFFFFF"/>
          <w:sz w:val="2"/>
          <w:szCs w:val="2"/>
          <w:rtl/>
        </w:rPr>
        <w:t>54678313</w:t>
      </w:r>
    </w:p>
    <w:p w14:paraId="6FF516CA" w14:textId="77777777" w:rsidR="000F4DC9" w:rsidRPr="000F2247" w:rsidRDefault="000F4DC9" w:rsidP="000F4DC9">
      <w:pPr>
        <w:rPr>
          <w:rFonts w:ascii="Arial" w:hAnsi="Arial"/>
          <w:b/>
          <w:bCs/>
          <w:sz w:val="26"/>
          <w:szCs w:val="26"/>
          <w:rtl/>
        </w:rPr>
      </w:pPr>
    </w:p>
    <w:p w14:paraId="28782D1C" w14:textId="77777777" w:rsidR="000F4DC9" w:rsidRPr="000F2247" w:rsidRDefault="00B746B9" w:rsidP="000F4DC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י"ב אלול תשפ"ד, 15 ספטמבר 2024, במעמד הצדדים. </w:t>
      </w:r>
      <w:bookmarkEnd w:id="8"/>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b/>
          <w:bCs/>
          <w:sz w:val="26"/>
          <w:szCs w:val="26"/>
          <w:rtl/>
        </w:rPr>
        <w:tab/>
      </w:r>
      <w:r w:rsidR="000F4DC9">
        <w:rPr>
          <w:rFonts w:ascii="Arial" w:hAnsi="Arial" w:hint="cs"/>
          <w:b/>
          <w:bCs/>
          <w:sz w:val="26"/>
          <w:szCs w:val="26"/>
          <w:rtl/>
        </w:rPr>
        <w:t xml:space="preserve">         </w:t>
      </w:r>
    </w:p>
    <w:p w14:paraId="25674A0A" w14:textId="77777777" w:rsidR="00B746B9" w:rsidRDefault="00B746B9" w:rsidP="00B746B9">
      <w:pPr>
        <w:rPr>
          <w:rtl/>
        </w:rPr>
      </w:pPr>
    </w:p>
    <w:p w14:paraId="06902453" w14:textId="77777777" w:rsidR="00B746B9" w:rsidRDefault="00B746B9" w:rsidP="00B746B9">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2CE2A97" w14:textId="77777777" w:rsidR="002C7BEE" w:rsidRPr="002C7BEE" w:rsidRDefault="002C7BEE" w:rsidP="002C7BEE">
      <w:pPr>
        <w:keepNext/>
        <w:rPr>
          <w:rFonts w:ascii="David" w:hAnsi="David"/>
          <w:color w:val="000000"/>
          <w:sz w:val="22"/>
          <w:szCs w:val="22"/>
          <w:rtl/>
        </w:rPr>
      </w:pPr>
    </w:p>
    <w:p w14:paraId="1A44C3AA" w14:textId="77777777" w:rsidR="002C7BEE" w:rsidRPr="002C7BEE" w:rsidRDefault="002C7BEE" w:rsidP="002C7BEE">
      <w:pPr>
        <w:keepNext/>
        <w:rPr>
          <w:rFonts w:ascii="David" w:hAnsi="David"/>
          <w:color w:val="000000"/>
          <w:sz w:val="22"/>
          <w:szCs w:val="22"/>
          <w:rtl/>
        </w:rPr>
      </w:pPr>
      <w:r w:rsidRPr="002C7BEE">
        <w:rPr>
          <w:rFonts w:ascii="David" w:hAnsi="David"/>
          <w:color w:val="000000"/>
          <w:sz w:val="22"/>
          <w:szCs w:val="22"/>
          <w:rtl/>
        </w:rPr>
        <w:t>דוד שאול גבאי ריכטר 54678313-/</w:t>
      </w:r>
    </w:p>
    <w:p w14:paraId="5B131E4F" w14:textId="77777777" w:rsidR="00B746B9" w:rsidRPr="00B746B9" w:rsidRDefault="002C7BEE" w:rsidP="002C7BEE">
      <w:pPr>
        <w:rPr>
          <w:color w:val="0000FF"/>
          <w:u w:val="single"/>
        </w:rPr>
      </w:pPr>
      <w:r w:rsidRPr="002C7BEE">
        <w:rPr>
          <w:color w:val="000000"/>
          <w:u w:val="single"/>
          <w:rtl/>
        </w:rPr>
        <w:t>נוסח מסמך זה כפוף לשינויי ניסוח ועריכה</w:t>
      </w:r>
    </w:p>
    <w:sectPr w:rsidR="00B746B9" w:rsidRPr="00B746B9" w:rsidSect="002C7BEE">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8067DB" w14:textId="77777777" w:rsidR="000D3E30" w:rsidRDefault="000D3E30" w:rsidP="009E42A3">
      <w:r>
        <w:separator/>
      </w:r>
    </w:p>
  </w:endnote>
  <w:endnote w:type="continuationSeparator" w:id="0">
    <w:p w14:paraId="1BB76FCE" w14:textId="77777777" w:rsidR="000D3E30" w:rsidRDefault="000D3E30" w:rsidP="009E4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22C643" w14:textId="77777777" w:rsidR="002C7BEE" w:rsidRDefault="002C7BEE" w:rsidP="002C7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1CEAFB" w14:textId="77777777" w:rsidR="008C5DB2" w:rsidRPr="002C7BEE" w:rsidRDefault="002C7BEE" w:rsidP="002C7BEE">
    <w:pPr>
      <w:pStyle w:val="a5"/>
      <w:pBdr>
        <w:top w:val="single" w:sz="4" w:space="1" w:color="auto"/>
        <w:between w:val="single" w:sz="4" w:space="0" w:color="auto"/>
      </w:pBdr>
      <w:spacing w:after="60"/>
      <w:jc w:val="center"/>
      <w:rPr>
        <w:rFonts w:ascii="FrankRuehl" w:hAnsi="FrankRuehl" w:cs="FrankRuehl"/>
        <w:color w:val="000000"/>
      </w:rPr>
    </w:pPr>
    <w:r w:rsidRPr="002C7BE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E72CD" w14:textId="77777777" w:rsidR="002C7BEE" w:rsidRDefault="002C7BEE" w:rsidP="002C7BEE">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6ACC">
      <w:rPr>
        <w:rFonts w:ascii="FrankRuehl" w:hAnsi="FrankRuehl" w:cs="FrankRuehl"/>
        <w:noProof/>
        <w:rtl/>
      </w:rPr>
      <w:t>1</w:t>
    </w:r>
    <w:r>
      <w:rPr>
        <w:rFonts w:ascii="FrankRuehl" w:hAnsi="FrankRuehl" w:cs="FrankRuehl"/>
        <w:rtl/>
      </w:rPr>
      <w:fldChar w:fldCharType="end"/>
    </w:r>
  </w:p>
  <w:p w14:paraId="7C86F99C" w14:textId="77777777" w:rsidR="008C5DB2" w:rsidRPr="002C7BEE" w:rsidRDefault="002C7BEE" w:rsidP="002C7BEE">
    <w:pPr>
      <w:pStyle w:val="a5"/>
      <w:pBdr>
        <w:top w:val="single" w:sz="4" w:space="1" w:color="auto"/>
        <w:between w:val="single" w:sz="4" w:space="0" w:color="auto"/>
      </w:pBdr>
      <w:spacing w:after="60"/>
      <w:jc w:val="center"/>
      <w:rPr>
        <w:rFonts w:ascii="FrankRuehl" w:hAnsi="FrankRuehl" w:cs="FrankRuehl"/>
        <w:color w:val="000000"/>
      </w:rPr>
    </w:pPr>
    <w:r w:rsidRPr="002C7BEE">
      <w:rPr>
        <w:rFonts w:ascii="FrankRuehl" w:hAnsi="FrankRuehl" w:cs="FrankRuehl"/>
        <w:color w:val="000000"/>
      </w:rPr>
      <w:pict w14:anchorId="792921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5F1DF0" w14:textId="77777777" w:rsidR="000D3E30" w:rsidRDefault="000D3E30" w:rsidP="009E42A3">
      <w:r>
        <w:separator/>
      </w:r>
    </w:p>
  </w:footnote>
  <w:footnote w:type="continuationSeparator" w:id="0">
    <w:p w14:paraId="69B3AC17" w14:textId="77777777" w:rsidR="000D3E30" w:rsidRDefault="000D3E30" w:rsidP="009E42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4D973" w14:textId="77777777" w:rsidR="00B746B9" w:rsidRPr="002C7BEE" w:rsidRDefault="002C7BEE" w:rsidP="002C7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20257-03-23</w:t>
    </w:r>
    <w:r>
      <w:rPr>
        <w:rFonts w:ascii="David" w:hAnsi="David"/>
        <w:color w:val="000000"/>
        <w:sz w:val="22"/>
        <w:szCs w:val="22"/>
        <w:rtl/>
      </w:rPr>
      <w:tab/>
      <w:t xml:space="preserve"> מדינת ישראל נ' רוני מסקאלצי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F241" w14:textId="77777777" w:rsidR="00B746B9" w:rsidRPr="002C7BEE" w:rsidRDefault="002C7BEE" w:rsidP="002C7BEE">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20257-03-23</w:t>
    </w:r>
    <w:r>
      <w:rPr>
        <w:rFonts w:ascii="David" w:hAnsi="David"/>
        <w:color w:val="000000"/>
        <w:sz w:val="22"/>
        <w:szCs w:val="22"/>
        <w:rtl/>
      </w:rPr>
      <w:tab/>
      <w:t xml:space="preserve"> מדינת ישראל נ' רוני מסקאלצי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845762"/>
    <w:multiLevelType w:val="hybridMultilevel"/>
    <w:tmpl w:val="101C4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1A61FA3"/>
    <w:multiLevelType w:val="hybridMultilevel"/>
    <w:tmpl w:val="826ABBBC"/>
    <w:lvl w:ilvl="0" w:tplc="CA42FABC">
      <w:start w:val="1"/>
      <w:numFmt w:val="hebrew1"/>
      <w:lvlText w:val="%1."/>
      <w:lvlJc w:val="left"/>
      <w:pPr>
        <w:ind w:left="720" w:hanging="360"/>
      </w:pPr>
      <w:rPr>
        <w:rFonts w:cs="Times New Roman"/>
        <w:b w:val="0"/>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28C3D0F"/>
    <w:multiLevelType w:val="hybridMultilevel"/>
    <w:tmpl w:val="2D42C1EE"/>
    <w:lvl w:ilvl="0" w:tplc="51B622B0">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4B816AE2"/>
    <w:multiLevelType w:val="hybridMultilevel"/>
    <w:tmpl w:val="56CC599A"/>
    <w:lvl w:ilvl="0" w:tplc="04090013">
      <w:start w:val="1"/>
      <w:numFmt w:val="hebrew1"/>
      <w:lvlText w:val="%1."/>
      <w:lvlJc w:val="center"/>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2792908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039879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24669949">
    <w:abstractNumId w:val="0"/>
  </w:num>
  <w:num w:numId="4" w16cid:durableId="55231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F4DC9"/>
    <w:rsid w:val="000D3E30"/>
    <w:rsid w:val="000F4DC9"/>
    <w:rsid w:val="001753E3"/>
    <w:rsid w:val="002774AE"/>
    <w:rsid w:val="002C7BEE"/>
    <w:rsid w:val="003244C4"/>
    <w:rsid w:val="00735E42"/>
    <w:rsid w:val="008C5DB2"/>
    <w:rsid w:val="008E1855"/>
    <w:rsid w:val="00982785"/>
    <w:rsid w:val="009E42A3"/>
    <w:rsid w:val="00A00373"/>
    <w:rsid w:val="00A245DF"/>
    <w:rsid w:val="00B746B9"/>
    <w:rsid w:val="00C46ACC"/>
    <w:rsid w:val="00D6319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3582EA"/>
  <w15:chartTrackingRefBased/>
  <w15:docId w15:val="{89802406-95E6-40E9-BA21-D7E3A550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4DC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F4DC9"/>
    <w:pPr>
      <w:tabs>
        <w:tab w:val="center" w:pos="4153"/>
        <w:tab w:val="right" w:pos="8306"/>
      </w:tabs>
    </w:pPr>
  </w:style>
  <w:style w:type="character" w:customStyle="1" w:styleId="a4">
    <w:name w:val="כותרת עליונה תו"/>
    <w:link w:val="a3"/>
    <w:rsid w:val="000F4DC9"/>
    <w:rPr>
      <w:rFonts w:ascii="Times New Roman" w:eastAsia="Times New Roman" w:hAnsi="Times New Roman" w:cs="David"/>
      <w:sz w:val="24"/>
      <w:szCs w:val="24"/>
    </w:rPr>
  </w:style>
  <w:style w:type="paragraph" w:styleId="a5">
    <w:name w:val="footer"/>
    <w:basedOn w:val="a"/>
    <w:link w:val="a6"/>
    <w:rsid w:val="000F4DC9"/>
    <w:pPr>
      <w:tabs>
        <w:tab w:val="center" w:pos="4153"/>
        <w:tab w:val="right" w:pos="8306"/>
      </w:tabs>
    </w:pPr>
  </w:style>
  <w:style w:type="character" w:customStyle="1" w:styleId="a6">
    <w:name w:val="כותרת תחתונה תו"/>
    <w:link w:val="a5"/>
    <w:rsid w:val="000F4DC9"/>
    <w:rPr>
      <w:rFonts w:ascii="Times New Roman" w:eastAsia="Times New Roman" w:hAnsi="Times New Roman" w:cs="David"/>
      <w:sz w:val="24"/>
      <w:szCs w:val="24"/>
    </w:rPr>
  </w:style>
  <w:style w:type="table" w:styleId="a7">
    <w:name w:val="Table Grid"/>
    <w:basedOn w:val="a1"/>
    <w:rsid w:val="000F4DC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F4DC9"/>
  </w:style>
  <w:style w:type="character" w:styleId="Hyperlink">
    <w:name w:val="Hyperlink"/>
    <w:rsid w:val="000F4DC9"/>
    <w:rPr>
      <w:noProof w:val="0"/>
      <w:color w:val="0000FF"/>
      <w:u w:val="single"/>
    </w:rPr>
  </w:style>
  <w:style w:type="paragraph" w:styleId="a9">
    <w:name w:val="List Paragraph"/>
    <w:basedOn w:val="a"/>
    <w:qFormat/>
    <w:rsid w:val="000F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274/15b.1" TargetMode="External"/><Relationship Id="rId18" Type="http://schemas.openxmlformats.org/officeDocument/2006/relationships/hyperlink" Target="http://www.nevo.co.il/case/25975844" TargetMode="External"/><Relationship Id="rId26" Type="http://schemas.openxmlformats.org/officeDocument/2006/relationships/hyperlink" Target="http://www.nevo.co.il/case/24971234" TargetMode="External"/><Relationship Id="rId3" Type="http://schemas.openxmlformats.org/officeDocument/2006/relationships/settings" Target="settings.xml"/><Relationship Id="rId21" Type="http://schemas.openxmlformats.org/officeDocument/2006/relationships/hyperlink" Target="http://www.nevo.co.il/case/26015265"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74274"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5271452"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case/26536237" TargetMode="External"/><Relationship Id="rId29" Type="http://schemas.openxmlformats.org/officeDocument/2006/relationships/hyperlink" Target="http://www.eca.gov.i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7980179"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case/5810781" TargetMode="External"/><Relationship Id="rId28" Type="http://schemas.openxmlformats.org/officeDocument/2006/relationships/hyperlink" Target="http://www.nevo.co.il/law/74274" TargetMode="External"/><Relationship Id="rId36" Type="http://schemas.openxmlformats.org/officeDocument/2006/relationships/theme" Target="theme/theme1.xml"/><Relationship Id="rId10" Type="http://schemas.openxmlformats.org/officeDocument/2006/relationships/hyperlink" Target="http://www.nevo.co.il/law/4216/13" TargetMode="External"/><Relationship Id="rId19" Type="http://schemas.openxmlformats.org/officeDocument/2006/relationships/hyperlink" Target="http://www.nevo.co.il/case/24975541"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3" TargetMode="External"/><Relationship Id="rId22" Type="http://schemas.openxmlformats.org/officeDocument/2006/relationships/hyperlink" Target="http://www.nevo.co.il/case/23158178" TargetMode="External"/><Relationship Id="rId27" Type="http://schemas.openxmlformats.org/officeDocument/2006/relationships/hyperlink" Target="http://www.nevo.co.il/law/74274/15b.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1591</Words>
  <Characters>7959</Characters>
  <Application>Microsoft Office Word</Application>
  <DocSecurity>0</DocSecurity>
  <Lines>66</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9531</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7864368</vt:i4>
      </vt:variant>
      <vt:variant>
        <vt:i4>66</vt:i4>
      </vt:variant>
      <vt:variant>
        <vt:i4>0</vt:i4>
      </vt:variant>
      <vt:variant>
        <vt:i4>5</vt:i4>
      </vt:variant>
      <vt:variant>
        <vt:lpwstr>http://www.eca.gov.il/</vt:lpwstr>
      </vt:variant>
      <vt:variant>
        <vt:lpwstr/>
      </vt:variant>
      <vt:variant>
        <vt:i4>7929957</vt:i4>
      </vt:variant>
      <vt:variant>
        <vt:i4>63</vt:i4>
      </vt:variant>
      <vt:variant>
        <vt:i4>0</vt:i4>
      </vt:variant>
      <vt:variant>
        <vt:i4>5</vt:i4>
      </vt:variant>
      <vt:variant>
        <vt:lpwstr>http://www.nevo.co.il/law/74274</vt:lpwstr>
      </vt:variant>
      <vt:variant>
        <vt:lpwstr/>
      </vt:variant>
      <vt:variant>
        <vt:i4>5046274</vt:i4>
      </vt:variant>
      <vt:variant>
        <vt:i4>60</vt:i4>
      </vt:variant>
      <vt:variant>
        <vt:i4>0</vt:i4>
      </vt:variant>
      <vt:variant>
        <vt:i4>5</vt:i4>
      </vt:variant>
      <vt:variant>
        <vt:lpwstr>http://www.nevo.co.il/law/74274/15b.1</vt:lpwstr>
      </vt:variant>
      <vt:variant>
        <vt:lpwstr/>
      </vt:variant>
      <vt:variant>
        <vt:i4>3735669</vt:i4>
      </vt:variant>
      <vt:variant>
        <vt:i4>57</vt:i4>
      </vt:variant>
      <vt:variant>
        <vt:i4>0</vt:i4>
      </vt:variant>
      <vt:variant>
        <vt:i4>5</vt:i4>
      </vt:variant>
      <vt:variant>
        <vt:lpwstr>http://www.nevo.co.il/case/24971234</vt:lpwstr>
      </vt:variant>
      <vt:variant>
        <vt:lpwstr/>
      </vt:variant>
      <vt:variant>
        <vt:i4>3407986</vt:i4>
      </vt:variant>
      <vt:variant>
        <vt:i4>54</vt:i4>
      </vt:variant>
      <vt:variant>
        <vt:i4>0</vt:i4>
      </vt:variant>
      <vt:variant>
        <vt:i4>5</vt:i4>
      </vt:variant>
      <vt:variant>
        <vt:lpwstr>http://www.nevo.co.il/case/25271452</vt:lpwstr>
      </vt:variant>
      <vt:variant>
        <vt:lpwstr/>
      </vt:variant>
      <vt:variant>
        <vt:i4>3604602</vt:i4>
      </vt:variant>
      <vt:variant>
        <vt:i4>51</vt:i4>
      </vt:variant>
      <vt:variant>
        <vt:i4>0</vt:i4>
      </vt:variant>
      <vt:variant>
        <vt:i4>5</vt:i4>
      </vt:variant>
      <vt:variant>
        <vt:lpwstr>http://www.nevo.co.il/case/7980179</vt:lpwstr>
      </vt:variant>
      <vt:variant>
        <vt:lpwstr/>
      </vt:variant>
      <vt:variant>
        <vt:i4>3276916</vt:i4>
      </vt:variant>
      <vt:variant>
        <vt:i4>48</vt:i4>
      </vt:variant>
      <vt:variant>
        <vt:i4>0</vt:i4>
      </vt:variant>
      <vt:variant>
        <vt:i4>5</vt:i4>
      </vt:variant>
      <vt:variant>
        <vt:lpwstr>http://www.nevo.co.il/case/5810781</vt:lpwstr>
      </vt:variant>
      <vt:variant>
        <vt:lpwstr/>
      </vt:variant>
      <vt:variant>
        <vt:i4>3932275</vt:i4>
      </vt:variant>
      <vt:variant>
        <vt:i4>45</vt:i4>
      </vt:variant>
      <vt:variant>
        <vt:i4>0</vt:i4>
      </vt:variant>
      <vt:variant>
        <vt:i4>5</vt:i4>
      </vt:variant>
      <vt:variant>
        <vt:lpwstr>http://www.nevo.co.il/case/23158178</vt:lpwstr>
      </vt:variant>
      <vt:variant>
        <vt:lpwstr/>
      </vt:variant>
      <vt:variant>
        <vt:i4>3211377</vt:i4>
      </vt:variant>
      <vt:variant>
        <vt:i4>42</vt:i4>
      </vt:variant>
      <vt:variant>
        <vt:i4>0</vt:i4>
      </vt:variant>
      <vt:variant>
        <vt:i4>5</vt:i4>
      </vt:variant>
      <vt:variant>
        <vt:lpwstr>http://www.nevo.co.il/case/26015265</vt:lpwstr>
      </vt:variant>
      <vt:variant>
        <vt:lpwstr/>
      </vt:variant>
      <vt:variant>
        <vt:i4>3276915</vt:i4>
      </vt:variant>
      <vt:variant>
        <vt:i4>39</vt:i4>
      </vt:variant>
      <vt:variant>
        <vt:i4>0</vt:i4>
      </vt:variant>
      <vt:variant>
        <vt:i4>5</vt:i4>
      </vt:variant>
      <vt:variant>
        <vt:lpwstr>http://www.nevo.co.il/case/26536237</vt:lpwstr>
      </vt:variant>
      <vt:variant>
        <vt:lpwstr/>
      </vt:variant>
      <vt:variant>
        <vt:i4>3801202</vt:i4>
      </vt:variant>
      <vt:variant>
        <vt:i4>36</vt:i4>
      </vt:variant>
      <vt:variant>
        <vt:i4>0</vt:i4>
      </vt:variant>
      <vt:variant>
        <vt:i4>5</vt:i4>
      </vt:variant>
      <vt:variant>
        <vt:lpwstr>http://www.nevo.co.il/case/24975541</vt:lpwstr>
      </vt:variant>
      <vt:variant>
        <vt:lpwstr/>
      </vt:variant>
      <vt:variant>
        <vt:i4>3801214</vt:i4>
      </vt:variant>
      <vt:variant>
        <vt:i4>33</vt:i4>
      </vt:variant>
      <vt:variant>
        <vt:i4>0</vt:i4>
      </vt:variant>
      <vt:variant>
        <vt:i4>5</vt:i4>
      </vt:variant>
      <vt:variant>
        <vt:lpwstr>http://www.nevo.co.il/case/25975844</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5046274</vt:i4>
      </vt:variant>
      <vt:variant>
        <vt:i4>18</vt:i4>
      </vt:variant>
      <vt:variant>
        <vt:i4>0</vt:i4>
      </vt:variant>
      <vt:variant>
        <vt:i4>5</vt:i4>
      </vt:variant>
      <vt:variant>
        <vt:lpwstr>http://www.nevo.co.il/law/74274/15b.1</vt:lpwstr>
      </vt:variant>
      <vt:variant>
        <vt:lpwstr/>
      </vt:variant>
      <vt:variant>
        <vt:i4>7929957</vt:i4>
      </vt:variant>
      <vt:variant>
        <vt:i4>15</vt:i4>
      </vt:variant>
      <vt:variant>
        <vt:i4>0</vt:i4>
      </vt:variant>
      <vt:variant>
        <vt:i4>5</vt:i4>
      </vt:variant>
      <vt:variant>
        <vt:lpwstr>http://www.nevo.co.il/law/74274</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2025-04-23T01:44:00Z</dcterms:created>
  <dcterms:modified xsi:type="dcterms:W3CDTF">2025-04-23T01:44:00Z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20257</vt:lpwstr>
  </property>
  <property fmtid="{D5CDD505-2E9C-101B-9397-08002B2CF9AE}" pid="6" name="NEWPARTB">
    <vt:lpwstr>03</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רוני מסקאלצי </vt:lpwstr>
  </property>
  <property fmtid="{D5CDD505-2E9C-101B-9397-08002B2CF9AE}" pid="10" name="LAWYER">
    <vt:lpwstr>עודד רגב</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20240915</vt:lpwstr>
  </property>
  <property fmtid="{D5CDD505-2E9C-101B-9397-08002B2CF9AE}" pid="14" name="TYPE_N_DATE">
    <vt:lpwstr>38020240915</vt:lpwstr>
  </property>
  <property fmtid="{D5CDD505-2E9C-101B-9397-08002B2CF9AE}" pid="15" name="WORDNUMPAGES">
    <vt:lpwstr>6</vt:lpwstr>
  </property>
  <property fmtid="{D5CDD505-2E9C-101B-9397-08002B2CF9AE}" pid="16" name="TYPE_ABS_DATE">
    <vt:lpwstr>380020240915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25975844;24975541;26536237;26015265;23158178;5810781;7980179;25271452;24971234</vt:lpwstr>
  </property>
  <property fmtid="{D5CDD505-2E9C-101B-9397-08002B2CF9AE}" pid="36" name="LAWLISTTMP1">
    <vt:lpwstr>4216/013;019a;007.a;007.c</vt:lpwstr>
  </property>
  <property fmtid="{D5CDD505-2E9C-101B-9397-08002B2CF9AE}" pid="37" name="LAWLISTTMP2">
    <vt:lpwstr>74274/015b.1</vt:lpwstr>
  </property>
</Properties>
</file>