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FD77EC" w:rsidRPr="00D91317" w14:paraId="6055D823" w14:textId="77777777" w:rsidTr="006D708B">
        <w:trPr>
          <w:trHeight w:hRule="exact" w:val="418"/>
          <w:jc w:val="center"/>
        </w:trPr>
        <w:tc>
          <w:tcPr>
            <w:tcW w:w="8721" w:type="dxa"/>
            <w:gridSpan w:val="2"/>
          </w:tcPr>
          <w:p w14:paraId="7CB25438" w14:textId="77777777" w:rsidR="00FD77EC" w:rsidRPr="00D91317" w:rsidRDefault="00FD77EC" w:rsidP="00E5677C">
            <w:pPr>
              <w:pStyle w:val="a3"/>
              <w:jc w:val="center"/>
              <w:rPr>
                <w:rFonts w:ascii="Tahoma" w:hAnsi="Tahoma" w:cs="Tahoma"/>
                <w:color w:val="000080"/>
                <w:rtl/>
              </w:rPr>
            </w:pPr>
            <w:bookmarkStart w:id="0" w:name="LastJudge"/>
            <w:r w:rsidRPr="00D91317">
              <w:rPr>
                <w:rFonts w:ascii="Tahoma" w:hAnsi="Tahoma" w:cs="Tahoma"/>
                <w:b/>
                <w:bCs/>
                <w:color w:val="000080"/>
                <w:rtl/>
              </w:rPr>
              <w:t>בית משפט השלום באשקלון</w:t>
            </w:r>
          </w:p>
        </w:tc>
      </w:tr>
      <w:tr w:rsidR="00FD77EC" w:rsidRPr="00D91317" w14:paraId="3EA389EE" w14:textId="77777777" w:rsidTr="006D708B">
        <w:trPr>
          <w:trHeight w:val="337"/>
          <w:jc w:val="center"/>
        </w:trPr>
        <w:tc>
          <w:tcPr>
            <w:tcW w:w="5054" w:type="dxa"/>
          </w:tcPr>
          <w:p w14:paraId="585190DA" w14:textId="77777777" w:rsidR="00FD77EC" w:rsidRPr="00D91317" w:rsidRDefault="00FD77EC" w:rsidP="00E5677C">
            <w:pPr>
              <w:rPr>
                <w:rFonts w:cs="FrankRuehl"/>
                <w:sz w:val="28"/>
                <w:szCs w:val="28"/>
                <w:rtl/>
              </w:rPr>
            </w:pPr>
            <w:r w:rsidRPr="00D91317">
              <w:rPr>
                <w:rFonts w:ascii="David" w:hAnsi="David"/>
                <w:b/>
                <w:bCs/>
                <w:sz w:val="26"/>
                <w:szCs w:val="26"/>
                <w:rtl/>
              </w:rPr>
              <w:t>ת"פ 57657-03-23 מדינת ישראל נ' בן משה</w:t>
            </w:r>
          </w:p>
        </w:tc>
        <w:tc>
          <w:tcPr>
            <w:tcW w:w="3667" w:type="dxa"/>
          </w:tcPr>
          <w:p w14:paraId="4C2EE8BD" w14:textId="77777777" w:rsidR="00FD77EC" w:rsidRPr="00D91317" w:rsidRDefault="00FD77EC" w:rsidP="00E5677C">
            <w:pPr>
              <w:pStyle w:val="a3"/>
              <w:jc w:val="right"/>
              <w:rPr>
                <w:rFonts w:cs="FrankRuehl"/>
                <w:sz w:val="28"/>
                <w:szCs w:val="28"/>
                <w:rtl/>
              </w:rPr>
            </w:pPr>
          </w:p>
        </w:tc>
      </w:tr>
    </w:tbl>
    <w:p w14:paraId="22EF3F30" w14:textId="77777777" w:rsidR="00FD77EC" w:rsidRPr="00D91317" w:rsidRDefault="00FD77EC" w:rsidP="00FD77EC">
      <w:pPr>
        <w:pStyle w:val="a3"/>
        <w:rPr>
          <w:rtl/>
        </w:rPr>
      </w:pPr>
      <w:r w:rsidRPr="00D91317">
        <w:rPr>
          <w:rFonts w:hint="cs"/>
          <w:rtl/>
        </w:rPr>
        <w:t xml:space="preserve"> </w:t>
      </w:r>
    </w:p>
    <w:tbl>
      <w:tblPr>
        <w:bidiVisual/>
        <w:tblW w:w="8529" w:type="dxa"/>
        <w:tblInd w:w="139" w:type="dxa"/>
        <w:tblLook w:val="01E0" w:firstRow="1" w:lastRow="1" w:firstColumn="1" w:lastColumn="1" w:noHBand="0" w:noVBand="0"/>
      </w:tblPr>
      <w:tblGrid>
        <w:gridCol w:w="1729"/>
        <w:gridCol w:w="6800"/>
      </w:tblGrid>
      <w:tr w:rsidR="00FD77EC" w:rsidRPr="00D91317" w14:paraId="3F5686BB" w14:textId="77777777" w:rsidTr="00FD77EC">
        <w:tc>
          <w:tcPr>
            <w:tcW w:w="8529" w:type="dxa"/>
            <w:gridSpan w:val="2"/>
            <w:shd w:val="clear" w:color="auto" w:fill="auto"/>
          </w:tcPr>
          <w:p w14:paraId="4F57D21A" w14:textId="77777777" w:rsidR="00FD77EC" w:rsidRPr="00D91317" w:rsidRDefault="00FD77EC" w:rsidP="00E5677C">
            <w:pPr>
              <w:rPr>
                <w:rFonts w:ascii="David" w:hAnsi="David"/>
                <w:b/>
                <w:bCs/>
                <w:sz w:val="28"/>
                <w:szCs w:val="28"/>
              </w:rPr>
            </w:pPr>
            <w:r w:rsidRPr="00D91317">
              <w:rPr>
                <w:rFonts w:ascii="David" w:hAnsi="David"/>
                <w:b/>
                <w:bCs/>
                <w:sz w:val="26"/>
                <w:szCs w:val="26"/>
                <w:rtl/>
              </w:rPr>
              <w:t>לפני כב' השופטת זהר דולב להמן</w:t>
            </w:r>
          </w:p>
          <w:p w14:paraId="77241C17" w14:textId="77777777" w:rsidR="00FD77EC" w:rsidRPr="00D91317" w:rsidRDefault="00FD77EC" w:rsidP="00FD77EC">
            <w:pPr>
              <w:ind w:left="26"/>
              <w:rPr>
                <w:b/>
                <w:bCs/>
                <w:sz w:val="28"/>
                <w:szCs w:val="28"/>
                <w:rtl/>
              </w:rPr>
            </w:pPr>
          </w:p>
        </w:tc>
      </w:tr>
      <w:tr w:rsidR="00FD77EC" w:rsidRPr="00D91317" w14:paraId="78B8134E" w14:textId="77777777" w:rsidTr="00FD77EC">
        <w:tc>
          <w:tcPr>
            <w:tcW w:w="1729" w:type="dxa"/>
            <w:shd w:val="clear" w:color="auto" w:fill="auto"/>
          </w:tcPr>
          <w:p w14:paraId="757B8ED2" w14:textId="77777777" w:rsidR="00FD77EC" w:rsidRPr="00D91317" w:rsidRDefault="00FD77EC" w:rsidP="00E5677C">
            <w:pPr>
              <w:rPr>
                <w:b/>
                <w:bCs/>
                <w:sz w:val="28"/>
                <w:szCs w:val="28"/>
                <w:rtl/>
              </w:rPr>
            </w:pPr>
            <w:bookmarkStart w:id="1" w:name="FirstAppellant"/>
            <w:bookmarkStart w:id="2" w:name="FirstLawyer"/>
            <w:r w:rsidRPr="00D91317">
              <w:rPr>
                <w:b/>
                <w:bCs/>
                <w:sz w:val="28"/>
                <w:szCs w:val="28"/>
                <w:rtl/>
              </w:rPr>
              <w:t xml:space="preserve"> </w:t>
            </w:r>
            <w:r w:rsidRPr="00D91317">
              <w:rPr>
                <w:b/>
                <w:bCs/>
                <w:sz w:val="26"/>
                <w:szCs w:val="26"/>
                <w:rtl/>
              </w:rPr>
              <w:t>המאשימה</w:t>
            </w:r>
          </w:p>
        </w:tc>
        <w:tc>
          <w:tcPr>
            <w:tcW w:w="6800" w:type="dxa"/>
            <w:shd w:val="clear" w:color="auto" w:fill="auto"/>
          </w:tcPr>
          <w:p w14:paraId="2022F4CB" w14:textId="77777777" w:rsidR="00FD77EC" w:rsidRPr="00D91317" w:rsidRDefault="00FD77EC" w:rsidP="00E5677C">
            <w:pPr>
              <w:rPr>
                <w:rFonts w:ascii="David" w:hAnsi="David"/>
                <w:sz w:val="26"/>
                <w:szCs w:val="26"/>
                <w:rtl/>
              </w:rPr>
            </w:pPr>
            <w:r w:rsidRPr="00D91317">
              <w:rPr>
                <w:rFonts w:ascii="David" w:hAnsi="David"/>
                <w:b/>
                <w:bCs/>
                <w:rtl/>
              </w:rPr>
              <w:t xml:space="preserve">  </w:t>
            </w:r>
            <w:r w:rsidRPr="00D91317">
              <w:rPr>
                <w:rFonts w:ascii="David" w:hAnsi="David"/>
                <w:b/>
                <w:bCs/>
                <w:sz w:val="26"/>
                <w:szCs w:val="26"/>
                <w:rtl/>
              </w:rPr>
              <w:t xml:space="preserve">מדינת ישראל </w:t>
            </w:r>
          </w:p>
          <w:p w14:paraId="7815D5CD" w14:textId="77777777" w:rsidR="00FD77EC" w:rsidRPr="00D91317" w:rsidRDefault="00FD77EC" w:rsidP="00FD77EC">
            <w:pPr>
              <w:ind w:left="26"/>
              <w:rPr>
                <w:b/>
                <w:bCs/>
                <w:sz w:val="28"/>
                <w:szCs w:val="28"/>
                <w:rtl/>
              </w:rPr>
            </w:pPr>
            <w:r w:rsidRPr="00D91317">
              <w:rPr>
                <w:rFonts w:ascii="David" w:hAnsi="David"/>
                <w:rtl/>
              </w:rPr>
              <w:t xml:space="preserve">  ע"י ב"כ עוה"ד אריאל סטרול</w:t>
            </w:r>
          </w:p>
        </w:tc>
      </w:tr>
      <w:bookmarkEnd w:id="1"/>
      <w:bookmarkEnd w:id="2"/>
      <w:tr w:rsidR="00FD77EC" w:rsidRPr="00D91317" w14:paraId="468D6804" w14:textId="77777777" w:rsidTr="00FD77EC">
        <w:tc>
          <w:tcPr>
            <w:tcW w:w="8529" w:type="dxa"/>
            <w:gridSpan w:val="2"/>
            <w:shd w:val="clear" w:color="auto" w:fill="auto"/>
          </w:tcPr>
          <w:p w14:paraId="48C97EA9" w14:textId="77777777" w:rsidR="00FD77EC" w:rsidRPr="00D91317" w:rsidRDefault="00FD77EC" w:rsidP="00FD77EC">
            <w:pPr>
              <w:jc w:val="center"/>
              <w:rPr>
                <w:rFonts w:ascii="Arial" w:hAnsi="Arial"/>
                <w:b/>
                <w:bCs/>
                <w:sz w:val="18"/>
                <w:szCs w:val="18"/>
                <w:rtl/>
              </w:rPr>
            </w:pPr>
          </w:p>
          <w:p w14:paraId="750D05D0" w14:textId="77777777" w:rsidR="00FD77EC" w:rsidRPr="00D91317" w:rsidRDefault="00FD77EC" w:rsidP="00FD77EC">
            <w:pPr>
              <w:tabs>
                <w:tab w:val="left" w:pos="1248"/>
                <w:tab w:val="center" w:pos="4156"/>
              </w:tabs>
              <w:rPr>
                <w:rFonts w:ascii="Arial" w:hAnsi="Arial"/>
                <w:b/>
                <w:bCs/>
                <w:sz w:val="28"/>
                <w:szCs w:val="28"/>
                <w:rtl/>
              </w:rPr>
            </w:pPr>
            <w:r w:rsidRPr="00D91317">
              <w:rPr>
                <w:rFonts w:ascii="Arial" w:hAnsi="Arial"/>
                <w:b/>
                <w:bCs/>
                <w:sz w:val="28"/>
                <w:szCs w:val="28"/>
                <w:rtl/>
              </w:rPr>
              <w:tab/>
            </w:r>
            <w:r w:rsidRPr="00D91317">
              <w:rPr>
                <w:rFonts w:ascii="Arial" w:hAnsi="Arial"/>
                <w:b/>
                <w:bCs/>
                <w:sz w:val="28"/>
                <w:szCs w:val="28"/>
                <w:rtl/>
              </w:rPr>
              <w:tab/>
              <w:t>נ ג ד</w:t>
            </w:r>
          </w:p>
          <w:p w14:paraId="0FA4F666" w14:textId="77777777" w:rsidR="00FD77EC" w:rsidRPr="00D91317" w:rsidRDefault="00FD77EC" w:rsidP="00FD77EC">
            <w:pPr>
              <w:jc w:val="center"/>
              <w:rPr>
                <w:rFonts w:ascii="Arial" w:hAnsi="Arial"/>
                <w:b/>
                <w:bCs/>
                <w:sz w:val="16"/>
                <w:szCs w:val="16"/>
                <w:rtl/>
              </w:rPr>
            </w:pPr>
          </w:p>
        </w:tc>
      </w:tr>
      <w:tr w:rsidR="00FD77EC" w:rsidRPr="00D91317" w14:paraId="750BB024" w14:textId="77777777" w:rsidTr="00FD77EC">
        <w:trPr>
          <w:trHeight w:val="593"/>
        </w:trPr>
        <w:tc>
          <w:tcPr>
            <w:tcW w:w="1729" w:type="dxa"/>
            <w:shd w:val="clear" w:color="auto" w:fill="auto"/>
          </w:tcPr>
          <w:p w14:paraId="39DC4DCD" w14:textId="77777777" w:rsidR="00FD77EC" w:rsidRPr="00D91317" w:rsidRDefault="00FD77EC" w:rsidP="00E5677C">
            <w:pPr>
              <w:rPr>
                <w:b/>
                <w:bCs/>
                <w:sz w:val="28"/>
                <w:szCs w:val="28"/>
              </w:rPr>
            </w:pPr>
            <w:r w:rsidRPr="00D91317">
              <w:rPr>
                <w:b/>
                <w:bCs/>
                <w:sz w:val="28"/>
                <w:szCs w:val="28"/>
                <w:rtl/>
              </w:rPr>
              <w:t xml:space="preserve"> </w:t>
            </w:r>
            <w:r w:rsidRPr="00D91317">
              <w:rPr>
                <w:b/>
                <w:bCs/>
                <w:sz w:val="26"/>
                <w:szCs w:val="26"/>
                <w:rtl/>
              </w:rPr>
              <w:t>הנאשם</w:t>
            </w:r>
          </w:p>
        </w:tc>
        <w:tc>
          <w:tcPr>
            <w:tcW w:w="6800" w:type="dxa"/>
            <w:shd w:val="clear" w:color="auto" w:fill="auto"/>
          </w:tcPr>
          <w:p w14:paraId="53A17DF9" w14:textId="77777777" w:rsidR="00FD77EC" w:rsidRPr="00D91317" w:rsidRDefault="00FD77EC" w:rsidP="00E5677C">
            <w:pPr>
              <w:rPr>
                <w:szCs w:val="26"/>
                <w:rtl/>
              </w:rPr>
            </w:pPr>
            <w:r w:rsidRPr="00D91317">
              <w:rPr>
                <w:b/>
                <w:bCs/>
                <w:sz w:val="28"/>
                <w:szCs w:val="28"/>
                <w:rtl/>
              </w:rPr>
              <w:t xml:space="preserve">  </w:t>
            </w:r>
            <w:r w:rsidRPr="00D91317">
              <w:rPr>
                <w:rFonts w:ascii="David" w:hAnsi="David"/>
                <w:b/>
                <w:bCs/>
                <w:sz w:val="26"/>
                <w:szCs w:val="26"/>
                <w:rtl/>
              </w:rPr>
              <w:t>עידו בן משה</w:t>
            </w:r>
          </w:p>
          <w:p w14:paraId="756AA4C0" w14:textId="77777777" w:rsidR="00FD77EC" w:rsidRPr="00D91317" w:rsidRDefault="00FD77EC" w:rsidP="00E5677C">
            <w:r w:rsidRPr="00D91317">
              <w:rPr>
                <w:rtl/>
              </w:rPr>
              <w:t xml:space="preserve">   ע"י ב"כ עוה"ד עידו פורת</w:t>
            </w:r>
          </w:p>
          <w:p w14:paraId="173F5E27" w14:textId="77777777" w:rsidR="00FD77EC" w:rsidRPr="00D91317" w:rsidRDefault="00FD77EC" w:rsidP="00E5677C">
            <w:pPr>
              <w:rPr>
                <w:b/>
                <w:bCs/>
                <w:sz w:val="28"/>
                <w:szCs w:val="28"/>
                <w:rtl/>
              </w:rPr>
            </w:pPr>
          </w:p>
        </w:tc>
      </w:tr>
    </w:tbl>
    <w:p w14:paraId="5C715B33" w14:textId="77777777" w:rsidR="00FD77EC" w:rsidRPr="00D91317" w:rsidRDefault="00FD77EC" w:rsidP="00FD77EC">
      <w:pPr>
        <w:rPr>
          <w:sz w:val="26"/>
          <w:szCs w:val="26"/>
          <w:rtl/>
        </w:rPr>
      </w:pPr>
    </w:p>
    <w:p w14:paraId="03C492C4" w14:textId="77777777" w:rsidR="00D91317" w:rsidRPr="00D91317" w:rsidRDefault="00D91317" w:rsidP="00D91317">
      <w:pPr>
        <w:spacing w:before="120" w:after="120" w:line="240" w:lineRule="exact"/>
        <w:ind w:left="283" w:hanging="283"/>
        <w:jc w:val="both"/>
        <w:rPr>
          <w:rFonts w:ascii="FrankRuehl" w:hAnsi="FrankRuehl" w:cs="FrankRuehl"/>
          <w:rtl/>
        </w:rPr>
      </w:pPr>
    </w:p>
    <w:p w14:paraId="273F1783" w14:textId="77777777" w:rsidR="00D91317" w:rsidRPr="00D91317" w:rsidRDefault="00D91317" w:rsidP="00D91317">
      <w:pPr>
        <w:rPr>
          <w:rFonts w:ascii="Arial" w:hAnsi="Arial"/>
          <w:sz w:val="26"/>
          <w:szCs w:val="26"/>
          <w:rtl/>
        </w:rPr>
      </w:pPr>
    </w:p>
    <w:p w14:paraId="3A75B9CF" w14:textId="77777777" w:rsidR="006D708B" w:rsidRPr="006D708B" w:rsidRDefault="006D708B" w:rsidP="006D708B">
      <w:pPr>
        <w:spacing w:before="120" w:after="120" w:line="240" w:lineRule="exact"/>
        <w:ind w:left="283" w:hanging="283"/>
        <w:jc w:val="both"/>
        <w:rPr>
          <w:rFonts w:ascii="FrankRuehl" w:hAnsi="FrankRuehl" w:cs="FrankRuehl"/>
          <w:rtl/>
        </w:rPr>
      </w:pPr>
    </w:p>
    <w:p w14:paraId="5165FD09" w14:textId="77777777" w:rsidR="00BD0621" w:rsidRPr="00BD0621" w:rsidRDefault="00BD0621" w:rsidP="00BD0621">
      <w:pPr>
        <w:spacing w:before="120" w:after="120" w:line="240" w:lineRule="exact"/>
        <w:ind w:left="283" w:hanging="283"/>
        <w:jc w:val="both"/>
        <w:rPr>
          <w:rFonts w:ascii="FrankRuehl" w:hAnsi="FrankRuehl" w:cs="FrankRuehl"/>
          <w:rtl/>
        </w:rPr>
      </w:pPr>
    </w:p>
    <w:p w14:paraId="50A91D02" w14:textId="77777777" w:rsidR="00E36C34" w:rsidRDefault="00E36C34" w:rsidP="00E36C34">
      <w:pPr>
        <w:rPr>
          <w:rFonts w:ascii="Arial" w:hAnsi="Arial"/>
          <w:sz w:val="26"/>
          <w:szCs w:val="26"/>
          <w:rtl/>
        </w:rPr>
      </w:pPr>
      <w:bookmarkStart w:id="3" w:name="LawTable"/>
      <w:bookmarkEnd w:id="3"/>
    </w:p>
    <w:p w14:paraId="02CAAE4C" w14:textId="77777777" w:rsidR="00E36C34" w:rsidRPr="00E36C34" w:rsidRDefault="00E36C34" w:rsidP="00E36C34">
      <w:pPr>
        <w:spacing w:before="120" w:after="120" w:line="240" w:lineRule="exact"/>
        <w:ind w:left="283" w:hanging="283"/>
        <w:jc w:val="both"/>
        <w:rPr>
          <w:rFonts w:ascii="FrankRuehl" w:hAnsi="FrankRuehl" w:cs="FrankRuehl"/>
          <w:rtl/>
        </w:rPr>
      </w:pPr>
    </w:p>
    <w:p w14:paraId="348D418C" w14:textId="77777777" w:rsidR="00E36C34" w:rsidRPr="00E36C34" w:rsidRDefault="00E36C34" w:rsidP="00E36C34">
      <w:pPr>
        <w:spacing w:before="120" w:after="120" w:line="240" w:lineRule="exact"/>
        <w:ind w:left="283" w:hanging="283"/>
        <w:jc w:val="both"/>
        <w:rPr>
          <w:rFonts w:ascii="FrankRuehl" w:hAnsi="FrankRuehl" w:cs="FrankRuehl"/>
          <w:rtl/>
        </w:rPr>
      </w:pPr>
    </w:p>
    <w:p w14:paraId="2A186A96" w14:textId="77777777" w:rsidR="00E36C34" w:rsidRPr="00E36C34" w:rsidRDefault="00E36C34" w:rsidP="00E36C34">
      <w:pPr>
        <w:spacing w:before="120" w:after="120" w:line="240" w:lineRule="exact"/>
        <w:ind w:left="283" w:hanging="283"/>
        <w:jc w:val="both"/>
        <w:rPr>
          <w:rFonts w:ascii="FrankRuehl" w:hAnsi="FrankRuehl" w:cs="FrankRuehl"/>
          <w:rtl/>
        </w:rPr>
      </w:pPr>
      <w:r w:rsidRPr="00E36C34">
        <w:rPr>
          <w:rFonts w:ascii="FrankRuehl" w:hAnsi="FrankRuehl" w:cs="FrankRuehl"/>
          <w:rtl/>
        </w:rPr>
        <w:t xml:space="preserve">חקיקה שאוזכרה: </w:t>
      </w:r>
    </w:p>
    <w:p w14:paraId="05BDB4FE" w14:textId="77777777" w:rsidR="00E36C34" w:rsidRPr="00E36C34" w:rsidRDefault="00E36C34" w:rsidP="00E36C34">
      <w:pPr>
        <w:spacing w:before="120" w:after="120" w:line="240" w:lineRule="exact"/>
        <w:ind w:left="283" w:hanging="283"/>
        <w:jc w:val="both"/>
        <w:rPr>
          <w:rFonts w:ascii="FrankRuehl" w:hAnsi="FrankRuehl" w:cs="FrankRuehl"/>
          <w:rtl/>
        </w:rPr>
      </w:pPr>
      <w:hyperlink r:id="rId7" w:history="1">
        <w:r w:rsidRPr="00E36C34">
          <w:rPr>
            <w:rFonts w:ascii="FrankRuehl" w:hAnsi="FrankRuehl" w:cs="FrankRuehl"/>
            <w:color w:val="0000FF"/>
            <w:rtl/>
          </w:rPr>
          <w:t>פקודת הסמים המסוכנים [נוסח חדש], תשל"ג-1973</w:t>
        </w:r>
      </w:hyperlink>
      <w:r w:rsidRPr="00E36C34">
        <w:rPr>
          <w:rFonts w:ascii="FrankRuehl" w:hAnsi="FrankRuehl" w:cs="FrankRuehl"/>
          <w:rtl/>
        </w:rPr>
        <w:t xml:space="preserve">: סע'  </w:t>
      </w:r>
      <w:hyperlink r:id="rId8" w:history="1">
        <w:r w:rsidRPr="00E36C34">
          <w:rPr>
            <w:rFonts w:ascii="FrankRuehl" w:hAnsi="FrankRuehl" w:cs="FrankRuehl"/>
            <w:color w:val="0000FF"/>
            <w:rtl/>
          </w:rPr>
          <w:t>6</w:t>
        </w:r>
      </w:hyperlink>
      <w:r w:rsidRPr="00E36C34">
        <w:rPr>
          <w:rFonts w:ascii="FrankRuehl" w:hAnsi="FrankRuehl" w:cs="FrankRuehl"/>
          <w:rtl/>
        </w:rPr>
        <w:t xml:space="preserve">, </w:t>
      </w:r>
      <w:hyperlink r:id="rId9" w:history="1">
        <w:r w:rsidRPr="00E36C34">
          <w:rPr>
            <w:rFonts w:ascii="FrankRuehl" w:hAnsi="FrankRuehl" w:cs="FrankRuehl"/>
            <w:color w:val="0000FF"/>
            <w:rtl/>
          </w:rPr>
          <w:t>7(א)</w:t>
        </w:r>
      </w:hyperlink>
      <w:r w:rsidRPr="00E36C34">
        <w:rPr>
          <w:rFonts w:ascii="FrankRuehl" w:hAnsi="FrankRuehl" w:cs="FrankRuehl"/>
          <w:rtl/>
        </w:rPr>
        <w:t xml:space="preserve">, </w:t>
      </w:r>
      <w:hyperlink r:id="rId10" w:history="1">
        <w:r w:rsidRPr="00E36C34">
          <w:rPr>
            <w:rFonts w:ascii="FrankRuehl" w:hAnsi="FrankRuehl" w:cs="FrankRuehl"/>
            <w:color w:val="0000FF"/>
            <w:rtl/>
          </w:rPr>
          <w:t>7(ג)</w:t>
        </w:r>
      </w:hyperlink>
    </w:p>
    <w:p w14:paraId="59D52619" w14:textId="77777777" w:rsidR="00E36C34" w:rsidRPr="00E36C34" w:rsidRDefault="00E36C34" w:rsidP="00E36C34">
      <w:pPr>
        <w:spacing w:before="120" w:after="120" w:line="240" w:lineRule="exact"/>
        <w:ind w:left="283" w:hanging="283"/>
        <w:jc w:val="both"/>
        <w:rPr>
          <w:rFonts w:ascii="FrankRuehl" w:hAnsi="FrankRuehl" w:cs="FrankRuehl"/>
          <w:rtl/>
        </w:rPr>
      </w:pPr>
      <w:hyperlink r:id="rId11" w:history="1">
        <w:r w:rsidRPr="00E36C34">
          <w:rPr>
            <w:rFonts w:ascii="FrankRuehl" w:hAnsi="FrankRuehl" w:cs="FrankRuehl"/>
            <w:color w:val="0000FF"/>
            <w:rtl/>
          </w:rPr>
          <w:t>חוק העונשין, תשל"ז-1977</w:t>
        </w:r>
      </w:hyperlink>
      <w:r w:rsidRPr="00E36C34">
        <w:rPr>
          <w:rFonts w:ascii="FrankRuehl" w:hAnsi="FrankRuehl" w:cs="FrankRuehl"/>
          <w:rtl/>
        </w:rPr>
        <w:t xml:space="preserve">: סע'  </w:t>
      </w:r>
      <w:hyperlink r:id="rId12" w:history="1">
        <w:r w:rsidRPr="00E36C34">
          <w:rPr>
            <w:rFonts w:ascii="FrankRuehl" w:hAnsi="FrankRuehl" w:cs="FrankRuehl"/>
            <w:color w:val="0000FF"/>
            <w:rtl/>
          </w:rPr>
          <w:t>40ד</w:t>
        </w:r>
      </w:hyperlink>
      <w:r w:rsidRPr="00E36C34">
        <w:rPr>
          <w:rFonts w:ascii="FrankRuehl" w:hAnsi="FrankRuehl" w:cs="FrankRuehl"/>
          <w:rtl/>
        </w:rPr>
        <w:t xml:space="preserve">, </w:t>
      </w:r>
      <w:hyperlink r:id="rId13" w:history="1">
        <w:r w:rsidRPr="00E36C34">
          <w:rPr>
            <w:rFonts w:ascii="FrankRuehl" w:hAnsi="FrankRuehl" w:cs="FrankRuehl"/>
            <w:color w:val="0000FF"/>
            <w:rtl/>
          </w:rPr>
          <w:t>40יא</w:t>
        </w:r>
      </w:hyperlink>
    </w:p>
    <w:p w14:paraId="61238544" w14:textId="77777777" w:rsidR="00E36C34" w:rsidRPr="00E36C34" w:rsidRDefault="00E36C34" w:rsidP="00E36C34">
      <w:pPr>
        <w:rPr>
          <w:rFonts w:ascii="Arial" w:hAnsi="Arial"/>
          <w:sz w:val="26"/>
          <w:szCs w:val="26"/>
          <w:rtl/>
        </w:rPr>
      </w:pPr>
      <w:bookmarkStart w:id="4" w:name="LawTable_End"/>
      <w:bookmarkEnd w:id="4"/>
    </w:p>
    <w:p w14:paraId="2ABC6908" w14:textId="77777777" w:rsidR="006D708B" w:rsidRPr="00BD0621" w:rsidRDefault="006D708B" w:rsidP="00BD0621">
      <w:pPr>
        <w:rPr>
          <w:rFonts w:ascii="Arial" w:hAnsi="Arial" w:hint="cs"/>
          <w:sz w:val="26"/>
          <w:szCs w:val="26"/>
          <w:rtl/>
        </w:rPr>
      </w:pPr>
    </w:p>
    <w:tbl>
      <w:tblPr>
        <w:bidiVisual/>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64"/>
      </w:tblGrid>
      <w:tr w:rsidR="00FD77EC" w14:paraId="1C9901D1" w14:textId="77777777" w:rsidTr="00FD77EC">
        <w:trPr>
          <w:trHeight w:val="624"/>
          <w:jc w:val="center"/>
        </w:trPr>
        <w:tc>
          <w:tcPr>
            <w:tcW w:w="8364" w:type="dxa"/>
            <w:tcBorders>
              <w:top w:val="nil"/>
              <w:left w:val="nil"/>
              <w:bottom w:val="nil"/>
              <w:right w:val="nil"/>
            </w:tcBorders>
            <w:shd w:val="clear" w:color="auto" w:fill="auto"/>
            <w:vAlign w:val="center"/>
          </w:tcPr>
          <w:p w14:paraId="19161DE4" w14:textId="77777777" w:rsidR="00D91317" w:rsidRPr="00D91317" w:rsidRDefault="00D91317" w:rsidP="00D91317">
            <w:pPr>
              <w:jc w:val="center"/>
              <w:rPr>
                <w:rFonts w:ascii="David" w:hAnsi="David"/>
                <w:b/>
                <w:bCs/>
                <w:sz w:val="32"/>
                <w:szCs w:val="32"/>
                <w:u w:val="single"/>
                <w:rtl/>
              </w:rPr>
            </w:pPr>
            <w:bookmarkStart w:id="5" w:name="PsakDin" w:colFirst="0" w:colLast="0"/>
            <w:bookmarkEnd w:id="0"/>
            <w:r w:rsidRPr="00D91317">
              <w:rPr>
                <w:rFonts w:ascii="David" w:hAnsi="David"/>
                <w:b/>
                <w:bCs/>
                <w:sz w:val="32"/>
                <w:szCs w:val="32"/>
                <w:u w:val="single"/>
                <w:rtl/>
              </w:rPr>
              <w:t>גזר דין</w:t>
            </w:r>
          </w:p>
          <w:p w14:paraId="00858056" w14:textId="77777777" w:rsidR="00FD77EC" w:rsidRPr="00D91317" w:rsidRDefault="00FD77EC" w:rsidP="00D91317">
            <w:pPr>
              <w:jc w:val="center"/>
              <w:rPr>
                <w:rFonts w:ascii="David" w:hAnsi="David"/>
                <w:bCs/>
                <w:sz w:val="32"/>
                <w:szCs w:val="32"/>
                <w:u w:val="single"/>
              </w:rPr>
            </w:pPr>
          </w:p>
        </w:tc>
      </w:tr>
      <w:bookmarkEnd w:id="5"/>
    </w:tbl>
    <w:p w14:paraId="34E7669A" w14:textId="77777777" w:rsidR="00FD77EC" w:rsidRDefault="00FD77EC" w:rsidP="00FD77EC">
      <w:pPr>
        <w:rPr>
          <w:rFonts w:ascii="Arial" w:hAnsi="Arial"/>
          <w:b/>
          <w:bCs/>
          <w:sz w:val="26"/>
          <w:szCs w:val="26"/>
        </w:rPr>
      </w:pPr>
    </w:p>
    <w:p w14:paraId="2C57DF5A" w14:textId="77777777" w:rsidR="00FD77EC" w:rsidRDefault="00FD77EC" w:rsidP="00FD77EC">
      <w:pPr>
        <w:widowControl w:val="0"/>
        <w:spacing w:line="360" w:lineRule="auto"/>
        <w:jc w:val="both"/>
        <w:rPr>
          <w:rFonts w:ascii="David" w:hAnsi="David"/>
          <w:b/>
          <w:bCs/>
          <w:sz w:val="26"/>
          <w:szCs w:val="26"/>
          <w:rtl/>
        </w:rPr>
      </w:pPr>
      <w:r>
        <w:rPr>
          <w:rFonts w:ascii="David" w:hAnsi="David"/>
          <w:b/>
          <w:bCs/>
          <w:sz w:val="26"/>
          <w:szCs w:val="26"/>
          <w:rtl/>
        </w:rPr>
        <w:t>כתב האישום, הסדר הטיעון, הכרעת הדין והשתלשלות ההליך</w:t>
      </w:r>
    </w:p>
    <w:p w14:paraId="422040C5" w14:textId="77777777" w:rsidR="00FD77EC" w:rsidRDefault="00FD77EC" w:rsidP="00FD77EC">
      <w:pPr>
        <w:pStyle w:val="aa"/>
        <w:widowControl w:val="0"/>
        <w:numPr>
          <w:ilvl w:val="0"/>
          <w:numId w:val="1"/>
        </w:numPr>
        <w:spacing w:line="360" w:lineRule="auto"/>
        <w:ind w:left="360"/>
        <w:jc w:val="both"/>
        <w:rPr>
          <w:sz w:val="24"/>
          <w:rtl/>
        </w:rPr>
      </w:pPr>
      <w:bookmarkStart w:id="6" w:name="ABSTRACT_START"/>
      <w:bookmarkEnd w:id="6"/>
      <w:r>
        <w:rPr>
          <w:sz w:val="24"/>
          <w:rtl/>
        </w:rPr>
        <w:t xml:space="preserve">ב-4.7.23 הוצג בפני כב' הש' משעלי ביטון הסדר טיעון, במסגרתו הוגש כתב אישום מתוקן (להלן: </w:t>
      </w:r>
      <w:r>
        <w:rPr>
          <w:b/>
          <w:bCs/>
          <w:sz w:val="24"/>
          <w:rtl/>
        </w:rPr>
        <w:t>כתב האישום</w:t>
      </w:r>
      <w:r>
        <w:rPr>
          <w:sz w:val="24"/>
          <w:rtl/>
        </w:rPr>
        <w:t xml:space="preserve">), הנאשם הודה בעובדותיו ולאחריו הופנה לשירות המבחן לעריכת תסקיר בעניינו, ללא הסכמה לעונש. התיק נקבע לשמיעת הטיעונים לעונש ב-5.2.24, אולם מאחר שהנאשם התייצב בבית משפט השלום בבאר שבע – לא היה מנוס מדחיית הטיעונים לעונש ל-6.3.24. במועד זה </w:t>
      </w:r>
      <w:r>
        <w:rPr>
          <w:rtl/>
        </w:rPr>
        <w:t xml:space="preserve">העיד אחיו של הנאשם והוגש מסמך המלמד על פגיעתו העתידית של הנאשם בתעסוקתו, ככל שהוא יורשע בדין </w:t>
      </w:r>
      <w:r>
        <w:rPr>
          <w:b/>
          <w:bCs/>
          <w:rtl/>
        </w:rPr>
        <w:t>(</w:t>
      </w:r>
      <w:r>
        <w:rPr>
          <w:rFonts w:ascii="Miriam" w:hAnsi="Miriam" w:cs="Miriam"/>
          <w:b/>
          <w:bCs/>
          <w:szCs w:val="22"/>
          <w:rtl/>
        </w:rPr>
        <w:t>טל/1)</w:t>
      </w:r>
      <w:r>
        <w:rPr>
          <w:rFonts w:ascii="Miriam" w:hAnsi="Miriam" w:cs="Miriam"/>
          <w:szCs w:val="22"/>
          <w:rtl/>
        </w:rPr>
        <w:t>.</w:t>
      </w:r>
      <w:r>
        <w:rPr>
          <w:sz w:val="24"/>
          <w:rtl/>
        </w:rPr>
        <w:t xml:space="preserve"> בהתאם לכך ולהמלצת שירות המבחן, עתר ב"כ הנאשם </w:t>
      </w:r>
      <w:r>
        <w:rPr>
          <w:rtl/>
        </w:rPr>
        <w:t>לביטול ההרשעה ואילו ב"כ המאשימה עתר להותירה על כנה ולהשית על הנאשם עונש במסגרת המתחם.</w:t>
      </w:r>
    </w:p>
    <w:p w14:paraId="6A61A92E" w14:textId="77777777" w:rsidR="00FD77EC" w:rsidRDefault="00FD77EC" w:rsidP="00FD77EC">
      <w:pPr>
        <w:pStyle w:val="aa"/>
        <w:widowControl w:val="0"/>
        <w:spacing w:line="360" w:lineRule="auto"/>
        <w:ind w:left="360"/>
        <w:jc w:val="both"/>
        <w:rPr>
          <w:rFonts w:ascii="Times New Roman" w:hAnsi="Times New Roman"/>
          <w:sz w:val="24"/>
        </w:rPr>
      </w:pPr>
      <w:bookmarkStart w:id="7" w:name="ABSTRACT_END"/>
      <w:bookmarkEnd w:id="7"/>
    </w:p>
    <w:p w14:paraId="3FA4498A" w14:textId="77777777" w:rsidR="00FD77EC" w:rsidRDefault="00FD77EC" w:rsidP="00FD77EC">
      <w:pPr>
        <w:pStyle w:val="aa"/>
        <w:widowControl w:val="0"/>
        <w:numPr>
          <w:ilvl w:val="0"/>
          <w:numId w:val="1"/>
        </w:numPr>
        <w:spacing w:line="360" w:lineRule="auto"/>
        <w:ind w:left="360"/>
        <w:jc w:val="both"/>
        <w:rPr>
          <w:sz w:val="24"/>
          <w:rtl/>
        </w:rPr>
      </w:pPr>
      <w:r>
        <w:rPr>
          <w:sz w:val="24"/>
          <w:rtl/>
        </w:rPr>
        <w:lastRenderedPageBreak/>
        <w:t>הנאשם הורשע, על פי הודאתו ב-</w:t>
      </w:r>
      <w:r>
        <w:rPr>
          <w:b/>
          <w:bCs/>
          <w:sz w:val="24"/>
          <w:rtl/>
        </w:rPr>
        <w:t>גידול סם מסוכן</w:t>
      </w:r>
      <w:r>
        <w:rPr>
          <w:sz w:val="24"/>
          <w:rtl/>
        </w:rPr>
        <w:t xml:space="preserve">, בהתאם </w:t>
      </w:r>
      <w:hyperlink r:id="rId14" w:history="1">
        <w:r w:rsidR="006D708B" w:rsidRPr="006D708B">
          <w:rPr>
            <w:rStyle w:val="Hyperlink"/>
            <w:sz w:val="24"/>
            <w:rtl/>
          </w:rPr>
          <w:t>לסעיף 6</w:t>
        </w:r>
      </w:hyperlink>
      <w:r>
        <w:rPr>
          <w:sz w:val="24"/>
          <w:rtl/>
        </w:rPr>
        <w:t xml:space="preserve"> ל-</w:t>
      </w:r>
      <w:hyperlink r:id="rId15" w:history="1">
        <w:r w:rsidR="00D91317" w:rsidRPr="00D91317">
          <w:rPr>
            <w:rFonts w:ascii="Miriam" w:hAnsi="Miriam" w:cs="Miriam"/>
            <w:b/>
            <w:bCs/>
            <w:color w:val="0000FF"/>
            <w:szCs w:val="22"/>
            <w:u w:val="single"/>
            <w:rtl/>
          </w:rPr>
          <w:t>פקודת הסמים המסוכנים</w:t>
        </w:r>
      </w:hyperlink>
      <w:r>
        <w:rPr>
          <w:rFonts w:ascii="Miriam" w:hAnsi="Miriam" w:cs="Miriam"/>
          <w:b/>
          <w:bCs/>
          <w:szCs w:val="22"/>
          <w:rtl/>
        </w:rPr>
        <w:t xml:space="preserve"> [נוסח חדש]</w:t>
      </w:r>
      <w:r>
        <w:rPr>
          <w:sz w:val="24"/>
          <w:rtl/>
        </w:rPr>
        <w:t xml:space="preserve">, התשל"ג–1973 (להלן: </w:t>
      </w:r>
      <w:r>
        <w:rPr>
          <w:rFonts w:ascii="Miriam" w:hAnsi="Miriam" w:cs="Miriam"/>
          <w:b/>
          <w:bCs/>
          <w:szCs w:val="22"/>
          <w:rtl/>
        </w:rPr>
        <w:t>פקודת הסמים</w:t>
      </w:r>
      <w:r>
        <w:rPr>
          <w:sz w:val="24"/>
          <w:rtl/>
        </w:rPr>
        <w:t>), ב-</w:t>
      </w:r>
      <w:r>
        <w:rPr>
          <w:b/>
          <w:bCs/>
          <w:sz w:val="24"/>
          <w:rtl/>
        </w:rPr>
        <w:t>החזקת סם שלא לצריכה עצמית</w:t>
      </w:r>
      <w:r>
        <w:rPr>
          <w:sz w:val="24"/>
          <w:rtl/>
        </w:rPr>
        <w:t xml:space="preserve">, בהתאם </w:t>
      </w:r>
      <w:hyperlink r:id="rId16" w:history="1">
        <w:r w:rsidR="006D708B" w:rsidRPr="006D708B">
          <w:rPr>
            <w:rStyle w:val="Hyperlink"/>
            <w:sz w:val="24"/>
            <w:rtl/>
          </w:rPr>
          <w:t>לסעיפים 7(א)</w:t>
        </w:r>
      </w:hyperlink>
      <w:r>
        <w:rPr>
          <w:sz w:val="24"/>
          <w:rtl/>
        </w:rPr>
        <w:t xml:space="preserve"> ו-</w:t>
      </w:r>
      <w:hyperlink r:id="rId17" w:history="1">
        <w:r w:rsidR="006D708B" w:rsidRPr="006D708B">
          <w:rPr>
            <w:rStyle w:val="Hyperlink"/>
            <w:sz w:val="24"/>
            <w:rtl/>
          </w:rPr>
          <w:t>7(ג)</w:t>
        </w:r>
      </w:hyperlink>
      <w:r>
        <w:rPr>
          <w:sz w:val="24"/>
          <w:rtl/>
        </w:rPr>
        <w:t xml:space="preserve"> רישא ל-</w:t>
      </w:r>
      <w:r>
        <w:rPr>
          <w:rFonts w:ascii="Miriam" w:hAnsi="Miriam" w:cs="Miriam"/>
          <w:b/>
          <w:bCs/>
          <w:szCs w:val="22"/>
          <w:rtl/>
        </w:rPr>
        <w:t>פקודת הסמים</w:t>
      </w:r>
      <w:r>
        <w:rPr>
          <w:sz w:val="24"/>
          <w:rtl/>
        </w:rPr>
        <w:t xml:space="preserve"> וב-</w:t>
      </w:r>
      <w:r>
        <w:rPr>
          <w:b/>
          <w:bCs/>
          <w:sz w:val="24"/>
          <w:rtl/>
        </w:rPr>
        <w:t>החזקת סם לצריכה עצמית</w:t>
      </w:r>
      <w:r>
        <w:rPr>
          <w:sz w:val="24"/>
          <w:rtl/>
        </w:rPr>
        <w:t xml:space="preserve">, בהתאם </w:t>
      </w:r>
      <w:hyperlink r:id="rId18" w:history="1">
        <w:r w:rsidR="006D708B" w:rsidRPr="006D708B">
          <w:rPr>
            <w:rStyle w:val="Hyperlink"/>
            <w:sz w:val="24"/>
            <w:rtl/>
          </w:rPr>
          <w:t>לסעיפים 7(א)</w:t>
        </w:r>
      </w:hyperlink>
      <w:r>
        <w:rPr>
          <w:sz w:val="24"/>
          <w:rtl/>
        </w:rPr>
        <w:t xml:space="preserve"> ו-</w:t>
      </w:r>
      <w:hyperlink r:id="rId19" w:history="1">
        <w:r w:rsidR="006D708B" w:rsidRPr="006D708B">
          <w:rPr>
            <w:rStyle w:val="Hyperlink"/>
            <w:sz w:val="24"/>
            <w:rtl/>
          </w:rPr>
          <w:t>7(ג)</w:t>
        </w:r>
      </w:hyperlink>
      <w:r>
        <w:rPr>
          <w:sz w:val="24"/>
          <w:rtl/>
        </w:rPr>
        <w:t xml:space="preserve"> סיפא ל-</w:t>
      </w:r>
      <w:r>
        <w:rPr>
          <w:rFonts w:ascii="Miriam" w:hAnsi="Miriam" w:cs="Miriam"/>
          <w:b/>
          <w:bCs/>
          <w:szCs w:val="22"/>
          <w:rtl/>
        </w:rPr>
        <w:t>פקודת הסמים</w:t>
      </w:r>
      <w:r>
        <w:rPr>
          <w:sz w:val="24"/>
          <w:rtl/>
        </w:rPr>
        <w:t xml:space="preserve">. </w:t>
      </w:r>
    </w:p>
    <w:p w14:paraId="1CA60854" w14:textId="77777777" w:rsidR="00FD77EC" w:rsidRDefault="00FD77EC" w:rsidP="00FD77EC">
      <w:pPr>
        <w:pStyle w:val="aa"/>
        <w:widowControl w:val="0"/>
        <w:spacing w:line="360" w:lineRule="auto"/>
        <w:ind w:left="360"/>
        <w:jc w:val="both"/>
        <w:rPr>
          <w:rFonts w:ascii="Times New Roman" w:hAnsi="Times New Roman"/>
          <w:sz w:val="24"/>
          <w:rtl/>
        </w:rPr>
      </w:pPr>
    </w:p>
    <w:p w14:paraId="289A4626" w14:textId="77777777" w:rsidR="00FD77EC" w:rsidRDefault="00FD77EC" w:rsidP="00FD77EC">
      <w:pPr>
        <w:pStyle w:val="aa"/>
        <w:widowControl w:val="0"/>
        <w:numPr>
          <w:ilvl w:val="0"/>
          <w:numId w:val="1"/>
        </w:numPr>
        <w:spacing w:line="360" w:lineRule="auto"/>
        <w:ind w:left="357" w:hanging="357"/>
        <w:jc w:val="both"/>
        <w:rPr>
          <w:sz w:val="24"/>
        </w:rPr>
      </w:pPr>
      <w:r>
        <w:rPr>
          <w:sz w:val="24"/>
          <w:rtl/>
        </w:rPr>
        <w:t xml:space="preserve">על פי עובדות כתב האישום בהן הודה והורשע, במשך כשנה וחצי עובר ל-26.3.23, בחדר ההורים בבית בקיבוץ דורות (להלן: </w:t>
      </w:r>
      <w:r>
        <w:rPr>
          <w:b/>
          <w:bCs/>
          <w:sz w:val="24"/>
          <w:rtl/>
        </w:rPr>
        <w:t>הבית</w:t>
      </w:r>
      <w:r>
        <w:rPr>
          <w:sz w:val="24"/>
          <w:rtl/>
        </w:rPr>
        <w:t xml:space="preserve">), הנאשם החזיק וגידל קנבוס בשני אוהלים שחורים, אשר כללו 17 שתילי קנבוס במשקל כ-2 ק"ג, כ-500 גרם קנבוס בקופסאות שקופות, 19.72 גרם קנבוס במתקן שחור תלוי בכניסה לחדר וכלים המשמשים להכנת סם, שכללו מנורות; שנאים; מזגן; מצננים; חומרי דשן; מאווררים; מדי טמפרטורה; גורס; רשת יבוש; משקלים; מרחיק יתושים; שרוול צינור אוויר; שקיות איטום; אדניות ומסנן. בנוסף החזיק הנאשם על השולחן בחדר 0.6730 גרם פסילוצין; 2 יחידות </w:t>
      </w:r>
      <w:r>
        <w:rPr>
          <w:szCs w:val="20"/>
        </w:rPr>
        <w:t>LSD</w:t>
      </w:r>
      <w:r>
        <w:rPr>
          <w:sz w:val="24"/>
          <w:rtl/>
        </w:rPr>
        <w:t xml:space="preserve"> ו-1.40 מ"ל </w:t>
      </w:r>
      <w:r>
        <w:rPr>
          <w:szCs w:val="20"/>
        </w:rPr>
        <w:t>LSD</w:t>
      </w:r>
      <w:r>
        <w:rPr>
          <w:sz w:val="24"/>
          <w:rtl/>
        </w:rPr>
        <w:t xml:space="preserve"> בבקבוק פלסטיק. </w:t>
      </w:r>
    </w:p>
    <w:p w14:paraId="4181EC28" w14:textId="77777777" w:rsidR="00FD77EC" w:rsidRDefault="00FD77EC" w:rsidP="00FD77EC">
      <w:pPr>
        <w:widowControl w:val="0"/>
        <w:spacing w:line="360" w:lineRule="auto"/>
        <w:jc w:val="both"/>
        <w:rPr>
          <w:rFonts w:ascii="David" w:hAnsi="David"/>
          <w:b/>
          <w:bCs/>
          <w:sz w:val="26"/>
          <w:szCs w:val="26"/>
        </w:rPr>
      </w:pPr>
    </w:p>
    <w:p w14:paraId="304D97E5" w14:textId="77777777" w:rsidR="00FD77EC" w:rsidRDefault="00FD77EC" w:rsidP="00FD77EC">
      <w:pPr>
        <w:widowControl w:val="0"/>
        <w:spacing w:line="360" w:lineRule="auto"/>
        <w:jc w:val="both"/>
        <w:rPr>
          <w:rFonts w:ascii="David" w:hAnsi="David"/>
          <w:b/>
          <w:bCs/>
          <w:sz w:val="26"/>
          <w:szCs w:val="26"/>
          <w:rtl/>
        </w:rPr>
      </w:pPr>
      <w:r>
        <w:rPr>
          <w:rFonts w:ascii="David" w:hAnsi="David"/>
          <w:b/>
          <w:bCs/>
          <w:sz w:val="26"/>
          <w:szCs w:val="26"/>
          <w:rtl/>
        </w:rPr>
        <w:t>בקשת הנאשם לבטל הרשעתו</w:t>
      </w:r>
    </w:p>
    <w:p w14:paraId="2BC8EC1B" w14:textId="77777777" w:rsidR="00FD77EC" w:rsidRDefault="00FD77EC" w:rsidP="00FD77EC">
      <w:pPr>
        <w:pStyle w:val="aa"/>
        <w:widowControl w:val="0"/>
        <w:numPr>
          <w:ilvl w:val="0"/>
          <w:numId w:val="1"/>
        </w:numPr>
        <w:snapToGrid/>
        <w:spacing w:line="360" w:lineRule="auto"/>
        <w:ind w:left="360"/>
        <w:jc w:val="both"/>
        <w:rPr>
          <w:rFonts w:ascii="Calibri" w:hAnsi="Calibri" w:cs="Calibri"/>
          <w:szCs w:val="22"/>
        </w:rPr>
      </w:pPr>
      <w:r>
        <w:rPr>
          <w:rtl/>
        </w:rPr>
        <w:t>נפסק לא אחת, כי "</w:t>
      </w:r>
      <w:r>
        <w:rPr>
          <w:rFonts w:ascii="Miriam" w:hAnsi="Miriam" w:cs="Miriam"/>
          <w:b/>
          <w:bCs/>
          <w:szCs w:val="22"/>
          <w:rtl/>
        </w:rPr>
        <w:t>אי הרשעה</w:t>
      </w:r>
      <w:r>
        <w:rPr>
          <w:b/>
          <w:bCs/>
          <w:rtl/>
        </w:rPr>
        <w:t xml:space="preserve"> אינה עונש</w:t>
      </w:r>
      <w:r>
        <w:rPr>
          <w:rtl/>
        </w:rPr>
        <w:t>" ו-"</w:t>
      </w:r>
      <w:r>
        <w:rPr>
          <w:b/>
          <w:bCs/>
          <w:rtl/>
        </w:rPr>
        <w:t xml:space="preserve">שאלת אי הרשעה היא שאלה עצמאית ונפרדת אשר נבחנת במחוזותינו בהתאם לתנאי הלכת </w:t>
      </w:r>
      <w:r>
        <w:rPr>
          <w:rFonts w:ascii="Miriam" w:hAnsi="Miriam" w:cs="Miriam"/>
          <w:b/>
          <w:bCs/>
          <w:szCs w:val="22"/>
          <w:rtl/>
        </w:rPr>
        <w:t>כתב</w:t>
      </w:r>
      <w:r>
        <w:rPr>
          <w:rtl/>
        </w:rPr>
        <w:t xml:space="preserve">" [ראו </w:t>
      </w:r>
      <w:hyperlink r:id="rId20" w:history="1">
        <w:r w:rsidR="00D91317" w:rsidRPr="00D91317">
          <w:rPr>
            <w:color w:val="0000FF"/>
            <w:u w:val="single"/>
            <w:rtl/>
          </w:rPr>
          <w:t>רע"פ 3195/19</w:t>
        </w:r>
      </w:hyperlink>
      <w:r>
        <w:rPr>
          <w:rtl/>
        </w:rPr>
        <w:t xml:space="preserve"> </w:t>
      </w:r>
      <w:r>
        <w:rPr>
          <w:rFonts w:ascii="Miriam" w:hAnsi="Miriam" w:cs="Miriam"/>
          <w:b/>
          <w:bCs/>
          <w:szCs w:val="22"/>
          <w:rtl/>
        </w:rPr>
        <w:t>אגוזי נ' מדינת ישראל</w:t>
      </w:r>
      <w:r>
        <w:rPr>
          <w:b/>
          <w:bCs/>
          <w:rtl/>
        </w:rPr>
        <w:t xml:space="preserve"> </w:t>
      </w:r>
      <w:r>
        <w:rPr>
          <w:rtl/>
        </w:rPr>
        <w:t>(4.7.19). ההדגשות במקור - זד"ל] – ומשכך אדון בה תחילה. בסעיף 7 לפסק דינה ב-</w:t>
      </w:r>
      <w:hyperlink r:id="rId21" w:history="1">
        <w:r w:rsidR="00D91317" w:rsidRPr="00D91317">
          <w:rPr>
            <w:color w:val="0000FF"/>
            <w:u w:val="single"/>
            <w:rtl/>
          </w:rPr>
          <w:t>ע"פ 2083/96</w:t>
        </w:r>
      </w:hyperlink>
      <w:r>
        <w:rPr>
          <w:rtl/>
        </w:rPr>
        <w:t xml:space="preserve"> </w:t>
      </w:r>
      <w:r>
        <w:rPr>
          <w:rFonts w:ascii="Miriam" w:hAnsi="Miriam" w:cs="Miriam"/>
          <w:b/>
          <w:bCs/>
          <w:szCs w:val="22"/>
          <w:rtl/>
        </w:rPr>
        <w:t xml:space="preserve">כתב נ' מדינת ישראל </w:t>
      </w:r>
      <w:r>
        <w:rPr>
          <w:rtl/>
        </w:rPr>
        <w:t xml:space="preserve">(21.8.97) (להלן: </w:t>
      </w:r>
      <w:r>
        <w:rPr>
          <w:rFonts w:ascii="Miriam" w:hAnsi="Miriam" w:cs="Miriam"/>
          <w:b/>
          <w:bCs/>
          <w:szCs w:val="22"/>
          <w:rtl/>
        </w:rPr>
        <w:t>הלכת כתב</w:t>
      </w:r>
      <w:r>
        <w:rPr>
          <w:rtl/>
        </w:rPr>
        <w:t>), קבעה כב' הש' דורנר, כי "</w:t>
      </w:r>
      <w:r>
        <w:rPr>
          <w:b/>
          <w:bCs/>
          <w:rtl/>
        </w:rPr>
        <w:t xml:space="preserve">הימנעות מהרשעה אפשרית אפוא בהצטבר שני גורמים: ראשית, על ההרשעה לפגוע </w:t>
      </w:r>
      <w:r>
        <w:rPr>
          <w:b/>
          <w:bCs/>
          <w:u w:val="single"/>
          <w:rtl/>
        </w:rPr>
        <w:t>פגיעה חמורה בשיקום הנאשם</w:t>
      </w:r>
      <w:r>
        <w:rPr>
          <w:b/>
          <w:bCs/>
          <w:rtl/>
        </w:rPr>
        <w:t xml:space="preserve">, ושנית, </w:t>
      </w:r>
      <w:r>
        <w:rPr>
          <w:b/>
          <w:bCs/>
          <w:u w:val="single"/>
          <w:rtl/>
        </w:rPr>
        <w:t>סוג העבירה מאפשר</w:t>
      </w:r>
      <w:r>
        <w:rPr>
          <w:b/>
          <w:bCs/>
          <w:rtl/>
        </w:rPr>
        <w:t xml:space="preserve"> לוותר בנסיבות המקרה המסוים על ההרשעה </w:t>
      </w:r>
      <w:r>
        <w:rPr>
          <w:b/>
          <w:bCs/>
          <w:u w:val="single"/>
          <w:rtl/>
        </w:rPr>
        <w:t>בלי לפגוע באופן מהותי בשיקולי הענישה האחרים</w:t>
      </w:r>
      <w:r>
        <w:rPr>
          <w:b/>
          <w:bCs/>
          <w:rtl/>
        </w:rPr>
        <w:t xml:space="preserve"> המפורטים לעיל</w:t>
      </w:r>
      <w:r>
        <w:rPr>
          <w:rtl/>
        </w:rPr>
        <w:t>" [ההדגשות לא במקור - זד"ל].</w:t>
      </w:r>
      <w:r>
        <w:rPr>
          <w:rFonts w:ascii="Calibri" w:hAnsi="Calibri" w:cs="Calibri"/>
          <w:szCs w:val="22"/>
          <w:rtl/>
        </w:rPr>
        <w:t xml:space="preserve"> </w:t>
      </w:r>
    </w:p>
    <w:p w14:paraId="56169F53" w14:textId="77777777" w:rsidR="00FD77EC" w:rsidRDefault="00FD77EC" w:rsidP="00FD77EC">
      <w:pPr>
        <w:pStyle w:val="aa"/>
        <w:widowControl w:val="0"/>
        <w:snapToGrid/>
        <w:spacing w:line="360" w:lineRule="auto"/>
        <w:ind w:left="360"/>
        <w:jc w:val="both"/>
        <w:rPr>
          <w:sz w:val="24"/>
        </w:rPr>
      </w:pPr>
    </w:p>
    <w:p w14:paraId="3CEB12FC" w14:textId="77777777" w:rsidR="00FD77EC" w:rsidRDefault="00FD77EC" w:rsidP="00FD77EC">
      <w:pPr>
        <w:pStyle w:val="aa"/>
        <w:widowControl w:val="0"/>
        <w:numPr>
          <w:ilvl w:val="0"/>
          <w:numId w:val="1"/>
        </w:numPr>
        <w:snapToGrid/>
        <w:spacing w:line="360" w:lineRule="auto"/>
        <w:ind w:left="360"/>
        <w:jc w:val="both"/>
        <w:rPr>
          <w:rFonts w:ascii="Calibri" w:hAnsi="Calibri" w:cs="Calibri"/>
          <w:szCs w:val="22"/>
        </w:rPr>
      </w:pPr>
      <w:r>
        <w:rPr>
          <w:sz w:val="24"/>
          <w:rtl/>
        </w:rPr>
        <w:t>בסעיף 9 לפסק דינו ב-</w:t>
      </w:r>
      <w:hyperlink r:id="rId22" w:history="1">
        <w:r w:rsidR="00D91317" w:rsidRPr="00D91317">
          <w:rPr>
            <w:color w:val="0000FF"/>
            <w:sz w:val="24"/>
            <w:u w:val="single"/>
            <w:rtl/>
          </w:rPr>
          <w:t>ע"פ 8690/15</w:t>
        </w:r>
      </w:hyperlink>
      <w:r>
        <w:rPr>
          <w:sz w:val="24"/>
          <w:rtl/>
        </w:rPr>
        <w:t xml:space="preserve"> </w:t>
      </w:r>
      <w:r>
        <w:rPr>
          <w:rFonts w:ascii="Miriam" w:hAnsi="Miriam" w:cs="Miriam"/>
          <w:b/>
          <w:bCs/>
          <w:szCs w:val="22"/>
          <w:rtl/>
        </w:rPr>
        <w:t>מדינת ישראל נ' פלוני</w:t>
      </w:r>
      <w:r>
        <w:rPr>
          <w:sz w:val="24"/>
          <w:rtl/>
        </w:rPr>
        <w:t xml:space="preserve"> (6.6.16), עמד כב' הש' ג'ובראן על המתח בין שני השיקולים העיקריים בנושא – "</w:t>
      </w:r>
      <w:r>
        <w:rPr>
          <w:b/>
          <w:bCs/>
          <w:sz w:val="24"/>
          <w:rtl/>
        </w:rPr>
        <w:t>האינטרס הציבורי, הכולל את הצורך להגשים את מטרות המשפט הפלילי ולמצות את הדין באמצעות הרשעת העבריין; והאינטרס הפרטי, הכולל את הנזק הצפוי לנאשם מהרשעתו תוך התחשבות בנסיבותיו האישיות</w:t>
      </w:r>
      <w:r>
        <w:rPr>
          <w:sz w:val="24"/>
          <w:rtl/>
        </w:rPr>
        <w:t>". זוהי למעשה "</w:t>
      </w:r>
      <w:r>
        <w:rPr>
          <w:b/>
          <w:bCs/>
          <w:sz w:val="24"/>
          <w:rtl/>
        </w:rPr>
        <w:t>מקבילית הכוחות</w:t>
      </w:r>
      <w:r>
        <w:rPr>
          <w:sz w:val="24"/>
          <w:rtl/>
        </w:rPr>
        <w:t>" עליה עמדו כב' הש' דנינו ב-</w:t>
      </w:r>
      <w:hyperlink r:id="rId23" w:history="1">
        <w:r w:rsidR="00D91317" w:rsidRPr="00D91317">
          <w:rPr>
            <w:color w:val="0000FF"/>
            <w:u w:val="single"/>
            <w:rtl/>
          </w:rPr>
          <w:t>עפ"ג (מחוזי-ב"ש) 66903-07-20</w:t>
        </w:r>
      </w:hyperlink>
      <w:r>
        <w:rPr>
          <w:rtl/>
        </w:rPr>
        <w:t xml:space="preserve"> </w:t>
      </w:r>
      <w:r>
        <w:rPr>
          <w:rFonts w:ascii="Miriam" w:hAnsi="Miriam" w:cs="Miriam"/>
          <w:b/>
          <w:bCs/>
          <w:szCs w:val="22"/>
          <w:rtl/>
        </w:rPr>
        <w:t>אבו מדיעם נ' מדינת ישראל</w:t>
      </w:r>
      <w:r>
        <w:rPr>
          <w:rtl/>
        </w:rPr>
        <w:t xml:space="preserve"> (30.12.20) (להלן: </w:t>
      </w:r>
      <w:r>
        <w:rPr>
          <w:rFonts w:ascii="Miriam" w:hAnsi="Miriam" w:cs="Miriam"/>
          <w:b/>
          <w:bCs/>
          <w:szCs w:val="22"/>
          <w:rtl/>
        </w:rPr>
        <w:t>פס"ד אבו מדיעם</w:t>
      </w:r>
      <w:r>
        <w:rPr>
          <w:rtl/>
        </w:rPr>
        <w:t xml:space="preserve">) </w:t>
      </w:r>
      <w:r>
        <w:rPr>
          <w:sz w:val="24"/>
          <w:rtl/>
        </w:rPr>
        <w:t>וכב' הש' ברסלר-גונן ב-</w:t>
      </w:r>
      <w:hyperlink r:id="rId24" w:history="1">
        <w:r w:rsidR="00D91317" w:rsidRPr="00D91317">
          <w:rPr>
            <w:color w:val="0000FF"/>
            <w:u w:val="single"/>
            <w:rtl/>
          </w:rPr>
          <w:t>עפ"ג (מחוזי-ב"ש) 27326-12-21</w:t>
        </w:r>
      </w:hyperlink>
      <w:r>
        <w:rPr>
          <w:rtl/>
        </w:rPr>
        <w:t xml:space="preserve"> </w:t>
      </w:r>
      <w:r>
        <w:rPr>
          <w:rFonts w:ascii="Miriam" w:hAnsi="Miriam" w:cs="Miriam"/>
          <w:b/>
          <w:bCs/>
          <w:szCs w:val="22"/>
          <w:rtl/>
        </w:rPr>
        <w:t>קיזר נ' מדינת ישראל</w:t>
      </w:r>
      <w:r>
        <w:rPr>
          <w:rtl/>
        </w:rPr>
        <w:t xml:space="preserve"> (9.3.22) (להלן: </w:t>
      </w:r>
      <w:r>
        <w:rPr>
          <w:rFonts w:ascii="Miriam" w:hAnsi="Miriam" w:cs="Miriam"/>
          <w:b/>
          <w:bCs/>
          <w:szCs w:val="22"/>
          <w:rtl/>
        </w:rPr>
        <w:t>פס"ד קיזר</w:t>
      </w:r>
      <w:r>
        <w:rPr>
          <w:rtl/>
        </w:rPr>
        <w:t>)</w:t>
      </w:r>
      <w:r>
        <w:rPr>
          <w:sz w:val="24"/>
          <w:rtl/>
        </w:rPr>
        <w:t xml:space="preserve">. </w:t>
      </w:r>
    </w:p>
    <w:p w14:paraId="2144339A" w14:textId="77777777" w:rsidR="00FD77EC" w:rsidRDefault="00FD77EC" w:rsidP="00FD77EC">
      <w:pPr>
        <w:pStyle w:val="aa"/>
        <w:widowControl w:val="0"/>
        <w:snapToGrid/>
        <w:spacing w:line="360" w:lineRule="auto"/>
        <w:ind w:left="360"/>
        <w:jc w:val="both"/>
        <w:rPr>
          <w:sz w:val="24"/>
        </w:rPr>
      </w:pPr>
    </w:p>
    <w:p w14:paraId="507C5D8E" w14:textId="77777777" w:rsidR="00FD77EC" w:rsidRDefault="00FD77EC" w:rsidP="00FD77EC">
      <w:pPr>
        <w:pStyle w:val="aa"/>
        <w:widowControl w:val="0"/>
        <w:numPr>
          <w:ilvl w:val="0"/>
          <w:numId w:val="1"/>
        </w:numPr>
        <w:snapToGrid/>
        <w:spacing w:line="360" w:lineRule="auto"/>
        <w:ind w:left="360"/>
        <w:jc w:val="both"/>
        <w:rPr>
          <w:rFonts w:ascii="Calibri" w:hAnsi="Calibri" w:cs="Calibri"/>
          <w:szCs w:val="22"/>
          <w:rtl/>
        </w:rPr>
      </w:pPr>
      <w:r>
        <w:rPr>
          <w:sz w:val="24"/>
          <w:rtl/>
        </w:rPr>
        <w:t>נפסק לא אחת, כי שיקולי שיקום מהווים לא רק "</w:t>
      </w:r>
      <w:r>
        <w:rPr>
          <w:b/>
          <w:bCs/>
          <w:sz w:val="24"/>
          <w:rtl/>
        </w:rPr>
        <w:t>אינטרס אישי פרטני</w:t>
      </w:r>
      <w:r>
        <w:rPr>
          <w:sz w:val="24"/>
          <w:rtl/>
        </w:rPr>
        <w:t>" של העבריין "</w:t>
      </w:r>
      <w:r>
        <w:rPr>
          <w:b/>
          <w:bCs/>
          <w:sz w:val="24"/>
          <w:rtl/>
        </w:rPr>
        <w:t>אלא אינטרס של הציבור בכללותו, אשר יקבל אל שורותיו אזרח משוקם, בעל יכולת אמתית להותיר את העבר מאחוריו</w:t>
      </w:r>
      <w:r>
        <w:rPr>
          <w:sz w:val="24"/>
          <w:rtl/>
        </w:rPr>
        <w:t>" (</w:t>
      </w:r>
      <w:r>
        <w:rPr>
          <w:rFonts w:ascii="Miriam" w:hAnsi="Miriam" w:cs="Miriam"/>
          <w:b/>
          <w:bCs/>
          <w:szCs w:val="22"/>
          <w:rtl/>
        </w:rPr>
        <w:t>פס"ד פלוני</w:t>
      </w:r>
      <w:r>
        <w:rPr>
          <w:sz w:val="24"/>
          <w:rtl/>
        </w:rPr>
        <w:t xml:space="preserve">, סעיף 11; </w:t>
      </w:r>
      <w:r>
        <w:rPr>
          <w:rFonts w:ascii="Miriam" w:hAnsi="Miriam" w:cs="Miriam"/>
          <w:b/>
          <w:bCs/>
          <w:szCs w:val="22"/>
          <w:rtl/>
        </w:rPr>
        <w:t>ענין שניידרמן</w:t>
      </w:r>
      <w:r>
        <w:rPr>
          <w:sz w:val="24"/>
          <w:rtl/>
        </w:rPr>
        <w:t>, סעיף 8) – אולם במתח בין שני שיקולים אלו, לרוב ינתן משקל רב יותר לעניין הציבורי "</w:t>
      </w:r>
      <w:r>
        <w:rPr>
          <w:b/>
          <w:bCs/>
          <w:sz w:val="24"/>
          <w:rtl/>
        </w:rPr>
        <w:t>ככל שעסקינן בעבירה חמורה יותר</w:t>
      </w:r>
      <w:r>
        <w:rPr>
          <w:sz w:val="24"/>
          <w:rtl/>
        </w:rPr>
        <w:t xml:space="preserve">". </w:t>
      </w:r>
      <w:r>
        <w:rPr>
          <w:sz w:val="24"/>
          <w:rtl/>
        </w:rPr>
        <w:lastRenderedPageBreak/>
        <w:t>כאשר "</w:t>
      </w:r>
      <w:r>
        <w:rPr>
          <w:b/>
          <w:bCs/>
          <w:sz w:val="24"/>
          <w:rtl/>
        </w:rPr>
        <w:t>הכלל הרחב</w:t>
      </w:r>
      <w:r>
        <w:rPr>
          <w:sz w:val="24"/>
          <w:rtl/>
        </w:rPr>
        <w:t>" בכל הנוגע לנאשמים בגירים הוא "</w:t>
      </w:r>
      <w:r>
        <w:rPr>
          <w:b/>
          <w:bCs/>
          <w:sz w:val="24"/>
          <w:rtl/>
        </w:rPr>
        <w:t>מקום שהוכחה אשמתו של אדם יש להרשיעו בדין, שכן האינטרס הציבורי הוא שגובר, והוא יידחה במקרים חריגים בהם עלול להיווצר יחס בלתי סביר בין הנזק הצפוי מההרשעה לבין האינטרס הציבורי שבהרשעת מי שעבר עבירה</w:t>
      </w:r>
      <w:r>
        <w:rPr>
          <w:sz w:val="24"/>
          <w:rtl/>
        </w:rPr>
        <w:t>..." [</w:t>
      </w:r>
      <w:r>
        <w:rPr>
          <w:rFonts w:ascii="Miriam" w:hAnsi="Miriam" w:cs="Miriam"/>
          <w:b/>
          <w:bCs/>
          <w:sz w:val="18"/>
          <w:szCs w:val="22"/>
          <w:rtl/>
        </w:rPr>
        <w:t>פס"ד פלוני</w:t>
      </w:r>
      <w:r>
        <w:rPr>
          <w:sz w:val="24"/>
          <w:rtl/>
        </w:rPr>
        <w:t xml:space="preserve">, סעיף 9 וראו גם </w:t>
      </w:r>
      <w:hyperlink r:id="rId25" w:history="1">
        <w:r w:rsidR="00D91317" w:rsidRPr="00D91317">
          <w:rPr>
            <w:color w:val="0000FF"/>
            <w:u w:val="single"/>
            <w:rtl/>
          </w:rPr>
          <w:t>ע"פ 8528/12</w:t>
        </w:r>
      </w:hyperlink>
      <w:r>
        <w:rPr>
          <w:rtl/>
        </w:rPr>
        <w:t xml:space="preserve"> </w:t>
      </w:r>
      <w:r>
        <w:rPr>
          <w:rFonts w:ascii="Miriam" w:hAnsi="Miriam" w:cs="Miriam"/>
          <w:b/>
          <w:bCs/>
          <w:sz w:val="18"/>
          <w:szCs w:val="22"/>
          <w:rtl/>
        </w:rPr>
        <w:t>צפורה נ' מדינת ישראל</w:t>
      </w:r>
      <w:r>
        <w:rPr>
          <w:rtl/>
        </w:rPr>
        <w:t xml:space="preserve"> (3.3.13) (להלן: </w:t>
      </w:r>
      <w:r>
        <w:rPr>
          <w:rFonts w:ascii="Miriam" w:hAnsi="Miriam" w:cs="Miriam"/>
          <w:b/>
          <w:bCs/>
          <w:sz w:val="18"/>
          <w:szCs w:val="22"/>
          <w:rtl/>
        </w:rPr>
        <w:t>ענין צפורה</w:t>
      </w:r>
      <w:r>
        <w:rPr>
          <w:rtl/>
        </w:rPr>
        <w:t>);</w:t>
      </w:r>
      <w:r>
        <w:rPr>
          <w:sz w:val="24"/>
          <w:rtl/>
        </w:rPr>
        <w:t xml:space="preserve"> </w:t>
      </w:r>
      <w:hyperlink r:id="rId26" w:history="1">
        <w:r w:rsidR="00D91317" w:rsidRPr="00D91317">
          <w:rPr>
            <w:color w:val="0000FF"/>
            <w:sz w:val="24"/>
            <w:u w:val="single"/>
            <w:rtl/>
          </w:rPr>
          <w:t>ע"פ 5102/03</w:t>
        </w:r>
      </w:hyperlink>
      <w:r>
        <w:rPr>
          <w:sz w:val="24"/>
          <w:rtl/>
        </w:rPr>
        <w:t xml:space="preserve"> </w:t>
      </w:r>
      <w:r>
        <w:rPr>
          <w:rFonts w:ascii="Miriam" w:hAnsi="Miriam" w:cs="Miriam"/>
          <w:b/>
          <w:bCs/>
          <w:szCs w:val="22"/>
          <w:rtl/>
        </w:rPr>
        <w:t>מדינת ישראל נ' קליין</w:t>
      </w:r>
      <w:r>
        <w:rPr>
          <w:sz w:val="24"/>
          <w:rtl/>
        </w:rPr>
        <w:t xml:space="preserve"> (4.9.07); </w:t>
      </w:r>
      <w:hyperlink r:id="rId27" w:history="1">
        <w:r w:rsidR="00D91317" w:rsidRPr="00D91317">
          <w:rPr>
            <w:color w:val="0000FF"/>
            <w:sz w:val="24"/>
            <w:u w:val="single"/>
            <w:rtl/>
          </w:rPr>
          <w:t>ע"פ 3301/06</w:t>
        </w:r>
      </w:hyperlink>
      <w:r>
        <w:rPr>
          <w:sz w:val="24"/>
          <w:rtl/>
        </w:rPr>
        <w:t xml:space="preserve"> </w:t>
      </w:r>
      <w:r>
        <w:rPr>
          <w:rFonts w:ascii="Miriam" w:hAnsi="Miriam" w:cs="Miriam"/>
          <w:b/>
          <w:bCs/>
          <w:szCs w:val="22"/>
          <w:rtl/>
        </w:rPr>
        <w:t>ביטי נ' מדינת ישראל</w:t>
      </w:r>
      <w:r>
        <w:rPr>
          <w:sz w:val="24"/>
          <w:rtl/>
        </w:rPr>
        <w:t xml:space="preserve"> (31.10.06) ו-</w:t>
      </w:r>
      <w:hyperlink r:id="rId28" w:history="1">
        <w:r w:rsidR="00D91317" w:rsidRPr="00D91317">
          <w:rPr>
            <w:color w:val="0000FF"/>
            <w:sz w:val="24"/>
            <w:u w:val="single"/>
            <w:rtl/>
          </w:rPr>
          <w:t>ע"פ 7211/04</w:t>
        </w:r>
      </w:hyperlink>
      <w:r>
        <w:rPr>
          <w:sz w:val="24"/>
          <w:rtl/>
        </w:rPr>
        <w:t xml:space="preserve"> </w:t>
      </w:r>
      <w:r>
        <w:rPr>
          <w:rFonts w:ascii="Miriam" w:hAnsi="Miriam" w:cs="Miriam"/>
          <w:b/>
          <w:bCs/>
          <w:szCs w:val="22"/>
          <w:rtl/>
        </w:rPr>
        <w:t>מדינת ישראל נ' פלוני</w:t>
      </w:r>
      <w:r>
        <w:rPr>
          <w:sz w:val="24"/>
          <w:rtl/>
        </w:rPr>
        <w:t xml:space="preserve"> (13.3.06)]. </w:t>
      </w:r>
    </w:p>
    <w:p w14:paraId="4E1DFCC8" w14:textId="77777777" w:rsidR="00FD77EC" w:rsidRDefault="00FD77EC" w:rsidP="00FD77EC">
      <w:pPr>
        <w:pStyle w:val="aa"/>
        <w:spacing w:line="360" w:lineRule="auto"/>
        <w:rPr>
          <w:rFonts w:ascii="Times New Roman" w:hAnsi="Times New Roman"/>
          <w:sz w:val="24"/>
        </w:rPr>
      </w:pPr>
    </w:p>
    <w:p w14:paraId="6F776995" w14:textId="77777777" w:rsidR="00FD77EC" w:rsidRDefault="00FD77EC" w:rsidP="00FD77EC">
      <w:pPr>
        <w:pStyle w:val="aa"/>
        <w:widowControl w:val="0"/>
        <w:numPr>
          <w:ilvl w:val="0"/>
          <w:numId w:val="1"/>
        </w:numPr>
        <w:snapToGrid/>
        <w:spacing w:line="360" w:lineRule="auto"/>
        <w:ind w:left="360"/>
        <w:jc w:val="both"/>
        <w:rPr>
          <w:rFonts w:ascii="Calibri" w:hAnsi="Calibri" w:cs="Calibri"/>
          <w:szCs w:val="22"/>
          <w:rtl/>
        </w:rPr>
      </w:pPr>
      <w:r>
        <w:rPr>
          <w:sz w:val="24"/>
          <w:rtl/>
        </w:rPr>
        <w:t>נוכח האמור לעיל ובהינתן כי גם לגבי קטינים, "</w:t>
      </w:r>
      <w:r>
        <w:rPr>
          <w:b/>
          <w:bCs/>
          <w:sz w:val="24"/>
          <w:rtl/>
        </w:rPr>
        <w:t>לעתים שיקולים של הרתעה, מניעה וגמול עולים במשקלם על השיקול השיקומי</w:t>
      </w:r>
      <w:r>
        <w:rPr>
          <w:sz w:val="24"/>
          <w:rtl/>
        </w:rPr>
        <w:t>" (</w:t>
      </w:r>
      <w:r>
        <w:rPr>
          <w:rFonts w:ascii="Miriam" w:hAnsi="Miriam" w:cs="Miriam"/>
          <w:b/>
          <w:bCs/>
          <w:szCs w:val="22"/>
          <w:rtl/>
        </w:rPr>
        <w:t>פס"ד פלוני</w:t>
      </w:r>
      <w:r>
        <w:rPr>
          <w:sz w:val="24"/>
          <w:rtl/>
        </w:rPr>
        <w:t>, סעיף 9) והקביעה לפיה, "</w:t>
      </w:r>
      <w:r>
        <w:rPr>
          <w:b/>
          <w:bCs/>
          <w:rtl/>
        </w:rPr>
        <w:t>על בית המשפט לבחון, בראש ובראשונה, את השאלה האם סוג העבירה וטיבה, על רקע הנסיבות הקונקרטיות של המקרה, מאפשרים להימנע מהרשעה. בשלב השני, יש להידרש לשאלה, האם עצם ההרשעה עלול לפגוע "</w:t>
      </w:r>
      <w:r>
        <w:rPr>
          <w:rFonts w:cs="Miriam"/>
          <w:b/>
          <w:bCs/>
          <w:sz w:val="28"/>
          <w:rtl/>
        </w:rPr>
        <w:t>פגיעה חמורה</w:t>
      </w:r>
      <w:r>
        <w:rPr>
          <w:b/>
          <w:bCs/>
          <w:rtl/>
        </w:rPr>
        <w:t>" בשיקומו או בעתידו של הנאשם</w:t>
      </w:r>
      <w:r>
        <w:rPr>
          <w:sz w:val="24"/>
          <w:rtl/>
        </w:rPr>
        <w:t>" [סעיף 11 לפסק דינו של כב' הש' שהם ב-</w:t>
      </w:r>
      <w:r>
        <w:rPr>
          <w:rFonts w:ascii="Miriam" w:hAnsi="Miriam" w:cs="Miriam"/>
          <w:b/>
          <w:bCs/>
          <w:sz w:val="18"/>
          <w:szCs w:val="22"/>
          <w:rtl/>
        </w:rPr>
        <w:t>ענין צפורה</w:t>
      </w:r>
      <w:r>
        <w:rPr>
          <w:sz w:val="24"/>
          <w:rtl/>
        </w:rPr>
        <w:t>. ההדגשה במקור – זד"ל] – אדון תחילה בשיקול הציבורי</w:t>
      </w:r>
      <w:r>
        <w:rPr>
          <w:rFonts w:ascii="Calibri" w:hAnsi="Calibri" w:cs="Calibri"/>
          <w:szCs w:val="22"/>
          <w:rtl/>
        </w:rPr>
        <w:t>.</w:t>
      </w:r>
    </w:p>
    <w:p w14:paraId="531A6CAB" w14:textId="77777777" w:rsidR="00FD77EC" w:rsidRDefault="00FD77EC" w:rsidP="00FD77EC">
      <w:pPr>
        <w:pStyle w:val="gmail-msonospacing"/>
        <w:widowControl w:val="0"/>
        <w:bidi/>
        <w:spacing w:before="0" w:beforeAutospacing="0" w:after="0" w:afterAutospacing="0" w:line="360" w:lineRule="auto"/>
        <w:jc w:val="both"/>
        <w:rPr>
          <w:rFonts w:ascii="David" w:hAnsi="David" w:cs="David"/>
          <w:b/>
          <w:bCs/>
          <w:sz w:val="26"/>
          <w:szCs w:val="26"/>
        </w:rPr>
      </w:pPr>
    </w:p>
    <w:p w14:paraId="37C7B98F" w14:textId="77777777" w:rsidR="00FD77EC" w:rsidRDefault="00FD77EC" w:rsidP="00FD77EC">
      <w:pPr>
        <w:pStyle w:val="gmail-msonospacing"/>
        <w:widowControl w:val="0"/>
        <w:bidi/>
        <w:spacing w:before="0" w:beforeAutospacing="0" w:after="0" w:afterAutospacing="0" w:line="360" w:lineRule="auto"/>
        <w:jc w:val="both"/>
        <w:rPr>
          <w:rFonts w:ascii="Calibri" w:hAnsi="Calibri" w:cs="Calibri"/>
          <w:sz w:val="22"/>
          <w:szCs w:val="22"/>
        </w:rPr>
      </w:pPr>
      <w:r>
        <w:rPr>
          <w:rFonts w:ascii="David" w:hAnsi="David" w:cs="David"/>
          <w:b/>
          <w:bCs/>
          <w:sz w:val="26"/>
          <w:szCs w:val="26"/>
          <w:rtl/>
        </w:rPr>
        <w:t>סוג העבירה, נסיבות ביצועה ושיקולי ענישה אחרים, לרבות הפסיקה הנוהגת</w:t>
      </w:r>
    </w:p>
    <w:p w14:paraId="042669D6" w14:textId="77777777" w:rsidR="00FD77EC" w:rsidRDefault="00FD77EC" w:rsidP="00FD77EC">
      <w:pPr>
        <w:pStyle w:val="aa"/>
        <w:widowControl w:val="0"/>
        <w:numPr>
          <w:ilvl w:val="0"/>
          <w:numId w:val="1"/>
        </w:numPr>
        <w:spacing w:line="360" w:lineRule="auto"/>
        <w:ind w:left="360"/>
        <w:jc w:val="both"/>
        <w:rPr>
          <w:rFonts w:ascii="Times New Roman" w:hAnsi="Times New Roman"/>
          <w:sz w:val="24"/>
          <w:rtl/>
        </w:rPr>
      </w:pPr>
      <w:r>
        <w:rPr>
          <w:rtl/>
        </w:rPr>
        <w:t xml:space="preserve">מקובלת עלי טענת ב"כ המאשימה, כי במעשיו פגע הנאשם בערכים מוגנים של שמירה על שלום הציבור ובריאותו וכי נגע הסמים הוא אחד ממחוללי הפשיעה. </w:t>
      </w:r>
      <w:r>
        <w:rPr>
          <w:sz w:val="24"/>
          <w:rtl/>
        </w:rPr>
        <w:t xml:space="preserve">בשים לב לנסיבות ביצוע העבירות, שכוללות תכנון, השקעת משאבים, פוטנציאל הנזק הטמון בגידול, נפיצות עבירת הגידול, כמות הסמים וסוגיהם, מקובלת עלי גם טענת ב"כ המאשימה כי מידת הפגיעה לא מבוטלת. </w:t>
      </w:r>
    </w:p>
    <w:p w14:paraId="50B6E3C6" w14:textId="77777777" w:rsidR="00FD77EC" w:rsidRDefault="00FD77EC" w:rsidP="00FD77EC">
      <w:pPr>
        <w:pStyle w:val="aa"/>
        <w:widowControl w:val="0"/>
        <w:spacing w:line="360" w:lineRule="auto"/>
        <w:ind w:left="360"/>
        <w:jc w:val="both"/>
        <w:rPr>
          <w:sz w:val="24"/>
        </w:rPr>
      </w:pPr>
    </w:p>
    <w:p w14:paraId="134D0324" w14:textId="77777777" w:rsidR="00FD77EC" w:rsidRDefault="00FD77EC" w:rsidP="00FD77EC">
      <w:pPr>
        <w:pStyle w:val="aa"/>
        <w:widowControl w:val="0"/>
        <w:numPr>
          <w:ilvl w:val="0"/>
          <w:numId w:val="1"/>
        </w:numPr>
        <w:spacing w:line="360" w:lineRule="auto"/>
        <w:ind w:left="360"/>
        <w:jc w:val="both"/>
        <w:rPr>
          <w:rFonts w:ascii="Times New Roman" w:hAnsi="Times New Roman"/>
          <w:sz w:val="24"/>
        </w:rPr>
      </w:pPr>
      <w:r>
        <w:rPr>
          <w:rtl/>
        </w:rPr>
        <w:t xml:space="preserve">עיון בפסיקת שלוש הערכאות מלמד כי בענישה בתחום הסמים קיים מנעד רחב וכך גם בנושא יישום </w:t>
      </w:r>
      <w:r>
        <w:rPr>
          <w:rFonts w:ascii="Miriam" w:hAnsi="Miriam" w:cs="Miriam"/>
          <w:b/>
          <w:bCs/>
          <w:szCs w:val="22"/>
          <w:rtl/>
        </w:rPr>
        <w:t>הלכת כתב</w:t>
      </w:r>
      <w:r>
        <w:rPr>
          <w:rtl/>
        </w:rPr>
        <w:t xml:space="preserve"> וסיום הליכים ללא הרשעה. במהלך הטיעונים לעונש הפנה ב"כ המאשימה לפסיקה התומכת בעמדתו לפיה נוכח חומרת העבירה יש לקבוע מתחם 10–24 חודשי מאסר בפועל בצירוף ענישה נלווית. ב"כ הנאשם הפנה לפסיקה התומכת בעמדתו, לפיה בתי המשפט ביטלו הרשעות בעבירות סמים ואף בעבירות חמורות מזו שלפני. ברי כי כל מקרה לנסיבותיו וניתן לאבחן המקרים השונים. לצד זאת, ראיתי לנכון להתייחס לפסקי הדין מהם ניתן לגזור אמת-מידה מתאימה ולפסיקה אליה הפנו הצדדים – </w:t>
      </w:r>
    </w:p>
    <w:p w14:paraId="0C7E3840" w14:textId="77777777" w:rsidR="00FD77EC" w:rsidRDefault="00FD77EC" w:rsidP="00FD77EC">
      <w:pPr>
        <w:pStyle w:val="aa"/>
        <w:rPr>
          <w:sz w:val="24"/>
        </w:rPr>
      </w:pPr>
    </w:p>
    <w:p w14:paraId="61409D41" w14:textId="77777777" w:rsidR="00FD77EC" w:rsidRDefault="00D91317" w:rsidP="00FD77EC">
      <w:pPr>
        <w:pStyle w:val="aa"/>
        <w:widowControl w:val="0"/>
        <w:numPr>
          <w:ilvl w:val="0"/>
          <w:numId w:val="2"/>
        </w:numPr>
        <w:spacing w:line="360" w:lineRule="auto"/>
        <w:ind w:left="794" w:hanging="397"/>
        <w:jc w:val="both"/>
        <w:rPr>
          <w:sz w:val="24"/>
          <w:rtl/>
        </w:rPr>
      </w:pPr>
      <w:hyperlink r:id="rId29" w:history="1">
        <w:r w:rsidRPr="00D91317">
          <w:rPr>
            <w:color w:val="0000FF"/>
            <w:sz w:val="24"/>
            <w:u w:val="single"/>
            <w:rtl/>
          </w:rPr>
          <w:t>רע"פ 7166/23</w:t>
        </w:r>
      </w:hyperlink>
      <w:r w:rsidR="00FD77EC">
        <w:rPr>
          <w:sz w:val="24"/>
          <w:rtl/>
        </w:rPr>
        <w:t xml:space="preserve"> </w:t>
      </w:r>
      <w:r w:rsidR="00FD77EC">
        <w:rPr>
          <w:rFonts w:ascii="Miriam" w:hAnsi="Miriam" w:cs="Miriam"/>
          <w:b/>
          <w:bCs/>
          <w:szCs w:val="22"/>
          <w:rtl/>
        </w:rPr>
        <w:t>אמסלם נ' מדינת ישראל</w:t>
      </w:r>
      <w:r w:rsidR="00FD77EC">
        <w:rPr>
          <w:sz w:val="24"/>
          <w:rtl/>
        </w:rPr>
        <w:t xml:space="preserve"> (28.9.23), אליו הפנה ב"כ המאשימה – נדחתה בקשת רשות ערעור על פסק דין שקיבל ערעור המדינה. נקבע מתחם 10–36 חודשי מאסר בפועל לכל אירוע של גידול קנבוס והחזקתו. במעבדה שהקים בביתו גידל המבקש 99 שתילי קנבוס במשקל 240 גרם והחזיק כ-34.14 גרם קנבוס וכ-33 גרם חשיש. במהלך ניהול ההליך באירוע הראשון, גידל במעבדה בביתו 98 שתילי קנבוס במשקל 9.9 ק"ג, והחזיק כ-3.26 ק"ג קנבוס נוספים. נקבע כי בהינתן המלצת שירות המבחן, הודאת המבקש וניהול אורח חיים נורמטיבי, יש לחרוג לקולא מהמתחם ומשכך הושתו 9 חודשי מאסר לריצוי בעבודות שירות, צו מבחן, מאסרים מותנים ו-50,000 ₪ קנס. בית המשפט המחוזי החמיר עונשו ל-10 חודשי מאסר לריצוי בפועל בגין 2 האירועים, חרף הליך שיקומי שעבר. </w:t>
      </w:r>
    </w:p>
    <w:p w14:paraId="06DDB4B0" w14:textId="77777777" w:rsidR="00FD77EC" w:rsidRDefault="00FD77EC" w:rsidP="00FD77EC">
      <w:pPr>
        <w:pStyle w:val="aa"/>
        <w:widowControl w:val="0"/>
        <w:ind w:left="794"/>
        <w:jc w:val="both"/>
        <w:rPr>
          <w:sz w:val="24"/>
          <w:rtl/>
        </w:rPr>
      </w:pPr>
    </w:p>
    <w:p w14:paraId="026970E6" w14:textId="77777777" w:rsidR="00FD77EC" w:rsidRDefault="00D91317" w:rsidP="00FD77EC">
      <w:pPr>
        <w:pStyle w:val="aa"/>
        <w:widowControl w:val="0"/>
        <w:numPr>
          <w:ilvl w:val="0"/>
          <w:numId w:val="2"/>
        </w:numPr>
        <w:spacing w:line="360" w:lineRule="auto"/>
        <w:ind w:left="794" w:hanging="397"/>
        <w:jc w:val="both"/>
        <w:rPr>
          <w:sz w:val="24"/>
        </w:rPr>
      </w:pPr>
      <w:hyperlink r:id="rId30" w:history="1">
        <w:r w:rsidRPr="00D91317">
          <w:rPr>
            <w:color w:val="0000FF"/>
            <w:sz w:val="24"/>
            <w:u w:val="single"/>
            <w:rtl/>
          </w:rPr>
          <w:t>רע"פ 513/21</w:t>
        </w:r>
      </w:hyperlink>
      <w:r w:rsidR="00FD77EC">
        <w:rPr>
          <w:sz w:val="24"/>
          <w:rtl/>
        </w:rPr>
        <w:t xml:space="preserve"> </w:t>
      </w:r>
      <w:r w:rsidR="00FD77EC">
        <w:rPr>
          <w:rFonts w:ascii="Miriam" w:hAnsi="Miriam" w:cs="Miriam"/>
          <w:b/>
          <w:bCs/>
          <w:szCs w:val="22"/>
          <w:rtl/>
        </w:rPr>
        <w:t xml:space="preserve">יהושע נ' מדינת ישראל </w:t>
      </w:r>
      <w:r w:rsidR="00FD77EC">
        <w:rPr>
          <w:sz w:val="24"/>
          <w:rtl/>
        </w:rPr>
        <w:t>(4.3.21), אליו הפנה ב"כ המאשימה – נדחתה בקשת רשות ערעור על פסק דין ב</w:t>
      </w:r>
      <w:hyperlink r:id="rId31" w:history="1">
        <w:r w:rsidRPr="00D91317">
          <w:rPr>
            <w:color w:val="0000FF"/>
            <w:sz w:val="24"/>
            <w:u w:val="single"/>
            <w:rtl/>
          </w:rPr>
          <w:t>עפ"ג (מחוזי-ב"ש) 20592-10-20</w:t>
        </w:r>
      </w:hyperlink>
      <w:r w:rsidR="00FD77EC">
        <w:rPr>
          <w:sz w:val="24"/>
          <w:rtl/>
        </w:rPr>
        <w:t xml:space="preserve"> </w:t>
      </w:r>
      <w:r w:rsidR="00FD77EC">
        <w:rPr>
          <w:rFonts w:ascii="Miriam" w:hAnsi="Miriam" w:cs="Miriam"/>
          <w:b/>
          <w:bCs/>
          <w:szCs w:val="22"/>
          <w:rtl/>
        </w:rPr>
        <w:t xml:space="preserve">מדינת ישראל נ' יהושע </w:t>
      </w:r>
      <w:r w:rsidR="00FD77EC">
        <w:rPr>
          <w:sz w:val="24"/>
          <w:rtl/>
        </w:rPr>
        <w:t>(5.1.21), שגם אליו הפנה ב"כ המאשימה. בערעור נקבע, כי מתחם 6–24 בגין גידול 60 שתילים במשקל 10 ק"ג במחסן בחצר ביתו הוא מתחם שלא משקף את חומרת המעשה בנסיבותיו, מידת אשמו של המבקש ומדיניות הענישה הנהוגה. כן נקבע כי לא די בהודאתו, היותו אדם נורמטיבי, שירותו הצבאי, התנדבותו, שיתוף הפעולה עם שירות המבחן והתסקיר החיובי כדי להצדיק חריגה כה משמעותית לקולא. העונש הוחמר וחלף 150 שעות של"ץ – הושתו 10 חודשי מאסר בפועל, בניכוי ימי מעצרו. יתר רכיבי הענישה נותרו על כנם.</w:t>
      </w:r>
    </w:p>
    <w:p w14:paraId="221CDA6F" w14:textId="77777777" w:rsidR="00FD77EC" w:rsidRDefault="00FD77EC" w:rsidP="00FD77EC">
      <w:pPr>
        <w:pStyle w:val="aa"/>
        <w:rPr>
          <w:sz w:val="24"/>
        </w:rPr>
      </w:pPr>
    </w:p>
    <w:p w14:paraId="47F4949D" w14:textId="77777777" w:rsidR="00FD77EC" w:rsidRDefault="00D91317" w:rsidP="00FD77EC">
      <w:pPr>
        <w:pStyle w:val="aa"/>
        <w:widowControl w:val="0"/>
        <w:numPr>
          <w:ilvl w:val="0"/>
          <w:numId w:val="2"/>
        </w:numPr>
        <w:spacing w:line="360" w:lineRule="auto"/>
        <w:ind w:left="794" w:hanging="397"/>
        <w:jc w:val="both"/>
        <w:rPr>
          <w:sz w:val="24"/>
          <w:rtl/>
        </w:rPr>
      </w:pPr>
      <w:hyperlink r:id="rId32" w:history="1">
        <w:r w:rsidRPr="00D91317">
          <w:rPr>
            <w:color w:val="0000FF"/>
            <w:sz w:val="24"/>
            <w:u w:val="single"/>
            <w:rtl/>
          </w:rPr>
          <w:t>רע"פ 6819/19</w:t>
        </w:r>
      </w:hyperlink>
      <w:r w:rsidR="00FD77EC">
        <w:rPr>
          <w:sz w:val="24"/>
          <w:rtl/>
        </w:rPr>
        <w:t xml:space="preserve"> </w:t>
      </w:r>
      <w:r w:rsidR="00FD77EC">
        <w:rPr>
          <w:rFonts w:ascii="Miriam" w:hAnsi="Miriam" w:cs="Miriam"/>
          <w:b/>
          <w:bCs/>
          <w:szCs w:val="22"/>
          <w:rtl/>
        </w:rPr>
        <w:t>סרוסי נ' מדינת ישראל</w:t>
      </w:r>
      <w:r w:rsidR="00FD77EC">
        <w:rPr>
          <w:sz w:val="24"/>
          <w:rtl/>
        </w:rPr>
        <w:t xml:space="preserve"> (28.10.19) </w:t>
      </w:r>
      <w:r w:rsidR="00FD77EC">
        <w:rPr>
          <w:rtl/>
        </w:rPr>
        <w:t xml:space="preserve">(להלן: </w:t>
      </w:r>
      <w:r w:rsidR="00FD77EC">
        <w:rPr>
          <w:rFonts w:ascii="Miriam" w:hAnsi="Miriam" w:cs="Miriam"/>
          <w:b/>
          <w:bCs/>
          <w:szCs w:val="22"/>
          <w:rtl/>
        </w:rPr>
        <w:t>ענין סרוסי</w:t>
      </w:r>
      <w:r w:rsidR="00FD77EC">
        <w:rPr>
          <w:rtl/>
        </w:rPr>
        <w:t>)</w:t>
      </w:r>
      <w:r w:rsidR="00FD77EC">
        <w:rPr>
          <w:sz w:val="24"/>
          <w:rtl/>
        </w:rPr>
        <w:t xml:space="preserve">, אליו הפנה ב"כ המאשימה – נדחו </w:t>
      </w:r>
      <w:r w:rsidR="00FD77EC">
        <w:rPr>
          <w:rtl/>
        </w:rPr>
        <w:t>ערעור ובקשת רשות ערעור של אב ובנו, שהורשעו בתקיפה שגרמה חבלה ממשית בצוותא. מבקש 1 הורשע גם באיומים. המבקשים וסבו של מבקש 2 תקפו את המתלונן, על רקע אי-תשלום בגין עבודה שביצעו. נקבע כי אמנם למבקש 2 "</w:t>
      </w:r>
      <w:r w:rsidR="00FD77EC">
        <w:rPr>
          <w:b/>
          <w:bCs/>
          <w:rtl/>
        </w:rPr>
        <w:t>אחריות פחותה</w:t>
      </w:r>
      <w:r w:rsidR="00FD77EC">
        <w:rPr>
          <w:rtl/>
        </w:rPr>
        <w:t>" לביצוע המעשים, מאחר ש-"</w:t>
      </w:r>
      <w:r w:rsidR="00FD77EC">
        <w:rPr>
          <w:b/>
          <w:bCs/>
          <w:rtl/>
        </w:rPr>
        <w:t>נגרר במידה רבה</w:t>
      </w:r>
      <w:r w:rsidR="00FD77EC">
        <w:rPr>
          <w:rtl/>
        </w:rPr>
        <w:t>" אחר אביו (משיב 1) וסבו בעת ביצוע העבירות, ואף לא איים על המתלונן כאביו – אולם אין לבטל הרשעתו, משלא הוכח כי ההרשעה תגרום לפגיעה "</w:t>
      </w:r>
      <w:r w:rsidR="00FD77EC">
        <w:rPr>
          <w:b/>
          <w:bCs/>
          <w:rtl/>
        </w:rPr>
        <w:t>קונקרטית של ממש</w:t>
      </w:r>
      <w:r w:rsidR="00FD77EC">
        <w:rPr>
          <w:rtl/>
        </w:rPr>
        <w:t>"</w:t>
      </w:r>
      <w:r w:rsidR="00FD77EC">
        <w:rPr>
          <w:rFonts w:eastAsia="David"/>
          <w:rtl/>
        </w:rPr>
        <w:t>.</w:t>
      </w:r>
      <w:r w:rsidR="00FD77EC">
        <w:rPr>
          <w:sz w:val="24"/>
          <w:rtl/>
        </w:rPr>
        <w:t xml:space="preserve"> עוד נקבע כי "</w:t>
      </w:r>
      <w:r w:rsidR="00FD77EC">
        <w:rPr>
          <w:b/>
          <w:bCs/>
          <w:sz w:val="24"/>
          <w:rtl/>
        </w:rPr>
        <w:t>הלכת כתב שרירה וקיימת</w:t>
      </w:r>
      <w:r w:rsidR="00FD77EC">
        <w:rPr>
          <w:sz w:val="24"/>
          <w:rtl/>
        </w:rPr>
        <w:t xml:space="preserve">", אין לשנות מאמות המידה שהותוו בה ולא די בהמלצת שירות המבחן כדי לבטל הרשעה. </w:t>
      </w:r>
    </w:p>
    <w:p w14:paraId="0CF63609" w14:textId="77777777" w:rsidR="00FD77EC" w:rsidRDefault="00FD77EC" w:rsidP="00FD77EC">
      <w:pPr>
        <w:pStyle w:val="aa"/>
        <w:widowControl w:val="0"/>
        <w:ind w:left="794"/>
        <w:jc w:val="both"/>
        <w:rPr>
          <w:sz w:val="24"/>
        </w:rPr>
      </w:pPr>
    </w:p>
    <w:p w14:paraId="5C83B96E" w14:textId="77777777" w:rsidR="00FD77EC" w:rsidRDefault="00D91317" w:rsidP="00FD77EC">
      <w:pPr>
        <w:pStyle w:val="aa"/>
        <w:widowControl w:val="0"/>
        <w:numPr>
          <w:ilvl w:val="0"/>
          <w:numId w:val="2"/>
        </w:numPr>
        <w:spacing w:line="360" w:lineRule="auto"/>
        <w:ind w:left="794" w:hanging="397"/>
        <w:jc w:val="both"/>
        <w:rPr>
          <w:sz w:val="24"/>
        </w:rPr>
      </w:pPr>
      <w:hyperlink r:id="rId33" w:history="1">
        <w:r w:rsidRPr="00D91317">
          <w:rPr>
            <w:color w:val="0000FF"/>
            <w:u w:val="single"/>
            <w:rtl/>
          </w:rPr>
          <w:t>רע"פ 5261/18</w:t>
        </w:r>
      </w:hyperlink>
      <w:r w:rsidR="00FD77EC">
        <w:rPr>
          <w:rtl/>
        </w:rPr>
        <w:t xml:space="preserve"> </w:t>
      </w:r>
      <w:r w:rsidR="00FD77EC">
        <w:rPr>
          <w:rFonts w:ascii="Miriam" w:hAnsi="Miriam" w:cs="Miriam"/>
          <w:b/>
          <w:bCs/>
          <w:szCs w:val="22"/>
          <w:rtl/>
        </w:rPr>
        <w:t>דוידוף נ' מדינת ישראל</w:t>
      </w:r>
      <w:r w:rsidR="00FD77EC">
        <w:rPr>
          <w:rtl/>
        </w:rPr>
        <w:t xml:space="preserve"> (12.7.18), אליו הפנה ב"כ הנאשם – נדחו ערעור ובקשת רשות ערעור של מי שגידל 16 שתילי קנבוס במשקל 1.9 ק"ג והחזיק 127 גרם קנבוס. הושתו 4 חודשי מאסר מותנה ו-150 שעות של"צ. הבקשה לביטול הרשעה נדחתה, משלא הוכח נזק קונקרטי, שכן מדובר במי שעובד כתסריטאי ומוזיקאי, אשר מתעתד לעסוק בהוראה במוסד חינוכי, אולם התוכניות לא גובשו באופן קונקרטי. </w:t>
      </w:r>
    </w:p>
    <w:p w14:paraId="446D99B6" w14:textId="77777777" w:rsidR="00FD77EC" w:rsidRDefault="00FD77EC" w:rsidP="00FD77EC">
      <w:pPr>
        <w:pStyle w:val="aa"/>
        <w:rPr>
          <w:sz w:val="24"/>
        </w:rPr>
      </w:pPr>
    </w:p>
    <w:p w14:paraId="3BAEB269" w14:textId="77777777" w:rsidR="00FD77EC" w:rsidRDefault="00D91317" w:rsidP="00FD77EC">
      <w:pPr>
        <w:pStyle w:val="aa"/>
        <w:widowControl w:val="0"/>
        <w:numPr>
          <w:ilvl w:val="0"/>
          <w:numId w:val="2"/>
        </w:numPr>
        <w:spacing w:line="360" w:lineRule="auto"/>
        <w:ind w:left="794" w:hanging="397"/>
        <w:jc w:val="both"/>
        <w:rPr>
          <w:sz w:val="24"/>
          <w:rtl/>
        </w:rPr>
      </w:pPr>
      <w:hyperlink r:id="rId34" w:history="1">
        <w:r w:rsidRPr="00D91317">
          <w:rPr>
            <w:color w:val="0000FF"/>
            <w:sz w:val="24"/>
            <w:u w:val="single"/>
            <w:rtl/>
          </w:rPr>
          <w:t>רע"פ 8146/17</w:t>
        </w:r>
      </w:hyperlink>
      <w:r w:rsidR="00FD77EC">
        <w:rPr>
          <w:sz w:val="24"/>
          <w:rtl/>
        </w:rPr>
        <w:t xml:space="preserve"> </w:t>
      </w:r>
      <w:r w:rsidR="00FD77EC">
        <w:rPr>
          <w:rFonts w:ascii="Miriam" w:hAnsi="Miriam" w:cs="Miriam"/>
          <w:b/>
          <w:bCs/>
          <w:szCs w:val="22"/>
          <w:rtl/>
        </w:rPr>
        <w:t>אבישלום נ' מדינת ישראל</w:t>
      </w:r>
      <w:r w:rsidR="00FD77EC">
        <w:rPr>
          <w:sz w:val="24"/>
          <w:rtl/>
        </w:rPr>
        <w:t xml:space="preserve"> (14.11.17), אליו הפנה ב"כ המאשימה  – נדחתה בקשת רשות ערעור של מי שהורשע בגידול 17 שתילי קנבוס במשקל כ-310 גרם נטו. </w:t>
      </w:r>
      <w:r w:rsidR="00FD77EC">
        <w:rPr>
          <w:rFonts w:ascii="Arial" w:hAnsi="Arial"/>
          <w:rtl/>
        </w:rPr>
        <w:t>נקבע מתחם החל ממאסר קצר שניתן לרצותו בעבודות שירות עד 12 חודשי מאסר בפועל. מתוך התחשבות במצבו הרפואי, בכך שגידול הסם היה מיועד לשימוש עצמי, ובכך שהנאשם לא נמצא מתאים לריצוי מאסר בעבודות שירות – הושתו חודשיים מאסר בפועל לצד ענישה נלווית. בית המשפט המחוזי קבע שיש הצדקה לחרוג מהמתחם והמאסר הופחת ל-50 ימים, בניכוי ימי מעצרו.</w:t>
      </w:r>
    </w:p>
    <w:p w14:paraId="37FF3113" w14:textId="77777777" w:rsidR="00FD77EC" w:rsidRDefault="00FD77EC" w:rsidP="00FD77EC">
      <w:pPr>
        <w:pStyle w:val="aa"/>
        <w:rPr>
          <w:sz w:val="24"/>
        </w:rPr>
      </w:pPr>
    </w:p>
    <w:p w14:paraId="540A71F4" w14:textId="77777777" w:rsidR="00FD77EC" w:rsidRDefault="00D91317" w:rsidP="00FD77EC">
      <w:pPr>
        <w:pStyle w:val="aa"/>
        <w:widowControl w:val="0"/>
        <w:numPr>
          <w:ilvl w:val="0"/>
          <w:numId w:val="2"/>
        </w:numPr>
        <w:spacing w:line="360" w:lineRule="auto"/>
        <w:ind w:left="794" w:hanging="397"/>
        <w:jc w:val="both"/>
        <w:rPr>
          <w:sz w:val="24"/>
          <w:rtl/>
        </w:rPr>
      </w:pPr>
      <w:hyperlink r:id="rId35" w:history="1">
        <w:r w:rsidRPr="00D91317">
          <w:rPr>
            <w:color w:val="0000FF"/>
            <w:sz w:val="24"/>
            <w:u w:val="single"/>
            <w:rtl/>
          </w:rPr>
          <w:t>רע"פ 8237/15</w:t>
        </w:r>
      </w:hyperlink>
      <w:r w:rsidR="00FD77EC">
        <w:rPr>
          <w:sz w:val="24"/>
          <w:rtl/>
        </w:rPr>
        <w:t xml:space="preserve"> </w:t>
      </w:r>
      <w:r w:rsidR="00FD77EC">
        <w:rPr>
          <w:rFonts w:ascii="Miriam" w:hAnsi="Miriam" w:cs="Miriam"/>
          <w:b/>
          <w:bCs/>
          <w:szCs w:val="22"/>
          <w:rtl/>
        </w:rPr>
        <w:t>בן זקן נ' מדינת ישראל</w:t>
      </w:r>
      <w:r w:rsidR="00FD77EC">
        <w:rPr>
          <w:sz w:val="24"/>
          <w:rtl/>
        </w:rPr>
        <w:t xml:space="preserve"> (2.12.15), אליו הפנה ב"כ הנאשם – נדחו ערעור ובקשת רשות ערעור. נקבע מתחם הנע משל"צ וענישה צופה פני עתיד עד 24 חודשי מאסר בפועל בגין גידול 26 שתילי קנבוס במשקל 8.4 ק"ג בחורשה בעיר יבנה. על מי שלחובתו עבר פלילי, אשר עבר הליך שיקומי ושירות המבחן המליץ להימנע מהשמתו במאסר – הושתו 7 חודשי מאסר בפועל וענישה נלווית.</w:t>
      </w:r>
    </w:p>
    <w:p w14:paraId="2FC2857E" w14:textId="77777777" w:rsidR="00FD77EC" w:rsidRDefault="00FD77EC" w:rsidP="00FD77EC">
      <w:pPr>
        <w:pStyle w:val="aa"/>
        <w:rPr>
          <w:sz w:val="24"/>
        </w:rPr>
      </w:pPr>
    </w:p>
    <w:p w14:paraId="5488032C" w14:textId="77777777" w:rsidR="00FD77EC" w:rsidRDefault="00D91317" w:rsidP="00FD77EC">
      <w:pPr>
        <w:pStyle w:val="aa"/>
        <w:widowControl w:val="0"/>
        <w:numPr>
          <w:ilvl w:val="0"/>
          <w:numId w:val="2"/>
        </w:numPr>
        <w:spacing w:line="360" w:lineRule="auto"/>
        <w:ind w:left="794" w:hanging="397"/>
        <w:jc w:val="both"/>
        <w:rPr>
          <w:sz w:val="24"/>
          <w:rtl/>
        </w:rPr>
      </w:pPr>
      <w:hyperlink r:id="rId36" w:history="1">
        <w:r w:rsidRPr="00D91317">
          <w:rPr>
            <w:color w:val="0000FF"/>
            <w:sz w:val="24"/>
            <w:u w:val="single"/>
            <w:rtl/>
          </w:rPr>
          <w:t>רע"פ 314/16</w:t>
        </w:r>
      </w:hyperlink>
      <w:r w:rsidR="00FD77EC">
        <w:rPr>
          <w:sz w:val="24"/>
          <w:rtl/>
        </w:rPr>
        <w:t xml:space="preserve"> </w:t>
      </w:r>
      <w:r w:rsidR="00FD77EC">
        <w:rPr>
          <w:rFonts w:ascii="Miriam" w:hAnsi="Miriam" w:cs="Miriam"/>
          <w:b/>
          <w:bCs/>
          <w:szCs w:val="22"/>
          <w:rtl/>
        </w:rPr>
        <w:t>בן צבי נ' מדינת ישראל</w:t>
      </w:r>
      <w:r w:rsidR="00FD77EC">
        <w:rPr>
          <w:sz w:val="24"/>
          <w:rtl/>
        </w:rPr>
        <w:t xml:space="preserve"> (22.2.16), אליו הפנה ב"כ המאשימה – נדחתה בקשת רשות ערעור על </w:t>
      </w:r>
      <w:hyperlink r:id="rId37" w:history="1">
        <w:r w:rsidRPr="00D91317">
          <w:rPr>
            <w:rFonts w:ascii="Arial" w:hAnsi="Arial"/>
            <w:color w:val="0000FF"/>
            <w:u w:val="single"/>
            <w:rtl/>
          </w:rPr>
          <w:t>עפ"ג (מחוזי-ת"א) 12819-11-15</w:t>
        </w:r>
      </w:hyperlink>
      <w:r w:rsidR="00FD77EC">
        <w:rPr>
          <w:rFonts w:ascii="Arial" w:hAnsi="Arial"/>
          <w:rtl/>
        </w:rPr>
        <w:t xml:space="preserve"> </w:t>
      </w:r>
      <w:r w:rsidR="00FD77EC">
        <w:rPr>
          <w:rFonts w:ascii="Arial" w:hAnsi="Arial" w:cs="Miriam"/>
          <w:b/>
          <w:bCs/>
          <w:sz w:val="18"/>
          <w:szCs w:val="22"/>
          <w:rtl/>
        </w:rPr>
        <w:t>מדינת ישראל נ' בן צבי</w:t>
      </w:r>
      <w:r w:rsidR="00FD77EC">
        <w:rPr>
          <w:rFonts w:ascii="Arial" w:hAnsi="Arial"/>
          <w:rtl/>
        </w:rPr>
        <w:t xml:space="preserve"> (16.12.15), שגם אליו הפנה ב"כ המאשימה, במסגרתו התקבל ערעור המדינה, הושתו 10 חודשי מאסר בפועל, חלף 6 חודשי מאסר בעבודות שירות, וענישה נלווית, בגין גידול 9 שתילים במשקל 2.05 ק"ג. באשר למתחם, נקבע כי "</w:t>
      </w:r>
      <w:r w:rsidR="00FD77EC">
        <w:rPr>
          <w:rFonts w:ascii="Arial" w:hAnsi="Arial"/>
          <w:b/>
          <w:bCs/>
          <w:rtl/>
        </w:rPr>
        <w:t>המתחם הנכון</w:t>
      </w:r>
      <w:r w:rsidR="00FD77EC">
        <w:rPr>
          <w:rFonts w:ascii="Arial" w:hAnsi="Arial"/>
          <w:rtl/>
        </w:rPr>
        <w:t>,...,</w:t>
      </w:r>
      <w:r w:rsidR="00FD77EC">
        <w:rPr>
          <w:rFonts w:ascii="Arial" w:hAnsi="Arial"/>
          <w:b/>
          <w:bCs/>
          <w:rtl/>
        </w:rPr>
        <w:t xml:space="preserve"> צריך לעמוד על תקופה שתחילתה במאסר שיינשא מאחורי סורג ובריח ולא במאסר שיינשא בעבודות שירות</w:t>
      </w:r>
      <w:r w:rsidR="00FD77EC">
        <w:rPr>
          <w:rFonts w:ascii="Arial" w:hAnsi="Arial"/>
          <w:rtl/>
        </w:rPr>
        <w:t>".</w:t>
      </w:r>
    </w:p>
    <w:p w14:paraId="00EE8502" w14:textId="77777777" w:rsidR="00FD77EC" w:rsidRDefault="00FD77EC" w:rsidP="00FD77EC">
      <w:pPr>
        <w:pStyle w:val="aa"/>
        <w:rPr>
          <w:sz w:val="24"/>
        </w:rPr>
      </w:pPr>
    </w:p>
    <w:p w14:paraId="59713EEB" w14:textId="77777777" w:rsidR="00FD77EC" w:rsidRDefault="00D91317" w:rsidP="00FD77EC">
      <w:pPr>
        <w:pStyle w:val="aa"/>
        <w:widowControl w:val="0"/>
        <w:numPr>
          <w:ilvl w:val="0"/>
          <w:numId w:val="2"/>
        </w:numPr>
        <w:spacing w:line="360" w:lineRule="auto"/>
        <w:ind w:left="794" w:hanging="397"/>
        <w:jc w:val="both"/>
        <w:rPr>
          <w:sz w:val="24"/>
          <w:rtl/>
        </w:rPr>
      </w:pPr>
      <w:hyperlink r:id="rId38" w:history="1">
        <w:r w:rsidRPr="00D91317">
          <w:rPr>
            <w:color w:val="0000FF"/>
            <w:sz w:val="24"/>
            <w:u w:val="single"/>
            <w:rtl/>
          </w:rPr>
          <w:t>רע"פ 1787/15</w:t>
        </w:r>
      </w:hyperlink>
      <w:r w:rsidR="00FD77EC">
        <w:rPr>
          <w:sz w:val="24"/>
          <w:rtl/>
        </w:rPr>
        <w:t xml:space="preserve"> </w:t>
      </w:r>
      <w:r w:rsidR="00FD77EC">
        <w:rPr>
          <w:rFonts w:ascii="Miriam" w:hAnsi="Miriam" w:cs="Miriam"/>
          <w:b/>
          <w:bCs/>
          <w:szCs w:val="22"/>
          <w:rtl/>
        </w:rPr>
        <w:t>עמר נ' מדינת ישראל</w:t>
      </w:r>
      <w:r w:rsidR="00FD77EC">
        <w:rPr>
          <w:sz w:val="24"/>
          <w:rtl/>
        </w:rPr>
        <w:t xml:space="preserve"> (24.3.15), אליו הפנו שני ב"כ הצדדים – נדחו ערעור ובקשת רשות ערעור. בגין גידול 9 שתילי קנבוס, במשקל 4.38 ק"ג והחזקת כלים ששימשו לגידול – נקבע מתחם 8–20 חודשי מאסר לריצוי בפועל. הושתו 8 חודשי מאסר לריצוי בפועל בניכוי ימי מעצרו, מאסרים מותנים, 3,000 ₪ קנס, שנת פסילה מותנית וחילוט רכוש וכסף מזומן, חרף המלצת שירות המבחן להימנע מהשתת מאסר בפועל. </w:t>
      </w:r>
    </w:p>
    <w:p w14:paraId="6887A91E" w14:textId="77777777" w:rsidR="00FD77EC" w:rsidRDefault="00FD77EC" w:rsidP="00FD77EC">
      <w:pPr>
        <w:pStyle w:val="aa"/>
        <w:rPr>
          <w:sz w:val="24"/>
        </w:rPr>
      </w:pPr>
    </w:p>
    <w:p w14:paraId="376FD0D8" w14:textId="77777777" w:rsidR="00FD77EC" w:rsidRDefault="00D91317" w:rsidP="00FD77EC">
      <w:pPr>
        <w:pStyle w:val="aa"/>
        <w:widowControl w:val="0"/>
        <w:numPr>
          <w:ilvl w:val="0"/>
          <w:numId w:val="2"/>
        </w:numPr>
        <w:spacing w:line="360" w:lineRule="auto"/>
        <w:ind w:left="794" w:hanging="397"/>
        <w:jc w:val="both"/>
        <w:rPr>
          <w:sz w:val="24"/>
          <w:rtl/>
        </w:rPr>
      </w:pPr>
      <w:hyperlink r:id="rId39" w:history="1">
        <w:r w:rsidRPr="00D91317">
          <w:rPr>
            <w:color w:val="0000FF"/>
            <w:sz w:val="24"/>
            <w:u w:val="single"/>
            <w:rtl/>
          </w:rPr>
          <w:t>ת"פ (מחוזי-נצרת) 32879-04-21</w:t>
        </w:r>
      </w:hyperlink>
      <w:r w:rsidR="00FD77EC">
        <w:rPr>
          <w:sz w:val="24"/>
          <w:rtl/>
        </w:rPr>
        <w:t xml:space="preserve"> </w:t>
      </w:r>
      <w:r w:rsidR="00FD77EC">
        <w:rPr>
          <w:rFonts w:ascii="Miriam" w:hAnsi="Miriam" w:cs="Miriam"/>
          <w:b/>
          <w:bCs/>
          <w:szCs w:val="22"/>
          <w:rtl/>
        </w:rPr>
        <w:t>מדינת ישראל נ' מוסאלי</w:t>
      </w:r>
      <w:r w:rsidR="00FD77EC">
        <w:rPr>
          <w:sz w:val="24"/>
          <w:rtl/>
        </w:rPr>
        <w:t xml:space="preserve"> (2.11.23), אליו הפנה ב"כ הנאשם – בגין הקמת מעבדה לגידול קנבוס בבית ששכר לצורך כך, בה גידל 280 שתילי קנבוס, במשקל 85 ק"ג והתחבר לרשת החשמל באופן בלתי חוקי, נקב מתחם 22 – 48 חודשי מאסר בפועל לצד ענישה נלווית. נוכח הליך טיפול ממושך נקבע כי יש לחרוג מהמתחם והושתו 9 חודשי מאסר לריצוי בעבודות שרות, מאסרים מותנים, 24 חודשי מבחן, קנס וחילוט כל הציוד שנתפס בדירה. </w:t>
      </w:r>
    </w:p>
    <w:p w14:paraId="57ABCC5A" w14:textId="77777777" w:rsidR="00FD77EC" w:rsidRDefault="00FD77EC" w:rsidP="00FD77EC">
      <w:pPr>
        <w:pStyle w:val="aa"/>
        <w:rPr>
          <w:sz w:val="24"/>
        </w:rPr>
      </w:pPr>
    </w:p>
    <w:p w14:paraId="74CB8962" w14:textId="77777777" w:rsidR="00FD77EC" w:rsidRDefault="00D91317" w:rsidP="00FD77EC">
      <w:pPr>
        <w:pStyle w:val="aa"/>
        <w:widowControl w:val="0"/>
        <w:numPr>
          <w:ilvl w:val="0"/>
          <w:numId w:val="2"/>
        </w:numPr>
        <w:spacing w:line="360" w:lineRule="auto"/>
        <w:ind w:left="794" w:hanging="397"/>
        <w:jc w:val="both"/>
        <w:rPr>
          <w:sz w:val="24"/>
          <w:rtl/>
        </w:rPr>
      </w:pPr>
      <w:hyperlink r:id="rId40" w:history="1">
        <w:r w:rsidRPr="00D91317">
          <w:rPr>
            <w:color w:val="0000FF"/>
            <w:sz w:val="24"/>
            <w:u w:val="single"/>
            <w:rtl/>
          </w:rPr>
          <w:t>עפ"ג (מחוזי-ב"ש) 22218-07-22</w:t>
        </w:r>
      </w:hyperlink>
      <w:r w:rsidR="00FD77EC">
        <w:rPr>
          <w:sz w:val="24"/>
          <w:rtl/>
        </w:rPr>
        <w:t xml:space="preserve"> </w:t>
      </w:r>
      <w:r w:rsidR="00FD77EC">
        <w:rPr>
          <w:rFonts w:ascii="Miriam" w:hAnsi="Miriam" w:cs="Miriam"/>
          <w:b/>
          <w:bCs/>
          <w:szCs w:val="22"/>
          <w:rtl/>
        </w:rPr>
        <w:t>אבו כף נ' מדינת ישראל</w:t>
      </w:r>
      <w:r w:rsidR="00FD77EC">
        <w:rPr>
          <w:sz w:val="24"/>
          <w:rtl/>
        </w:rPr>
        <w:t xml:space="preserve"> (23.11.22) – התקבל ערעור על גזר הדין ב-</w:t>
      </w:r>
      <w:hyperlink r:id="rId41" w:history="1">
        <w:r w:rsidRPr="00D91317">
          <w:rPr>
            <w:color w:val="0000FF"/>
            <w:sz w:val="24"/>
            <w:u w:val="single"/>
            <w:rtl/>
          </w:rPr>
          <w:t>ת"פ 1950-05-20</w:t>
        </w:r>
      </w:hyperlink>
      <w:r w:rsidR="00FD77EC">
        <w:rPr>
          <w:sz w:val="24"/>
          <w:rtl/>
        </w:rPr>
        <w:t xml:space="preserve"> </w:t>
      </w:r>
      <w:r w:rsidR="00FD77EC">
        <w:rPr>
          <w:rFonts w:ascii="Miriam" w:hAnsi="Miriam" w:cs="Miriam"/>
          <w:b/>
          <w:bCs/>
          <w:szCs w:val="22"/>
          <w:rtl/>
        </w:rPr>
        <w:t>מדינת ישראל נ' אבו כף</w:t>
      </w:r>
      <w:r w:rsidR="00FD77EC">
        <w:rPr>
          <w:sz w:val="24"/>
          <w:rtl/>
        </w:rPr>
        <w:t xml:space="preserve"> (7.6.22), אליו הפנה ב"כ המאשימה. בגין הרשעתו בגידול 580 שתילים במשקל 2.5 ק"ג נקבע מתחם 12–36 חודשי מאסר והושתו 13 חודשי מאסר בפועל, לצד ענישה נלווית. בקבלו ערעור הנאשם, הפחית בית המשפט המחוזי עונשו ל-12 חודשי מאסר בפועל ורכיב הפסילה בפועל הומר לפסילה מותנית.</w:t>
      </w:r>
    </w:p>
    <w:p w14:paraId="3F627BFF" w14:textId="77777777" w:rsidR="00FD77EC" w:rsidRDefault="00FD77EC" w:rsidP="00FD77EC">
      <w:pPr>
        <w:pStyle w:val="aa"/>
        <w:rPr>
          <w:sz w:val="24"/>
        </w:rPr>
      </w:pPr>
    </w:p>
    <w:p w14:paraId="403BC82B" w14:textId="77777777" w:rsidR="00FD77EC" w:rsidRDefault="00D91317" w:rsidP="00FD77EC">
      <w:pPr>
        <w:pStyle w:val="aa"/>
        <w:widowControl w:val="0"/>
        <w:numPr>
          <w:ilvl w:val="0"/>
          <w:numId w:val="2"/>
        </w:numPr>
        <w:spacing w:line="360" w:lineRule="auto"/>
        <w:ind w:left="794" w:hanging="397"/>
        <w:jc w:val="both"/>
        <w:rPr>
          <w:sz w:val="24"/>
          <w:rtl/>
        </w:rPr>
      </w:pPr>
      <w:hyperlink r:id="rId42" w:history="1">
        <w:r w:rsidRPr="00D91317">
          <w:rPr>
            <w:color w:val="0000FF"/>
            <w:sz w:val="24"/>
            <w:u w:val="single"/>
            <w:rtl/>
          </w:rPr>
          <w:t>עפ"ג (מחוזי-ב"ש) 54998-03-21</w:t>
        </w:r>
      </w:hyperlink>
      <w:r w:rsidR="00FD77EC">
        <w:rPr>
          <w:sz w:val="24"/>
          <w:rtl/>
        </w:rPr>
        <w:t xml:space="preserve"> </w:t>
      </w:r>
      <w:r w:rsidR="00FD77EC">
        <w:rPr>
          <w:rFonts w:ascii="Miriam" w:hAnsi="Miriam" w:cs="Miriam"/>
          <w:b/>
          <w:bCs/>
          <w:szCs w:val="22"/>
          <w:rtl/>
        </w:rPr>
        <w:t>טלקר נ' מדינת ישראל</w:t>
      </w:r>
      <w:r w:rsidR="00FD77EC">
        <w:rPr>
          <w:sz w:val="24"/>
          <w:rtl/>
        </w:rPr>
        <w:t xml:space="preserve"> (26.5.21), אליו הפנה ב"כ הנאשם – התקבל ערעור הנאשם. בגין הרשעתו בגידול 950 גרם קנבוס נקבע מתחם 8–9 חודשי מאסר. הערעור התקבל והמאסר הופחת מ-9 ל-4 חודשי מאסר לריצוי בעבודות שירות וענישה נלווית, בהסכמת המדינה. בהסכמת המדינה בוטלה הרשעת נאשם 2, צעיר כבן 26, נעדר עבר, בתחילת דרכו המקצועית.</w:t>
      </w:r>
    </w:p>
    <w:p w14:paraId="507AEDFD" w14:textId="77777777" w:rsidR="00FD77EC" w:rsidRDefault="00FD77EC" w:rsidP="00FD77EC">
      <w:pPr>
        <w:pStyle w:val="aa"/>
        <w:rPr>
          <w:sz w:val="24"/>
        </w:rPr>
      </w:pPr>
    </w:p>
    <w:p w14:paraId="1708F0FC" w14:textId="77777777" w:rsidR="00FD77EC" w:rsidRDefault="00D91317" w:rsidP="00FD77EC">
      <w:pPr>
        <w:pStyle w:val="aa"/>
        <w:widowControl w:val="0"/>
        <w:numPr>
          <w:ilvl w:val="0"/>
          <w:numId w:val="2"/>
        </w:numPr>
        <w:spacing w:line="360" w:lineRule="auto"/>
        <w:ind w:left="794" w:hanging="397"/>
        <w:jc w:val="both"/>
        <w:rPr>
          <w:sz w:val="24"/>
          <w:rtl/>
        </w:rPr>
      </w:pPr>
      <w:hyperlink r:id="rId43" w:history="1">
        <w:r w:rsidRPr="00D91317">
          <w:rPr>
            <w:color w:val="0000FF"/>
            <w:sz w:val="24"/>
            <w:u w:val="single"/>
            <w:rtl/>
          </w:rPr>
          <w:t>עפ"ג (מחוזי-ב"ש) 40826-12-18</w:t>
        </w:r>
      </w:hyperlink>
      <w:r w:rsidR="00FD77EC">
        <w:rPr>
          <w:sz w:val="24"/>
          <w:rtl/>
        </w:rPr>
        <w:t xml:space="preserve"> </w:t>
      </w:r>
      <w:r w:rsidR="00FD77EC">
        <w:rPr>
          <w:rFonts w:ascii="Miriam" w:hAnsi="Miriam" w:cs="Miriam"/>
          <w:b/>
          <w:bCs/>
          <w:szCs w:val="22"/>
          <w:rtl/>
        </w:rPr>
        <w:t>זני נ' מדינת ישראל</w:t>
      </w:r>
      <w:r w:rsidR="00FD77EC">
        <w:rPr>
          <w:sz w:val="24"/>
          <w:rtl/>
        </w:rPr>
        <w:t xml:space="preserve"> (23.1.19), אליו הפנה ב"כ הנאשם – בגין הרשעתו בגידול 4 ק"ג קנבוס והחזקת 300 גרם קנבוס, שלא לצריכתו העצמית. נקבע מתחם 8–18 חודשי מאסר בפועל. נוכח הליך השיקום שעבר הופחת עונשו מ-6 ל-4 חודשי מאסר לריצוי בעבודות שירות, בצירוף ענישה נלווית. </w:t>
      </w:r>
    </w:p>
    <w:p w14:paraId="4D11A081" w14:textId="77777777" w:rsidR="00FD77EC" w:rsidRDefault="00FD77EC" w:rsidP="00FD77EC">
      <w:pPr>
        <w:pStyle w:val="aa"/>
        <w:rPr>
          <w:szCs w:val="20"/>
        </w:rPr>
      </w:pPr>
    </w:p>
    <w:p w14:paraId="38474E1B" w14:textId="77777777" w:rsidR="00FD77EC" w:rsidRDefault="00D91317" w:rsidP="00FD77EC">
      <w:pPr>
        <w:pStyle w:val="gmail-msonospacing"/>
        <w:numPr>
          <w:ilvl w:val="0"/>
          <w:numId w:val="2"/>
        </w:numPr>
        <w:bidi/>
        <w:spacing w:before="0" w:beforeAutospacing="0" w:after="0" w:afterAutospacing="0" w:line="360" w:lineRule="auto"/>
        <w:ind w:left="841"/>
        <w:jc w:val="both"/>
        <w:rPr>
          <w:rtl/>
        </w:rPr>
      </w:pPr>
      <w:hyperlink r:id="rId44" w:history="1">
        <w:r w:rsidRPr="00D91317">
          <w:rPr>
            <w:rFonts w:ascii="David" w:hAnsi="David" w:cs="David"/>
            <w:color w:val="0000FF"/>
            <w:u w:val="single"/>
            <w:rtl/>
          </w:rPr>
          <w:t>עפ"ג (מחוזי-ב"ש) 27326-12-21</w:t>
        </w:r>
      </w:hyperlink>
      <w:r w:rsidR="00FD77EC">
        <w:rPr>
          <w:rFonts w:ascii="David" w:hAnsi="David" w:cs="David"/>
          <w:rtl/>
        </w:rPr>
        <w:t xml:space="preserve"> </w:t>
      </w:r>
      <w:r w:rsidR="00FD77EC">
        <w:rPr>
          <w:rFonts w:ascii="Miriam" w:hAnsi="Miriam" w:cs="Miriam"/>
          <w:b/>
          <w:bCs/>
          <w:sz w:val="22"/>
          <w:szCs w:val="22"/>
          <w:rtl/>
        </w:rPr>
        <w:t>קיזר נ' מדינת ישראל</w:t>
      </w:r>
      <w:r w:rsidR="00FD77EC">
        <w:rPr>
          <w:rFonts w:ascii="David" w:hAnsi="David" w:cs="David"/>
          <w:rtl/>
        </w:rPr>
        <w:t xml:space="preserve"> (9.3.22) (להלן: עניין </w:t>
      </w:r>
      <w:r w:rsidR="00FD77EC">
        <w:rPr>
          <w:rFonts w:ascii="David" w:hAnsi="David" w:cs="David"/>
          <w:b/>
          <w:bCs/>
          <w:rtl/>
        </w:rPr>
        <w:t>קיזר</w:t>
      </w:r>
      <w:r w:rsidR="00FD77EC">
        <w:rPr>
          <w:rFonts w:ascii="David" w:hAnsi="David" w:cs="David"/>
          <w:rtl/>
        </w:rPr>
        <w:t>), אליו הפנה ב"כ הנאשם – בית המשפט המחוזי בבאר שבע ביטל הרשעה במסירת ידיעה כוזבת על עבירה מסוג פשע. המערער הודה בכך שהשאיר משאיתו במקום ממנו נלקחה זמן קצר לאחר מכן על ידי אחר, בתיאום עמו ובהמשך מסר תלונה במשטרה, כי החנה את המשאית במקום בשל תקלה בבלמים וגילה שנגנבה, ביודעו שהתלונה כוזבת. הגם ש</w:t>
      </w:r>
      <w:r w:rsidR="00FD77EC">
        <w:rPr>
          <w:rFonts w:ascii="Miriam" w:hAnsi="Miriam" w:cs="Miriam"/>
          <w:b/>
          <w:bCs/>
          <w:sz w:val="22"/>
          <w:szCs w:val="22"/>
          <w:rtl/>
        </w:rPr>
        <w:t>פס"ד קיזר</w:t>
      </w:r>
      <w:r w:rsidR="00FD77EC">
        <w:rPr>
          <w:rFonts w:ascii="David" w:hAnsi="David" w:cs="David"/>
          <w:rtl/>
        </w:rPr>
        <w:t xml:space="preserve"> עסק בעבירה שונה מזו שלפניי, קביעות בית המשפט המחוזי בנוגע ל"</w:t>
      </w:r>
      <w:r w:rsidR="00FD77EC">
        <w:rPr>
          <w:rFonts w:ascii="David" w:hAnsi="David" w:cs="David"/>
          <w:b/>
          <w:bCs/>
          <w:rtl/>
        </w:rPr>
        <w:t>מקבילית הכוחות</w:t>
      </w:r>
      <w:r w:rsidR="00FD77EC">
        <w:rPr>
          <w:rFonts w:ascii="David" w:hAnsi="David" w:cs="David"/>
          <w:rtl/>
        </w:rPr>
        <w:t>" בין שני התנאים שנקבעו ב-</w:t>
      </w:r>
      <w:r w:rsidR="00FD77EC">
        <w:rPr>
          <w:rFonts w:ascii="Miriam" w:hAnsi="Miriam" w:cs="Miriam"/>
          <w:b/>
          <w:bCs/>
          <w:sz w:val="22"/>
          <w:szCs w:val="22"/>
          <w:rtl/>
        </w:rPr>
        <w:t>הלכת כתב</w:t>
      </w:r>
      <w:r w:rsidR="00FD77EC">
        <w:rPr>
          <w:rFonts w:ascii="David" w:hAnsi="David" w:cs="David"/>
          <w:rtl/>
        </w:rPr>
        <w:t>, רלוונטיות לענייננו, כפי שיבואר להלן.</w:t>
      </w:r>
    </w:p>
    <w:p w14:paraId="228C2219" w14:textId="77777777" w:rsidR="00FD77EC" w:rsidRDefault="00FD77EC" w:rsidP="00FD77EC">
      <w:pPr>
        <w:pStyle w:val="aa"/>
        <w:rPr>
          <w:rtl/>
        </w:rPr>
      </w:pPr>
    </w:p>
    <w:p w14:paraId="7504ED13" w14:textId="77777777" w:rsidR="00FD77EC" w:rsidRDefault="00D91317" w:rsidP="00FD77EC">
      <w:pPr>
        <w:pStyle w:val="gmail-msonospacing"/>
        <w:numPr>
          <w:ilvl w:val="0"/>
          <w:numId w:val="2"/>
        </w:numPr>
        <w:bidi/>
        <w:spacing w:before="0" w:beforeAutospacing="0" w:after="0" w:afterAutospacing="0" w:line="360" w:lineRule="auto"/>
        <w:ind w:left="841"/>
        <w:jc w:val="both"/>
        <w:rPr>
          <w:rFonts w:ascii="David" w:hAnsi="David"/>
          <w:sz w:val="22"/>
          <w:szCs w:val="22"/>
        </w:rPr>
      </w:pPr>
      <w:hyperlink r:id="rId45" w:history="1">
        <w:r w:rsidRPr="00D91317">
          <w:rPr>
            <w:rFonts w:ascii="David" w:hAnsi="David" w:cs="David"/>
            <w:color w:val="0000FF"/>
            <w:u w:val="single"/>
            <w:rtl/>
          </w:rPr>
          <w:t>עפ"ג (מחוזי-ב"ש) 66903-07-20</w:t>
        </w:r>
      </w:hyperlink>
      <w:r w:rsidR="00FD77EC">
        <w:rPr>
          <w:rFonts w:ascii="David" w:hAnsi="David" w:cs="David"/>
          <w:rtl/>
        </w:rPr>
        <w:t xml:space="preserve"> </w:t>
      </w:r>
      <w:r w:rsidR="00FD77EC">
        <w:rPr>
          <w:rFonts w:ascii="Miriam" w:hAnsi="Miriam" w:cs="Miriam"/>
          <w:b/>
          <w:bCs/>
          <w:sz w:val="22"/>
          <w:szCs w:val="22"/>
          <w:rtl/>
        </w:rPr>
        <w:t>אבו מדיעם נ' מדינת ישראל</w:t>
      </w:r>
      <w:r w:rsidR="00FD77EC">
        <w:rPr>
          <w:rFonts w:ascii="David" w:hAnsi="David" w:cs="David"/>
          <w:rtl/>
        </w:rPr>
        <w:t xml:space="preserve"> (30.12.20) (להלן: עניין </w:t>
      </w:r>
      <w:r w:rsidR="00FD77EC">
        <w:rPr>
          <w:rFonts w:ascii="David" w:hAnsi="David" w:cs="David"/>
          <w:b/>
          <w:bCs/>
          <w:rtl/>
        </w:rPr>
        <w:t>אבו מדיעם</w:t>
      </w:r>
      <w:r w:rsidR="00FD77EC">
        <w:rPr>
          <w:rFonts w:ascii="David" w:hAnsi="David" w:cs="David"/>
          <w:rtl/>
        </w:rPr>
        <w:t xml:space="preserve">), אליו הפנה ב"כ הנאשם – בוטלה הרשעה והושתו 10,000 ₪ התחייבות, 140 שעות של"ץ, 2,000 ₪ פיצוי ו-12 חודשי מבחן על מי שיחד עם שניים אחרים ביצע </w:t>
      </w:r>
      <w:r w:rsidR="00FD77EC">
        <w:rPr>
          <w:rFonts w:ascii="David" w:hAnsi="David" w:cs="David"/>
          <w:u w:val="single"/>
          <w:rtl/>
        </w:rPr>
        <w:t>תקיפה הגורמת חבלה ממשית</w:t>
      </w:r>
      <w:r w:rsidR="00FD77EC">
        <w:rPr>
          <w:rFonts w:ascii="David" w:hAnsi="David" w:cs="David"/>
          <w:rtl/>
        </w:rPr>
        <w:t xml:space="preserve">, שכללה המטומה בקרקפת, פצעים שטחיים, נפיחות בלסת ורגישות מעל הכתף. בעקבות דין ודברים בין המתלונן לאחיו של המערער (להלן: </w:t>
      </w:r>
      <w:r w:rsidR="00FD77EC">
        <w:rPr>
          <w:rFonts w:ascii="David" w:hAnsi="David" w:cs="David"/>
          <w:b/>
          <w:bCs/>
          <w:rtl/>
        </w:rPr>
        <w:t>האח</w:t>
      </w:r>
      <w:r w:rsidR="00FD77EC">
        <w:rPr>
          <w:rFonts w:ascii="David" w:hAnsi="David" w:cs="David"/>
          <w:rtl/>
        </w:rPr>
        <w:t xml:space="preserve">), דחף האח את המתלונן, המערער תפס את המתלונן וחנק אותו. האח בעט במתלונן והתוקף השלישי היכה בגבו של המתלונן מכת אגרוף. המערער, בן 26, נעדר עבר פלילי, נשוי בשנית. חש צורך להגן על אחיו. בדיעבד הבין, כי ראוי היה להפריד בין הניצים ולא לנהוג באלימות. שירות המבחן התרשם כי למערער מערכת ערכים נורמטיבית ותפקד באופן תקין במישורי חייו השונים. סיים לימודי רפואה ועתיד לגשת למבחן הרישוי ברפואה. חלפו כ-4 שנים מהאירוע. </w:t>
      </w:r>
    </w:p>
    <w:p w14:paraId="5907E37E" w14:textId="77777777" w:rsidR="00FD77EC" w:rsidRDefault="00FD77EC" w:rsidP="00FD77EC">
      <w:pPr>
        <w:pStyle w:val="aa"/>
        <w:rPr>
          <w:szCs w:val="22"/>
        </w:rPr>
      </w:pPr>
    </w:p>
    <w:p w14:paraId="1EAF40B4" w14:textId="77777777" w:rsidR="00FD77EC" w:rsidRDefault="00D91317" w:rsidP="00FD77EC">
      <w:pPr>
        <w:pStyle w:val="gmail-msonospacing"/>
        <w:numPr>
          <w:ilvl w:val="0"/>
          <w:numId w:val="2"/>
        </w:numPr>
        <w:bidi/>
        <w:spacing w:before="0" w:beforeAutospacing="0" w:after="0" w:afterAutospacing="0" w:line="360" w:lineRule="auto"/>
        <w:ind w:left="841"/>
        <w:jc w:val="both"/>
        <w:rPr>
          <w:rFonts w:cs="David"/>
          <w:rtl/>
        </w:rPr>
      </w:pPr>
      <w:hyperlink r:id="rId46" w:history="1">
        <w:r w:rsidRPr="00D91317">
          <w:rPr>
            <w:rFonts w:eastAsia="Times New Roman" w:cs="David"/>
            <w:color w:val="0000FF"/>
            <w:u w:val="single"/>
            <w:rtl/>
          </w:rPr>
          <w:t>עפ"ג (מחוזי-י-ם) 67452-12-18</w:t>
        </w:r>
      </w:hyperlink>
      <w:r w:rsidR="00FD77EC">
        <w:rPr>
          <w:rFonts w:eastAsia="Times New Roman" w:cs="David"/>
          <w:rtl/>
        </w:rPr>
        <w:t xml:space="preserve"> </w:t>
      </w:r>
      <w:r w:rsidR="00FD77EC">
        <w:rPr>
          <w:rFonts w:ascii="Miriam" w:eastAsia="Times New Roman" w:hAnsi="Miriam" w:cs="Miriam"/>
          <w:b/>
          <w:bCs/>
          <w:szCs w:val="22"/>
          <w:rtl/>
        </w:rPr>
        <w:t xml:space="preserve">מדינת ישראל נ' בוזגלו </w:t>
      </w:r>
      <w:r w:rsidR="00FD77EC">
        <w:rPr>
          <w:rFonts w:eastAsia="Times New Roman" w:cs="David"/>
          <w:rtl/>
        </w:rPr>
        <w:t xml:space="preserve">(7.4.19) – נדחה ערעור על ביטול הרשעה בהספקת סם, סחר וסיוע לסחר בכמויות של 0.5835, 10.26 ו-9.33 גרם </w:t>
      </w:r>
      <w:r w:rsidR="00FD77EC">
        <w:rPr>
          <w:rFonts w:ascii="David" w:eastAsia="Times New Roman" w:hAnsi="David" w:cs="David"/>
          <w:sz w:val="20"/>
          <w:szCs w:val="16"/>
        </w:rPr>
        <w:t>MDMA</w:t>
      </w:r>
      <w:r w:rsidR="00FD77EC">
        <w:rPr>
          <w:rFonts w:eastAsia="Times New Roman" w:cs="David"/>
          <w:rtl/>
        </w:rPr>
        <w:t xml:space="preserve"> </w:t>
      </w:r>
      <w:r w:rsidR="00FD77EC">
        <w:rPr>
          <w:rFonts w:eastAsia="Times New Roman" w:cs="David" w:hint="cs"/>
          <w:rtl/>
        </w:rPr>
        <w:t>והחזקת סם לשימוש עצמי. נקבע כי "</w:t>
      </w:r>
      <w:r w:rsidR="00FD77EC">
        <w:rPr>
          <w:rFonts w:eastAsia="Times New Roman" w:cs="David" w:hint="cs"/>
          <w:b/>
          <w:bCs/>
          <w:rtl/>
        </w:rPr>
        <w:t>סקירת פסקי הדין בסוגיית אי ההרשעה מוליכה למסקנה כי קיימת קשת רחבה מאוד של אירועים חמורים שהסתיימו ללא הרשעה וקשת דומה של מעשים חמורים פחות שהסתיימו בהרשעה. בסופו של דבר, המבחן הנו פרסונאלי ולגופו של עניין</w:t>
      </w:r>
      <w:r w:rsidR="00FD77EC">
        <w:rPr>
          <w:rFonts w:eastAsia="Times New Roman" w:cs="David" w:hint="cs"/>
          <w:rtl/>
        </w:rPr>
        <w:t>". ובמקרה זה העדיפו בתי המשפט שיקול שיקום המשיב, צעיר כבן 21, שנסיבות חייו הביאו להתמכרות לסמים מגיל צעיר, אשר עבר הליך שיקום וטיפול, שינה אורחותיו, התנדב באגודה למלחמה בסרטן, למד לימודי שיווק נדל"ן ותיווך בנדל"ן</w:t>
      </w:r>
      <w:r w:rsidR="00FD77EC">
        <w:rPr>
          <w:rFonts w:ascii="David" w:hAnsi="David" w:cs="David"/>
          <w:rtl/>
        </w:rPr>
        <w:t>.</w:t>
      </w:r>
    </w:p>
    <w:p w14:paraId="4451EA65" w14:textId="77777777" w:rsidR="00FD77EC" w:rsidRDefault="00FD77EC" w:rsidP="00FD77EC">
      <w:pPr>
        <w:pStyle w:val="aa"/>
        <w:rPr>
          <w:szCs w:val="22"/>
        </w:rPr>
      </w:pPr>
    </w:p>
    <w:p w14:paraId="1599F697" w14:textId="77777777" w:rsidR="00FD77EC" w:rsidRDefault="00D91317" w:rsidP="00FD77EC">
      <w:pPr>
        <w:pStyle w:val="gmail-msonospacing"/>
        <w:widowControl w:val="0"/>
        <w:numPr>
          <w:ilvl w:val="0"/>
          <w:numId w:val="2"/>
        </w:numPr>
        <w:bidi/>
        <w:spacing w:before="0" w:beforeAutospacing="0" w:after="0" w:afterAutospacing="0" w:line="360" w:lineRule="auto"/>
        <w:ind w:left="841"/>
        <w:jc w:val="both"/>
        <w:rPr>
          <w:rFonts w:ascii="David" w:hAnsi="David" w:cs="David"/>
          <w:rtl/>
        </w:rPr>
      </w:pPr>
      <w:hyperlink r:id="rId47" w:history="1">
        <w:r w:rsidRPr="00D91317">
          <w:rPr>
            <w:rFonts w:eastAsia="Times New Roman" w:cs="David"/>
            <w:color w:val="0000FF"/>
            <w:u w:val="single"/>
            <w:rtl/>
          </w:rPr>
          <w:t>עפ"ג (מחוזי-חי') 28110-10-15</w:t>
        </w:r>
      </w:hyperlink>
      <w:r w:rsidR="00FD77EC">
        <w:rPr>
          <w:rFonts w:eastAsia="Times New Roman" w:cs="David"/>
          <w:rtl/>
        </w:rPr>
        <w:t xml:space="preserve"> </w:t>
      </w:r>
      <w:r w:rsidR="00FD77EC">
        <w:rPr>
          <w:rFonts w:ascii="Miriam" w:eastAsia="Times New Roman" w:hAnsi="Miriam" w:cs="Miriam"/>
          <w:b/>
          <w:bCs/>
          <w:szCs w:val="22"/>
          <w:rtl/>
        </w:rPr>
        <w:t>מדינת ישראל נ' דוד</w:t>
      </w:r>
      <w:r w:rsidR="00FD77EC">
        <w:rPr>
          <w:rFonts w:eastAsia="Times New Roman" w:cs="David"/>
          <w:rtl/>
        </w:rPr>
        <w:t xml:space="preserve"> (17.12.15) (להלן: </w:t>
      </w:r>
      <w:r w:rsidR="00FD77EC">
        <w:rPr>
          <w:rFonts w:ascii="Miriam" w:eastAsia="Times New Roman" w:hAnsi="Miriam" w:cs="Miriam"/>
          <w:b/>
          <w:bCs/>
          <w:szCs w:val="22"/>
          <w:rtl/>
        </w:rPr>
        <w:t>ענין דוד</w:t>
      </w:r>
      <w:r w:rsidR="00FD77EC">
        <w:rPr>
          <w:rFonts w:eastAsia="Times New Roman" w:cs="David"/>
          <w:rtl/>
        </w:rPr>
        <w:t xml:space="preserve">), אליו הפנה ב"כ הנאשם – נדחה ערעור גזר הדין במסגרתו בוטלה הרשעה בגידול בצוותא של 21 שתילי קנבוס במשקל כ-3.6 ק"ג, אשר גודלו בתוך עציצים וכדים במעבדה. </w:t>
      </w:r>
      <w:r w:rsidR="00FD77EC">
        <w:rPr>
          <w:rFonts w:ascii="David" w:hAnsi="David" w:cs="David"/>
          <w:rtl/>
        </w:rPr>
        <w:t>המעבדה הכילה 3 חדרונים מאולתרים ובה ציוד שכלל: מאווררים, תאורה מיוחדת, צינורות השקייה, גופי חימום, מד חום, חומרים לעידוד גדילה, שנאי חשמל, מצננים ורשת לייבוש העלים. בסעיף 19 לפסק דינה, קבעה כב' הש' בטינה טאובר, כי הגם שעל פי ההלכה "</w:t>
      </w:r>
      <w:r w:rsidR="00FD77EC">
        <w:rPr>
          <w:rFonts w:ascii="David" w:hAnsi="David" w:cs="David"/>
          <w:b/>
          <w:bCs/>
          <w:rtl/>
        </w:rPr>
        <w:t>המלצת שירות המבחן הינה בבחינת המלצה בלבד</w:t>
      </w:r>
      <w:r w:rsidR="00FD77EC">
        <w:rPr>
          <w:rFonts w:ascii="David" w:hAnsi="David" w:cs="David"/>
          <w:rtl/>
        </w:rPr>
        <w:t>", אין לאיינו כליל, שכן "</w:t>
      </w:r>
      <w:r w:rsidR="00FD77EC">
        <w:rPr>
          <w:rFonts w:ascii="David" w:hAnsi="David" w:cs="David"/>
          <w:b/>
          <w:bCs/>
          <w:rtl/>
        </w:rPr>
        <w:t>תסקיר שירות המבחן הוא כלי חשוב, באמצעותו ניתן לרדת לעומקן של נסיבותיו האישיות של הנאשם ולעמוד על הגורמים, שהביאו להידרדרותו לביצוע העבירות, כמו גם לבחינה מעמיקה ומקצועית של סיכויי השיקום ודרכי השיקום. מכאן עולה, כי בנסיבות המתאימות נכון לתת להמלצות שירות המבחן משקל משמעותי ולעתים אף לאמצם</w:t>
      </w:r>
      <w:r w:rsidR="00FD77EC">
        <w:rPr>
          <w:rFonts w:ascii="David" w:hAnsi="David" w:cs="David"/>
          <w:rtl/>
        </w:rPr>
        <w:t>". חרף חומרת העבירה הוחלט פה אחד להותיר את פסק דינו של בית משפט השלום, תוך העלאת גובה הפיצוי והארכת משך תקופת המבחן, נוכח נסיבותיו האישיות של המשיב והירתמותו להליך הטיפולי</w:t>
      </w:r>
      <w:r w:rsidR="00FD77EC">
        <w:rPr>
          <w:rFonts w:cs="David"/>
          <w:rtl/>
        </w:rPr>
        <w:t>.</w:t>
      </w:r>
      <w:r w:rsidR="00FD77EC">
        <w:rPr>
          <w:rFonts w:ascii="David" w:hAnsi="David" w:hint="cs"/>
          <w:rtl/>
        </w:rPr>
        <w:t xml:space="preserve"> </w:t>
      </w:r>
    </w:p>
    <w:p w14:paraId="4E95C6C9" w14:textId="77777777" w:rsidR="00FD77EC" w:rsidRDefault="00FD77EC" w:rsidP="00FD77EC">
      <w:pPr>
        <w:pStyle w:val="aa"/>
        <w:rPr>
          <w:rFonts w:ascii="Times New Roman" w:hAnsi="Times New Roman"/>
          <w:szCs w:val="22"/>
          <w:rtl/>
        </w:rPr>
      </w:pPr>
    </w:p>
    <w:p w14:paraId="62F7F53E" w14:textId="77777777" w:rsidR="00FD77EC" w:rsidRDefault="00D91317" w:rsidP="00FD77EC">
      <w:pPr>
        <w:pStyle w:val="gmail-msonospacing"/>
        <w:numPr>
          <w:ilvl w:val="0"/>
          <w:numId w:val="2"/>
        </w:numPr>
        <w:bidi/>
        <w:spacing w:before="0" w:beforeAutospacing="0" w:after="0" w:afterAutospacing="0" w:line="360" w:lineRule="auto"/>
        <w:ind w:left="841"/>
        <w:jc w:val="both"/>
        <w:rPr>
          <w:rFonts w:ascii="David" w:hAnsi="David"/>
          <w:sz w:val="22"/>
          <w:szCs w:val="22"/>
          <w:rtl/>
        </w:rPr>
      </w:pPr>
      <w:hyperlink r:id="rId48" w:history="1">
        <w:r w:rsidRPr="00D91317">
          <w:rPr>
            <w:rFonts w:ascii="David" w:hAnsi="David" w:cs="David"/>
            <w:color w:val="0000FF"/>
            <w:u w:val="single"/>
            <w:rtl/>
          </w:rPr>
          <w:t>ת"פ (שלום-ק"ג) 31876-05-22</w:t>
        </w:r>
      </w:hyperlink>
      <w:r w:rsidR="00FD77EC">
        <w:rPr>
          <w:rFonts w:ascii="David" w:hAnsi="David" w:cs="David"/>
          <w:rtl/>
        </w:rPr>
        <w:t xml:space="preserve"> </w:t>
      </w:r>
      <w:r w:rsidR="00FD77EC">
        <w:rPr>
          <w:rFonts w:ascii="Miriam" w:hAnsi="Miriam" w:cs="Miriam"/>
          <w:b/>
          <w:bCs/>
          <w:sz w:val="22"/>
          <w:szCs w:val="22"/>
          <w:rtl/>
        </w:rPr>
        <w:t xml:space="preserve">מדינת ישראל נ' שוורץ </w:t>
      </w:r>
      <w:r w:rsidR="00FD77EC">
        <w:rPr>
          <w:rFonts w:ascii="David" w:hAnsi="David" w:cs="David"/>
          <w:rtl/>
        </w:rPr>
        <w:t>(15.3.23), אליו הפנה ב"כ הנאשם – בוטלה הרשעה בהחזקת 135 גרם קנבוס, שלא לצריכה עצמית. נקבע כי מתקיימים שני התנאים שנקבעו ב-</w:t>
      </w:r>
      <w:r w:rsidR="00FD77EC">
        <w:rPr>
          <w:rFonts w:ascii="Miriam" w:eastAsia="Times New Roman" w:hAnsi="Miriam" w:cs="Miriam"/>
          <w:b/>
          <w:bCs/>
          <w:sz w:val="22"/>
          <w:szCs w:val="22"/>
          <w:rtl/>
          <w:lang w:eastAsia="he-IL"/>
        </w:rPr>
        <w:t>הלכת כתב</w:t>
      </w:r>
      <w:r w:rsidR="00FD77EC">
        <w:rPr>
          <w:rFonts w:ascii="David" w:hAnsi="David" w:cs="David"/>
          <w:rtl/>
        </w:rPr>
        <w:t>.</w:t>
      </w:r>
    </w:p>
    <w:p w14:paraId="5D883EC3" w14:textId="77777777" w:rsidR="00FD77EC" w:rsidRDefault="00FD77EC" w:rsidP="00FD77EC">
      <w:pPr>
        <w:pStyle w:val="aa"/>
        <w:rPr>
          <w:szCs w:val="22"/>
        </w:rPr>
      </w:pPr>
    </w:p>
    <w:p w14:paraId="4EDCA69D" w14:textId="77777777" w:rsidR="00FD77EC" w:rsidRDefault="00D91317" w:rsidP="00FD77EC">
      <w:pPr>
        <w:pStyle w:val="gmail-msonospacing"/>
        <w:numPr>
          <w:ilvl w:val="0"/>
          <w:numId w:val="2"/>
        </w:numPr>
        <w:bidi/>
        <w:spacing w:before="0" w:beforeAutospacing="0" w:after="0" w:afterAutospacing="0" w:line="360" w:lineRule="auto"/>
        <w:ind w:left="841"/>
        <w:jc w:val="both"/>
        <w:rPr>
          <w:rFonts w:ascii="David" w:hAnsi="David"/>
          <w:sz w:val="22"/>
          <w:szCs w:val="22"/>
          <w:rtl/>
        </w:rPr>
      </w:pPr>
      <w:hyperlink r:id="rId49" w:history="1">
        <w:r w:rsidRPr="00D91317">
          <w:rPr>
            <w:rFonts w:ascii="David" w:hAnsi="David" w:cs="David"/>
            <w:color w:val="0000FF"/>
            <w:u w:val="single"/>
            <w:rtl/>
          </w:rPr>
          <w:t>ת"פ (שלום-ב"ש) 24772-02-20</w:t>
        </w:r>
      </w:hyperlink>
      <w:r w:rsidR="00FD77EC">
        <w:rPr>
          <w:rFonts w:hint="cs"/>
          <w:rtl/>
        </w:rPr>
        <w:t xml:space="preserve"> </w:t>
      </w:r>
      <w:r w:rsidR="00FD77EC">
        <w:rPr>
          <w:rFonts w:ascii="Miriam" w:hAnsi="Miriam" w:cs="Miriam"/>
          <w:b/>
          <w:bCs/>
          <w:sz w:val="22"/>
          <w:szCs w:val="22"/>
          <w:rtl/>
        </w:rPr>
        <w:t>מדינת ישראל נ' אל עקבי</w:t>
      </w:r>
      <w:r w:rsidR="00FD77EC">
        <w:rPr>
          <w:rFonts w:ascii="David" w:hAnsi="David" w:cs="David"/>
          <w:rtl/>
        </w:rPr>
        <w:t xml:space="preserve"> (16.1.22), אליו הפנה ב"כ הנאשם – בגין החזקת 55 ק"ג קנבוס נקבע מתחם 18–36 חודשי מאסר וענישה נלווית. נוכח הליך טיפול שעבר מי שלחובתו 7 הרשעות קודמות, לברות בעבירות סמים, ואשר ביצע את העבירה חרף מאסר מותנה – הוארך המאסר המותנה בן 9 חודשים והושתו 300 שעות של"ץ ו-18 חודשי מבחן.</w:t>
      </w:r>
    </w:p>
    <w:p w14:paraId="01F0C4D5" w14:textId="77777777" w:rsidR="00FD77EC" w:rsidRDefault="00FD77EC" w:rsidP="00FD77EC">
      <w:pPr>
        <w:pStyle w:val="aa"/>
        <w:rPr>
          <w:szCs w:val="22"/>
        </w:rPr>
      </w:pPr>
    </w:p>
    <w:p w14:paraId="0CBBD328" w14:textId="77777777" w:rsidR="00FD77EC" w:rsidRDefault="00D91317" w:rsidP="00FD77EC">
      <w:pPr>
        <w:pStyle w:val="gmail-msonospacing"/>
        <w:numPr>
          <w:ilvl w:val="0"/>
          <w:numId w:val="2"/>
        </w:numPr>
        <w:bidi/>
        <w:spacing w:before="0" w:beforeAutospacing="0" w:after="0" w:afterAutospacing="0" w:line="360" w:lineRule="auto"/>
        <w:ind w:left="841"/>
        <w:jc w:val="both"/>
        <w:rPr>
          <w:rFonts w:ascii="David" w:hAnsi="David"/>
          <w:sz w:val="22"/>
          <w:szCs w:val="22"/>
          <w:rtl/>
        </w:rPr>
      </w:pPr>
      <w:hyperlink r:id="rId50" w:history="1">
        <w:r w:rsidRPr="00D91317">
          <w:rPr>
            <w:rFonts w:eastAsia="Times New Roman" w:cs="David"/>
            <w:color w:val="0000FF"/>
            <w:u w:val="single"/>
            <w:rtl/>
          </w:rPr>
          <w:t>ת"פ (שלום-אילת) 9933-08-20</w:t>
        </w:r>
      </w:hyperlink>
      <w:r w:rsidR="00FD77EC">
        <w:rPr>
          <w:rFonts w:eastAsia="Times New Roman" w:cs="David"/>
          <w:rtl/>
        </w:rPr>
        <w:t xml:space="preserve"> </w:t>
      </w:r>
      <w:r w:rsidR="00FD77EC">
        <w:rPr>
          <w:rFonts w:ascii="Miriam" w:eastAsia="Times New Roman" w:hAnsi="Miriam" w:cs="Miriam"/>
          <w:b/>
          <w:bCs/>
          <w:szCs w:val="22"/>
          <w:rtl/>
        </w:rPr>
        <w:t xml:space="preserve">מדינת ישראל נ' טדלה </w:t>
      </w:r>
      <w:r w:rsidR="00FD77EC">
        <w:rPr>
          <w:rFonts w:eastAsia="Times New Roman" w:cs="David"/>
          <w:rtl/>
        </w:rPr>
        <w:t>(9.6.21), אליו הפנה ב"כ המאשימה – בגין הרשעתו, לאחר ניהול הוכחות, בהחזקת 1.3 ק"ג קנבוס באוטובוס ליד מחסום הכניסה לאילת, נקבע מתחם 6–18 חודשי מאסר בפועל. חרף גילו הצעיר הושתו 12 חודשי מאסר בפועל והופעל מאסר מותנה במצטבר, כך שסך הכל הושתו 18 חודשי מאסר בפועל, מאסרים מותנים, 5,000 ₪ קנס ושנת פסילה בפועל.</w:t>
      </w:r>
    </w:p>
    <w:p w14:paraId="1CA06CB8" w14:textId="77777777" w:rsidR="00FD77EC" w:rsidRDefault="00FD77EC" w:rsidP="00FD77EC">
      <w:pPr>
        <w:pStyle w:val="aa"/>
        <w:widowControl w:val="0"/>
        <w:spacing w:line="360" w:lineRule="auto"/>
        <w:ind w:left="0"/>
        <w:jc w:val="both"/>
        <w:rPr>
          <w:rFonts w:ascii="Times New Roman" w:hAnsi="Times New Roman"/>
          <w:sz w:val="24"/>
        </w:rPr>
      </w:pPr>
    </w:p>
    <w:p w14:paraId="51778861" w14:textId="77777777" w:rsidR="00FD77EC" w:rsidRDefault="00FD77EC" w:rsidP="00FD77EC">
      <w:pPr>
        <w:pStyle w:val="aa"/>
        <w:widowControl w:val="0"/>
        <w:numPr>
          <w:ilvl w:val="0"/>
          <w:numId w:val="1"/>
        </w:numPr>
        <w:spacing w:line="360" w:lineRule="auto"/>
        <w:ind w:left="360"/>
        <w:jc w:val="both"/>
        <w:rPr>
          <w:sz w:val="24"/>
          <w:rtl/>
        </w:rPr>
      </w:pPr>
      <w:r>
        <w:rPr>
          <w:rtl/>
        </w:rPr>
        <w:t xml:space="preserve">עולה מהמקובץ כי </w:t>
      </w:r>
      <w:r>
        <w:rPr>
          <w:b/>
          <w:bCs/>
          <w:rtl/>
        </w:rPr>
        <w:t>בנסיבות מסוימות, גם בגידול והחזקת סמים – ניתן לסיים הליך בביטול ההרשעה</w:t>
      </w:r>
      <w:r>
        <w:rPr>
          <w:rtl/>
        </w:rPr>
        <w:t xml:space="preserve">. </w:t>
      </w:r>
      <w:r>
        <w:rPr>
          <w:color w:val="000000"/>
          <w:rtl/>
        </w:rPr>
        <w:t xml:space="preserve">אשר על כן, </w:t>
      </w:r>
      <w:r>
        <w:rPr>
          <w:b/>
          <w:bCs/>
          <w:color w:val="000000"/>
          <w:rtl/>
        </w:rPr>
        <w:t>סוג העבירה, בנסיבותיה, מאפשר סיום ההליך ללא הרשעה.</w:t>
      </w:r>
    </w:p>
    <w:p w14:paraId="71B7CF02" w14:textId="77777777" w:rsidR="00FD77EC" w:rsidRDefault="00FD77EC" w:rsidP="00FD77EC">
      <w:pPr>
        <w:pStyle w:val="aa"/>
        <w:widowControl w:val="0"/>
        <w:spacing w:line="360" w:lineRule="auto"/>
        <w:ind w:left="0"/>
        <w:jc w:val="both"/>
        <w:rPr>
          <w:b/>
          <w:bCs/>
          <w:sz w:val="26"/>
          <w:szCs w:val="26"/>
        </w:rPr>
      </w:pPr>
    </w:p>
    <w:p w14:paraId="338D791D" w14:textId="77777777" w:rsidR="00FD77EC" w:rsidRDefault="00FD77EC" w:rsidP="00FD77EC">
      <w:pPr>
        <w:pStyle w:val="aa"/>
        <w:widowControl w:val="0"/>
        <w:spacing w:line="360" w:lineRule="auto"/>
        <w:ind w:left="0"/>
        <w:jc w:val="both"/>
        <w:rPr>
          <w:b/>
          <w:bCs/>
          <w:sz w:val="26"/>
          <w:szCs w:val="26"/>
          <w:rtl/>
        </w:rPr>
      </w:pPr>
      <w:r>
        <w:rPr>
          <w:b/>
          <w:bCs/>
          <w:sz w:val="26"/>
          <w:szCs w:val="26"/>
          <w:rtl/>
        </w:rPr>
        <w:t>פגיעה חמורה בשיקום הנאשם</w:t>
      </w:r>
    </w:p>
    <w:p w14:paraId="556C0AE7" w14:textId="77777777" w:rsidR="00FD77EC" w:rsidRDefault="00FD77EC" w:rsidP="00FD77EC">
      <w:pPr>
        <w:pStyle w:val="aa"/>
        <w:widowControl w:val="0"/>
        <w:numPr>
          <w:ilvl w:val="0"/>
          <w:numId w:val="1"/>
        </w:numPr>
        <w:spacing w:line="360" w:lineRule="auto"/>
        <w:ind w:left="360"/>
        <w:jc w:val="both"/>
        <w:rPr>
          <w:sz w:val="24"/>
        </w:rPr>
      </w:pPr>
      <w:r>
        <w:rPr>
          <w:rtl/>
        </w:rPr>
        <w:t xml:space="preserve">מבלי להקל ראש בחומרת המעשים, מקובלת עלי טענת ב"כ הנאשם, כי מקרהו של הנאשם נופל לפתחם של אותם מקרים חריגים בהם יש מקום להורות על ביטול הרשעה. הבחינה אם יש מקום לחרוג ממתחם העונש ההולם בשל שיקולי שיקום, בהתאם </w:t>
      </w:r>
      <w:hyperlink r:id="rId51" w:history="1">
        <w:r w:rsidR="006D708B" w:rsidRPr="006D708B">
          <w:rPr>
            <w:rStyle w:val="Hyperlink"/>
            <w:rtl/>
          </w:rPr>
          <w:t>לסעיף 40ד</w:t>
        </w:r>
      </w:hyperlink>
      <w:r>
        <w:rPr>
          <w:rtl/>
        </w:rPr>
        <w:t xml:space="preserve"> ל</w:t>
      </w:r>
      <w:hyperlink r:id="rId52" w:history="1">
        <w:r w:rsidR="00D91317" w:rsidRPr="00D91317">
          <w:rPr>
            <w:rFonts w:ascii="Miriam" w:hAnsi="Miriam" w:cs="Miriam"/>
            <w:b/>
            <w:bCs/>
            <w:color w:val="0000FF"/>
            <w:sz w:val="18"/>
            <w:szCs w:val="22"/>
            <w:u w:val="single"/>
            <w:rtl/>
          </w:rPr>
          <w:t>חוק העונשין</w:t>
        </w:r>
      </w:hyperlink>
      <w:r>
        <w:rPr>
          <w:rtl/>
        </w:rPr>
        <w:t>, לפיו</w:t>
      </w:r>
      <w:r>
        <w:rPr>
          <w:rFonts w:ascii="Miriam" w:hAnsi="Miriam" w:cs="Miriam"/>
          <w:b/>
          <w:bCs/>
          <w:sz w:val="18"/>
          <w:szCs w:val="22"/>
          <w:rtl/>
        </w:rPr>
        <w:t xml:space="preserve"> </w:t>
      </w:r>
      <w:r>
        <w:rPr>
          <w:rtl/>
        </w:rPr>
        <w:t>משבית המשפט "</w:t>
      </w:r>
      <w:r>
        <w:rPr>
          <w:b/>
          <w:bCs/>
          <w:rtl/>
        </w:rPr>
        <w:t>מצא כי הנאשם השתקם או כי יש סיכוי של ממש שישתקם, רשאי הוא לחרוג ממתחם העונש ההולם</w:t>
      </w:r>
      <w:r>
        <w:rPr>
          <w:rtl/>
        </w:rPr>
        <w:t>" והבחינה אם הנאשם עומד בתנאי</w:t>
      </w:r>
      <w:r>
        <w:rPr>
          <w:sz w:val="24"/>
          <w:rtl/>
        </w:rPr>
        <w:t xml:space="preserve"> הנוסף שנקבע ב-</w:t>
      </w:r>
      <w:r>
        <w:rPr>
          <w:rFonts w:ascii="Miriam" w:hAnsi="Miriam" w:cs="Miriam"/>
          <w:b/>
          <w:bCs/>
          <w:sz w:val="18"/>
          <w:szCs w:val="22"/>
          <w:rtl/>
        </w:rPr>
        <w:t>הלכת כתב</w:t>
      </w:r>
      <w:r>
        <w:rPr>
          <w:sz w:val="24"/>
          <w:rtl/>
        </w:rPr>
        <w:t>, כי "</w:t>
      </w:r>
      <w:r>
        <w:rPr>
          <w:b/>
          <w:bCs/>
          <w:rtl/>
        </w:rPr>
        <w:t>על ההרשעה לפגוע פגיעה חמורה בשיקום הנאשם</w:t>
      </w:r>
      <w:r>
        <w:rPr>
          <w:sz w:val="24"/>
          <w:rtl/>
        </w:rPr>
        <w:t xml:space="preserve">" </w:t>
      </w:r>
      <w:r>
        <w:rPr>
          <w:rtl/>
        </w:rPr>
        <w:t>כרוכות במידה רבה זו בזו ומשכך אדון בהן במאוחד, תוך התייחסות לנסיבות שלא קשורות בביצוע העבירה</w:t>
      </w:r>
      <w:r>
        <w:rPr>
          <w:sz w:val="24"/>
          <w:rtl/>
        </w:rPr>
        <w:t xml:space="preserve">, כמפורט </w:t>
      </w:r>
      <w:hyperlink r:id="rId53" w:history="1">
        <w:r w:rsidR="006D708B" w:rsidRPr="006D708B">
          <w:rPr>
            <w:rStyle w:val="Hyperlink"/>
            <w:sz w:val="24"/>
            <w:rtl/>
          </w:rPr>
          <w:t>בסעיף 40יא</w:t>
        </w:r>
      </w:hyperlink>
      <w:r>
        <w:rPr>
          <w:sz w:val="24"/>
          <w:rtl/>
        </w:rPr>
        <w:t xml:space="preserve"> ל-</w:t>
      </w:r>
      <w:r>
        <w:rPr>
          <w:rFonts w:ascii="Miriam" w:hAnsi="Miriam" w:cs="Miriam"/>
          <w:b/>
          <w:bCs/>
          <w:szCs w:val="22"/>
          <w:rtl/>
          <w:lang w:eastAsia="en-US"/>
        </w:rPr>
        <w:t>חוק העונשין</w:t>
      </w:r>
      <w:r>
        <w:rPr>
          <w:sz w:val="24"/>
          <w:rtl/>
        </w:rPr>
        <w:t>, כעולה מהתסקיר מיום 28.1.24, מטיעוני הצדדים לעונש, מעדות אחיו של הנאשם ומדברי הנאשם עצמו:</w:t>
      </w:r>
    </w:p>
    <w:p w14:paraId="2CEB10B1" w14:textId="77777777" w:rsidR="00FD77EC" w:rsidRDefault="00FD77EC" w:rsidP="00FD77EC">
      <w:pPr>
        <w:pStyle w:val="aa"/>
        <w:widowControl w:val="0"/>
        <w:ind w:left="360"/>
        <w:jc w:val="both"/>
        <w:rPr>
          <w:szCs w:val="20"/>
        </w:rPr>
      </w:pPr>
    </w:p>
    <w:p w14:paraId="50EC28CC" w14:textId="77777777" w:rsidR="00FD77EC" w:rsidRDefault="00FD77EC" w:rsidP="00FD77EC">
      <w:pPr>
        <w:widowControl w:val="0"/>
        <w:numPr>
          <w:ilvl w:val="2"/>
          <w:numId w:val="1"/>
        </w:numPr>
        <w:spacing w:line="360" w:lineRule="auto"/>
        <w:ind w:left="794" w:hanging="454"/>
        <w:jc w:val="both"/>
        <w:rPr>
          <w:rFonts w:ascii="David" w:hAnsi="David"/>
        </w:rPr>
      </w:pPr>
      <w:r>
        <w:rPr>
          <w:rFonts w:ascii="David" w:hAnsi="David"/>
          <w:b/>
          <w:bCs/>
          <w:rtl/>
        </w:rPr>
        <w:t>נתונים כללים ומשפחתיים</w:t>
      </w:r>
      <w:r>
        <w:rPr>
          <w:rFonts w:ascii="David" w:hAnsi="David"/>
          <w:rtl/>
        </w:rPr>
        <w:t xml:space="preserve"> – הנאשם כבן 52, גרוש פעמיים, ומקיים קשר זוגי מזה 14 שנה עם בת זוגו הנוכחית. לנאשם שתי בנות – הראשונה כבת 27, מנישואיו הראשונים, והשנייה כבת 12 מהקשר הזוגי העכשווי. הנאשם מתגורר בעוטף ישראל (קיבוץ דורות). הנאשם הוא הבכור מבין 3 אחים, ומשפחתו מונה זוג הורים פנסיונרים – אביו, חשמלאי במקצועו ומוכר כהלום קרב, ואמו עבדה כמורה. תיאר יחסים מורכבים עם הוריו לאורך השנים, אך בשל מעצר הבית בו שהה בתחילת ההליך עיבדו קשיים מהעבר וחל שיפור ביחסיהם. משפחתו מנהלת אורח חיים נורמטיבי. </w:t>
      </w:r>
    </w:p>
    <w:p w14:paraId="0EE5F36D" w14:textId="77777777" w:rsidR="00FD77EC" w:rsidRDefault="00FD77EC" w:rsidP="00FD77EC">
      <w:pPr>
        <w:widowControl w:val="0"/>
        <w:ind w:left="794"/>
        <w:jc w:val="both"/>
        <w:rPr>
          <w:rFonts w:ascii="David" w:hAnsi="David"/>
        </w:rPr>
      </w:pPr>
    </w:p>
    <w:p w14:paraId="26B863DB" w14:textId="77777777" w:rsidR="00FD77EC" w:rsidRDefault="00FD77EC" w:rsidP="00FD77EC">
      <w:pPr>
        <w:widowControl w:val="0"/>
        <w:numPr>
          <w:ilvl w:val="2"/>
          <w:numId w:val="1"/>
        </w:numPr>
        <w:spacing w:line="360" w:lineRule="auto"/>
        <w:ind w:left="794" w:hanging="454"/>
        <w:jc w:val="both"/>
        <w:rPr>
          <w:rFonts w:ascii="David" w:hAnsi="David"/>
        </w:rPr>
      </w:pPr>
      <w:r>
        <w:rPr>
          <w:rFonts w:ascii="David" w:hAnsi="David"/>
          <w:b/>
          <w:bCs/>
          <w:rtl/>
        </w:rPr>
        <w:t>נסיבות חייו של הנאשם שהייתה להן השפעה על ביצוע העבירה</w:t>
      </w:r>
      <w:r>
        <w:rPr>
          <w:rFonts w:ascii="David" w:hAnsi="David"/>
          <w:rtl/>
        </w:rPr>
        <w:t xml:space="preserve"> – הנאשם סיים 12 שנות לימוד ללא תעודת בגרות, למד בכיתה י"א-י"ב בפנימייה קדם צבאית ושירת שירות צבאי מלא בחיל האוויר. לאחר שירותו הצבאי עבד בתחום החשמל עד שנת 2015, שאז נפצע בתאונת עבודה בגינה עבר השתלת פלטינה בעמוד השדרה  והוכר כנכה על ידי המוסד לביטוח לאומי בשיעור 40%. לאחר תהליך השיקום הופנה למרפאת כאב והחל טיפול אופיאטי. משהתברר כי הוא אלרגי לחומרים אופיאטיים החל טיפול בקנבוס רפואי. בהמשך, השפעת הקנבוס הצטמצמה, והוא נזקק לכמויות גדולות יותר על מנת להקל על כאבו, אך נמסר לו כי הכמות אשר אושרה לו היא הכמות המירבית המותרת לחולה בהתוויה שלו. לדבריו, מטעמים אלו ועל מנת שלא לרכוש "סמי רחוב" גידל את הסמים בביתו. </w:t>
      </w:r>
    </w:p>
    <w:p w14:paraId="0ADB9870" w14:textId="77777777" w:rsidR="00FD77EC" w:rsidRDefault="00FD77EC" w:rsidP="00FD77EC">
      <w:pPr>
        <w:pStyle w:val="aa"/>
        <w:widowControl w:val="0"/>
        <w:rPr>
          <w:b/>
          <w:bCs/>
          <w:sz w:val="18"/>
          <w:szCs w:val="22"/>
          <w:rtl/>
        </w:rPr>
      </w:pPr>
    </w:p>
    <w:p w14:paraId="2573A5EE" w14:textId="77777777" w:rsidR="00FD77EC" w:rsidRDefault="00FD77EC" w:rsidP="00FD77EC">
      <w:pPr>
        <w:widowControl w:val="0"/>
        <w:numPr>
          <w:ilvl w:val="2"/>
          <w:numId w:val="1"/>
        </w:numPr>
        <w:spacing w:line="360" w:lineRule="auto"/>
        <w:ind w:left="794" w:hanging="454"/>
        <w:jc w:val="both"/>
        <w:rPr>
          <w:rFonts w:ascii="David" w:hAnsi="David"/>
          <w:b/>
          <w:bCs/>
          <w:sz w:val="16"/>
          <w:szCs w:val="20"/>
        </w:rPr>
      </w:pPr>
      <w:r>
        <w:rPr>
          <w:rFonts w:ascii="David" w:hAnsi="David"/>
          <w:b/>
          <w:bCs/>
          <w:rtl/>
        </w:rPr>
        <w:t>נטילת האחריות של הנאשם על מעשיו</w:t>
      </w:r>
      <w:r>
        <w:rPr>
          <w:rFonts w:ascii="David" w:hAnsi="David"/>
          <w:rtl/>
        </w:rPr>
        <w:t xml:space="preserve"> – הנאשם הודה בשלב מוקדם של ההליך, ב-4.7.23, חודשים בודדים לאחר הגשת כתב האישום וביצוע העבירות. הנאשם הביע חרטה הן בפני בית המשפט והן בפני שירות המבחן. להתרשמות שירות המבחן הנאשם לקח אחריות מלאה על ביצוע העבירה ובחירותיו השגויות. הנאשם בעל יכולת להתבוננות עצמית ביקורתית ומסוגל להתייחס לבחירותיו ולהתנהגותו הבעייתית – ואף לפעול בכדי להימנע מהן. כן ציין שירות המבחן כי הנאשם נעדר דפוסים עברייניים, מחזיק בעמדות נורמטיביות, חש בושה על מעשיו. ההליך הפלילי מהווה גורם מרתיע עבורו. </w:t>
      </w:r>
    </w:p>
    <w:p w14:paraId="60B15980" w14:textId="77777777" w:rsidR="00FD77EC" w:rsidRDefault="00FD77EC" w:rsidP="00FD77EC">
      <w:pPr>
        <w:pStyle w:val="aa"/>
        <w:rPr>
          <w:sz w:val="18"/>
          <w:szCs w:val="22"/>
          <w:highlight w:val="yellow"/>
        </w:rPr>
      </w:pPr>
    </w:p>
    <w:p w14:paraId="0EC36CA1" w14:textId="77777777" w:rsidR="00FD77EC" w:rsidRDefault="00FD77EC" w:rsidP="00FD77EC">
      <w:pPr>
        <w:widowControl w:val="0"/>
        <w:numPr>
          <w:ilvl w:val="2"/>
          <w:numId w:val="1"/>
        </w:numPr>
        <w:spacing w:line="360" w:lineRule="auto"/>
        <w:ind w:left="794" w:hanging="454"/>
        <w:jc w:val="both"/>
        <w:rPr>
          <w:rFonts w:ascii="David" w:hAnsi="David"/>
          <w:u w:val="single"/>
        </w:rPr>
      </w:pPr>
      <w:r>
        <w:rPr>
          <w:rFonts w:ascii="David" w:hAnsi="David"/>
          <w:b/>
          <w:bCs/>
          <w:rtl/>
        </w:rPr>
        <w:t>מאמצי הנאשם לחזור למוטב</w:t>
      </w:r>
      <w:r>
        <w:rPr>
          <w:rFonts w:ascii="David" w:hAnsi="David"/>
          <w:rtl/>
        </w:rPr>
        <w:t xml:space="preserve"> – במסגרת</w:t>
      </w:r>
      <w:r>
        <w:rPr>
          <w:rFonts w:ascii="David" w:hAnsi="David"/>
          <w:b/>
          <w:bCs/>
          <w:rtl/>
        </w:rPr>
        <w:t xml:space="preserve"> </w:t>
      </w:r>
      <w:r>
        <w:rPr>
          <w:rFonts w:ascii="David" w:hAnsi="David"/>
          <w:rtl/>
        </w:rPr>
        <w:t xml:space="preserve">הקשר הגיע הנאשם לכל הבדיקות אליהן זומן ומסר 7 בדיקות שנמצאו נקיות משרידי סם. במסגרת צו פיקוח המעצר שולב הנאשם בטיפול קבוצתי לעצורי בית בתאריכים 26.9.23–11.7.23, הגיע לכל 12 המפגשים שהתקיימו, היה משתתף אותנטי, הביע תובנות משמעותיות על ההתמכרות, על השימוש בסמים, על הנזקים שבשימוש בסמים, והביע עמדות נורמטיביות. </w:t>
      </w:r>
    </w:p>
    <w:p w14:paraId="7A2B09E4" w14:textId="77777777" w:rsidR="00FD77EC" w:rsidRDefault="00FD77EC" w:rsidP="00FD77EC">
      <w:pPr>
        <w:pStyle w:val="aa"/>
        <w:rPr>
          <w:u w:val="single"/>
        </w:rPr>
      </w:pPr>
    </w:p>
    <w:p w14:paraId="602772E0" w14:textId="77777777" w:rsidR="00FD77EC" w:rsidRDefault="00FD77EC" w:rsidP="00FD77EC">
      <w:pPr>
        <w:widowControl w:val="0"/>
        <w:spacing w:line="360" w:lineRule="auto"/>
        <w:ind w:left="794"/>
        <w:jc w:val="both"/>
        <w:rPr>
          <w:rFonts w:ascii="David" w:hAnsi="David"/>
          <w:u w:val="single"/>
          <w:rtl/>
        </w:rPr>
      </w:pPr>
      <w:r>
        <w:rPr>
          <w:rFonts w:ascii="David" w:hAnsi="David"/>
          <w:u w:val="single"/>
          <w:rtl/>
        </w:rPr>
        <w:t>בהקשר זה חשוב לציין, כי הנאשם אף הגדיל לעשות ונמנע מצריכת קנבוס רפואי, ויתר על הקנבוס אותו קיבל ברישיון, עקב מודעותו להשלכות האפשריות של הסם בכל הקשור לתפקודו התקין</w:t>
      </w:r>
      <w:r>
        <w:rPr>
          <w:rFonts w:ascii="David" w:hAnsi="David"/>
          <w:rtl/>
        </w:rPr>
        <w:t xml:space="preserve"> וכלשונו "</w:t>
      </w:r>
      <w:r>
        <w:rPr>
          <w:b/>
          <w:bCs/>
          <w:rtl/>
        </w:rPr>
        <w:t>מריחואנה זה לא סמים קלים אלא סמים קשים מאוד ולהיפרד מזה זה גיהינום</w:t>
      </w:r>
      <w:r>
        <w:rPr>
          <w:rFonts w:ascii="David" w:hAnsi="David"/>
          <w:rtl/>
        </w:rPr>
        <w:t>".</w:t>
      </w:r>
    </w:p>
    <w:p w14:paraId="646EEFBD" w14:textId="77777777" w:rsidR="00FD77EC" w:rsidRDefault="00FD77EC" w:rsidP="00FD77EC">
      <w:pPr>
        <w:pStyle w:val="aa"/>
        <w:rPr>
          <w:sz w:val="24"/>
        </w:rPr>
      </w:pPr>
    </w:p>
    <w:p w14:paraId="0EF002E0" w14:textId="77777777" w:rsidR="00FD77EC" w:rsidRDefault="00FD77EC" w:rsidP="00FD77EC">
      <w:pPr>
        <w:widowControl w:val="0"/>
        <w:spacing w:line="360" w:lineRule="auto"/>
        <w:ind w:left="794"/>
        <w:jc w:val="both"/>
        <w:rPr>
          <w:rFonts w:ascii="David" w:hAnsi="David"/>
        </w:rPr>
      </w:pPr>
      <w:r>
        <w:rPr>
          <w:rFonts w:ascii="David" w:hAnsi="David"/>
          <w:rtl/>
        </w:rPr>
        <w:t>מדברי אחיו של הנאשם במסגרת דיון הטיעונים לעונש עלה כי לא רק שהנאשם עבר כברת דרך בכל הקשור לשימוש בסמים וכי הנאשם "</w:t>
      </w:r>
      <w:r>
        <w:rPr>
          <w:b/>
          <w:bCs/>
          <w:rtl/>
        </w:rPr>
        <w:t>לקח את עצמו בידיים והלך להליך שיקומי עצמאי ועשה מה שצריך</w:t>
      </w:r>
      <w:r>
        <w:rPr>
          <w:rFonts w:ascii="David" w:hAnsi="David"/>
          <w:rtl/>
        </w:rPr>
        <w:t>", אלא אף הפך למטיף בתחום ומסביר מדוע אסור לעשות שימוש בכל סם, לרבות קנבוס. לדבריו, ההליך הנוכחי שהתנהל נגדו היווה גורם מרתיע בעבורו – אשר גרם לו לשנות את חייו ולקחת אחריות על מעשיו, כאשר האח העיד כי דווקא בשל מעצרו בתיק "</w:t>
      </w:r>
      <w:r>
        <w:rPr>
          <w:rFonts w:ascii="David" w:hAnsi="David"/>
          <w:b/>
          <w:bCs/>
          <w:rtl/>
        </w:rPr>
        <w:t>קיבלנו את עידו במתנה</w:t>
      </w:r>
      <w:r>
        <w:rPr>
          <w:rFonts w:ascii="David" w:hAnsi="David"/>
          <w:rtl/>
        </w:rPr>
        <w:t xml:space="preserve">... </w:t>
      </w:r>
      <w:r>
        <w:rPr>
          <w:rFonts w:ascii="David" w:hAnsi="David"/>
          <w:b/>
          <w:bCs/>
          <w:rtl/>
        </w:rPr>
        <w:t>בזכות מה שקרה וזו ההזדמנות לומר לכם תודה</w:t>
      </w:r>
      <w:r>
        <w:rPr>
          <w:rFonts w:ascii="David" w:hAnsi="David"/>
          <w:rtl/>
        </w:rPr>
        <w:t>".</w:t>
      </w:r>
    </w:p>
    <w:p w14:paraId="28AAFD5B" w14:textId="77777777" w:rsidR="00FD77EC" w:rsidRDefault="00FD77EC" w:rsidP="00FD77EC">
      <w:pPr>
        <w:pStyle w:val="aa"/>
        <w:rPr>
          <w:b/>
          <w:bCs/>
          <w:sz w:val="18"/>
          <w:szCs w:val="22"/>
          <w:highlight w:val="yellow"/>
        </w:rPr>
      </w:pPr>
    </w:p>
    <w:p w14:paraId="42C64574" w14:textId="77777777" w:rsidR="00FD77EC" w:rsidRDefault="00FD77EC" w:rsidP="00FD77EC">
      <w:pPr>
        <w:widowControl w:val="0"/>
        <w:numPr>
          <w:ilvl w:val="2"/>
          <w:numId w:val="1"/>
        </w:numPr>
        <w:spacing w:line="360" w:lineRule="auto"/>
        <w:ind w:left="794" w:hanging="454"/>
        <w:jc w:val="both"/>
        <w:rPr>
          <w:rFonts w:ascii="David" w:hAnsi="David"/>
          <w:rtl/>
        </w:rPr>
      </w:pPr>
      <w:r>
        <w:rPr>
          <w:rFonts w:ascii="David" w:hAnsi="David"/>
          <w:b/>
          <w:bCs/>
          <w:rtl/>
        </w:rPr>
        <w:t>שיתוף הפעולה של הנאשם עם הרשויות</w:t>
      </w:r>
      <w:r>
        <w:rPr>
          <w:rFonts w:ascii="David" w:hAnsi="David"/>
          <w:rtl/>
        </w:rPr>
        <w:t xml:space="preserve"> – הנאשם הודה בביצוע העבירות ואף מספר פרטים בנוגע למשך זמן גידול הסם. </w:t>
      </w:r>
    </w:p>
    <w:p w14:paraId="4B635239" w14:textId="77777777" w:rsidR="00FD77EC" w:rsidRDefault="00FD77EC" w:rsidP="00FD77EC">
      <w:pPr>
        <w:widowControl w:val="0"/>
        <w:ind w:left="794"/>
        <w:jc w:val="both"/>
        <w:rPr>
          <w:rFonts w:ascii="David" w:hAnsi="David"/>
        </w:rPr>
      </w:pPr>
    </w:p>
    <w:p w14:paraId="3C5641CE" w14:textId="77777777" w:rsidR="00FD77EC" w:rsidRDefault="00FD77EC" w:rsidP="00FD77EC">
      <w:pPr>
        <w:widowControl w:val="0"/>
        <w:numPr>
          <w:ilvl w:val="2"/>
          <w:numId w:val="1"/>
        </w:numPr>
        <w:spacing w:line="360" w:lineRule="auto"/>
        <w:ind w:left="794" w:hanging="454"/>
        <w:jc w:val="both"/>
        <w:rPr>
          <w:rFonts w:ascii="David" w:hAnsi="David"/>
        </w:rPr>
      </w:pPr>
      <w:r>
        <w:rPr>
          <w:rFonts w:ascii="David" w:hAnsi="David"/>
          <w:b/>
          <w:bCs/>
          <w:rtl/>
        </w:rPr>
        <w:t>הנזקים שנגרמו לנאשם מביצוע העבירות</w:t>
      </w:r>
      <w:r>
        <w:rPr>
          <w:rFonts w:ascii="David" w:hAnsi="David"/>
          <w:rtl/>
        </w:rPr>
        <w:t xml:space="preserve"> – מעבר לכך שהנאשם היה עצור מספר ימים, בהמשך היה הנאשם בתנאים מגבילים. כל אלו, ועצם ניהול ההליך הפלילי מהווים עבורו גורם מרתיע ומציב גבול, כפי שעלה הן מהתסקיר והן מדברי אחיו.</w:t>
      </w:r>
    </w:p>
    <w:p w14:paraId="5427414B" w14:textId="77777777" w:rsidR="00FD77EC" w:rsidRDefault="00FD77EC" w:rsidP="00FD77EC">
      <w:pPr>
        <w:pStyle w:val="aa"/>
      </w:pPr>
    </w:p>
    <w:p w14:paraId="0100C2B3" w14:textId="77777777" w:rsidR="00FD77EC" w:rsidRDefault="00FD77EC" w:rsidP="00FD77EC">
      <w:pPr>
        <w:widowControl w:val="0"/>
        <w:numPr>
          <w:ilvl w:val="2"/>
          <w:numId w:val="1"/>
        </w:numPr>
        <w:spacing w:line="360" w:lineRule="auto"/>
        <w:ind w:left="794" w:hanging="454"/>
        <w:jc w:val="both"/>
        <w:rPr>
          <w:rFonts w:ascii="David" w:hAnsi="David"/>
          <w:rtl/>
        </w:rPr>
      </w:pPr>
      <w:r>
        <w:rPr>
          <w:rFonts w:ascii="David" w:hAnsi="David"/>
          <w:b/>
          <w:bCs/>
          <w:rtl/>
        </w:rPr>
        <w:t>תרומתו של הנאשם לחברה</w:t>
      </w:r>
      <w:r>
        <w:rPr>
          <w:rFonts w:ascii="David" w:hAnsi="David"/>
          <w:rtl/>
        </w:rPr>
        <w:t xml:space="preserve"> – הנאשם שירת שירות צבאי מלא בחיל האוויר ושירת בשירות מילואים מלא. הנאשם שמר על יציבות תעסוקתית במשך שנים רבות וניהל אורח חיים תקין ויצרני. הגם שהנאשם נפגע בעמוד השדרה – בחר להמשיך לעבוד ולקיים אורח חיים יצרני. לכל אלו יש להוסיף, כי מעבר להיותו תושב העוטף, במסגרת עבודתו כיום עובד הנאשם, בין היתר, בשיקום בסיסים צבאיים שנפגעו לאחר 7.10.23. </w:t>
      </w:r>
    </w:p>
    <w:p w14:paraId="153A0873" w14:textId="77777777" w:rsidR="00FD77EC" w:rsidRDefault="00FD77EC" w:rsidP="00FD77EC">
      <w:pPr>
        <w:pStyle w:val="aa"/>
      </w:pPr>
    </w:p>
    <w:p w14:paraId="6E62D8D3" w14:textId="77777777" w:rsidR="00FD77EC" w:rsidRDefault="00FD77EC" w:rsidP="00FD77EC">
      <w:pPr>
        <w:widowControl w:val="0"/>
        <w:numPr>
          <w:ilvl w:val="2"/>
          <w:numId w:val="1"/>
        </w:numPr>
        <w:spacing w:line="360" w:lineRule="auto"/>
        <w:ind w:left="794" w:hanging="454"/>
        <w:jc w:val="both"/>
        <w:rPr>
          <w:rFonts w:ascii="David" w:hAnsi="David"/>
          <w:rtl/>
        </w:rPr>
      </w:pPr>
      <w:r>
        <w:rPr>
          <w:rFonts w:ascii="David" w:hAnsi="David"/>
          <w:b/>
          <w:bCs/>
          <w:rtl/>
        </w:rPr>
        <w:t xml:space="preserve">חלוף הזמן – </w:t>
      </w:r>
      <w:r>
        <w:rPr>
          <w:rFonts w:ascii="David" w:hAnsi="David"/>
          <w:rtl/>
        </w:rPr>
        <w:t>חלפו כשלוש שנים מתחילת ביצוע העבירות ולמעלה משנה מיום מעצרו. במהלך התקופה לא הורשע הנאשם בעבירות נוספות, לא נפתחו נגדו תיקים חדשים והוא שיתף פעולה עם שירות המבחן.</w:t>
      </w:r>
    </w:p>
    <w:p w14:paraId="61251312" w14:textId="77777777" w:rsidR="00FD77EC" w:rsidRDefault="00FD77EC" w:rsidP="00FD77EC">
      <w:pPr>
        <w:pStyle w:val="aa"/>
        <w:widowControl w:val="0"/>
        <w:rPr>
          <w:sz w:val="18"/>
          <w:szCs w:val="22"/>
        </w:rPr>
      </w:pPr>
    </w:p>
    <w:p w14:paraId="665977DF" w14:textId="77777777" w:rsidR="00FD77EC" w:rsidRDefault="00FD77EC" w:rsidP="00FD77EC">
      <w:pPr>
        <w:widowControl w:val="0"/>
        <w:numPr>
          <w:ilvl w:val="2"/>
          <w:numId w:val="1"/>
        </w:numPr>
        <w:spacing w:line="360" w:lineRule="auto"/>
        <w:ind w:left="794" w:hanging="454"/>
        <w:jc w:val="both"/>
        <w:rPr>
          <w:rFonts w:ascii="David" w:hAnsi="David"/>
          <w:rtl/>
        </w:rPr>
      </w:pPr>
      <w:r>
        <w:rPr>
          <w:rFonts w:ascii="David" w:hAnsi="David"/>
          <w:b/>
          <w:bCs/>
          <w:rtl/>
        </w:rPr>
        <w:t>הנאשם נעדר</w:t>
      </w:r>
      <w:r>
        <w:rPr>
          <w:rFonts w:ascii="David" w:hAnsi="David"/>
          <w:rtl/>
        </w:rPr>
        <w:t xml:space="preserve"> </w:t>
      </w:r>
      <w:r>
        <w:rPr>
          <w:rFonts w:ascii="David" w:hAnsi="David"/>
          <w:b/>
          <w:bCs/>
          <w:rtl/>
        </w:rPr>
        <w:t>עבר פלילי</w:t>
      </w:r>
      <w:r>
        <w:rPr>
          <w:rFonts w:ascii="David" w:hAnsi="David"/>
          <w:rtl/>
        </w:rPr>
        <w:t>.</w:t>
      </w:r>
    </w:p>
    <w:p w14:paraId="11589A27" w14:textId="77777777" w:rsidR="00FD77EC" w:rsidRDefault="00FD77EC" w:rsidP="00FD77EC">
      <w:pPr>
        <w:widowControl w:val="0"/>
        <w:spacing w:line="360" w:lineRule="auto"/>
        <w:jc w:val="both"/>
        <w:rPr>
          <w:rFonts w:ascii="David" w:hAnsi="David"/>
          <w:b/>
          <w:bCs/>
          <w:sz w:val="26"/>
          <w:szCs w:val="26"/>
        </w:rPr>
      </w:pPr>
    </w:p>
    <w:p w14:paraId="0F1E927A" w14:textId="77777777" w:rsidR="00FD77EC" w:rsidRDefault="00FD77EC" w:rsidP="00FD77EC">
      <w:pPr>
        <w:pStyle w:val="aa"/>
        <w:widowControl w:val="0"/>
        <w:numPr>
          <w:ilvl w:val="0"/>
          <w:numId w:val="1"/>
        </w:numPr>
        <w:spacing w:line="360" w:lineRule="auto"/>
        <w:ind w:left="360"/>
        <w:jc w:val="both"/>
        <w:rPr>
          <w:b/>
          <w:bCs/>
          <w:sz w:val="26"/>
          <w:szCs w:val="26"/>
        </w:rPr>
      </w:pPr>
      <w:r>
        <w:rPr>
          <w:rtl/>
        </w:rPr>
        <w:t xml:space="preserve">בפסיקה לא נקבעו מסמרות באשר לצורך להצביע על פגיעה קונקרטית במקום העבודה. התכלית היא שלא לשים מכשול בפני נאשמים ולאפשר להם להשתקם ולחזור ולהשתלב בחברה יצרנית ובקהילה, גם באותם מקרים בהם לא הוכח נזק קונקרטי [ראו לדוגמא </w:t>
      </w:r>
      <w:hyperlink r:id="rId54" w:history="1">
        <w:r w:rsidR="00D91317" w:rsidRPr="00D91317">
          <w:rPr>
            <w:color w:val="0000FF"/>
            <w:u w:val="single"/>
            <w:rtl/>
          </w:rPr>
          <w:t>ע"פ 3554/16</w:t>
        </w:r>
      </w:hyperlink>
      <w:r>
        <w:rPr>
          <w:rtl/>
        </w:rPr>
        <w:t xml:space="preserve"> </w:t>
      </w:r>
      <w:r>
        <w:rPr>
          <w:rFonts w:ascii="Miriam" w:hAnsi="Miriam" w:cs="Miriam"/>
          <w:b/>
          <w:bCs/>
          <w:sz w:val="24"/>
          <w:szCs w:val="22"/>
          <w:rtl/>
          <w:lang w:eastAsia="en-US"/>
        </w:rPr>
        <w:t>יעקובוביץ' נ' מדינת ישראל</w:t>
      </w:r>
      <w:r>
        <w:rPr>
          <w:rFonts w:ascii="Miriam" w:hAnsi="Miriam"/>
          <w:szCs w:val="22"/>
          <w:rtl/>
        </w:rPr>
        <w:t xml:space="preserve"> </w:t>
      </w:r>
      <w:r>
        <w:rPr>
          <w:rtl/>
        </w:rPr>
        <w:t xml:space="preserve">(11.6.17); </w:t>
      </w:r>
      <w:hyperlink r:id="rId55" w:history="1">
        <w:r w:rsidR="00D91317" w:rsidRPr="00D91317">
          <w:rPr>
            <w:color w:val="0000FF"/>
            <w:u w:val="single"/>
            <w:rtl/>
          </w:rPr>
          <w:t>רע"פ 8215/16</w:t>
        </w:r>
      </w:hyperlink>
      <w:r>
        <w:rPr>
          <w:rtl/>
        </w:rPr>
        <w:t xml:space="preserve"> </w:t>
      </w:r>
      <w:r>
        <w:rPr>
          <w:rFonts w:ascii="Miriam" w:hAnsi="Miriam" w:cs="Miriam"/>
          <w:b/>
          <w:bCs/>
          <w:sz w:val="24"/>
          <w:szCs w:val="22"/>
          <w:rtl/>
          <w:lang w:eastAsia="en-US"/>
        </w:rPr>
        <w:t>יצחק נ' מדינת ישראל</w:t>
      </w:r>
      <w:r>
        <w:rPr>
          <w:rFonts w:ascii="Miriam" w:hAnsi="Miriam"/>
          <w:b/>
          <w:bCs/>
          <w:szCs w:val="22"/>
          <w:rtl/>
        </w:rPr>
        <w:t xml:space="preserve"> </w:t>
      </w:r>
      <w:r>
        <w:rPr>
          <w:rtl/>
        </w:rPr>
        <w:t xml:space="preserve">(29.3.17) (להלן: </w:t>
      </w:r>
      <w:r>
        <w:rPr>
          <w:rFonts w:ascii="Miriam" w:hAnsi="Miriam" w:cs="Miriam"/>
          <w:b/>
          <w:bCs/>
          <w:sz w:val="24"/>
          <w:szCs w:val="22"/>
          <w:rtl/>
          <w:lang w:eastAsia="en-US"/>
        </w:rPr>
        <w:t>רע"פ יצחק</w:t>
      </w:r>
      <w:r>
        <w:rPr>
          <w:rtl/>
        </w:rPr>
        <w:t xml:space="preserve">); </w:t>
      </w:r>
      <w:hyperlink r:id="rId56" w:history="1">
        <w:r w:rsidR="00D91317" w:rsidRPr="00D91317">
          <w:rPr>
            <w:color w:val="0000FF"/>
            <w:u w:val="single"/>
            <w:rtl/>
          </w:rPr>
          <w:t>ע"פ 4466/13</w:t>
        </w:r>
      </w:hyperlink>
      <w:r>
        <w:rPr>
          <w:rtl/>
        </w:rPr>
        <w:t xml:space="preserve"> פורטל נ' מדינת ישראל (22.5.14); </w:t>
      </w:r>
      <w:hyperlink r:id="rId57" w:history="1">
        <w:r w:rsidR="00D91317" w:rsidRPr="00D91317">
          <w:rPr>
            <w:color w:val="0000FF"/>
            <w:u w:val="single"/>
            <w:rtl/>
          </w:rPr>
          <w:t>רע"פ 3446/10</w:t>
        </w:r>
      </w:hyperlink>
      <w:r>
        <w:rPr>
          <w:rtl/>
        </w:rPr>
        <w:t xml:space="preserve"> </w:t>
      </w:r>
      <w:r>
        <w:rPr>
          <w:rFonts w:ascii="Miriam" w:hAnsi="Miriam" w:cs="Miriam"/>
          <w:b/>
          <w:bCs/>
          <w:sz w:val="24"/>
          <w:szCs w:val="22"/>
          <w:rtl/>
          <w:lang w:eastAsia="en-US"/>
        </w:rPr>
        <w:t>אלחלים נ' מדינת ישראל</w:t>
      </w:r>
      <w:r>
        <w:rPr>
          <w:rFonts w:ascii="Miriam" w:hAnsi="Miriam"/>
          <w:b/>
          <w:bCs/>
          <w:szCs w:val="22"/>
          <w:rtl/>
        </w:rPr>
        <w:t xml:space="preserve"> </w:t>
      </w:r>
      <w:r>
        <w:rPr>
          <w:rtl/>
        </w:rPr>
        <w:t>(6.4.11) ו-</w:t>
      </w:r>
      <w:hyperlink r:id="rId58" w:history="1">
        <w:r w:rsidR="00D91317" w:rsidRPr="00D91317">
          <w:rPr>
            <w:color w:val="0000FF"/>
            <w:u w:val="single"/>
            <w:rtl/>
          </w:rPr>
          <w:t>ע"פ 9090/00</w:t>
        </w:r>
      </w:hyperlink>
      <w:r>
        <w:rPr>
          <w:rtl/>
        </w:rPr>
        <w:t xml:space="preserve"> </w:t>
      </w:r>
      <w:r>
        <w:rPr>
          <w:rFonts w:ascii="Miriam" w:hAnsi="Miriam" w:cs="Miriam"/>
          <w:b/>
          <w:bCs/>
          <w:sz w:val="24"/>
          <w:szCs w:val="22"/>
          <w:rtl/>
          <w:lang w:eastAsia="en-US"/>
        </w:rPr>
        <w:t>שניידרמן נ' מדינת ישראל</w:t>
      </w:r>
      <w:r>
        <w:rPr>
          <w:rtl/>
        </w:rPr>
        <w:t xml:space="preserve"> (22.2.01) וכן ראו פסק דינה של כב' הש' דינה כהן ב-</w:t>
      </w:r>
      <w:r>
        <w:rPr>
          <w:rFonts w:ascii="Miriam" w:hAnsi="Miriam" w:cs="Miriam"/>
          <w:b/>
          <w:bCs/>
          <w:sz w:val="24"/>
          <w:szCs w:val="22"/>
          <w:rtl/>
          <w:lang w:eastAsia="en-US"/>
        </w:rPr>
        <w:t>ענין עטיה</w:t>
      </w:r>
      <w:r>
        <w:rPr>
          <w:rtl/>
        </w:rPr>
        <w:t xml:space="preserve"> שהובא לעיל]. כך גם אם לא הוכחה פגיעה קונקרטית בתעסוקה, אין בכך כדי ללמד שלא הוכחה פגיעה בשיקום הנאשם.</w:t>
      </w:r>
      <w:r>
        <w:rPr>
          <w:sz w:val="28"/>
          <w:szCs w:val="28"/>
          <w:rtl/>
        </w:rPr>
        <w:t xml:space="preserve"> </w:t>
      </w:r>
      <w:r>
        <w:rPr>
          <w:rtl/>
        </w:rPr>
        <w:t>ב-</w:t>
      </w:r>
      <w:r>
        <w:rPr>
          <w:rFonts w:ascii="Miriam" w:hAnsi="Miriam" w:cs="Miriam"/>
          <w:b/>
          <w:bCs/>
          <w:sz w:val="24"/>
          <w:szCs w:val="22"/>
          <w:rtl/>
          <w:lang w:eastAsia="en-US"/>
        </w:rPr>
        <w:t>רע"פ יצחק</w:t>
      </w:r>
      <w:r>
        <w:rPr>
          <w:rtl/>
        </w:rPr>
        <w:t xml:space="preserve"> קבע בית המשפט העליון כי אף בעבירה חמורה מזו שלפניי, כאשר מדובר היה במי שהורשע בעבירות </w:t>
      </w:r>
      <w:r>
        <w:rPr>
          <w:u w:val="single"/>
          <w:rtl/>
        </w:rPr>
        <w:t>סיוע לאחר מעשה ושיבוש מהלכי משפט בפרשת רצח קשה וכואבת</w:t>
      </w:r>
      <w:r>
        <w:rPr>
          <w:rtl/>
        </w:rPr>
        <w:t xml:space="preserve"> - בהינתן ש"</w:t>
      </w:r>
      <w:r>
        <w:rPr>
          <w:b/>
          <w:bCs/>
          <w:rtl/>
        </w:rPr>
        <w:t>עשויה להיות השפעה שלילית להרשעתו של המערער על עבודתו המקצועית ועל סיכוייו להיקלט בעבודה</w:t>
      </w:r>
      <w:r>
        <w:rPr>
          <w:rtl/>
        </w:rPr>
        <w:t>...", יש מקום להורות על ביטול הרשעה. ב-</w:t>
      </w:r>
      <w:r>
        <w:rPr>
          <w:rFonts w:ascii="Miriam" w:hAnsi="Miriam" w:cs="Miriam"/>
          <w:b/>
          <w:bCs/>
          <w:sz w:val="24"/>
          <w:szCs w:val="22"/>
          <w:rtl/>
          <w:lang w:eastAsia="en-US"/>
        </w:rPr>
        <w:t>ענין קיזר</w:t>
      </w:r>
      <w:r>
        <w:rPr>
          <w:b/>
          <w:bCs/>
          <w:rtl/>
        </w:rPr>
        <w:t xml:space="preserve"> </w:t>
      </w:r>
      <w:r>
        <w:rPr>
          <w:rtl/>
        </w:rPr>
        <w:t>קבע כב' הש' ברסלר-גונן -</w:t>
      </w:r>
    </w:p>
    <w:p w14:paraId="22E610AA" w14:textId="77777777" w:rsidR="00FD77EC" w:rsidRDefault="00FD77EC" w:rsidP="00FD77EC">
      <w:pPr>
        <w:ind w:left="720" w:right="993"/>
        <w:jc w:val="both"/>
        <w:rPr>
          <w:rFonts w:ascii="David" w:hAnsi="David"/>
          <w:rtl/>
        </w:rPr>
      </w:pPr>
      <w:r>
        <w:rPr>
          <w:rFonts w:ascii="Arial" w:hAnsi="Arial"/>
          <w:sz w:val="20"/>
          <w:szCs w:val="20"/>
        </w:rPr>
        <w:t xml:space="preserve"> </w:t>
      </w:r>
    </w:p>
    <w:p w14:paraId="6F1A0207" w14:textId="77777777" w:rsidR="00FD77EC" w:rsidRDefault="00FD77EC" w:rsidP="00FD77EC">
      <w:pPr>
        <w:ind w:left="1440" w:right="993"/>
        <w:jc w:val="both"/>
      </w:pPr>
      <w:r>
        <w:rPr>
          <w:rFonts w:ascii="David" w:hAnsi="David"/>
          <w:rtl/>
        </w:rPr>
        <w:t>"...</w:t>
      </w:r>
      <w:r>
        <w:rPr>
          <w:rFonts w:ascii="David" w:hAnsi="David"/>
          <w:b/>
          <w:bCs/>
          <w:rtl/>
        </w:rPr>
        <w:t>גם בהקשר של הנזק הקונקרטי מצאנו בשנים האחרונות אפשרויות הגמשה במקרים המתאימים, כאשר כאמור עוצמתה של הפגיעה בערכים המוגנים אפשרה זאת, על מנת לאפשר לעבריין להשתקם ולחזור להשתלב בחברה היצרנית ובקהילה</w:t>
      </w:r>
      <w:r>
        <w:rPr>
          <w:rFonts w:ascii="David" w:hAnsi="David"/>
          <w:rtl/>
        </w:rPr>
        <w:t>...</w:t>
      </w:r>
    </w:p>
    <w:p w14:paraId="53CCB031" w14:textId="77777777" w:rsidR="00FD77EC" w:rsidRDefault="00FD77EC" w:rsidP="00FD77EC">
      <w:pPr>
        <w:ind w:left="1440" w:right="993"/>
        <w:jc w:val="both"/>
        <w:rPr>
          <w:rtl/>
        </w:rPr>
      </w:pPr>
      <w:r>
        <w:rPr>
          <w:rFonts w:ascii="David" w:hAnsi="David"/>
          <w:b/>
          <w:bCs/>
          <w:rtl/>
        </w:rPr>
        <w:t>בהקשר של הנזק הקונקרטי, נכון להתבונן על כל נאשם ונאשם. לכל אדם קיימים מאפיינים אחרים, הוא נמצא בסביבה מסויימת ואורח חייו ייחודי. על כן, נזקו יהיה לא אחת תלוי בנתוניו האישיים, בנתוני סביבתו, הקהילה, התרבות וכיוצ"ב נתונים המשפיעים על יכולת התקדמותו והתפתחותו של אדם בסביבתו</w:t>
      </w:r>
      <w:r>
        <w:rPr>
          <w:rFonts w:ascii="David" w:hAnsi="David"/>
          <w:rtl/>
        </w:rPr>
        <w:t>..."</w:t>
      </w:r>
    </w:p>
    <w:p w14:paraId="6E902622" w14:textId="77777777" w:rsidR="00FD77EC" w:rsidRDefault="00FD77EC" w:rsidP="00FD77EC">
      <w:pPr>
        <w:spacing w:line="360" w:lineRule="auto"/>
        <w:ind w:left="720" w:right="993"/>
        <w:jc w:val="both"/>
        <w:rPr>
          <w:rtl/>
        </w:rPr>
      </w:pPr>
      <w:r>
        <w:rPr>
          <w:rFonts w:ascii="David" w:hAnsi="David"/>
          <w:b/>
          <w:bCs/>
          <w:rtl/>
        </w:rPr>
        <w:t xml:space="preserve"> </w:t>
      </w:r>
    </w:p>
    <w:p w14:paraId="2B13DA7E" w14:textId="77777777" w:rsidR="00FD77EC" w:rsidRDefault="00FD77EC" w:rsidP="00FD77EC">
      <w:pPr>
        <w:pStyle w:val="gmail-msonospacing"/>
        <w:bidi/>
        <w:spacing w:before="0" w:beforeAutospacing="0" w:after="0" w:afterAutospacing="0" w:line="360" w:lineRule="auto"/>
        <w:ind w:left="528"/>
        <w:jc w:val="both"/>
        <w:rPr>
          <w:rFonts w:ascii="Calibri" w:hAnsi="Calibri" w:cs="David"/>
          <w:sz w:val="22"/>
          <w:szCs w:val="22"/>
          <w:rtl/>
        </w:rPr>
      </w:pPr>
      <w:r>
        <w:rPr>
          <w:rFonts w:ascii="David" w:hAnsi="David" w:cs="David"/>
          <w:rtl/>
        </w:rPr>
        <w:t>כך, הסתייעות ב"</w:t>
      </w:r>
      <w:r>
        <w:rPr>
          <w:rFonts w:ascii="David" w:hAnsi="David" w:cs="David"/>
          <w:b/>
          <w:bCs/>
          <w:rtl/>
        </w:rPr>
        <w:t>מקבילית הכוחות</w:t>
      </w:r>
      <w:r>
        <w:rPr>
          <w:rFonts w:ascii="David" w:hAnsi="David" w:cs="David"/>
          <w:rtl/>
        </w:rPr>
        <w:t>" ב-</w:t>
      </w:r>
      <w:r>
        <w:rPr>
          <w:rFonts w:ascii="Miriam" w:eastAsia="Times New Roman" w:hAnsi="Miriam" w:cs="Miriam"/>
          <w:b/>
          <w:bCs/>
          <w:szCs w:val="22"/>
          <w:rtl/>
        </w:rPr>
        <w:t>ענין קיזר</w:t>
      </w:r>
      <w:r>
        <w:rPr>
          <w:rFonts w:ascii="David" w:hAnsi="David" w:cs="David"/>
          <w:b/>
          <w:bCs/>
          <w:rtl/>
        </w:rPr>
        <w:t xml:space="preserve"> </w:t>
      </w:r>
      <w:r>
        <w:rPr>
          <w:rFonts w:ascii="David" w:hAnsi="David" w:cs="David"/>
          <w:rtl/>
        </w:rPr>
        <w:t xml:space="preserve">הובילה למסקנה כי גם באותם מקרים בהם לא הוכח נזק קונקרטי, אולם מדובר במי שנעדר עבר פלילי, אשר תרם לחברה במהלך שנים רבות, נכון וראוי להורות על ביטול ההרשעה, כשהעבירה, בנסיבותיה, לא הובילה לפגיעה חמורה בערכים המוגנים, וכלשונו של כב' הש' ברסלר-גונן - </w:t>
      </w:r>
    </w:p>
    <w:p w14:paraId="33B1DC3B" w14:textId="77777777" w:rsidR="00FD77EC" w:rsidRDefault="00FD77EC" w:rsidP="00FD77EC">
      <w:pPr>
        <w:ind w:left="720" w:right="993"/>
        <w:jc w:val="both"/>
        <w:rPr>
          <w:rtl/>
        </w:rPr>
      </w:pPr>
      <w:r>
        <w:rPr>
          <w:rFonts w:ascii="David" w:hAnsi="David"/>
          <w:sz w:val="28"/>
          <w:szCs w:val="28"/>
          <w:rtl/>
        </w:rPr>
        <w:t xml:space="preserve"> </w:t>
      </w:r>
    </w:p>
    <w:p w14:paraId="495A8FB6" w14:textId="77777777" w:rsidR="00FD77EC" w:rsidRDefault="00FD77EC" w:rsidP="00FD77EC">
      <w:pPr>
        <w:ind w:left="1440" w:right="993"/>
        <w:jc w:val="both"/>
        <w:rPr>
          <w:rtl/>
        </w:rPr>
      </w:pPr>
      <w:r>
        <w:rPr>
          <w:rFonts w:ascii="David" w:hAnsi="David"/>
          <w:rtl/>
        </w:rPr>
        <w:t>"</w:t>
      </w:r>
      <w:r>
        <w:rPr>
          <w:rFonts w:ascii="David" w:hAnsi="David"/>
          <w:b/>
          <w:bCs/>
          <w:rtl/>
        </w:rPr>
        <w:t>ההליך אינו נקמני, וכאמור יש לעודד אפשרויות חרטה במהלך מעשה עברייני. האופן שבו פעל המערער במהלך חייו והתנדבותו ושירותו בקהילה, בהחלט צריכים לעמוד לזכותו בעת שהוא נותן את הדין על עבירה שביצע. המקרה שלפנינו מדגים לטעמי את האיזון הנכון במקבילית הכוחות שבה יינתן משקל רב יותר לכך שמדובר באירוע חד פעמי שאינו מאפיין את אורח חייו של המערער, לחרטה המוכחת במהלך האירוע. כך יש לתת משקל לדימוי העצמי של המערער בעייני עצמו ובעייני קהילתו</w:t>
      </w:r>
      <w:r>
        <w:rPr>
          <w:rFonts w:ascii="David" w:hAnsi="David"/>
          <w:rtl/>
        </w:rPr>
        <w:t>,...</w:t>
      </w:r>
      <w:r>
        <w:rPr>
          <w:rFonts w:ascii="David" w:hAnsi="David"/>
          <w:b/>
          <w:bCs/>
          <w:rtl/>
        </w:rPr>
        <w:t xml:space="preserve"> הכל מבלי להקל ראש מחומרת העבירה עצמה. </w:t>
      </w:r>
    </w:p>
    <w:p w14:paraId="32480F83" w14:textId="77777777" w:rsidR="00FD77EC" w:rsidRDefault="00FD77EC" w:rsidP="00FD77EC">
      <w:pPr>
        <w:ind w:left="1440" w:right="993"/>
        <w:jc w:val="both"/>
        <w:rPr>
          <w:rtl/>
        </w:rPr>
      </w:pPr>
      <w:r>
        <w:rPr>
          <w:rFonts w:ascii="David" w:hAnsi="David"/>
          <w:b/>
          <w:bCs/>
          <w:rtl/>
        </w:rPr>
        <w:t>לטעמי לא יהיה בביטול ההרשעה כדי לפגוע בהרתעה הנדרשת ובמסר הנובע מראיית בית המשפט את חומרת האירוע ואת הפגיעה בערכים המוגנים הנובעים מהמעשה אלא, מתן ביטוי קונקרטי גם לשיקולים האישיים בנסיבות העניין</w:t>
      </w:r>
      <w:r>
        <w:rPr>
          <w:rFonts w:ascii="David" w:hAnsi="David"/>
          <w:rtl/>
        </w:rPr>
        <w:t xml:space="preserve">". </w:t>
      </w:r>
    </w:p>
    <w:p w14:paraId="1187D8A1" w14:textId="77777777" w:rsidR="00FD77EC" w:rsidRDefault="00FD77EC" w:rsidP="00FD77EC">
      <w:pPr>
        <w:spacing w:line="360" w:lineRule="auto"/>
        <w:ind w:left="357"/>
        <w:jc w:val="both"/>
        <w:rPr>
          <w:rtl/>
        </w:rPr>
      </w:pPr>
      <w:r>
        <w:rPr>
          <w:rFonts w:ascii="David" w:hAnsi="David"/>
          <w:rtl/>
        </w:rPr>
        <w:t xml:space="preserve"> </w:t>
      </w:r>
    </w:p>
    <w:p w14:paraId="238E4945" w14:textId="77777777" w:rsidR="00FD77EC" w:rsidRDefault="00FD77EC" w:rsidP="00FD77EC">
      <w:pPr>
        <w:pStyle w:val="gmail-msonospacing"/>
        <w:numPr>
          <w:ilvl w:val="0"/>
          <w:numId w:val="1"/>
        </w:numPr>
        <w:bidi/>
        <w:spacing w:before="0" w:beforeAutospacing="0" w:after="0" w:afterAutospacing="0" w:line="360" w:lineRule="auto"/>
        <w:jc w:val="both"/>
        <w:rPr>
          <w:rFonts w:ascii="David" w:hAnsi="David" w:cs="David"/>
          <w:sz w:val="22"/>
          <w:szCs w:val="22"/>
          <w:rtl/>
        </w:rPr>
      </w:pPr>
      <w:r>
        <w:rPr>
          <w:rFonts w:ascii="David" w:hAnsi="David" w:cs="David"/>
          <w:rtl/>
        </w:rPr>
        <w:t>גם ב-</w:t>
      </w:r>
      <w:r>
        <w:rPr>
          <w:rFonts w:ascii="Miriam" w:eastAsia="Times New Roman" w:hAnsi="Miriam" w:cs="Miriam"/>
          <w:b/>
          <w:bCs/>
          <w:szCs w:val="22"/>
          <w:rtl/>
        </w:rPr>
        <w:t xml:space="preserve">ענין אבו מדיעם </w:t>
      </w:r>
      <w:r>
        <w:rPr>
          <w:rFonts w:ascii="David" w:hAnsi="David" w:cs="David"/>
          <w:rtl/>
        </w:rPr>
        <w:t>קבע כב' הש' דנינו, כי קיימים מקרים בהם ניתן "</w:t>
      </w:r>
      <w:r>
        <w:rPr>
          <w:rFonts w:ascii="David" w:hAnsi="David" w:cs="David"/>
          <w:b/>
          <w:bCs/>
          <w:rtl/>
        </w:rPr>
        <w:t>לבחון את הפגיעה בשיקומו של הנאשם בפריזמה מרוככת יותר, במובן זה שגם אם לא מוכח נזק קונקרטי או אף מידת וודאות קרובה לקיומו של נזק קונקרטי, אלא אך 'השפעה שלילית להרשעתו של המערער על עתידו המקצועי ועל סיכוייו להיקלט בעבודה, לפחות במגזר הציבורי</w:t>
      </w:r>
      <w:r>
        <w:rPr>
          <w:rFonts w:ascii="David" w:hAnsi="David" w:cs="David"/>
          <w:rtl/>
        </w:rPr>
        <w:t>'...,</w:t>
      </w:r>
      <w:r>
        <w:rPr>
          <w:rFonts w:ascii="David" w:hAnsi="David" w:cs="David"/>
          <w:b/>
          <w:bCs/>
          <w:rtl/>
        </w:rPr>
        <w:t xml:space="preserve"> הרי העולה מהמקובץ יניב מסקנה כי בנסיבות מקרה נתון, על מאפייניו, יהא בכוחו של בית המשפט לשקול את ביטול ההרשעה</w:t>
      </w:r>
      <w:r>
        <w:rPr>
          <w:rFonts w:ascii="David" w:hAnsi="David" w:cs="David"/>
          <w:rtl/>
        </w:rPr>
        <w:t>". כך, די בקיומה של "</w:t>
      </w:r>
      <w:r>
        <w:rPr>
          <w:rFonts w:ascii="David" w:hAnsi="David" w:cs="David"/>
          <w:b/>
          <w:bCs/>
          <w:rtl/>
        </w:rPr>
        <w:t>הסתברות קרובה למדי</w:t>
      </w:r>
      <w:r>
        <w:rPr>
          <w:rFonts w:ascii="David" w:hAnsi="David" w:cs="David"/>
          <w:rtl/>
        </w:rPr>
        <w:t>" שנאשם "</w:t>
      </w:r>
      <w:r>
        <w:rPr>
          <w:rFonts w:ascii="David" w:hAnsi="David" w:cs="David"/>
          <w:b/>
          <w:bCs/>
          <w:rtl/>
        </w:rPr>
        <w:t>ייתקל בקושי ממשי</w:t>
      </w:r>
      <w:r>
        <w:rPr>
          <w:rFonts w:ascii="David" w:hAnsi="David" w:cs="David"/>
          <w:rtl/>
        </w:rPr>
        <w:t>" להתקבל לעבודה או לקבל רישיון "</w:t>
      </w:r>
      <w:r>
        <w:rPr>
          <w:rFonts w:ascii="David" w:hAnsi="David" w:cs="David"/>
          <w:b/>
          <w:bCs/>
          <w:rtl/>
        </w:rPr>
        <w:t>על רקע הרשעתו. למצער, ניתן לומר כי להרשעתו תהא 'השפעה שלילית' על עתידו המקצועי ועל סיכוייו להיקלט בעבודה, לפחות במגזר הציבורי</w:t>
      </w:r>
      <w:r>
        <w:rPr>
          <w:rFonts w:ascii="David" w:hAnsi="David" w:cs="David"/>
          <w:rtl/>
        </w:rPr>
        <w:t>" כדי להוביל למסקנה שניתן לסיים את התיק בביטול הרשעה.</w:t>
      </w:r>
    </w:p>
    <w:p w14:paraId="249D990F" w14:textId="77777777" w:rsidR="00FD77EC" w:rsidRDefault="00FD77EC" w:rsidP="00FD77EC">
      <w:pPr>
        <w:pStyle w:val="gmail-msonospacing"/>
        <w:bidi/>
        <w:spacing w:before="0" w:beforeAutospacing="0" w:after="0" w:afterAutospacing="0" w:line="360" w:lineRule="auto"/>
        <w:jc w:val="both"/>
        <w:rPr>
          <w:rFonts w:ascii="Calibri" w:hAnsi="Calibri" w:cs="David"/>
          <w:sz w:val="22"/>
          <w:szCs w:val="22"/>
          <w:rtl/>
        </w:rPr>
      </w:pPr>
    </w:p>
    <w:p w14:paraId="4D05A8BE" w14:textId="77777777" w:rsidR="00FD77EC" w:rsidRDefault="00FD77EC" w:rsidP="00FD77EC">
      <w:pPr>
        <w:pStyle w:val="gmail-msonospacing"/>
        <w:numPr>
          <w:ilvl w:val="0"/>
          <w:numId w:val="1"/>
        </w:numPr>
        <w:bidi/>
        <w:spacing w:before="0" w:beforeAutospacing="0" w:after="0" w:afterAutospacing="0" w:line="360" w:lineRule="auto"/>
        <w:jc w:val="both"/>
        <w:rPr>
          <w:rFonts w:ascii="David" w:hAnsi="David" w:cs="David"/>
          <w:sz w:val="22"/>
          <w:szCs w:val="22"/>
          <w:rtl/>
        </w:rPr>
      </w:pPr>
      <w:r>
        <w:rPr>
          <w:rFonts w:ascii="David" w:hAnsi="David" w:cs="David"/>
          <w:rtl/>
        </w:rPr>
        <w:t xml:space="preserve">הנאשם עובד כראש צוות בחברת "ספיר מדידות", כמנהל תחום הרחפנים – במסגרתו נותן שירות לבסיסי חיל האוויר ולמפעלים בתחום הבטחון. הרשעתו עלולה להוביל לכך שיאבד את מקום עבודתו. בגיל 52 למצוא עבודה קשה ומורכב יותר מאשר בגילי 20–30 ולאבדן מקור הפרנסה תהיה השלכה לא רק על הנאשם ועל המשך הליך שיקומו, אלא גם על בני ביתו, זוגתו, בנותיו, אחיו והוריו. </w:t>
      </w:r>
    </w:p>
    <w:p w14:paraId="6D27681F" w14:textId="77777777" w:rsidR="00FD77EC" w:rsidRDefault="00FD77EC" w:rsidP="00FD77EC">
      <w:pPr>
        <w:pStyle w:val="aa"/>
        <w:spacing w:line="360" w:lineRule="auto"/>
        <w:rPr>
          <w:rtl/>
        </w:rPr>
      </w:pPr>
    </w:p>
    <w:p w14:paraId="1BD26B12" w14:textId="77777777" w:rsidR="00FD77EC" w:rsidRDefault="00FD77EC" w:rsidP="00FD77EC">
      <w:pPr>
        <w:pStyle w:val="gmail-msonospacing"/>
        <w:widowControl w:val="0"/>
        <w:numPr>
          <w:ilvl w:val="0"/>
          <w:numId w:val="1"/>
        </w:numPr>
        <w:bidi/>
        <w:spacing w:before="0" w:beforeAutospacing="0" w:after="0" w:afterAutospacing="0" w:line="360" w:lineRule="auto"/>
        <w:jc w:val="both"/>
        <w:rPr>
          <w:rFonts w:ascii="David" w:hAnsi="David"/>
          <w:b/>
          <w:bCs/>
          <w:sz w:val="26"/>
          <w:szCs w:val="26"/>
          <w:rtl/>
        </w:rPr>
      </w:pPr>
      <w:r>
        <w:rPr>
          <w:rFonts w:ascii="David" w:hAnsi="David" w:cs="David"/>
          <w:rtl/>
        </w:rPr>
        <w:t>עולה מן המקובץ כי עלה בידי ההגנה להראות שבעניינו של הנאשם מתקיימים שני התנאים שנקבעו ב-</w:t>
      </w:r>
      <w:r>
        <w:rPr>
          <w:rFonts w:ascii="Miriam" w:eastAsia="Times New Roman" w:hAnsi="Miriam" w:cs="Miriam"/>
          <w:b/>
          <w:bCs/>
          <w:szCs w:val="22"/>
          <w:rtl/>
        </w:rPr>
        <w:t>הלכת כתב</w:t>
      </w:r>
      <w:r>
        <w:rPr>
          <w:rFonts w:ascii="David" w:hAnsi="David" w:cs="David"/>
          <w:rtl/>
        </w:rPr>
        <w:t xml:space="preserve">. ראשית, כפי שקבעתי לעיל, מהפסיקה עולה כי בנסיבות מסוימות, גם בעבירה של גידול סם מסוכן והחזקת כלים לגידולו – ניתן לסיים הליך בביטול ההרשעה. בנוסף, הנאשם הראה קיומה של הסתברות קרובה למדי שהוא עלול להיתקל בקושי ממשי להמשיך לעבוד בשל הרשעתו ולאור אופי עבודתו המחייב היעדר רישום פלילי – נזק החורג מהנזק "הרגיל" שנגרם לנאשמים מהרשעתם, בעיקר בהינתן גילו ונסיבותיו האישיות. </w:t>
      </w:r>
    </w:p>
    <w:p w14:paraId="7262441D" w14:textId="77777777" w:rsidR="00FD77EC" w:rsidRDefault="00FD77EC" w:rsidP="00FD77EC">
      <w:pPr>
        <w:widowControl w:val="0"/>
        <w:spacing w:line="360" w:lineRule="auto"/>
        <w:jc w:val="both"/>
        <w:rPr>
          <w:rFonts w:ascii="David" w:hAnsi="David"/>
          <w:b/>
          <w:bCs/>
          <w:sz w:val="26"/>
          <w:szCs w:val="26"/>
        </w:rPr>
      </w:pPr>
    </w:p>
    <w:p w14:paraId="3EDBFDAD" w14:textId="77777777" w:rsidR="00FD77EC" w:rsidRDefault="00FD77EC" w:rsidP="00FD77EC">
      <w:pPr>
        <w:widowControl w:val="0"/>
        <w:spacing w:line="360" w:lineRule="auto"/>
        <w:jc w:val="both"/>
        <w:rPr>
          <w:rFonts w:ascii="David" w:hAnsi="David"/>
          <w:b/>
          <w:bCs/>
          <w:sz w:val="26"/>
          <w:szCs w:val="26"/>
          <w:rtl/>
        </w:rPr>
      </w:pPr>
      <w:r>
        <w:rPr>
          <w:rFonts w:ascii="David" w:hAnsi="David"/>
          <w:b/>
          <w:bCs/>
          <w:sz w:val="26"/>
          <w:szCs w:val="26"/>
          <w:rtl/>
        </w:rPr>
        <w:t>סוף דבר</w:t>
      </w:r>
    </w:p>
    <w:p w14:paraId="189FBA7B" w14:textId="77777777" w:rsidR="00FD77EC" w:rsidRDefault="00FD77EC" w:rsidP="00FD77EC">
      <w:pPr>
        <w:pStyle w:val="aa"/>
        <w:widowControl w:val="0"/>
        <w:numPr>
          <w:ilvl w:val="0"/>
          <w:numId w:val="1"/>
        </w:numPr>
        <w:spacing w:line="360" w:lineRule="auto"/>
        <w:ind w:left="360"/>
        <w:jc w:val="both"/>
        <w:rPr>
          <w:b/>
          <w:bCs/>
          <w:rtl/>
        </w:rPr>
      </w:pPr>
      <w:r>
        <w:rPr>
          <w:rtl/>
        </w:rPr>
        <w:t xml:space="preserve">מכל המקובץ לעיל, מצאתי כי האיזון בין האינטרס הציבורי בהרתעה היחיד והרבים, כמו גם הוקעת עבירות סמים – לבין אינטרס הנאשם, נוכח הנסיבות הייחודיות של הנאשם, שיתוף הפעולה שלו אל מול גורמי הטיפול, החשש הממשי שהרשעה תפגע בעבודתו, בהתחשב בעברו הנקי, בשירותו הצבאי, בקיום אורח חיים תקין ויצרני, ומעל הכל – ההודאה, הבעת החרטה ושיתוף הפעולה הן עם רשויות החוק והן עם ההליך הטיפולי במסגרת שירות המבחן – מצאתי שיש להורות על </w:t>
      </w:r>
      <w:r>
        <w:rPr>
          <w:b/>
          <w:bCs/>
          <w:rtl/>
        </w:rPr>
        <w:t xml:space="preserve">ביטול הרשעת הנאשם, כך שההליך יסתיים ללא הרשעה ובנוסף יושתו על הנאשם: </w:t>
      </w:r>
    </w:p>
    <w:p w14:paraId="42C1B1FD" w14:textId="77777777" w:rsidR="00FD77EC" w:rsidRDefault="00FD77EC" w:rsidP="00FD77EC">
      <w:pPr>
        <w:pStyle w:val="gmail-msonospacing"/>
        <w:bidi/>
        <w:spacing w:before="0" w:beforeAutospacing="0" w:after="0" w:afterAutospacing="0" w:line="360" w:lineRule="auto"/>
        <w:ind w:left="510"/>
        <w:jc w:val="both"/>
        <w:rPr>
          <w:rFonts w:ascii="David" w:hAnsi="David" w:cs="David"/>
          <w:sz w:val="20"/>
          <w:szCs w:val="20"/>
          <w:rtl/>
        </w:rPr>
      </w:pPr>
      <w:r>
        <w:rPr>
          <w:rFonts w:ascii="David" w:hAnsi="David" w:cs="David"/>
        </w:rPr>
        <w:t xml:space="preserve"> </w:t>
      </w:r>
    </w:p>
    <w:p w14:paraId="1BD5FE52" w14:textId="77777777" w:rsidR="00FD77EC" w:rsidRDefault="00FD77EC" w:rsidP="00FD77EC">
      <w:pPr>
        <w:pStyle w:val="aa"/>
        <w:numPr>
          <w:ilvl w:val="0"/>
          <w:numId w:val="3"/>
        </w:numPr>
        <w:snapToGrid/>
        <w:spacing w:line="360" w:lineRule="auto"/>
        <w:ind w:left="1151" w:hanging="624"/>
        <w:jc w:val="both"/>
      </w:pPr>
      <w:r>
        <w:rPr>
          <w:b/>
          <w:bCs/>
          <w:rtl/>
        </w:rPr>
        <w:t>5,000 ₪ התחייבות</w:t>
      </w:r>
      <w:r>
        <w:rPr>
          <w:rtl/>
        </w:rPr>
        <w:t xml:space="preserve"> למשך שנה מהיום, שלא יעבור כל עבירה על </w:t>
      </w:r>
      <w:r>
        <w:rPr>
          <w:rFonts w:ascii="Miriam" w:hAnsi="Miriam" w:cs="Miriam"/>
          <w:b/>
          <w:bCs/>
          <w:sz w:val="24"/>
          <w:szCs w:val="22"/>
          <w:rtl/>
          <w:lang w:eastAsia="en-US"/>
        </w:rPr>
        <w:t>פקודת הסמים</w:t>
      </w:r>
      <w:r>
        <w:rPr>
          <w:rtl/>
        </w:rPr>
        <w:t>.</w:t>
      </w:r>
    </w:p>
    <w:p w14:paraId="7B8A473C" w14:textId="77777777" w:rsidR="00FD77EC" w:rsidRDefault="00FD77EC" w:rsidP="00FD77EC">
      <w:pPr>
        <w:pStyle w:val="aa"/>
        <w:spacing w:line="360" w:lineRule="auto"/>
        <w:ind w:left="1151"/>
        <w:jc w:val="both"/>
        <w:rPr>
          <w:rFonts w:ascii="Times New Roman" w:hAnsi="Times New Roman"/>
          <w:rtl/>
        </w:rPr>
      </w:pPr>
      <w:r>
        <w:rPr>
          <w:b/>
          <w:bCs/>
          <w:rtl/>
        </w:rPr>
        <w:t>על הנאשם להצהיר על ההתחייבות היום</w:t>
      </w:r>
      <w:r>
        <w:rPr>
          <w:rtl/>
        </w:rPr>
        <w:t xml:space="preserve">. לא יצהיר על ההתחייבות היום - יהיה על הנאשם לרצות 30 ימי מאסר בפועל לשם כפיה. </w:t>
      </w:r>
    </w:p>
    <w:p w14:paraId="02DBB286" w14:textId="77777777" w:rsidR="00FD77EC" w:rsidRDefault="00FD77EC" w:rsidP="00FD77EC">
      <w:pPr>
        <w:pStyle w:val="aa"/>
        <w:ind w:left="1151"/>
        <w:jc w:val="both"/>
        <w:rPr>
          <w:rtl/>
        </w:rPr>
      </w:pPr>
    </w:p>
    <w:p w14:paraId="415C7D8B" w14:textId="77777777" w:rsidR="00FD77EC" w:rsidRDefault="00FD77EC" w:rsidP="00FD77EC">
      <w:pPr>
        <w:pStyle w:val="aa"/>
        <w:numPr>
          <w:ilvl w:val="0"/>
          <w:numId w:val="3"/>
        </w:numPr>
        <w:snapToGrid/>
        <w:spacing w:line="360" w:lineRule="auto"/>
        <w:ind w:left="1151" w:hanging="624"/>
        <w:jc w:val="both"/>
        <w:rPr>
          <w:rtl/>
        </w:rPr>
      </w:pPr>
      <w:r>
        <w:rPr>
          <w:rtl/>
        </w:rPr>
        <w:t xml:space="preserve">הנאשם יבצע 340 שעות שירות לתועלת הציבור בהתאם לתכנית אותה יגבש שירות המבחן (להלן: </w:t>
      </w:r>
      <w:r>
        <w:rPr>
          <w:b/>
          <w:bCs/>
          <w:rtl/>
        </w:rPr>
        <w:t>צו של"ץ</w:t>
      </w:r>
      <w:r>
        <w:rPr>
          <w:rtl/>
        </w:rPr>
        <w:t xml:space="preserve">). שירות המבחן יגיש תכנית של"ץ עד ליום 11.6.24. </w:t>
      </w:r>
    </w:p>
    <w:p w14:paraId="1449268D" w14:textId="77777777" w:rsidR="00FD77EC" w:rsidRDefault="00FD77EC" w:rsidP="00FD77EC">
      <w:pPr>
        <w:spacing w:line="360" w:lineRule="auto"/>
        <w:ind w:left="527"/>
        <w:jc w:val="both"/>
        <w:rPr>
          <w:b/>
          <w:bCs/>
          <w:rtl/>
        </w:rPr>
      </w:pPr>
    </w:p>
    <w:p w14:paraId="5558ACAA" w14:textId="77777777" w:rsidR="00FD77EC" w:rsidRDefault="00FD77EC" w:rsidP="00FD77EC">
      <w:pPr>
        <w:pStyle w:val="aa"/>
        <w:numPr>
          <w:ilvl w:val="0"/>
          <w:numId w:val="3"/>
        </w:numPr>
        <w:snapToGrid/>
        <w:spacing w:line="360" w:lineRule="auto"/>
        <w:ind w:left="1151" w:hanging="624"/>
        <w:jc w:val="both"/>
        <w:rPr>
          <w:rtl/>
        </w:rPr>
      </w:pPr>
      <w:r>
        <w:rPr>
          <w:rtl/>
        </w:rPr>
        <w:t>הנאשם יעמוד בפיקוח שירות המבחן למשך שנה מהיום</w:t>
      </w:r>
      <w:r>
        <w:rPr>
          <w:b/>
          <w:bCs/>
          <w:rtl/>
        </w:rPr>
        <w:t xml:space="preserve"> </w:t>
      </w:r>
      <w:r>
        <w:rPr>
          <w:rtl/>
        </w:rPr>
        <w:t>(להלן:</w:t>
      </w:r>
      <w:r>
        <w:rPr>
          <w:b/>
          <w:bCs/>
          <w:rtl/>
        </w:rPr>
        <w:t xml:space="preserve"> צו מבחן</w:t>
      </w:r>
      <w:r>
        <w:rPr>
          <w:rtl/>
        </w:rPr>
        <w:t xml:space="preserve">). </w:t>
      </w:r>
    </w:p>
    <w:p w14:paraId="45E4CD80" w14:textId="77777777" w:rsidR="00FD77EC" w:rsidRDefault="00FD77EC" w:rsidP="00FD77EC">
      <w:pPr>
        <w:pStyle w:val="aa"/>
        <w:spacing w:line="360" w:lineRule="auto"/>
        <w:ind w:left="1151"/>
        <w:jc w:val="both"/>
        <w:rPr>
          <w:rtl/>
        </w:rPr>
      </w:pPr>
    </w:p>
    <w:p w14:paraId="75AC75DF" w14:textId="77777777" w:rsidR="00FD77EC" w:rsidRDefault="00FD77EC" w:rsidP="00FD77EC">
      <w:pPr>
        <w:pStyle w:val="aa"/>
        <w:numPr>
          <w:ilvl w:val="0"/>
          <w:numId w:val="3"/>
        </w:numPr>
        <w:snapToGrid/>
        <w:spacing w:line="360" w:lineRule="auto"/>
        <w:ind w:left="1151" w:hanging="624"/>
        <w:jc w:val="both"/>
      </w:pPr>
      <w:r>
        <w:rPr>
          <w:b/>
          <w:bCs/>
          <w:rtl/>
        </w:rPr>
        <w:t>הנאשם ישלם פיצוי בסך 5,000 ₪ לעמותת אל - סם</w:t>
      </w:r>
      <w:r>
        <w:rPr>
          <w:rtl/>
        </w:rPr>
        <w:t>. הפיצוי ישולם עד ליום 28.6.24.</w:t>
      </w:r>
    </w:p>
    <w:p w14:paraId="7432EC10" w14:textId="77777777" w:rsidR="00FD77EC" w:rsidRDefault="00FD77EC" w:rsidP="00FD77EC">
      <w:pPr>
        <w:pStyle w:val="aa"/>
      </w:pPr>
    </w:p>
    <w:p w14:paraId="60970BFC" w14:textId="77777777" w:rsidR="00FD77EC" w:rsidRDefault="00FD77EC" w:rsidP="00FD77EC">
      <w:pPr>
        <w:pStyle w:val="gmail-msolistparagraph"/>
        <w:bidi/>
        <w:spacing w:before="0" w:beforeAutospacing="0" w:after="0" w:afterAutospacing="0" w:line="360" w:lineRule="auto"/>
        <w:ind w:left="1284"/>
        <w:jc w:val="both"/>
        <w:rPr>
          <w:rFonts w:ascii="David" w:hAnsi="David" w:cs="David"/>
          <w:rtl/>
        </w:rPr>
      </w:pPr>
    </w:p>
    <w:p w14:paraId="1DB3AB39" w14:textId="77777777" w:rsidR="00FD77EC" w:rsidRDefault="00FD77EC" w:rsidP="00FD77EC">
      <w:pPr>
        <w:pStyle w:val="aa"/>
        <w:numPr>
          <w:ilvl w:val="0"/>
          <w:numId w:val="3"/>
        </w:numPr>
        <w:snapToGrid/>
        <w:spacing w:line="360" w:lineRule="auto"/>
        <w:ind w:left="1151" w:hanging="624"/>
        <w:jc w:val="both"/>
        <w:rPr>
          <w:rtl/>
        </w:rPr>
      </w:pPr>
      <w:r>
        <w:rPr>
          <w:b/>
          <w:bCs/>
          <w:rtl/>
        </w:rPr>
        <w:t>6 חודשי פסילה על תנאי מלקבל או מהחזיק רישיון נהיגה</w:t>
      </w:r>
      <w:r>
        <w:rPr>
          <w:rtl/>
        </w:rPr>
        <w:t xml:space="preserve">. התנאי הוא שבמשך שנה מהיום לא יעבור עבירה על </w:t>
      </w:r>
      <w:r>
        <w:rPr>
          <w:rFonts w:ascii="Miriam" w:hAnsi="Miriam" w:cs="Miriam"/>
          <w:b/>
          <w:bCs/>
          <w:sz w:val="24"/>
          <w:szCs w:val="22"/>
          <w:rtl/>
          <w:lang w:eastAsia="en-US"/>
        </w:rPr>
        <w:t>פקודת הסמים</w:t>
      </w:r>
      <w:r>
        <w:rPr>
          <w:rtl/>
        </w:rPr>
        <w:t>.</w:t>
      </w:r>
    </w:p>
    <w:p w14:paraId="10BC7A09" w14:textId="77777777" w:rsidR="00FD77EC" w:rsidRDefault="00FD77EC" w:rsidP="00FD77EC">
      <w:pPr>
        <w:pStyle w:val="aa"/>
        <w:spacing w:line="360" w:lineRule="auto"/>
        <w:rPr>
          <w:rFonts w:ascii="Times New Roman" w:hAnsi="Times New Roman"/>
          <w:rtl/>
        </w:rPr>
      </w:pPr>
    </w:p>
    <w:p w14:paraId="29A253F5" w14:textId="77777777" w:rsidR="00FD77EC" w:rsidRDefault="00FD77EC" w:rsidP="00FD77EC">
      <w:pPr>
        <w:spacing w:line="360" w:lineRule="auto"/>
        <w:jc w:val="both"/>
        <w:rPr>
          <w:rtl/>
        </w:rPr>
      </w:pPr>
      <w:r>
        <w:rPr>
          <w:b/>
          <w:bCs/>
          <w:rtl/>
        </w:rPr>
        <w:t>מובהר לנאשם כי אם לא יבצע את צו השל"צ כנדרש או לא יעמוד בצו המבחן - יוחזר עניינו לדיון בבית המשפט, הוא יורשע ודינו ייגזר מחדש</w:t>
      </w:r>
      <w:r>
        <w:rPr>
          <w:rtl/>
        </w:rPr>
        <w:t>.</w:t>
      </w:r>
    </w:p>
    <w:p w14:paraId="537BA9AE" w14:textId="77777777" w:rsidR="00FD77EC" w:rsidRDefault="00FD77EC" w:rsidP="00FD77EC">
      <w:pPr>
        <w:spacing w:line="360" w:lineRule="auto"/>
        <w:jc w:val="both"/>
        <w:rPr>
          <w:b/>
          <w:bCs/>
          <w:u w:val="single"/>
        </w:rPr>
      </w:pPr>
    </w:p>
    <w:p w14:paraId="4A296395" w14:textId="77777777" w:rsidR="00FD77EC" w:rsidRDefault="00FD77EC" w:rsidP="00FD77EC">
      <w:pPr>
        <w:spacing w:line="360" w:lineRule="auto"/>
        <w:jc w:val="both"/>
        <w:rPr>
          <w:b/>
          <w:bCs/>
          <w:rtl/>
        </w:rPr>
      </w:pPr>
      <w:r>
        <w:rPr>
          <w:b/>
          <w:bCs/>
          <w:u w:val="single"/>
          <w:rtl/>
        </w:rPr>
        <w:t>ניתן לשלם את הפיצוי באחת הדרכים הבאות</w:t>
      </w:r>
      <w:r>
        <w:rPr>
          <w:b/>
          <w:bCs/>
          <w:rtl/>
        </w:rPr>
        <w:t>:</w:t>
      </w:r>
    </w:p>
    <w:p w14:paraId="30DE3022" w14:textId="77777777" w:rsidR="00FD77EC" w:rsidRDefault="00FD77EC" w:rsidP="00FD77EC">
      <w:pPr>
        <w:pStyle w:val="gmail-msolistparagraph"/>
        <w:bidi/>
        <w:spacing w:before="0" w:beforeAutospacing="0" w:after="0" w:afterAutospacing="0" w:line="360" w:lineRule="auto"/>
        <w:jc w:val="both"/>
        <w:rPr>
          <w:rFonts w:ascii="David" w:hAnsi="David" w:cs="David"/>
        </w:rPr>
      </w:pPr>
      <w:r>
        <w:rPr>
          <w:rFonts w:ascii="David" w:hAnsi="David" w:cs="David"/>
        </w:rPr>
        <w:sym w:font="Symbol" w:char="F0AC"/>
      </w:r>
      <w:r>
        <w:rPr>
          <w:rFonts w:ascii="David" w:hAnsi="David" w:cs="David"/>
          <w:rtl/>
        </w:rPr>
        <w:t xml:space="preserve">    בכרטיס</w:t>
      </w:r>
      <w:r>
        <w:rPr>
          <w:rFonts w:ascii="David" w:hAnsi="David" w:cs="David"/>
        </w:rPr>
        <w:t xml:space="preserve"> </w:t>
      </w:r>
      <w:r>
        <w:rPr>
          <w:rFonts w:ascii="David" w:hAnsi="David" w:cs="David"/>
          <w:rtl/>
        </w:rPr>
        <w:t>אשראי - באתר</w:t>
      </w:r>
      <w:r>
        <w:rPr>
          <w:rFonts w:ascii="David" w:hAnsi="David" w:cs="David"/>
        </w:rPr>
        <w:t xml:space="preserve"> </w:t>
      </w:r>
      <w:r>
        <w:rPr>
          <w:rFonts w:ascii="David" w:hAnsi="David" w:cs="David"/>
          <w:rtl/>
        </w:rPr>
        <w:t>המקוון</w:t>
      </w:r>
      <w:r>
        <w:rPr>
          <w:rFonts w:ascii="David" w:hAnsi="David" w:cs="David"/>
        </w:rPr>
        <w:t xml:space="preserve"> </w:t>
      </w:r>
      <w:r>
        <w:rPr>
          <w:rFonts w:ascii="David" w:hAnsi="David" w:cs="David"/>
          <w:rtl/>
        </w:rPr>
        <w:t>של</w:t>
      </w:r>
      <w:r>
        <w:rPr>
          <w:rFonts w:ascii="David" w:hAnsi="David" w:cs="David"/>
        </w:rPr>
        <w:t xml:space="preserve"> </w:t>
      </w:r>
      <w:r>
        <w:rPr>
          <w:rFonts w:ascii="David" w:hAnsi="David" w:cs="David"/>
          <w:rtl/>
        </w:rPr>
        <w:t>רשות</w:t>
      </w:r>
      <w:r>
        <w:rPr>
          <w:rFonts w:ascii="David" w:hAnsi="David" w:cs="David"/>
        </w:rPr>
        <w:t xml:space="preserve"> </w:t>
      </w:r>
      <w:r>
        <w:rPr>
          <w:rFonts w:ascii="David" w:hAnsi="David" w:cs="David"/>
          <w:rtl/>
        </w:rPr>
        <w:t>האכיפה</w:t>
      </w:r>
      <w:r>
        <w:rPr>
          <w:rFonts w:ascii="David" w:hAnsi="David" w:cs="David"/>
        </w:rPr>
        <w:t xml:space="preserve"> </w:t>
      </w:r>
      <w:r>
        <w:rPr>
          <w:rFonts w:ascii="David" w:hAnsi="David" w:cs="David"/>
          <w:rtl/>
        </w:rPr>
        <w:t>והגבייה</w:t>
      </w:r>
      <w:r>
        <w:rPr>
          <w:rFonts w:ascii="David" w:hAnsi="David" w:cs="David"/>
        </w:rPr>
        <w:t xml:space="preserve">www.eca.gov.il </w:t>
      </w:r>
      <w:r>
        <w:rPr>
          <w:rFonts w:ascii="David" w:hAnsi="David" w:cs="David"/>
          <w:rtl/>
        </w:rPr>
        <w:t>.</w:t>
      </w:r>
    </w:p>
    <w:p w14:paraId="56E95C7F" w14:textId="77777777" w:rsidR="00FD77EC" w:rsidRDefault="00FD77EC" w:rsidP="00FD77EC">
      <w:pPr>
        <w:pStyle w:val="gmail-msolistparagraph"/>
        <w:bidi/>
        <w:spacing w:before="0" w:beforeAutospacing="0" w:after="0" w:afterAutospacing="0" w:line="360" w:lineRule="auto"/>
        <w:jc w:val="both"/>
        <w:rPr>
          <w:rFonts w:ascii="David" w:hAnsi="David" w:cs="David"/>
        </w:rPr>
      </w:pPr>
      <w:r>
        <w:rPr>
          <w:rFonts w:ascii="David" w:hAnsi="David" w:cs="David"/>
        </w:rPr>
        <w:sym w:font="Symbol" w:char="F0AC"/>
      </w:r>
      <w:r>
        <w:rPr>
          <w:rFonts w:ascii="David" w:hAnsi="David" w:cs="David"/>
          <w:rtl/>
        </w:rPr>
        <w:t xml:space="preserve">  מוקד</w:t>
      </w:r>
      <w:r>
        <w:rPr>
          <w:rFonts w:ascii="David" w:hAnsi="David" w:cs="David"/>
        </w:rPr>
        <w:t xml:space="preserve"> </w:t>
      </w:r>
      <w:r>
        <w:rPr>
          <w:rFonts w:ascii="David" w:hAnsi="David" w:cs="David"/>
          <w:rtl/>
        </w:rPr>
        <w:t>שירות</w:t>
      </w:r>
      <w:r>
        <w:rPr>
          <w:rFonts w:ascii="David" w:hAnsi="David" w:cs="David"/>
        </w:rPr>
        <w:t xml:space="preserve"> </w:t>
      </w:r>
      <w:r>
        <w:rPr>
          <w:rFonts w:ascii="David" w:hAnsi="David" w:cs="David"/>
          <w:rtl/>
        </w:rPr>
        <w:t>טלפוני</w:t>
      </w:r>
      <w:r>
        <w:rPr>
          <w:rFonts w:ascii="David" w:hAnsi="David" w:cs="David"/>
        </w:rPr>
        <w:t xml:space="preserve"> </w:t>
      </w:r>
      <w:r>
        <w:rPr>
          <w:rFonts w:ascii="David" w:hAnsi="David" w:cs="David"/>
          <w:rtl/>
        </w:rPr>
        <w:t>(בשרות</w:t>
      </w:r>
      <w:r>
        <w:rPr>
          <w:rFonts w:ascii="David" w:hAnsi="David" w:cs="David"/>
        </w:rPr>
        <w:t xml:space="preserve"> </w:t>
      </w:r>
      <w:r>
        <w:rPr>
          <w:rFonts w:ascii="David" w:hAnsi="David" w:cs="David"/>
          <w:rtl/>
        </w:rPr>
        <w:t>עצמי) מרכז</w:t>
      </w:r>
      <w:r>
        <w:rPr>
          <w:rFonts w:ascii="David" w:hAnsi="David" w:cs="David"/>
        </w:rPr>
        <w:t xml:space="preserve"> </w:t>
      </w:r>
      <w:r>
        <w:rPr>
          <w:rFonts w:ascii="David" w:hAnsi="David" w:cs="David"/>
          <w:rtl/>
        </w:rPr>
        <w:t>גבייה - במספר *</w:t>
      </w:r>
      <w:r>
        <w:rPr>
          <w:rFonts w:ascii="David" w:hAnsi="David" w:cs="David"/>
        </w:rPr>
        <w:t>35592</w:t>
      </w:r>
      <w:r>
        <w:rPr>
          <w:rFonts w:ascii="David" w:hAnsi="David" w:cs="David"/>
          <w:rtl/>
        </w:rPr>
        <w:t xml:space="preserve"> או</w:t>
      </w:r>
      <w:r>
        <w:rPr>
          <w:rFonts w:ascii="David" w:hAnsi="David" w:cs="David"/>
        </w:rPr>
        <w:t xml:space="preserve">073-2055000 </w:t>
      </w:r>
    </w:p>
    <w:p w14:paraId="518E4D4D" w14:textId="77777777" w:rsidR="00FD77EC" w:rsidRDefault="00FD77EC" w:rsidP="00FD77EC">
      <w:pPr>
        <w:pStyle w:val="gmail-msolistparagraph"/>
        <w:bidi/>
        <w:spacing w:before="0" w:beforeAutospacing="0" w:after="0" w:afterAutospacing="0" w:line="360" w:lineRule="auto"/>
        <w:jc w:val="both"/>
        <w:rPr>
          <w:rFonts w:ascii="David" w:hAnsi="David" w:cs="David"/>
          <w:rtl/>
        </w:rPr>
      </w:pPr>
      <w:r>
        <w:rPr>
          <w:rFonts w:ascii="David" w:hAnsi="David" w:cs="David"/>
        </w:rPr>
        <w:sym w:font="Symbol" w:char="F0AC"/>
      </w:r>
      <w:r>
        <w:rPr>
          <w:rFonts w:ascii="David" w:hAnsi="David" w:cs="David"/>
          <w:rtl/>
        </w:rPr>
        <w:t xml:space="preserve">   במזומן</w:t>
      </w:r>
      <w:r>
        <w:rPr>
          <w:rFonts w:ascii="David" w:hAnsi="David" w:cs="David"/>
        </w:rPr>
        <w:t xml:space="preserve"> </w:t>
      </w:r>
      <w:r>
        <w:rPr>
          <w:rFonts w:ascii="David" w:hAnsi="David" w:cs="David"/>
          <w:rtl/>
        </w:rPr>
        <w:t>בכל</w:t>
      </w:r>
      <w:r>
        <w:rPr>
          <w:rFonts w:ascii="David" w:hAnsi="David" w:cs="David"/>
        </w:rPr>
        <w:t xml:space="preserve"> </w:t>
      </w:r>
      <w:r>
        <w:rPr>
          <w:rFonts w:ascii="David" w:hAnsi="David" w:cs="David"/>
          <w:rtl/>
        </w:rPr>
        <w:t>סניף</w:t>
      </w:r>
      <w:r>
        <w:rPr>
          <w:rFonts w:ascii="David" w:hAnsi="David" w:cs="David"/>
        </w:rPr>
        <w:t xml:space="preserve"> </w:t>
      </w:r>
      <w:r>
        <w:rPr>
          <w:rFonts w:ascii="David" w:hAnsi="David" w:cs="David"/>
          <w:rtl/>
        </w:rPr>
        <w:t>של</w:t>
      </w:r>
      <w:r>
        <w:rPr>
          <w:rFonts w:ascii="David" w:hAnsi="David" w:cs="David"/>
        </w:rPr>
        <w:t xml:space="preserve"> </w:t>
      </w:r>
      <w:r>
        <w:rPr>
          <w:rFonts w:ascii="David" w:hAnsi="David" w:cs="David"/>
          <w:rtl/>
        </w:rPr>
        <w:t>בנק</w:t>
      </w:r>
      <w:r>
        <w:rPr>
          <w:rFonts w:ascii="David" w:hAnsi="David" w:cs="David"/>
        </w:rPr>
        <w:t xml:space="preserve"> </w:t>
      </w:r>
      <w:r>
        <w:rPr>
          <w:rFonts w:ascii="David" w:hAnsi="David" w:cs="David"/>
          <w:rtl/>
        </w:rPr>
        <w:t>הדואר - בהצגת</w:t>
      </w:r>
      <w:r>
        <w:rPr>
          <w:rFonts w:ascii="David" w:hAnsi="David" w:cs="David"/>
        </w:rPr>
        <w:t xml:space="preserve"> </w:t>
      </w:r>
      <w:r>
        <w:rPr>
          <w:rFonts w:ascii="David" w:hAnsi="David" w:cs="David"/>
          <w:rtl/>
        </w:rPr>
        <w:t>תעודת</w:t>
      </w:r>
      <w:r>
        <w:rPr>
          <w:rFonts w:ascii="David" w:hAnsi="David" w:cs="David"/>
        </w:rPr>
        <w:t xml:space="preserve"> </w:t>
      </w:r>
      <w:r>
        <w:rPr>
          <w:rFonts w:ascii="David" w:hAnsi="David" w:cs="David"/>
          <w:rtl/>
        </w:rPr>
        <w:t>זהות</w:t>
      </w:r>
      <w:r>
        <w:rPr>
          <w:rFonts w:ascii="David" w:hAnsi="David" w:cs="David"/>
        </w:rPr>
        <w:t xml:space="preserve"> </w:t>
      </w:r>
      <w:r>
        <w:rPr>
          <w:rFonts w:ascii="David" w:hAnsi="David" w:cs="David"/>
          <w:rtl/>
        </w:rPr>
        <w:t>(אין</w:t>
      </w:r>
      <w:r>
        <w:rPr>
          <w:rFonts w:ascii="David" w:hAnsi="David" w:cs="David"/>
        </w:rPr>
        <w:t xml:space="preserve"> </w:t>
      </w:r>
      <w:r>
        <w:rPr>
          <w:rFonts w:ascii="David" w:hAnsi="David" w:cs="David"/>
          <w:rtl/>
        </w:rPr>
        <w:t>צורך</w:t>
      </w:r>
      <w:r>
        <w:rPr>
          <w:rFonts w:ascii="David" w:hAnsi="David" w:cs="David"/>
        </w:rPr>
        <w:t xml:space="preserve"> </w:t>
      </w:r>
      <w:r>
        <w:rPr>
          <w:rFonts w:ascii="David" w:hAnsi="David" w:cs="David"/>
          <w:rtl/>
        </w:rPr>
        <w:t>בשובר</w:t>
      </w:r>
      <w:r>
        <w:rPr>
          <w:rFonts w:ascii="David" w:hAnsi="David" w:cs="David"/>
        </w:rPr>
        <w:t xml:space="preserve"> </w:t>
      </w:r>
      <w:r>
        <w:rPr>
          <w:rFonts w:ascii="David" w:hAnsi="David" w:cs="David"/>
          <w:rtl/>
        </w:rPr>
        <w:t>תשלום).</w:t>
      </w:r>
    </w:p>
    <w:p w14:paraId="5B3862A8" w14:textId="77777777" w:rsidR="00FD77EC" w:rsidRDefault="00FD77EC" w:rsidP="00FD77EC">
      <w:pPr>
        <w:pStyle w:val="gmail-msolistparagraph"/>
        <w:bidi/>
        <w:spacing w:before="0" w:beforeAutospacing="0" w:after="0" w:afterAutospacing="0" w:line="360" w:lineRule="auto"/>
        <w:jc w:val="both"/>
        <w:rPr>
          <w:rFonts w:ascii="David" w:hAnsi="David" w:cs="David"/>
          <w:rtl/>
        </w:rPr>
      </w:pPr>
      <w:r>
        <w:rPr>
          <w:rFonts w:ascii="David" w:hAnsi="David" w:cs="David"/>
          <w:b/>
          <w:bCs/>
          <w:rtl/>
        </w:rPr>
        <w:t>לא תשמע טענה שהנאשם לא קיבל שובר תשלום בדואר</w:t>
      </w:r>
      <w:r>
        <w:rPr>
          <w:rFonts w:ascii="David" w:hAnsi="David" w:cs="David"/>
          <w:rtl/>
        </w:rPr>
        <w:t>.</w:t>
      </w:r>
    </w:p>
    <w:p w14:paraId="1D2D9F26" w14:textId="77777777" w:rsidR="00FD77EC" w:rsidRDefault="00FD77EC" w:rsidP="00FD77EC">
      <w:pPr>
        <w:spacing w:line="360" w:lineRule="auto"/>
        <w:ind w:left="357"/>
        <w:jc w:val="both"/>
        <w:rPr>
          <w:rtl/>
        </w:rPr>
      </w:pPr>
    </w:p>
    <w:p w14:paraId="7A3F3FA8" w14:textId="77777777" w:rsidR="00FD77EC" w:rsidRDefault="00FD77EC" w:rsidP="00FD77EC">
      <w:pPr>
        <w:spacing w:line="360" w:lineRule="auto"/>
        <w:jc w:val="both"/>
        <w:rPr>
          <w:rtl/>
        </w:rPr>
      </w:pPr>
      <w:bookmarkStart w:id="8" w:name="_Hlk34633852"/>
      <w:r>
        <w:rPr>
          <w:rFonts w:ascii="David" w:hAnsi="David"/>
          <w:b/>
          <w:bCs/>
          <w:u w:val="single"/>
          <w:rtl/>
        </w:rPr>
        <w:t xml:space="preserve">המזכירות מתבקשת להעביר עותק גזר הדין לשירות המבחן. </w:t>
      </w:r>
      <w:bookmarkEnd w:id="8"/>
    </w:p>
    <w:p w14:paraId="6779FB7A" w14:textId="77777777" w:rsidR="00FD77EC" w:rsidRPr="00D91317" w:rsidRDefault="00D91317" w:rsidP="00FD77EC">
      <w:pPr>
        <w:spacing w:line="360" w:lineRule="auto"/>
        <w:jc w:val="both"/>
        <w:rPr>
          <w:color w:val="FFFFFF"/>
          <w:sz w:val="2"/>
          <w:szCs w:val="2"/>
          <w:rtl/>
        </w:rPr>
      </w:pPr>
      <w:r w:rsidRPr="00D91317">
        <w:rPr>
          <w:rFonts w:ascii="David" w:hAnsi="David"/>
          <w:b/>
          <w:bCs/>
          <w:color w:val="FFFFFF"/>
          <w:sz w:val="2"/>
          <w:szCs w:val="2"/>
          <w:rtl/>
        </w:rPr>
        <w:t>5129371</w:t>
      </w:r>
      <w:r w:rsidR="00FD77EC" w:rsidRPr="00D91317">
        <w:rPr>
          <w:rFonts w:ascii="David" w:hAnsi="David"/>
          <w:b/>
          <w:bCs/>
          <w:color w:val="FFFFFF"/>
          <w:sz w:val="2"/>
          <w:szCs w:val="2"/>
          <w:rtl/>
        </w:rPr>
        <w:t xml:space="preserve"> </w:t>
      </w:r>
    </w:p>
    <w:p w14:paraId="4DB16371" w14:textId="77777777" w:rsidR="00FD77EC" w:rsidRDefault="00D91317" w:rsidP="00FD77EC">
      <w:pPr>
        <w:spacing w:line="360" w:lineRule="auto"/>
        <w:jc w:val="both"/>
        <w:rPr>
          <w:rtl/>
        </w:rPr>
      </w:pPr>
      <w:r w:rsidRPr="00D91317">
        <w:rPr>
          <w:rFonts w:ascii="David" w:hAnsi="David"/>
          <w:b/>
          <w:bCs/>
          <w:color w:val="FFFFFF"/>
          <w:sz w:val="2"/>
          <w:szCs w:val="2"/>
          <w:u w:val="single"/>
          <w:rtl/>
        </w:rPr>
        <w:t>54678313</w:t>
      </w:r>
      <w:r w:rsidR="00FD77EC">
        <w:rPr>
          <w:rFonts w:ascii="David" w:hAnsi="David"/>
          <w:b/>
          <w:bCs/>
          <w:u w:val="single"/>
          <w:rtl/>
        </w:rPr>
        <w:t>זכות ערעור לבית-המשפט המחוזי תוך 45 יום.</w:t>
      </w:r>
    </w:p>
    <w:p w14:paraId="2940C403" w14:textId="77777777" w:rsidR="00FD77EC" w:rsidRDefault="00FD77EC" w:rsidP="00FD77EC">
      <w:pPr>
        <w:spacing w:line="360" w:lineRule="auto"/>
        <w:rPr>
          <w:rFonts w:ascii="Arial" w:hAnsi="Arial"/>
          <w:b/>
          <w:bCs/>
          <w:sz w:val="26"/>
          <w:szCs w:val="26"/>
          <w:rtl/>
        </w:rPr>
      </w:pPr>
    </w:p>
    <w:p w14:paraId="34AC7863" w14:textId="77777777" w:rsidR="00FD77EC" w:rsidRDefault="00D91317" w:rsidP="00FD77EC">
      <w:pPr>
        <w:spacing w:line="360" w:lineRule="auto"/>
        <w:jc w:val="both"/>
        <w:rPr>
          <w:rFonts w:ascii="Arial" w:hAnsi="Arial"/>
          <w:b/>
          <w:bCs/>
          <w:sz w:val="26"/>
          <w:szCs w:val="26"/>
          <w:rtl/>
        </w:rPr>
      </w:pPr>
      <w:bookmarkStart w:id="9" w:name="Nitan"/>
      <w:r>
        <w:rPr>
          <w:rFonts w:ascii="Arial" w:hAnsi="Arial"/>
          <w:b/>
          <w:bCs/>
          <w:sz w:val="26"/>
          <w:szCs w:val="26"/>
          <w:rtl/>
        </w:rPr>
        <w:t xml:space="preserve">ניתן היום, ד' אייר תשפ"ד, 12 מאי 2024, במעמד הצדדים. </w:t>
      </w:r>
      <w:bookmarkEnd w:id="9"/>
      <w:r w:rsidR="00FD77EC">
        <w:rPr>
          <w:rFonts w:ascii="Arial" w:hAnsi="Arial"/>
          <w:b/>
          <w:bCs/>
          <w:sz w:val="26"/>
          <w:szCs w:val="26"/>
          <w:rtl/>
        </w:rPr>
        <w:tab/>
      </w:r>
      <w:r w:rsidR="00FD77EC">
        <w:rPr>
          <w:rFonts w:ascii="Arial" w:hAnsi="Arial"/>
          <w:b/>
          <w:bCs/>
          <w:sz w:val="26"/>
          <w:szCs w:val="26"/>
          <w:rtl/>
        </w:rPr>
        <w:tab/>
      </w:r>
      <w:r w:rsidR="00FD77EC">
        <w:rPr>
          <w:rFonts w:ascii="Arial" w:hAnsi="Arial"/>
          <w:b/>
          <w:bCs/>
          <w:sz w:val="26"/>
          <w:szCs w:val="26"/>
          <w:rtl/>
        </w:rPr>
        <w:tab/>
      </w:r>
      <w:r w:rsidR="00FD77EC">
        <w:rPr>
          <w:rFonts w:ascii="Arial" w:hAnsi="Arial"/>
          <w:b/>
          <w:bCs/>
          <w:sz w:val="26"/>
          <w:szCs w:val="26"/>
          <w:rtl/>
        </w:rPr>
        <w:tab/>
      </w:r>
      <w:r w:rsidR="00FD77EC">
        <w:rPr>
          <w:rFonts w:ascii="Arial" w:hAnsi="Arial"/>
          <w:b/>
          <w:bCs/>
          <w:sz w:val="26"/>
          <w:szCs w:val="26"/>
          <w:rtl/>
        </w:rPr>
        <w:tab/>
      </w:r>
      <w:r w:rsidR="00FD77EC">
        <w:rPr>
          <w:rFonts w:ascii="Arial" w:hAnsi="Arial"/>
          <w:b/>
          <w:bCs/>
          <w:sz w:val="26"/>
          <w:szCs w:val="26"/>
          <w:rtl/>
        </w:rPr>
        <w:tab/>
      </w:r>
      <w:r w:rsidR="00FD77EC">
        <w:rPr>
          <w:rFonts w:ascii="Arial" w:hAnsi="Arial"/>
          <w:b/>
          <w:bCs/>
          <w:sz w:val="26"/>
          <w:szCs w:val="26"/>
          <w:rtl/>
        </w:rPr>
        <w:tab/>
        <w:t xml:space="preserve">         </w:t>
      </w:r>
    </w:p>
    <w:p w14:paraId="57934AE0" w14:textId="77777777" w:rsidR="00D91317" w:rsidRDefault="00D91317" w:rsidP="00D91317">
      <w:pPr>
        <w:rPr>
          <w:rtl/>
        </w:rPr>
      </w:pPr>
    </w:p>
    <w:p w14:paraId="48AC5635" w14:textId="77777777" w:rsidR="00D91317" w:rsidRDefault="00D91317" w:rsidP="00D91317">
      <w:pPr>
        <w:jc w:val="center"/>
        <w:rPr>
          <w:color w:val="0000FF"/>
          <w:u w:val="single"/>
        </w:rPr>
      </w:pPr>
      <w:hyperlink r:id="rId59" w:history="1">
        <w:r>
          <w:rPr>
            <w:color w:val="0000FF"/>
            <w:u w:val="single"/>
            <w:rtl/>
          </w:rPr>
          <w:t>בעניין עריכה ושינויים במסמכי פסיקה, חקיקה ועוד באתר נבו – הקש כאן</w:t>
        </w:r>
      </w:hyperlink>
    </w:p>
    <w:p w14:paraId="1673F923" w14:textId="77777777" w:rsidR="006D708B" w:rsidRPr="006D708B" w:rsidRDefault="006D708B" w:rsidP="006D708B">
      <w:pPr>
        <w:keepNext/>
        <w:rPr>
          <w:rFonts w:ascii="David" w:hAnsi="David"/>
          <w:color w:val="000000"/>
          <w:sz w:val="22"/>
          <w:szCs w:val="22"/>
          <w:rtl/>
        </w:rPr>
      </w:pPr>
    </w:p>
    <w:p w14:paraId="7A296AEF" w14:textId="77777777" w:rsidR="006D708B" w:rsidRPr="006D708B" w:rsidRDefault="006D708B" w:rsidP="006D708B">
      <w:pPr>
        <w:keepNext/>
        <w:rPr>
          <w:rFonts w:ascii="David" w:hAnsi="David"/>
          <w:color w:val="000000"/>
          <w:sz w:val="22"/>
          <w:szCs w:val="22"/>
          <w:rtl/>
        </w:rPr>
      </w:pPr>
      <w:r w:rsidRPr="006D708B">
        <w:rPr>
          <w:rFonts w:ascii="David" w:hAnsi="David"/>
          <w:color w:val="000000"/>
          <w:sz w:val="22"/>
          <w:szCs w:val="22"/>
          <w:rtl/>
        </w:rPr>
        <w:t>זהר דולב להמן 54678313-/</w:t>
      </w:r>
    </w:p>
    <w:p w14:paraId="21F84E02" w14:textId="77777777" w:rsidR="00D91317" w:rsidRPr="00D91317" w:rsidRDefault="006D708B" w:rsidP="006D708B">
      <w:pPr>
        <w:rPr>
          <w:color w:val="0000FF"/>
          <w:u w:val="single"/>
        </w:rPr>
      </w:pPr>
      <w:r w:rsidRPr="006D708B">
        <w:rPr>
          <w:color w:val="000000"/>
          <w:u w:val="single"/>
          <w:rtl/>
        </w:rPr>
        <w:t>נוסח מסמך זה כפוף לשינויי ניסוח ועריכה</w:t>
      </w:r>
    </w:p>
    <w:sectPr w:rsidR="00D91317" w:rsidRPr="00D91317" w:rsidSect="006D708B">
      <w:headerReference w:type="even" r:id="rId60"/>
      <w:headerReference w:type="default" r:id="rId61"/>
      <w:footerReference w:type="even" r:id="rId62"/>
      <w:footerReference w:type="default" r:id="rId63"/>
      <w:pgSz w:w="11907" w:h="16840" w:code="9"/>
      <w:pgMar w:top="1701" w:right="1701" w:bottom="2552" w:left="1701" w:header="851"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BD8995" w14:textId="77777777" w:rsidR="007E0DC2" w:rsidRDefault="007E0DC2" w:rsidP="0059782A">
      <w:r>
        <w:separator/>
      </w:r>
    </w:p>
  </w:endnote>
  <w:endnote w:type="continuationSeparator" w:id="0">
    <w:p w14:paraId="27697F1E" w14:textId="77777777" w:rsidR="007E0DC2" w:rsidRDefault="007E0DC2" w:rsidP="00597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CD3ED2" w14:textId="77777777" w:rsidR="006D708B" w:rsidRDefault="006D708B" w:rsidP="006D708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2EFE205" w14:textId="77777777" w:rsidR="00E5677C" w:rsidRPr="006D708B" w:rsidRDefault="006D708B" w:rsidP="006D708B">
    <w:pPr>
      <w:pStyle w:val="a5"/>
      <w:pBdr>
        <w:top w:val="single" w:sz="4" w:space="1" w:color="auto"/>
        <w:between w:val="single" w:sz="4" w:space="0" w:color="auto"/>
      </w:pBdr>
      <w:spacing w:after="60"/>
      <w:jc w:val="center"/>
      <w:rPr>
        <w:rFonts w:ascii="FrankRuehl" w:hAnsi="FrankRuehl" w:cs="FrankRuehl"/>
        <w:color w:val="000000"/>
      </w:rPr>
    </w:pPr>
    <w:r w:rsidRPr="006D708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A61539" w14:textId="77777777" w:rsidR="006D708B" w:rsidRDefault="006D708B" w:rsidP="006D708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B538B">
      <w:rPr>
        <w:rFonts w:ascii="FrankRuehl" w:hAnsi="FrankRuehl" w:cs="FrankRuehl"/>
        <w:noProof/>
        <w:rtl/>
      </w:rPr>
      <w:t>1</w:t>
    </w:r>
    <w:r>
      <w:rPr>
        <w:rFonts w:ascii="FrankRuehl" w:hAnsi="FrankRuehl" w:cs="FrankRuehl"/>
        <w:rtl/>
      </w:rPr>
      <w:fldChar w:fldCharType="end"/>
    </w:r>
  </w:p>
  <w:p w14:paraId="268900E7" w14:textId="77777777" w:rsidR="00E5677C" w:rsidRPr="006D708B" w:rsidRDefault="006D708B" w:rsidP="006D708B">
    <w:pPr>
      <w:pStyle w:val="a5"/>
      <w:pBdr>
        <w:top w:val="single" w:sz="4" w:space="1" w:color="auto"/>
        <w:between w:val="single" w:sz="4" w:space="0" w:color="auto"/>
      </w:pBdr>
      <w:spacing w:after="60"/>
      <w:jc w:val="center"/>
      <w:rPr>
        <w:rFonts w:ascii="FrankRuehl" w:hAnsi="FrankRuehl" w:cs="FrankRuehl"/>
        <w:color w:val="000000"/>
      </w:rPr>
    </w:pPr>
    <w:r w:rsidRPr="006D708B">
      <w:rPr>
        <w:rFonts w:ascii="FrankRuehl" w:hAnsi="FrankRuehl" w:cs="FrankRuehl"/>
        <w:color w:val="000000"/>
      </w:rPr>
      <w:pict w14:anchorId="79184A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E531B3" w14:textId="77777777" w:rsidR="007E0DC2" w:rsidRDefault="007E0DC2" w:rsidP="0059782A">
      <w:r>
        <w:separator/>
      </w:r>
    </w:p>
  </w:footnote>
  <w:footnote w:type="continuationSeparator" w:id="0">
    <w:p w14:paraId="15BF8AB1" w14:textId="77777777" w:rsidR="007E0DC2" w:rsidRDefault="007E0DC2" w:rsidP="005978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9D52B4" w14:textId="77777777" w:rsidR="00D91317" w:rsidRPr="006D708B" w:rsidRDefault="006D708B" w:rsidP="006D708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(אש') 57657-03-23</w:t>
    </w:r>
    <w:r>
      <w:rPr>
        <w:rFonts w:ascii="David" w:hAnsi="David"/>
        <w:color w:val="000000"/>
        <w:sz w:val="22"/>
        <w:szCs w:val="22"/>
        <w:rtl/>
      </w:rPr>
      <w:tab/>
      <w:t xml:space="preserve"> מדינת ישראל נ' עידו בן משה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6CAF0" w14:textId="77777777" w:rsidR="00D91317" w:rsidRPr="006D708B" w:rsidRDefault="006D708B" w:rsidP="006D708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(אש') 57657-03-23</w:t>
    </w:r>
    <w:r>
      <w:rPr>
        <w:rFonts w:ascii="David" w:hAnsi="David"/>
        <w:color w:val="000000"/>
        <w:sz w:val="22"/>
        <w:szCs w:val="22"/>
        <w:rtl/>
      </w:rPr>
      <w:tab/>
      <w:t xml:space="preserve"> מדינת ישראל נ' עידו בן משה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8D3363"/>
    <w:multiLevelType w:val="hybridMultilevel"/>
    <w:tmpl w:val="C51C7A86"/>
    <w:lvl w:ilvl="0" w:tplc="05CA95C8">
      <w:start w:val="1"/>
      <w:numFmt w:val="hebrew1"/>
      <w:lvlText w:val="%1)"/>
      <w:lvlJc w:val="left"/>
      <w:pPr>
        <w:ind w:left="1836" w:hanging="912"/>
      </w:pPr>
      <w:rPr>
        <w:rFonts w:ascii="David" w:hAnsi="David" w:cs="David" w:hint="default"/>
        <w:b w:val="0"/>
        <w:bCs w:val="0"/>
        <w:i w:val="0"/>
        <w:iCs w:val="0"/>
        <w:sz w:val="22"/>
        <w:szCs w:val="24"/>
      </w:rPr>
    </w:lvl>
    <w:lvl w:ilvl="1" w:tplc="04090019">
      <w:start w:val="1"/>
      <w:numFmt w:val="lowerLetter"/>
      <w:lvlText w:val="%2."/>
      <w:lvlJc w:val="left"/>
      <w:pPr>
        <w:ind w:left="2004" w:hanging="360"/>
      </w:pPr>
    </w:lvl>
    <w:lvl w:ilvl="2" w:tplc="0409001B">
      <w:start w:val="1"/>
      <w:numFmt w:val="lowerRoman"/>
      <w:lvlText w:val="%3."/>
      <w:lvlJc w:val="right"/>
      <w:pPr>
        <w:ind w:left="2724" w:hanging="180"/>
      </w:pPr>
    </w:lvl>
    <w:lvl w:ilvl="3" w:tplc="0409000F">
      <w:start w:val="1"/>
      <w:numFmt w:val="decimal"/>
      <w:lvlText w:val="%4."/>
      <w:lvlJc w:val="left"/>
      <w:pPr>
        <w:ind w:left="3444" w:hanging="360"/>
      </w:pPr>
    </w:lvl>
    <w:lvl w:ilvl="4" w:tplc="04090019">
      <w:start w:val="1"/>
      <w:numFmt w:val="lowerLetter"/>
      <w:lvlText w:val="%5."/>
      <w:lvlJc w:val="left"/>
      <w:pPr>
        <w:ind w:left="4164" w:hanging="360"/>
      </w:pPr>
    </w:lvl>
    <w:lvl w:ilvl="5" w:tplc="0409001B">
      <w:start w:val="1"/>
      <w:numFmt w:val="lowerRoman"/>
      <w:lvlText w:val="%6."/>
      <w:lvlJc w:val="right"/>
      <w:pPr>
        <w:ind w:left="4884" w:hanging="180"/>
      </w:pPr>
    </w:lvl>
    <w:lvl w:ilvl="6" w:tplc="0409000F">
      <w:start w:val="1"/>
      <w:numFmt w:val="decimal"/>
      <w:lvlText w:val="%7."/>
      <w:lvlJc w:val="left"/>
      <w:pPr>
        <w:ind w:left="5604" w:hanging="360"/>
      </w:pPr>
    </w:lvl>
    <w:lvl w:ilvl="7" w:tplc="04090019">
      <w:start w:val="1"/>
      <w:numFmt w:val="lowerLetter"/>
      <w:lvlText w:val="%8."/>
      <w:lvlJc w:val="left"/>
      <w:pPr>
        <w:ind w:left="6324" w:hanging="360"/>
      </w:pPr>
    </w:lvl>
    <w:lvl w:ilvl="8" w:tplc="0409001B">
      <w:start w:val="1"/>
      <w:numFmt w:val="lowerRoman"/>
      <w:lvlText w:val="%9."/>
      <w:lvlJc w:val="right"/>
      <w:pPr>
        <w:ind w:left="7044" w:hanging="180"/>
      </w:pPr>
    </w:lvl>
  </w:abstractNum>
  <w:abstractNum w:abstractNumId="1" w15:restartNumberingAfterBreak="0">
    <w:nsid w:val="6C693E3F"/>
    <w:multiLevelType w:val="hybridMultilevel"/>
    <w:tmpl w:val="C1AEB916"/>
    <w:lvl w:ilvl="0" w:tplc="088E9D7C">
      <w:start w:val="1"/>
      <w:numFmt w:val="decimal"/>
      <w:lvlText w:val="%1."/>
      <w:lvlJc w:val="left"/>
      <w:pPr>
        <w:ind w:left="720" w:hanging="360"/>
      </w:pPr>
      <w:rPr>
        <w:rFonts w:ascii="David" w:hAnsi="David" w:cs="David" w:hint="default"/>
        <w:b w:val="0"/>
        <w:bCs w:val="0"/>
        <w:sz w:val="24"/>
        <w:szCs w:val="24"/>
      </w:rPr>
    </w:lvl>
    <w:lvl w:ilvl="1" w:tplc="404CFFCA">
      <w:start w:val="1"/>
      <w:numFmt w:val="hebrew1"/>
      <w:lvlText w:val="%2."/>
      <w:lvlJc w:val="center"/>
      <w:pPr>
        <w:ind w:left="1440" w:hanging="360"/>
      </w:pPr>
    </w:lvl>
    <w:lvl w:ilvl="2" w:tplc="8272D14E">
      <w:start w:val="1"/>
      <w:numFmt w:val="decimal"/>
      <w:lvlText w:val="(%3)"/>
      <w:lvlJc w:val="left"/>
      <w:pPr>
        <w:ind w:left="2160" w:hanging="180"/>
      </w:pPr>
      <w:rPr>
        <w:rFonts w:cs="David"/>
        <w:bCs w:val="0"/>
        <w:iCs w:val="0"/>
        <w:szCs w:val="24"/>
      </w:rPr>
    </w:lvl>
    <w:lvl w:ilvl="3" w:tplc="23D87F3C">
      <w:start w:val="1"/>
      <w:numFmt w:val="decimal"/>
      <w:lvlText w:val="%4."/>
      <w:lvlJc w:val="left"/>
      <w:pPr>
        <w:ind w:left="2880" w:hanging="360"/>
      </w:pPr>
    </w:lvl>
    <w:lvl w:ilvl="4" w:tplc="9A8A4FC4">
      <w:start w:val="1"/>
      <w:numFmt w:val="lowerLetter"/>
      <w:lvlText w:val="%5."/>
      <w:lvlJc w:val="left"/>
      <w:pPr>
        <w:ind w:left="3600" w:hanging="360"/>
      </w:pPr>
    </w:lvl>
    <w:lvl w:ilvl="5" w:tplc="621E84A0">
      <w:start w:val="1"/>
      <w:numFmt w:val="lowerRoman"/>
      <w:lvlText w:val="%6."/>
      <w:lvlJc w:val="right"/>
      <w:pPr>
        <w:ind w:left="4320" w:hanging="180"/>
      </w:pPr>
    </w:lvl>
    <w:lvl w:ilvl="6" w:tplc="51B85160">
      <w:start w:val="1"/>
      <w:numFmt w:val="decimal"/>
      <w:lvlText w:val="%7."/>
      <w:lvlJc w:val="left"/>
      <w:pPr>
        <w:ind w:left="5040" w:hanging="360"/>
      </w:pPr>
    </w:lvl>
    <w:lvl w:ilvl="7" w:tplc="5E344656">
      <w:start w:val="1"/>
      <w:numFmt w:val="lowerLetter"/>
      <w:lvlText w:val="%8."/>
      <w:lvlJc w:val="left"/>
      <w:pPr>
        <w:ind w:left="5760" w:hanging="360"/>
      </w:pPr>
    </w:lvl>
    <w:lvl w:ilvl="8" w:tplc="B6B84ECE">
      <w:start w:val="1"/>
      <w:numFmt w:val="lowerRoman"/>
      <w:lvlText w:val="%9."/>
      <w:lvlJc w:val="right"/>
      <w:pPr>
        <w:ind w:left="6480" w:hanging="180"/>
      </w:pPr>
    </w:lvl>
  </w:abstractNum>
  <w:abstractNum w:abstractNumId="2" w15:restartNumberingAfterBreak="0">
    <w:nsid w:val="7A741771"/>
    <w:multiLevelType w:val="hybridMultilevel"/>
    <w:tmpl w:val="D3FCE438"/>
    <w:lvl w:ilvl="0" w:tplc="1F765738">
      <w:start w:val="1"/>
      <w:numFmt w:val="hebrew1"/>
      <w:lvlText w:val="%1)"/>
      <w:lvlJc w:val="left"/>
      <w:pPr>
        <w:ind w:left="972" w:hanging="444"/>
      </w:pPr>
      <w:rPr>
        <w:rFonts w:ascii="David" w:hAnsi="David" w:cs="David" w:hint="default"/>
        <w:sz w:val="24"/>
        <w:szCs w:val="24"/>
      </w:rPr>
    </w:lvl>
    <w:lvl w:ilvl="1" w:tplc="769A7AB2">
      <w:start w:val="1"/>
      <w:numFmt w:val="lowerLetter"/>
      <w:lvlText w:val="%2."/>
      <w:lvlJc w:val="left"/>
      <w:pPr>
        <w:ind w:left="1608" w:hanging="360"/>
      </w:pPr>
    </w:lvl>
    <w:lvl w:ilvl="2" w:tplc="9A9CFD2C">
      <w:start w:val="1"/>
      <w:numFmt w:val="lowerRoman"/>
      <w:lvlText w:val="%3."/>
      <w:lvlJc w:val="right"/>
      <w:pPr>
        <w:ind w:left="2328" w:hanging="180"/>
      </w:pPr>
    </w:lvl>
    <w:lvl w:ilvl="3" w:tplc="0736FBB4">
      <w:start w:val="1"/>
      <w:numFmt w:val="decimal"/>
      <w:lvlText w:val="%4."/>
      <w:lvlJc w:val="left"/>
      <w:pPr>
        <w:ind w:left="3048" w:hanging="360"/>
      </w:pPr>
    </w:lvl>
    <w:lvl w:ilvl="4" w:tplc="EFB21C84">
      <w:start w:val="1"/>
      <w:numFmt w:val="lowerLetter"/>
      <w:lvlText w:val="%5."/>
      <w:lvlJc w:val="left"/>
      <w:pPr>
        <w:ind w:left="3768" w:hanging="360"/>
      </w:pPr>
    </w:lvl>
    <w:lvl w:ilvl="5" w:tplc="5666FC74">
      <w:start w:val="1"/>
      <w:numFmt w:val="lowerRoman"/>
      <w:lvlText w:val="%6."/>
      <w:lvlJc w:val="right"/>
      <w:pPr>
        <w:ind w:left="4488" w:hanging="180"/>
      </w:pPr>
    </w:lvl>
    <w:lvl w:ilvl="6" w:tplc="92AC3F52">
      <w:start w:val="1"/>
      <w:numFmt w:val="decimal"/>
      <w:lvlText w:val="%7."/>
      <w:lvlJc w:val="left"/>
      <w:pPr>
        <w:ind w:left="5208" w:hanging="360"/>
      </w:pPr>
    </w:lvl>
    <w:lvl w:ilvl="7" w:tplc="BA922C82">
      <w:start w:val="1"/>
      <w:numFmt w:val="lowerLetter"/>
      <w:lvlText w:val="%8."/>
      <w:lvlJc w:val="left"/>
      <w:pPr>
        <w:ind w:left="5928" w:hanging="360"/>
      </w:pPr>
    </w:lvl>
    <w:lvl w:ilvl="8" w:tplc="E20A5B08">
      <w:start w:val="1"/>
      <w:numFmt w:val="lowerRoman"/>
      <w:lvlText w:val="%9."/>
      <w:lvlJc w:val="right"/>
      <w:pPr>
        <w:ind w:left="6648" w:hanging="180"/>
      </w:pPr>
    </w:lvl>
  </w:abstractNum>
  <w:num w:numId="1" w16cid:durableId="824106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881839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208829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D77EC"/>
    <w:rsid w:val="003836C1"/>
    <w:rsid w:val="00491CC8"/>
    <w:rsid w:val="0059782A"/>
    <w:rsid w:val="006B538B"/>
    <w:rsid w:val="006D708B"/>
    <w:rsid w:val="007E0DC2"/>
    <w:rsid w:val="00951FC8"/>
    <w:rsid w:val="009A4E4C"/>
    <w:rsid w:val="00BD0621"/>
    <w:rsid w:val="00D91317"/>
    <w:rsid w:val="00E14E75"/>
    <w:rsid w:val="00E36C34"/>
    <w:rsid w:val="00E5677C"/>
    <w:rsid w:val="00F627BF"/>
    <w:rsid w:val="00F93506"/>
    <w:rsid w:val="00FD77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0F5FD40"/>
  <w15:chartTrackingRefBased/>
  <w15:docId w15:val="{03092887-8C60-4B69-AEFF-4F6E5A782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D77E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D77EC"/>
    <w:pPr>
      <w:tabs>
        <w:tab w:val="center" w:pos="4153"/>
        <w:tab w:val="right" w:pos="8306"/>
      </w:tabs>
    </w:pPr>
  </w:style>
  <w:style w:type="character" w:customStyle="1" w:styleId="a4">
    <w:name w:val="כותרת עליונה תו"/>
    <w:link w:val="a3"/>
    <w:rsid w:val="00FD77EC"/>
    <w:rPr>
      <w:rFonts w:ascii="Times New Roman" w:eastAsia="Times New Roman" w:hAnsi="Times New Roman" w:cs="David"/>
      <w:sz w:val="24"/>
      <w:szCs w:val="24"/>
    </w:rPr>
  </w:style>
  <w:style w:type="paragraph" w:styleId="a5">
    <w:name w:val="footer"/>
    <w:basedOn w:val="a"/>
    <w:link w:val="a6"/>
    <w:rsid w:val="00FD77EC"/>
    <w:pPr>
      <w:tabs>
        <w:tab w:val="center" w:pos="4153"/>
        <w:tab w:val="right" w:pos="8306"/>
      </w:tabs>
    </w:pPr>
  </w:style>
  <w:style w:type="character" w:customStyle="1" w:styleId="a6">
    <w:name w:val="כותרת תחתונה תו"/>
    <w:link w:val="a5"/>
    <w:rsid w:val="00FD77EC"/>
    <w:rPr>
      <w:rFonts w:ascii="Times New Roman" w:eastAsia="Times New Roman" w:hAnsi="Times New Roman" w:cs="David"/>
      <w:sz w:val="24"/>
      <w:szCs w:val="24"/>
    </w:rPr>
  </w:style>
  <w:style w:type="table" w:styleId="a7">
    <w:name w:val="Table Grid"/>
    <w:basedOn w:val="a1"/>
    <w:rsid w:val="00FD77E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D77EC"/>
  </w:style>
  <w:style w:type="character" w:customStyle="1" w:styleId="a9">
    <w:name w:val="פיסקת רשימה תו"/>
    <w:link w:val="aa"/>
    <w:locked/>
    <w:rsid w:val="00FD77EC"/>
    <w:rPr>
      <w:rFonts w:ascii="David" w:hAnsi="David" w:cs="David"/>
      <w:szCs w:val="24"/>
      <w:lang w:eastAsia="he-IL"/>
    </w:rPr>
  </w:style>
  <w:style w:type="paragraph" w:styleId="aa">
    <w:name w:val="List Paragraph"/>
    <w:basedOn w:val="a"/>
    <w:link w:val="a9"/>
    <w:qFormat/>
    <w:rsid w:val="00FD77EC"/>
    <w:pPr>
      <w:snapToGrid w:val="0"/>
      <w:ind w:left="720"/>
      <w:contextualSpacing/>
    </w:pPr>
    <w:rPr>
      <w:rFonts w:ascii="David" w:eastAsia="Calibri" w:hAnsi="David"/>
      <w:sz w:val="22"/>
      <w:lang w:eastAsia="he-IL"/>
    </w:rPr>
  </w:style>
  <w:style w:type="paragraph" w:customStyle="1" w:styleId="gmail-msonospacing">
    <w:name w:val="gmail-msonospacing"/>
    <w:basedOn w:val="a"/>
    <w:rsid w:val="00FD77EC"/>
    <w:pPr>
      <w:bidi w:val="0"/>
      <w:spacing w:before="100" w:beforeAutospacing="1" w:after="100" w:afterAutospacing="1"/>
    </w:pPr>
    <w:rPr>
      <w:rFonts w:eastAsia="Calibri" w:cs="Times New Roman"/>
    </w:rPr>
  </w:style>
  <w:style w:type="paragraph" w:customStyle="1" w:styleId="gmail-msolistparagraph">
    <w:name w:val="gmail-msolistparagraph"/>
    <w:basedOn w:val="a"/>
    <w:rsid w:val="00FD77EC"/>
    <w:pPr>
      <w:bidi w:val="0"/>
      <w:spacing w:before="100" w:beforeAutospacing="1" w:after="100" w:afterAutospacing="1"/>
    </w:pPr>
    <w:rPr>
      <w:rFonts w:eastAsia="Calibri" w:cs="Times New Roman"/>
    </w:rPr>
  </w:style>
  <w:style w:type="character" w:styleId="Hyperlink">
    <w:name w:val="Hyperlink"/>
    <w:rsid w:val="00D913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5993495" TargetMode="External"/><Relationship Id="rId21" Type="http://schemas.openxmlformats.org/officeDocument/2006/relationships/hyperlink" Target="http://www.nevo.co.il/case/5810781" TargetMode="External"/><Relationship Id="rId34" Type="http://schemas.openxmlformats.org/officeDocument/2006/relationships/hyperlink" Target="http://www.nevo.co.il/case/23226226" TargetMode="External"/><Relationship Id="rId42" Type="http://schemas.openxmlformats.org/officeDocument/2006/relationships/hyperlink" Target="http://www.nevo.co.il/case/27500876" TargetMode="External"/><Relationship Id="rId47" Type="http://schemas.openxmlformats.org/officeDocument/2006/relationships/hyperlink" Target="http://www.nevo.co.il/case/20632055" TargetMode="External"/><Relationship Id="rId50" Type="http://schemas.openxmlformats.org/officeDocument/2006/relationships/hyperlink" Target="http://www.nevo.co.il/case/26900100" TargetMode="External"/><Relationship Id="rId55" Type="http://schemas.openxmlformats.org/officeDocument/2006/relationships/hyperlink" Target="http://www.nevo.co.il/case/21511777" TargetMode="External"/><Relationship Id="rId63"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a" TargetMode="External"/><Relationship Id="rId29" Type="http://schemas.openxmlformats.org/officeDocument/2006/relationships/hyperlink" Target="http://www.nevo.co.il/case/30055845"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28170127" TargetMode="External"/><Relationship Id="rId32" Type="http://schemas.openxmlformats.org/officeDocument/2006/relationships/hyperlink" Target="http://www.nevo.co.il/case/26117853" TargetMode="External"/><Relationship Id="rId37" Type="http://schemas.openxmlformats.org/officeDocument/2006/relationships/hyperlink" Target="http://www.nevo.co.il/case/20705570" TargetMode="External"/><Relationship Id="rId40" Type="http://schemas.openxmlformats.org/officeDocument/2006/relationships/hyperlink" Target="http://www.nevo.co.il/case/28764986" TargetMode="External"/><Relationship Id="rId45" Type="http://schemas.openxmlformats.org/officeDocument/2006/relationships/hyperlink" Target="http://www.nevo.co.il/case/26884611" TargetMode="External"/><Relationship Id="rId53" Type="http://schemas.openxmlformats.org/officeDocument/2006/relationships/hyperlink" Target="http://www.nevo.co.il/law/70301/40ja" TargetMode="External"/><Relationship Id="rId58" Type="http://schemas.openxmlformats.org/officeDocument/2006/relationships/hyperlink" Target="http://www.nevo.co.il/case/6144854" TargetMode="Externa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hyperlink" Target="http://www.nevo.co.il/law/4216/7.c" TargetMode="External"/><Relationship Id="rId14" Type="http://schemas.openxmlformats.org/officeDocument/2006/relationships/hyperlink" Target="http://www.nevo.co.il/law/4216/6" TargetMode="External"/><Relationship Id="rId22" Type="http://schemas.openxmlformats.org/officeDocument/2006/relationships/hyperlink" Target="http://www.nevo.co.il/case/20911359" TargetMode="External"/><Relationship Id="rId27" Type="http://schemas.openxmlformats.org/officeDocument/2006/relationships/hyperlink" Target="http://www.nevo.co.il/case/5887721" TargetMode="External"/><Relationship Id="rId30" Type="http://schemas.openxmlformats.org/officeDocument/2006/relationships/hyperlink" Target="http://www.nevo.co.il/case/27347635" TargetMode="External"/><Relationship Id="rId35" Type="http://schemas.openxmlformats.org/officeDocument/2006/relationships/hyperlink" Target="http://www.nevo.co.il/case/20770504" TargetMode="External"/><Relationship Id="rId43" Type="http://schemas.openxmlformats.org/officeDocument/2006/relationships/hyperlink" Target="http://www.nevo.co.il/case/25239599" TargetMode="External"/><Relationship Id="rId48" Type="http://schemas.openxmlformats.org/officeDocument/2006/relationships/hyperlink" Target="http://www.nevo.co.il/case/28607286" TargetMode="External"/><Relationship Id="rId56" Type="http://schemas.openxmlformats.org/officeDocument/2006/relationships/hyperlink" Target="http://www.nevo.co.il/case/7688113" TargetMode="External"/><Relationship Id="rId64" Type="http://schemas.openxmlformats.org/officeDocument/2006/relationships/fontTable" Target="fontTable.xml"/><Relationship Id="rId8" Type="http://schemas.openxmlformats.org/officeDocument/2006/relationships/hyperlink" Target="http://www.nevo.co.il/law/4216/6" TargetMode="External"/><Relationship Id="rId51" Type="http://schemas.openxmlformats.org/officeDocument/2006/relationships/hyperlink" Target="http://www.nevo.co.il/law/70301/40d" TargetMode="External"/><Relationship Id="rId3" Type="http://schemas.openxmlformats.org/officeDocument/2006/relationships/settings" Target="settings.xml"/><Relationship Id="rId12" Type="http://schemas.openxmlformats.org/officeDocument/2006/relationships/hyperlink" Target="http://www.nevo.co.il/law/70301/40d" TargetMode="External"/><Relationship Id="rId17" Type="http://schemas.openxmlformats.org/officeDocument/2006/relationships/hyperlink" Target="http://www.nevo.co.il/law/4216/7.c" TargetMode="External"/><Relationship Id="rId25" Type="http://schemas.openxmlformats.org/officeDocument/2006/relationships/hyperlink" Target="http://www.nevo.co.il/case/5608134" TargetMode="External"/><Relationship Id="rId33" Type="http://schemas.openxmlformats.org/officeDocument/2006/relationships/hyperlink" Target="http://www.nevo.co.il/case/24492956" TargetMode="External"/><Relationship Id="rId38" Type="http://schemas.openxmlformats.org/officeDocument/2006/relationships/hyperlink" Target="http://www.nevo.co.il/case/20111708" TargetMode="External"/><Relationship Id="rId46" Type="http://schemas.openxmlformats.org/officeDocument/2006/relationships/hyperlink" Target="http://www.nevo.co.il/case/25271452" TargetMode="External"/><Relationship Id="rId59" Type="http://schemas.openxmlformats.org/officeDocument/2006/relationships/hyperlink" Target="http://www.nevo.co.il/advertisements/nevo-100.doc" TargetMode="External"/><Relationship Id="rId20" Type="http://schemas.openxmlformats.org/officeDocument/2006/relationships/hyperlink" Target="http://www.nevo.co.il/case/25685411" TargetMode="External"/><Relationship Id="rId41" Type="http://schemas.openxmlformats.org/officeDocument/2006/relationships/hyperlink" Target="http://www.nevo.co.il/case/26635640" TargetMode="External"/><Relationship Id="rId54" Type="http://schemas.openxmlformats.org/officeDocument/2006/relationships/hyperlink" Target="http://www.nevo.co.il/case/21473702"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case/26884611" TargetMode="External"/><Relationship Id="rId28" Type="http://schemas.openxmlformats.org/officeDocument/2006/relationships/hyperlink" Target="http://www.nevo.co.il/case/377887" TargetMode="External"/><Relationship Id="rId36" Type="http://schemas.openxmlformats.org/officeDocument/2006/relationships/hyperlink" Target="http://www.nevo.co.il/case/20881083" TargetMode="External"/><Relationship Id="rId49" Type="http://schemas.openxmlformats.org/officeDocument/2006/relationships/hyperlink" Target="http://www.nevo.co.il/case/26443632" TargetMode="External"/><Relationship Id="rId57" Type="http://schemas.openxmlformats.org/officeDocument/2006/relationships/hyperlink" Target="http://www.nevo.co.il/case/5896402" TargetMode="External"/><Relationship Id="rId10" Type="http://schemas.openxmlformats.org/officeDocument/2006/relationships/hyperlink" Target="http://www.nevo.co.il/law/4216/7.c" TargetMode="External"/><Relationship Id="rId31" Type="http://schemas.openxmlformats.org/officeDocument/2006/relationships/hyperlink" Target="http://www.nevo.co.il/case/27060290" TargetMode="External"/><Relationship Id="rId44" Type="http://schemas.openxmlformats.org/officeDocument/2006/relationships/hyperlink" Target="http://www.nevo.co.il/case/28170127" TargetMode="External"/><Relationship Id="rId52" Type="http://schemas.openxmlformats.org/officeDocument/2006/relationships/hyperlink" Target="http://www.nevo.co.il/law/70301"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a" TargetMode="External"/><Relationship Id="rId13" Type="http://schemas.openxmlformats.org/officeDocument/2006/relationships/hyperlink" Target="http://www.nevo.co.il/law/70301/40ja" TargetMode="External"/><Relationship Id="rId18" Type="http://schemas.openxmlformats.org/officeDocument/2006/relationships/hyperlink" Target="http://www.nevo.co.il/law/4216/7.a" TargetMode="External"/><Relationship Id="rId39" Type="http://schemas.openxmlformats.org/officeDocument/2006/relationships/hyperlink" Target="http://www.nevo.co.il/case/2754820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4515</Words>
  <Characters>22577</Characters>
  <Application>Microsoft Office Word</Application>
  <DocSecurity>0</DocSecurity>
  <Lines>188</Lines>
  <Paragraphs>54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27038</CharactersWithSpaces>
  <SharedDoc>false</SharedDoc>
  <HLinks>
    <vt:vector size="318" baseType="variant">
      <vt:variant>
        <vt:i4>393283</vt:i4>
      </vt:variant>
      <vt:variant>
        <vt:i4>156</vt:i4>
      </vt:variant>
      <vt:variant>
        <vt:i4>0</vt:i4>
      </vt:variant>
      <vt:variant>
        <vt:i4>5</vt:i4>
      </vt:variant>
      <vt:variant>
        <vt:lpwstr>http://www.nevo.co.il/advertisements/nevo-100.doc</vt:lpwstr>
      </vt:variant>
      <vt:variant>
        <vt:lpwstr/>
      </vt:variant>
      <vt:variant>
        <vt:i4>4063348</vt:i4>
      </vt:variant>
      <vt:variant>
        <vt:i4>153</vt:i4>
      </vt:variant>
      <vt:variant>
        <vt:i4>0</vt:i4>
      </vt:variant>
      <vt:variant>
        <vt:i4>5</vt:i4>
      </vt:variant>
      <vt:variant>
        <vt:lpwstr>http://www.nevo.co.il/case/6144854</vt:lpwstr>
      </vt:variant>
      <vt:variant>
        <vt:lpwstr/>
      </vt:variant>
      <vt:variant>
        <vt:i4>3801210</vt:i4>
      </vt:variant>
      <vt:variant>
        <vt:i4>150</vt:i4>
      </vt:variant>
      <vt:variant>
        <vt:i4>0</vt:i4>
      </vt:variant>
      <vt:variant>
        <vt:i4>5</vt:i4>
      </vt:variant>
      <vt:variant>
        <vt:lpwstr>http://www.nevo.co.il/case/5896402</vt:lpwstr>
      </vt:variant>
      <vt:variant>
        <vt:lpwstr/>
      </vt:variant>
      <vt:variant>
        <vt:i4>3997819</vt:i4>
      </vt:variant>
      <vt:variant>
        <vt:i4>147</vt:i4>
      </vt:variant>
      <vt:variant>
        <vt:i4>0</vt:i4>
      </vt:variant>
      <vt:variant>
        <vt:i4>5</vt:i4>
      </vt:variant>
      <vt:variant>
        <vt:lpwstr>http://www.nevo.co.il/case/7688113</vt:lpwstr>
      </vt:variant>
      <vt:variant>
        <vt:lpwstr/>
      </vt:variant>
      <vt:variant>
        <vt:i4>3211379</vt:i4>
      </vt:variant>
      <vt:variant>
        <vt:i4>144</vt:i4>
      </vt:variant>
      <vt:variant>
        <vt:i4>0</vt:i4>
      </vt:variant>
      <vt:variant>
        <vt:i4>5</vt:i4>
      </vt:variant>
      <vt:variant>
        <vt:lpwstr>http://www.nevo.co.il/case/21511777</vt:lpwstr>
      </vt:variant>
      <vt:variant>
        <vt:lpwstr/>
      </vt:variant>
      <vt:variant>
        <vt:i4>3473525</vt:i4>
      </vt:variant>
      <vt:variant>
        <vt:i4>141</vt:i4>
      </vt:variant>
      <vt:variant>
        <vt:i4>0</vt:i4>
      </vt:variant>
      <vt:variant>
        <vt:i4>5</vt:i4>
      </vt:variant>
      <vt:variant>
        <vt:lpwstr>http://www.nevo.co.il/case/21473702</vt:lpwstr>
      </vt:variant>
      <vt:variant>
        <vt:lpwstr/>
      </vt:variant>
      <vt:variant>
        <vt:i4>262155</vt:i4>
      </vt:variant>
      <vt:variant>
        <vt:i4>138</vt:i4>
      </vt:variant>
      <vt:variant>
        <vt:i4>0</vt:i4>
      </vt:variant>
      <vt:variant>
        <vt:i4>5</vt:i4>
      </vt:variant>
      <vt:variant>
        <vt:lpwstr>http://www.nevo.co.il/law/70301/40ja</vt:lpwstr>
      </vt:variant>
      <vt:variant>
        <vt:lpwstr/>
      </vt:variant>
      <vt:variant>
        <vt:i4>7995492</vt:i4>
      </vt:variant>
      <vt:variant>
        <vt:i4>135</vt:i4>
      </vt:variant>
      <vt:variant>
        <vt:i4>0</vt:i4>
      </vt:variant>
      <vt:variant>
        <vt:i4>5</vt:i4>
      </vt:variant>
      <vt:variant>
        <vt:lpwstr>http://www.nevo.co.il/law/70301</vt:lpwstr>
      </vt:variant>
      <vt:variant>
        <vt:lpwstr/>
      </vt:variant>
      <vt:variant>
        <vt:i4>6619233</vt:i4>
      </vt:variant>
      <vt:variant>
        <vt:i4>132</vt:i4>
      </vt:variant>
      <vt:variant>
        <vt:i4>0</vt:i4>
      </vt:variant>
      <vt:variant>
        <vt:i4>5</vt:i4>
      </vt:variant>
      <vt:variant>
        <vt:lpwstr>http://www.nevo.co.il/law/70301/40d</vt:lpwstr>
      </vt:variant>
      <vt:variant>
        <vt:lpwstr/>
      </vt:variant>
      <vt:variant>
        <vt:i4>3866739</vt:i4>
      </vt:variant>
      <vt:variant>
        <vt:i4>129</vt:i4>
      </vt:variant>
      <vt:variant>
        <vt:i4>0</vt:i4>
      </vt:variant>
      <vt:variant>
        <vt:i4>5</vt:i4>
      </vt:variant>
      <vt:variant>
        <vt:lpwstr>http://www.nevo.co.il/case/26900100</vt:lpwstr>
      </vt:variant>
      <vt:variant>
        <vt:lpwstr/>
      </vt:variant>
      <vt:variant>
        <vt:i4>3539056</vt:i4>
      </vt:variant>
      <vt:variant>
        <vt:i4>126</vt:i4>
      </vt:variant>
      <vt:variant>
        <vt:i4>0</vt:i4>
      </vt:variant>
      <vt:variant>
        <vt:i4>5</vt:i4>
      </vt:variant>
      <vt:variant>
        <vt:lpwstr>http://www.nevo.co.il/case/26443632</vt:lpwstr>
      </vt:variant>
      <vt:variant>
        <vt:lpwstr/>
      </vt:variant>
      <vt:variant>
        <vt:i4>3866750</vt:i4>
      </vt:variant>
      <vt:variant>
        <vt:i4>123</vt:i4>
      </vt:variant>
      <vt:variant>
        <vt:i4>0</vt:i4>
      </vt:variant>
      <vt:variant>
        <vt:i4>5</vt:i4>
      </vt:variant>
      <vt:variant>
        <vt:lpwstr>http://www.nevo.co.il/case/28607286</vt:lpwstr>
      </vt:variant>
      <vt:variant>
        <vt:lpwstr/>
      </vt:variant>
      <vt:variant>
        <vt:i4>3342455</vt:i4>
      </vt:variant>
      <vt:variant>
        <vt:i4>120</vt:i4>
      </vt:variant>
      <vt:variant>
        <vt:i4>0</vt:i4>
      </vt:variant>
      <vt:variant>
        <vt:i4>5</vt:i4>
      </vt:variant>
      <vt:variant>
        <vt:lpwstr>http://www.nevo.co.il/case/20632055</vt:lpwstr>
      </vt:variant>
      <vt:variant>
        <vt:lpwstr/>
      </vt:variant>
      <vt:variant>
        <vt:i4>3407986</vt:i4>
      </vt:variant>
      <vt:variant>
        <vt:i4>117</vt:i4>
      </vt:variant>
      <vt:variant>
        <vt:i4>0</vt:i4>
      </vt:variant>
      <vt:variant>
        <vt:i4>5</vt:i4>
      </vt:variant>
      <vt:variant>
        <vt:lpwstr>http://www.nevo.co.il/case/25271452</vt:lpwstr>
      </vt:variant>
      <vt:variant>
        <vt:lpwstr/>
      </vt:variant>
      <vt:variant>
        <vt:i4>4128892</vt:i4>
      </vt:variant>
      <vt:variant>
        <vt:i4>114</vt:i4>
      </vt:variant>
      <vt:variant>
        <vt:i4>0</vt:i4>
      </vt:variant>
      <vt:variant>
        <vt:i4>5</vt:i4>
      </vt:variant>
      <vt:variant>
        <vt:lpwstr>http://www.nevo.co.il/case/26884611</vt:lpwstr>
      </vt:variant>
      <vt:variant>
        <vt:lpwstr/>
      </vt:variant>
      <vt:variant>
        <vt:i4>3211386</vt:i4>
      </vt:variant>
      <vt:variant>
        <vt:i4>111</vt:i4>
      </vt:variant>
      <vt:variant>
        <vt:i4>0</vt:i4>
      </vt:variant>
      <vt:variant>
        <vt:i4>5</vt:i4>
      </vt:variant>
      <vt:variant>
        <vt:lpwstr>http://www.nevo.co.il/case/28170127</vt:lpwstr>
      </vt:variant>
      <vt:variant>
        <vt:lpwstr/>
      </vt:variant>
      <vt:variant>
        <vt:i4>3145847</vt:i4>
      </vt:variant>
      <vt:variant>
        <vt:i4>108</vt:i4>
      </vt:variant>
      <vt:variant>
        <vt:i4>0</vt:i4>
      </vt:variant>
      <vt:variant>
        <vt:i4>5</vt:i4>
      </vt:variant>
      <vt:variant>
        <vt:lpwstr>http://www.nevo.co.il/case/25239599</vt:lpwstr>
      </vt:variant>
      <vt:variant>
        <vt:lpwstr/>
      </vt:variant>
      <vt:variant>
        <vt:i4>3145851</vt:i4>
      </vt:variant>
      <vt:variant>
        <vt:i4>105</vt:i4>
      </vt:variant>
      <vt:variant>
        <vt:i4>0</vt:i4>
      </vt:variant>
      <vt:variant>
        <vt:i4>5</vt:i4>
      </vt:variant>
      <vt:variant>
        <vt:lpwstr>http://www.nevo.co.il/case/27500876</vt:lpwstr>
      </vt:variant>
      <vt:variant>
        <vt:lpwstr/>
      </vt:variant>
      <vt:variant>
        <vt:i4>3473527</vt:i4>
      </vt:variant>
      <vt:variant>
        <vt:i4>102</vt:i4>
      </vt:variant>
      <vt:variant>
        <vt:i4>0</vt:i4>
      </vt:variant>
      <vt:variant>
        <vt:i4>5</vt:i4>
      </vt:variant>
      <vt:variant>
        <vt:lpwstr>http://www.nevo.co.il/case/26635640</vt:lpwstr>
      </vt:variant>
      <vt:variant>
        <vt:lpwstr/>
      </vt:variant>
      <vt:variant>
        <vt:i4>3735667</vt:i4>
      </vt:variant>
      <vt:variant>
        <vt:i4>99</vt:i4>
      </vt:variant>
      <vt:variant>
        <vt:i4>0</vt:i4>
      </vt:variant>
      <vt:variant>
        <vt:i4>5</vt:i4>
      </vt:variant>
      <vt:variant>
        <vt:lpwstr>http://www.nevo.co.il/case/28764986</vt:lpwstr>
      </vt:variant>
      <vt:variant>
        <vt:lpwstr/>
      </vt:variant>
      <vt:variant>
        <vt:i4>4128885</vt:i4>
      </vt:variant>
      <vt:variant>
        <vt:i4>96</vt:i4>
      </vt:variant>
      <vt:variant>
        <vt:i4>0</vt:i4>
      </vt:variant>
      <vt:variant>
        <vt:i4>5</vt:i4>
      </vt:variant>
      <vt:variant>
        <vt:lpwstr>http://www.nevo.co.il/case/27548206</vt:lpwstr>
      </vt:variant>
      <vt:variant>
        <vt:lpwstr/>
      </vt:variant>
      <vt:variant>
        <vt:i4>3276914</vt:i4>
      </vt:variant>
      <vt:variant>
        <vt:i4>93</vt:i4>
      </vt:variant>
      <vt:variant>
        <vt:i4>0</vt:i4>
      </vt:variant>
      <vt:variant>
        <vt:i4>5</vt:i4>
      </vt:variant>
      <vt:variant>
        <vt:lpwstr>http://www.nevo.co.il/case/20111708</vt:lpwstr>
      </vt:variant>
      <vt:variant>
        <vt:lpwstr/>
      </vt:variant>
      <vt:variant>
        <vt:i4>3604593</vt:i4>
      </vt:variant>
      <vt:variant>
        <vt:i4>90</vt:i4>
      </vt:variant>
      <vt:variant>
        <vt:i4>0</vt:i4>
      </vt:variant>
      <vt:variant>
        <vt:i4>5</vt:i4>
      </vt:variant>
      <vt:variant>
        <vt:lpwstr>http://www.nevo.co.il/case/20705570</vt:lpwstr>
      </vt:variant>
      <vt:variant>
        <vt:lpwstr/>
      </vt:variant>
      <vt:variant>
        <vt:i4>3342460</vt:i4>
      </vt:variant>
      <vt:variant>
        <vt:i4>87</vt:i4>
      </vt:variant>
      <vt:variant>
        <vt:i4>0</vt:i4>
      </vt:variant>
      <vt:variant>
        <vt:i4>5</vt:i4>
      </vt:variant>
      <vt:variant>
        <vt:lpwstr>http://www.nevo.co.il/case/20881083</vt:lpwstr>
      </vt:variant>
      <vt:variant>
        <vt:lpwstr/>
      </vt:variant>
      <vt:variant>
        <vt:i4>3473526</vt:i4>
      </vt:variant>
      <vt:variant>
        <vt:i4>84</vt:i4>
      </vt:variant>
      <vt:variant>
        <vt:i4>0</vt:i4>
      </vt:variant>
      <vt:variant>
        <vt:i4>5</vt:i4>
      </vt:variant>
      <vt:variant>
        <vt:lpwstr>http://www.nevo.co.il/case/20770504</vt:lpwstr>
      </vt:variant>
      <vt:variant>
        <vt:lpwstr/>
      </vt:variant>
      <vt:variant>
        <vt:i4>3407991</vt:i4>
      </vt:variant>
      <vt:variant>
        <vt:i4>81</vt:i4>
      </vt:variant>
      <vt:variant>
        <vt:i4>0</vt:i4>
      </vt:variant>
      <vt:variant>
        <vt:i4>5</vt:i4>
      </vt:variant>
      <vt:variant>
        <vt:lpwstr>http://www.nevo.co.il/case/23226226</vt:lpwstr>
      </vt:variant>
      <vt:variant>
        <vt:lpwstr/>
      </vt:variant>
      <vt:variant>
        <vt:i4>3211376</vt:i4>
      </vt:variant>
      <vt:variant>
        <vt:i4>78</vt:i4>
      </vt:variant>
      <vt:variant>
        <vt:i4>0</vt:i4>
      </vt:variant>
      <vt:variant>
        <vt:i4>5</vt:i4>
      </vt:variant>
      <vt:variant>
        <vt:lpwstr>http://www.nevo.co.il/case/24492956</vt:lpwstr>
      </vt:variant>
      <vt:variant>
        <vt:lpwstr/>
      </vt:variant>
      <vt:variant>
        <vt:i4>3211387</vt:i4>
      </vt:variant>
      <vt:variant>
        <vt:i4>75</vt:i4>
      </vt:variant>
      <vt:variant>
        <vt:i4>0</vt:i4>
      </vt:variant>
      <vt:variant>
        <vt:i4>5</vt:i4>
      </vt:variant>
      <vt:variant>
        <vt:lpwstr>http://www.nevo.co.il/case/26117853</vt:lpwstr>
      </vt:variant>
      <vt:variant>
        <vt:lpwstr/>
      </vt:variant>
      <vt:variant>
        <vt:i4>3866743</vt:i4>
      </vt:variant>
      <vt:variant>
        <vt:i4>72</vt:i4>
      </vt:variant>
      <vt:variant>
        <vt:i4>0</vt:i4>
      </vt:variant>
      <vt:variant>
        <vt:i4>5</vt:i4>
      </vt:variant>
      <vt:variant>
        <vt:lpwstr>http://www.nevo.co.il/case/27060290</vt:lpwstr>
      </vt:variant>
      <vt:variant>
        <vt:lpwstr/>
      </vt:variant>
      <vt:variant>
        <vt:i4>3473521</vt:i4>
      </vt:variant>
      <vt:variant>
        <vt:i4>69</vt:i4>
      </vt:variant>
      <vt:variant>
        <vt:i4>0</vt:i4>
      </vt:variant>
      <vt:variant>
        <vt:i4>5</vt:i4>
      </vt:variant>
      <vt:variant>
        <vt:lpwstr>http://www.nevo.co.il/case/27347635</vt:lpwstr>
      </vt:variant>
      <vt:variant>
        <vt:lpwstr/>
      </vt:variant>
      <vt:variant>
        <vt:i4>3276921</vt:i4>
      </vt:variant>
      <vt:variant>
        <vt:i4>66</vt:i4>
      </vt:variant>
      <vt:variant>
        <vt:i4>0</vt:i4>
      </vt:variant>
      <vt:variant>
        <vt:i4>5</vt:i4>
      </vt:variant>
      <vt:variant>
        <vt:lpwstr>http://www.nevo.co.il/case/30055845</vt:lpwstr>
      </vt:variant>
      <vt:variant>
        <vt:lpwstr/>
      </vt:variant>
      <vt:variant>
        <vt:i4>786507</vt:i4>
      </vt:variant>
      <vt:variant>
        <vt:i4>63</vt:i4>
      </vt:variant>
      <vt:variant>
        <vt:i4>0</vt:i4>
      </vt:variant>
      <vt:variant>
        <vt:i4>5</vt:i4>
      </vt:variant>
      <vt:variant>
        <vt:lpwstr>http://www.nevo.co.il/case/377887</vt:lpwstr>
      </vt:variant>
      <vt:variant>
        <vt:lpwstr/>
      </vt:variant>
      <vt:variant>
        <vt:i4>3866745</vt:i4>
      </vt:variant>
      <vt:variant>
        <vt:i4>60</vt:i4>
      </vt:variant>
      <vt:variant>
        <vt:i4>0</vt:i4>
      </vt:variant>
      <vt:variant>
        <vt:i4>5</vt:i4>
      </vt:variant>
      <vt:variant>
        <vt:lpwstr>http://www.nevo.co.il/case/5887721</vt:lpwstr>
      </vt:variant>
      <vt:variant>
        <vt:lpwstr/>
      </vt:variant>
      <vt:variant>
        <vt:i4>3997815</vt:i4>
      </vt:variant>
      <vt:variant>
        <vt:i4>57</vt:i4>
      </vt:variant>
      <vt:variant>
        <vt:i4>0</vt:i4>
      </vt:variant>
      <vt:variant>
        <vt:i4>5</vt:i4>
      </vt:variant>
      <vt:variant>
        <vt:lpwstr>http://www.nevo.co.il/case/5993495</vt:lpwstr>
      </vt:variant>
      <vt:variant>
        <vt:lpwstr/>
      </vt:variant>
      <vt:variant>
        <vt:i4>3145849</vt:i4>
      </vt:variant>
      <vt:variant>
        <vt:i4>54</vt:i4>
      </vt:variant>
      <vt:variant>
        <vt:i4>0</vt:i4>
      </vt:variant>
      <vt:variant>
        <vt:i4>5</vt:i4>
      </vt:variant>
      <vt:variant>
        <vt:lpwstr>http://www.nevo.co.il/case/5608134</vt:lpwstr>
      </vt:variant>
      <vt:variant>
        <vt:lpwstr/>
      </vt:variant>
      <vt:variant>
        <vt:i4>3211386</vt:i4>
      </vt:variant>
      <vt:variant>
        <vt:i4>51</vt:i4>
      </vt:variant>
      <vt:variant>
        <vt:i4>0</vt:i4>
      </vt:variant>
      <vt:variant>
        <vt:i4>5</vt:i4>
      </vt:variant>
      <vt:variant>
        <vt:lpwstr>http://www.nevo.co.il/case/28170127</vt:lpwstr>
      </vt:variant>
      <vt:variant>
        <vt:lpwstr/>
      </vt:variant>
      <vt:variant>
        <vt:i4>4128892</vt:i4>
      </vt:variant>
      <vt:variant>
        <vt:i4>48</vt:i4>
      </vt:variant>
      <vt:variant>
        <vt:i4>0</vt:i4>
      </vt:variant>
      <vt:variant>
        <vt:i4>5</vt:i4>
      </vt:variant>
      <vt:variant>
        <vt:lpwstr>http://www.nevo.co.il/case/26884611</vt:lpwstr>
      </vt:variant>
      <vt:variant>
        <vt:lpwstr/>
      </vt:variant>
      <vt:variant>
        <vt:i4>4128886</vt:i4>
      </vt:variant>
      <vt:variant>
        <vt:i4>45</vt:i4>
      </vt:variant>
      <vt:variant>
        <vt:i4>0</vt:i4>
      </vt:variant>
      <vt:variant>
        <vt:i4>5</vt:i4>
      </vt:variant>
      <vt:variant>
        <vt:lpwstr>http://www.nevo.co.il/case/20911359</vt:lpwstr>
      </vt:variant>
      <vt:variant>
        <vt:lpwstr/>
      </vt:variant>
      <vt:variant>
        <vt:i4>3276916</vt:i4>
      </vt:variant>
      <vt:variant>
        <vt:i4>42</vt:i4>
      </vt:variant>
      <vt:variant>
        <vt:i4>0</vt:i4>
      </vt:variant>
      <vt:variant>
        <vt:i4>5</vt:i4>
      </vt:variant>
      <vt:variant>
        <vt:lpwstr>http://www.nevo.co.il/case/5810781</vt:lpwstr>
      </vt:variant>
      <vt:variant>
        <vt:lpwstr/>
      </vt:variant>
      <vt:variant>
        <vt:i4>3145853</vt:i4>
      </vt:variant>
      <vt:variant>
        <vt:i4>39</vt:i4>
      </vt:variant>
      <vt:variant>
        <vt:i4>0</vt:i4>
      </vt:variant>
      <vt:variant>
        <vt:i4>5</vt:i4>
      </vt:variant>
      <vt:variant>
        <vt:lpwstr>http://www.nevo.co.il/case/25685411</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8257637</vt:i4>
      </vt:variant>
      <vt:variant>
        <vt:i4>24</vt:i4>
      </vt:variant>
      <vt:variant>
        <vt:i4>0</vt:i4>
      </vt:variant>
      <vt:variant>
        <vt:i4>5</vt:i4>
      </vt:variant>
      <vt:variant>
        <vt:lpwstr>http://www.nevo.co.il/law/4216</vt:lpwstr>
      </vt:variant>
      <vt:variant>
        <vt:lpwstr/>
      </vt:variant>
      <vt:variant>
        <vt:i4>4718666</vt:i4>
      </vt:variant>
      <vt:variant>
        <vt:i4>21</vt:i4>
      </vt:variant>
      <vt:variant>
        <vt:i4>0</vt:i4>
      </vt:variant>
      <vt:variant>
        <vt:i4>5</vt:i4>
      </vt:variant>
      <vt:variant>
        <vt:lpwstr>http://www.nevo.co.il/law/4216/6</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6619233</vt:i4>
      </vt:variant>
      <vt:variant>
        <vt:i4>15</vt:i4>
      </vt:variant>
      <vt:variant>
        <vt:i4>0</vt:i4>
      </vt:variant>
      <vt:variant>
        <vt:i4>5</vt:i4>
      </vt:variant>
      <vt:variant>
        <vt:lpwstr>http://www.nevo.co.il/law/70301/40d</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2025-04-23T01:45:00Z</dcterms:created>
  <dcterms:modified xsi:type="dcterms:W3CDTF">2025-04-23T01:45:00Z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57657</vt:lpwstr>
  </property>
  <property fmtid="{D5CDD505-2E9C-101B-9397-08002B2CF9AE}" pid="6" name="NEWPARTB">
    <vt:lpwstr>03</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עידו בן משה</vt:lpwstr>
  </property>
  <property fmtid="{D5CDD505-2E9C-101B-9397-08002B2CF9AE}" pid="10" name="LAWYER">
    <vt:lpwstr>אריאל סטרול;עידו פורת</vt:lpwstr>
  </property>
  <property fmtid="{D5CDD505-2E9C-101B-9397-08002B2CF9AE}" pid="11" name="JUDGE">
    <vt:lpwstr>זהר דולב להמן</vt:lpwstr>
  </property>
  <property fmtid="{D5CDD505-2E9C-101B-9397-08002B2CF9AE}" pid="12" name="CITY">
    <vt:lpwstr>אש'</vt:lpwstr>
  </property>
  <property fmtid="{D5CDD505-2E9C-101B-9397-08002B2CF9AE}" pid="13" name="DATE">
    <vt:lpwstr>20240512</vt:lpwstr>
  </property>
  <property fmtid="{D5CDD505-2E9C-101B-9397-08002B2CF9AE}" pid="14" name="TYPE_N_DATE">
    <vt:lpwstr>38020240512</vt:lpwstr>
  </property>
  <property fmtid="{D5CDD505-2E9C-101B-9397-08002B2CF9AE}" pid="15" name="WORDNUMPAGES">
    <vt:lpwstr>12</vt:lpwstr>
  </property>
  <property fmtid="{D5CDD505-2E9C-101B-9397-08002B2CF9AE}" pid="16" name="TYPE_ABS_DATE">
    <vt:lpwstr>380020240512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25685411;5810781;20911359;26884611:2;28170127:2;5608134;5993495;5887721;377887;30055845;27347635;27060290;26117853;24492956;23226226;20770504;20881083;20705570;20111708;27548206;28764986;26635640;27500876;25239599;25271452;20632055;28607286;26443632</vt:lpwstr>
  </property>
  <property fmtid="{D5CDD505-2E9C-101B-9397-08002B2CF9AE}" pid="36" name="CASESLISTTMP2">
    <vt:lpwstr>26900100;21473702;21511777;7688113;5896402;6144854</vt:lpwstr>
  </property>
  <property fmtid="{D5CDD505-2E9C-101B-9397-08002B2CF9AE}" pid="37" name="LAWLISTTMP1">
    <vt:lpwstr>4216/006;007.a:2;007.c:2</vt:lpwstr>
  </property>
  <property fmtid="{D5CDD505-2E9C-101B-9397-08002B2CF9AE}" pid="38" name="LAWLISTTMP2">
    <vt:lpwstr>70301/040d;40ja</vt:lpwstr>
  </property>
</Properties>
</file>