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24C2C" w14:textId="77777777" w:rsidR="00A4374D" w:rsidRPr="004E65E9" w:rsidRDefault="00A4374D" w:rsidP="004E65E9">
      <w:pPr>
        <w:pStyle w:val="a3"/>
        <w:jc w:val="center"/>
        <w:rPr>
          <w:rFonts w:cs="FrankRuehl" w:hint="cs"/>
          <w:sz w:val="28"/>
          <w:szCs w:val="28"/>
          <w:rtl/>
        </w:rPr>
      </w:pPr>
      <w:bookmarkStart w:id="0" w:name="LastJudge"/>
    </w:p>
    <w:tbl>
      <w:tblPr>
        <w:bidiVisual/>
        <w:tblW w:w="0" w:type="auto"/>
        <w:jc w:val="center"/>
        <w:tblLook w:val="0000" w:firstRow="0" w:lastRow="0" w:firstColumn="0" w:lastColumn="0" w:noHBand="0" w:noVBand="0"/>
      </w:tblPr>
      <w:tblGrid>
        <w:gridCol w:w="5063"/>
        <w:gridCol w:w="3658"/>
      </w:tblGrid>
      <w:tr w:rsidR="00A4374D" w:rsidRPr="004E65E9" w14:paraId="2418ADDE" w14:textId="77777777" w:rsidTr="00F27834">
        <w:trPr>
          <w:trHeight w:hRule="exact" w:val="418"/>
          <w:jc w:val="center"/>
        </w:trPr>
        <w:tc>
          <w:tcPr>
            <w:tcW w:w="8861" w:type="dxa"/>
            <w:gridSpan w:val="2"/>
          </w:tcPr>
          <w:p w14:paraId="77D0E61C" w14:textId="77777777" w:rsidR="00A4374D" w:rsidRPr="004E65E9" w:rsidRDefault="00A4374D" w:rsidP="00F27834">
            <w:pPr>
              <w:pStyle w:val="a3"/>
              <w:jc w:val="center"/>
              <w:rPr>
                <w:rFonts w:ascii="Tahoma" w:hAnsi="Tahoma" w:cs="Tahoma"/>
                <w:color w:val="000080"/>
                <w:rtl/>
              </w:rPr>
            </w:pPr>
            <w:r w:rsidRPr="004E65E9">
              <w:rPr>
                <w:rFonts w:ascii="Tahoma" w:hAnsi="Tahoma" w:cs="Tahoma"/>
                <w:b/>
                <w:bCs/>
                <w:color w:val="000080"/>
                <w:rtl/>
              </w:rPr>
              <w:t>בית משפט השלום בחדרה</w:t>
            </w:r>
          </w:p>
        </w:tc>
      </w:tr>
      <w:tr w:rsidR="00A4374D" w:rsidRPr="004E65E9" w14:paraId="64C03101" w14:textId="77777777" w:rsidTr="00F27834">
        <w:trPr>
          <w:trHeight w:val="337"/>
          <w:jc w:val="center"/>
        </w:trPr>
        <w:tc>
          <w:tcPr>
            <w:tcW w:w="5131" w:type="dxa"/>
          </w:tcPr>
          <w:p w14:paraId="61D2F47D" w14:textId="77777777" w:rsidR="00A4374D" w:rsidRPr="004E65E9" w:rsidRDefault="00A4374D" w:rsidP="00F27834">
            <w:pPr>
              <w:rPr>
                <w:rFonts w:cs="FrankRuehl"/>
                <w:sz w:val="28"/>
                <w:szCs w:val="28"/>
                <w:rtl/>
              </w:rPr>
            </w:pPr>
            <w:r w:rsidRPr="004E65E9">
              <w:rPr>
                <w:rFonts w:cs="FrankRuehl"/>
                <w:sz w:val="28"/>
                <w:szCs w:val="28"/>
                <w:rtl/>
              </w:rPr>
              <w:t>ת"פ</w:t>
            </w:r>
            <w:r w:rsidRPr="004E65E9">
              <w:rPr>
                <w:rFonts w:cs="FrankRuehl" w:hint="cs"/>
                <w:sz w:val="28"/>
                <w:szCs w:val="28"/>
                <w:rtl/>
              </w:rPr>
              <w:t xml:space="preserve"> </w:t>
            </w:r>
            <w:r w:rsidRPr="004E65E9">
              <w:rPr>
                <w:rFonts w:cs="FrankRuehl"/>
                <w:sz w:val="28"/>
                <w:szCs w:val="28"/>
                <w:rtl/>
              </w:rPr>
              <w:t>15707-04-23</w:t>
            </w:r>
            <w:r w:rsidRPr="004E65E9">
              <w:rPr>
                <w:rFonts w:cs="FrankRuehl" w:hint="cs"/>
                <w:sz w:val="28"/>
                <w:szCs w:val="28"/>
                <w:rtl/>
              </w:rPr>
              <w:t xml:space="preserve"> </w:t>
            </w:r>
            <w:r w:rsidRPr="004E65E9">
              <w:rPr>
                <w:rFonts w:cs="FrankRuehl"/>
                <w:sz w:val="28"/>
                <w:szCs w:val="28"/>
                <w:rtl/>
              </w:rPr>
              <w:t>מדינת ישראל נ' גרונטובסקי(עציר)</w:t>
            </w:r>
          </w:p>
          <w:p w14:paraId="74FA4D41" w14:textId="77777777" w:rsidR="00A4374D" w:rsidRPr="004E65E9" w:rsidRDefault="00A4374D" w:rsidP="00F27834">
            <w:pPr>
              <w:pStyle w:val="a3"/>
              <w:rPr>
                <w:rFonts w:cs="FrankRuehl"/>
                <w:sz w:val="28"/>
                <w:szCs w:val="28"/>
                <w:rtl/>
              </w:rPr>
            </w:pPr>
          </w:p>
        </w:tc>
        <w:tc>
          <w:tcPr>
            <w:tcW w:w="3730" w:type="dxa"/>
          </w:tcPr>
          <w:p w14:paraId="41729B64" w14:textId="77777777" w:rsidR="00A4374D" w:rsidRPr="004E65E9" w:rsidRDefault="00A4374D" w:rsidP="00F27834">
            <w:pPr>
              <w:pStyle w:val="a3"/>
              <w:jc w:val="right"/>
              <w:rPr>
                <w:rFonts w:cs="FrankRuehl"/>
                <w:sz w:val="28"/>
                <w:szCs w:val="28"/>
                <w:rtl/>
              </w:rPr>
            </w:pPr>
          </w:p>
        </w:tc>
      </w:tr>
    </w:tbl>
    <w:p w14:paraId="3C24DFDC" w14:textId="77777777" w:rsidR="00A4374D" w:rsidRPr="004E65E9" w:rsidRDefault="00A4374D" w:rsidP="00A4374D">
      <w:pPr>
        <w:pStyle w:val="a3"/>
        <w:rPr>
          <w:rtl/>
        </w:rPr>
      </w:pPr>
      <w:r w:rsidRPr="004E65E9">
        <w:rPr>
          <w:rFonts w:hint="cs"/>
          <w:rtl/>
        </w:rPr>
        <w:t xml:space="preserve"> </w:t>
      </w:r>
    </w:p>
    <w:p w14:paraId="6DACD55C" w14:textId="77777777" w:rsidR="00A4374D" w:rsidRPr="004E65E9" w:rsidRDefault="00A4374D" w:rsidP="00A4374D">
      <w:pPr>
        <w:rPr>
          <w:rtl/>
        </w:rPr>
      </w:pPr>
    </w:p>
    <w:p w14:paraId="1A820D7B" w14:textId="77777777" w:rsidR="00A4374D" w:rsidRPr="004E65E9" w:rsidRDefault="00A4374D" w:rsidP="00A4374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4374D" w:rsidRPr="004E65E9" w14:paraId="21C8EF44" w14:textId="77777777" w:rsidTr="00A4374D">
        <w:trPr>
          <w:trHeight w:val="295"/>
          <w:jc w:val="center"/>
        </w:trPr>
        <w:tc>
          <w:tcPr>
            <w:tcW w:w="923" w:type="dxa"/>
            <w:tcBorders>
              <w:top w:val="nil"/>
              <w:left w:val="nil"/>
              <w:bottom w:val="nil"/>
              <w:right w:val="nil"/>
            </w:tcBorders>
            <w:shd w:val="clear" w:color="auto" w:fill="auto"/>
          </w:tcPr>
          <w:p w14:paraId="0A4BE042" w14:textId="77777777" w:rsidR="00A4374D" w:rsidRPr="004E65E9" w:rsidRDefault="00A4374D" w:rsidP="00A4374D">
            <w:pPr>
              <w:jc w:val="both"/>
              <w:rPr>
                <w:rFonts w:ascii="David" w:hAnsi="David"/>
                <w:sz w:val="26"/>
                <w:szCs w:val="26"/>
              </w:rPr>
            </w:pPr>
            <w:r w:rsidRPr="004E65E9">
              <w:rPr>
                <w:rFonts w:ascii="David" w:hAnsi="David" w:hint="cs"/>
                <w:sz w:val="26"/>
                <w:szCs w:val="26"/>
                <w:rtl/>
              </w:rPr>
              <w:t>ל</w:t>
            </w:r>
            <w:r w:rsidRPr="004E65E9">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1BE6FCC6" w14:textId="77777777" w:rsidR="00A4374D" w:rsidRPr="004E65E9" w:rsidRDefault="00A4374D" w:rsidP="00F27834">
            <w:pPr>
              <w:rPr>
                <w:rFonts w:ascii="David" w:hAnsi="David"/>
                <w:b/>
                <w:bCs/>
                <w:sz w:val="26"/>
                <w:szCs w:val="26"/>
                <w:rtl/>
              </w:rPr>
            </w:pPr>
            <w:r w:rsidRPr="004E65E9">
              <w:rPr>
                <w:rFonts w:ascii="David" w:hAnsi="David"/>
                <w:b/>
                <w:bCs/>
                <w:sz w:val="26"/>
                <w:szCs w:val="26"/>
                <w:rtl/>
              </w:rPr>
              <w:t>כבוד השופט  אלכס אחטר</w:t>
            </w:r>
          </w:p>
          <w:p w14:paraId="077C05A2" w14:textId="77777777" w:rsidR="00A4374D" w:rsidRPr="004E65E9" w:rsidRDefault="00A4374D" w:rsidP="00F27834">
            <w:pPr>
              <w:rPr>
                <w:rFonts w:ascii="David" w:hAnsi="David"/>
                <w:sz w:val="26"/>
                <w:szCs w:val="26"/>
                <w:rtl/>
              </w:rPr>
            </w:pPr>
          </w:p>
          <w:p w14:paraId="3BF0D931" w14:textId="77777777" w:rsidR="00A4374D" w:rsidRPr="004E65E9" w:rsidRDefault="00A4374D" w:rsidP="00A4374D">
            <w:pPr>
              <w:jc w:val="both"/>
              <w:rPr>
                <w:rFonts w:ascii="David" w:hAnsi="David"/>
                <w:sz w:val="26"/>
                <w:szCs w:val="26"/>
              </w:rPr>
            </w:pPr>
          </w:p>
        </w:tc>
      </w:tr>
      <w:tr w:rsidR="00A4374D" w:rsidRPr="004E65E9" w14:paraId="435F94DA" w14:textId="77777777" w:rsidTr="00A4374D">
        <w:trPr>
          <w:trHeight w:val="355"/>
          <w:jc w:val="center"/>
        </w:trPr>
        <w:tc>
          <w:tcPr>
            <w:tcW w:w="923" w:type="dxa"/>
            <w:tcBorders>
              <w:top w:val="nil"/>
              <w:left w:val="nil"/>
              <w:bottom w:val="nil"/>
              <w:right w:val="nil"/>
            </w:tcBorders>
            <w:shd w:val="clear" w:color="auto" w:fill="auto"/>
          </w:tcPr>
          <w:p w14:paraId="348FBB9A" w14:textId="77777777" w:rsidR="00A4374D" w:rsidRPr="004E65E9" w:rsidRDefault="00A4374D" w:rsidP="00A4374D">
            <w:pPr>
              <w:jc w:val="both"/>
              <w:rPr>
                <w:rFonts w:ascii="David" w:hAnsi="David"/>
                <w:sz w:val="26"/>
                <w:szCs w:val="26"/>
              </w:rPr>
            </w:pPr>
            <w:bookmarkStart w:id="1" w:name="FirstAppellant"/>
            <w:bookmarkStart w:id="2" w:name="FirstLawyer"/>
            <w:r w:rsidRPr="004E65E9">
              <w:rPr>
                <w:rFonts w:ascii="David" w:hAnsi="David"/>
                <w:sz w:val="26"/>
                <w:szCs w:val="26"/>
                <w:rtl/>
              </w:rPr>
              <w:t>בעניין:</w:t>
            </w:r>
          </w:p>
        </w:tc>
        <w:tc>
          <w:tcPr>
            <w:tcW w:w="3219" w:type="dxa"/>
            <w:tcBorders>
              <w:top w:val="nil"/>
              <w:left w:val="nil"/>
              <w:bottom w:val="nil"/>
              <w:right w:val="nil"/>
            </w:tcBorders>
            <w:shd w:val="clear" w:color="auto" w:fill="auto"/>
          </w:tcPr>
          <w:p w14:paraId="091CC9C2" w14:textId="77777777" w:rsidR="00A4374D" w:rsidRPr="004E65E9" w:rsidRDefault="00A4374D" w:rsidP="00A4374D">
            <w:pPr>
              <w:suppressLineNumbers/>
            </w:pPr>
            <w:r w:rsidRPr="004E65E9">
              <w:rPr>
                <w:rFonts w:ascii="Arial" w:hAnsi="Arial" w:hint="cs"/>
                <w:b/>
                <w:bCs/>
                <w:sz w:val="26"/>
                <w:szCs w:val="26"/>
                <w:rtl/>
              </w:rPr>
              <w:t>ה</w:t>
            </w:r>
            <w:r w:rsidRPr="004E65E9">
              <w:rPr>
                <w:rFonts w:ascii="Arial" w:hAnsi="Arial"/>
                <w:b/>
                <w:bCs/>
                <w:sz w:val="26"/>
                <w:szCs w:val="26"/>
                <w:rtl/>
              </w:rPr>
              <w:t>מאשימה</w:t>
            </w:r>
          </w:p>
          <w:p w14:paraId="3074BD8B" w14:textId="77777777" w:rsidR="00A4374D" w:rsidRPr="004E65E9" w:rsidRDefault="00A4374D" w:rsidP="00F27834">
            <w:pPr>
              <w:rPr>
                <w:rFonts w:ascii="David" w:hAnsi="David"/>
                <w:sz w:val="26"/>
                <w:szCs w:val="26"/>
              </w:rPr>
            </w:pPr>
          </w:p>
        </w:tc>
        <w:tc>
          <w:tcPr>
            <w:tcW w:w="4678" w:type="dxa"/>
            <w:tcBorders>
              <w:top w:val="nil"/>
              <w:left w:val="nil"/>
              <w:bottom w:val="nil"/>
              <w:right w:val="nil"/>
            </w:tcBorders>
            <w:shd w:val="clear" w:color="auto" w:fill="auto"/>
            <w:vAlign w:val="center"/>
          </w:tcPr>
          <w:p w14:paraId="09983B77" w14:textId="77777777" w:rsidR="00A4374D" w:rsidRPr="004E65E9" w:rsidRDefault="00A4374D" w:rsidP="00A4374D">
            <w:pPr>
              <w:suppressLineNumbers/>
              <w:rPr>
                <w:rFonts w:ascii="Arial" w:hAnsi="Arial"/>
                <w:b/>
                <w:bCs/>
                <w:sz w:val="26"/>
                <w:szCs w:val="26"/>
                <w:rtl/>
              </w:rPr>
            </w:pPr>
            <w:r w:rsidRPr="004E65E9">
              <w:rPr>
                <w:rFonts w:ascii="Arial" w:hAnsi="Arial"/>
                <w:b/>
                <w:bCs/>
                <w:sz w:val="26"/>
                <w:szCs w:val="26"/>
                <w:rtl/>
              </w:rPr>
              <w:t>מדינת ישראל</w:t>
            </w:r>
            <w:r w:rsidRPr="004E65E9">
              <w:rPr>
                <w:rFonts w:ascii="Arial" w:hAnsi="Arial" w:hint="cs"/>
                <w:b/>
                <w:bCs/>
                <w:sz w:val="26"/>
                <w:szCs w:val="26"/>
                <w:rtl/>
              </w:rPr>
              <w:t xml:space="preserve"> </w:t>
            </w:r>
          </w:p>
          <w:p w14:paraId="302E0006" w14:textId="77777777" w:rsidR="00A4374D" w:rsidRPr="004E65E9" w:rsidRDefault="00A4374D" w:rsidP="00A4374D">
            <w:pPr>
              <w:suppressLineNumbers/>
            </w:pPr>
            <w:r w:rsidRPr="004E65E9">
              <w:rPr>
                <w:rFonts w:ascii="Arial" w:hAnsi="Arial"/>
                <w:b/>
                <w:bCs/>
                <w:sz w:val="26"/>
                <w:szCs w:val="26"/>
                <w:rtl/>
              </w:rPr>
              <w:t xml:space="preserve">ע"י ב"כ </w:t>
            </w:r>
            <w:r w:rsidRPr="004E65E9">
              <w:rPr>
                <w:rFonts w:ascii="Arial" w:hAnsi="Arial" w:hint="cs"/>
                <w:b/>
                <w:bCs/>
                <w:sz w:val="26"/>
                <w:szCs w:val="26"/>
                <w:rtl/>
              </w:rPr>
              <w:t>מתמחה מר פאדי אגא</w:t>
            </w:r>
          </w:p>
          <w:p w14:paraId="6FC3BE11" w14:textId="77777777" w:rsidR="00A4374D" w:rsidRPr="004E65E9" w:rsidRDefault="00A4374D" w:rsidP="00F27834">
            <w:pPr>
              <w:rPr>
                <w:rFonts w:ascii="David" w:hAnsi="David"/>
                <w:sz w:val="26"/>
                <w:szCs w:val="26"/>
              </w:rPr>
            </w:pPr>
          </w:p>
        </w:tc>
      </w:tr>
      <w:bookmarkEnd w:id="1"/>
      <w:bookmarkEnd w:id="2"/>
      <w:tr w:rsidR="00A4374D" w:rsidRPr="004E65E9" w14:paraId="607254B7" w14:textId="77777777" w:rsidTr="00A4374D">
        <w:trPr>
          <w:trHeight w:val="355"/>
          <w:jc w:val="center"/>
        </w:trPr>
        <w:tc>
          <w:tcPr>
            <w:tcW w:w="923" w:type="dxa"/>
            <w:tcBorders>
              <w:top w:val="nil"/>
              <w:left w:val="nil"/>
              <w:bottom w:val="nil"/>
              <w:right w:val="nil"/>
            </w:tcBorders>
            <w:shd w:val="clear" w:color="auto" w:fill="auto"/>
          </w:tcPr>
          <w:p w14:paraId="44DE40A4" w14:textId="77777777" w:rsidR="00A4374D" w:rsidRPr="004E65E9" w:rsidRDefault="00A4374D" w:rsidP="00A4374D">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D62BE6E" w14:textId="77777777" w:rsidR="00A4374D" w:rsidRPr="004E65E9" w:rsidRDefault="00A4374D" w:rsidP="00A4374D">
            <w:pPr>
              <w:jc w:val="center"/>
              <w:rPr>
                <w:rFonts w:ascii="David" w:hAnsi="David"/>
                <w:b/>
                <w:bCs/>
                <w:sz w:val="26"/>
                <w:szCs w:val="26"/>
                <w:rtl/>
              </w:rPr>
            </w:pPr>
          </w:p>
          <w:p w14:paraId="7030362F" w14:textId="77777777" w:rsidR="00A4374D" w:rsidRPr="004E65E9" w:rsidRDefault="00A4374D" w:rsidP="00A4374D">
            <w:pPr>
              <w:jc w:val="center"/>
              <w:rPr>
                <w:rFonts w:ascii="David" w:hAnsi="David"/>
                <w:b/>
                <w:bCs/>
                <w:sz w:val="26"/>
                <w:szCs w:val="26"/>
                <w:rtl/>
              </w:rPr>
            </w:pPr>
            <w:r w:rsidRPr="004E65E9">
              <w:rPr>
                <w:rFonts w:ascii="David" w:hAnsi="David"/>
                <w:b/>
                <w:bCs/>
                <w:sz w:val="26"/>
                <w:szCs w:val="26"/>
                <w:rtl/>
              </w:rPr>
              <w:t>נגד</w:t>
            </w:r>
          </w:p>
          <w:p w14:paraId="049B9A12" w14:textId="77777777" w:rsidR="00A4374D" w:rsidRPr="004E65E9" w:rsidRDefault="00A4374D" w:rsidP="00A4374D">
            <w:pPr>
              <w:jc w:val="both"/>
              <w:rPr>
                <w:rFonts w:ascii="David" w:hAnsi="David"/>
                <w:sz w:val="26"/>
                <w:szCs w:val="26"/>
              </w:rPr>
            </w:pPr>
          </w:p>
        </w:tc>
      </w:tr>
      <w:tr w:rsidR="00A4374D" w:rsidRPr="004E65E9" w14:paraId="4103D9D7" w14:textId="77777777" w:rsidTr="00A4374D">
        <w:trPr>
          <w:trHeight w:val="355"/>
          <w:jc w:val="center"/>
        </w:trPr>
        <w:tc>
          <w:tcPr>
            <w:tcW w:w="923" w:type="dxa"/>
            <w:tcBorders>
              <w:top w:val="nil"/>
              <w:left w:val="nil"/>
              <w:bottom w:val="nil"/>
              <w:right w:val="nil"/>
            </w:tcBorders>
            <w:shd w:val="clear" w:color="auto" w:fill="auto"/>
          </w:tcPr>
          <w:p w14:paraId="1D28E8D1" w14:textId="77777777" w:rsidR="00A4374D" w:rsidRPr="004E65E9" w:rsidRDefault="00A4374D" w:rsidP="00F27834">
            <w:pPr>
              <w:rPr>
                <w:rFonts w:ascii="David" w:hAnsi="David"/>
                <w:sz w:val="26"/>
                <w:szCs w:val="26"/>
                <w:rtl/>
              </w:rPr>
            </w:pPr>
          </w:p>
        </w:tc>
        <w:tc>
          <w:tcPr>
            <w:tcW w:w="3219" w:type="dxa"/>
            <w:tcBorders>
              <w:top w:val="nil"/>
              <w:left w:val="nil"/>
              <w:bottom w:val="nil"/>
              <w:right w:val="nil"/>
            </w:tcBorders>
            <w:shd w:val="clear" w:color="auto" w:fill="auto"/>
          </w:tcPr>
          <w:p w14:paraId="457868D3" w14:textId="77777777" w:rsidR="00A4374D" w:rsidRPr="004E65E9" w:rsidRDefault="00A4374D" w:rsidP="00F27834">
            <w:pPr>
              <w:rPr>
                <w:rFonts w:ascii="Arial" w:hAnsi="Arial"/>
                <w:b/>
                <w:bCs/>
                <w:sz w:val="26"/>
                <w:szCs w:val="26"/>
                <w:rtl/>
              </w:rPr>
            </w:pPr>
            <w:r w:rsidRPr="004E65E9">
              <w:rPr>
                <w:rFonts w:ascii="Arial" w:hAnsi="Arial"/>
                <w:b/>
                <w:bCs/>
                <w:sz w:val="26"/>
                <w:szCs w:val="26"/>
                <w:rtl/>
              </w:rPr>
              <w:t>הנאש</w:t>
            </w:r>
            <w:r w:rsidRPr="004E65E9">
              <w:rPr>
                <w:rFonts w:ascii="Arial" w:hAnsi="Arial" w:hint="cs"/>
                <w:b/>
                <w:bCs/>
                <w:sz w:val="26"/>
                <w:szCs w:val="26"/>
                <w:rtl/>
              </w:rPr>
              <w:t>מת</w:t>
            </w:r>
          </w:p>
        </w:tc>
        <w:tc>
          <w:tcPr>
            <w:tcW w:w="4678" w:type="dxa"/>
            <w:tcBorders>
              <w:top w:val="nil"/>
              <w:left w:val="nil"/>
              <w:bottom w:val="nil"/>
              <w:right w:val="nil"/>
            </w:tcBorders>
            <w:shd w:val="clear" w:color="auto" w:fill="auto"/>
            <w:vAlign w:val="center"/>
          </w:tcPr>
          <w:p w14:paraId="375A4AC2" w14:textId="77777777" w:rsidR="00A4374D" w:rsidRPr="004E65E9" w:rsidRDefault="00A4374D" w:rsidP="00A4374D">
            <w:pPr>
              <w:suppressLineNumbers/>
              <w:rPr>
                <w:rFonts w:ascii="Arial" w:hAnsi="Arial"/>
                <w:b/>
                <w:bCs/>
                <w:sz w:val="26"/>
                <w:szCs w:val="26"/>
                <w:rtl/>
              </w:rPr>
            </w:pPr>
            <w:r w:rsidRPr="004E65E9">
              <w:rPr>
                <w:rFonts w:ascii="Arial" w:hAnsi="Arial"/>
                <w:b/>
                <w:bCs/>
                <w:sz w:val="26"/>
                <w:szCs w:val="26"/>
                <w:rtl/>
              </w:rPr>
              <w:t>דינה גרונטובסקי (עציר)</w:t>
            </w:r>
            <w:r w:rsidRPr="004E65E9">
              <w:rPr>
                <w:rFonts w:ascii="Arial" w:hAnsi="Arial" w:hint="cs"/>
                <w:b/>
                <w:bCs/>
                <w:sz w:val="26"/>
                <w:szCs w:val="26"/>
                <w:rtl/>
              </w:rPr>
              <w:t xml:space="preserve"> </w:t>
            </w:r>
          </w:p>
          <w:p w14:paraId="1DF2C1BB" w14:textId="77777777" w:rsidR="00A4374D" w:rsidRPr="004E65E9" w:rsidRDefault="00A4374D" w:rsidP="00A4374D">
            <w:pPr>
              <w:suppressLineNumbers/>
              <w:rPr>
                <w:b/>
                <w:bCs/>
              </w:rPr>
            </w:pPr>
            <w:r w:rsidRPr="004E65E9">
              <w:rPr>
                <w:rFonts w:ascii="Arial" w:hAnsi="Arial"/>
                <w:b/>
                <w:bCs/>
                <w:sz w:val="26"/>
                <w:szCs w:val="26"/>
                <w:rtl/>
              </w:rPr>
              <w:t>ע"י ב"כ עוה"ד</w:t>
            </w:r>
            <w:r w:rsidRPr="004E65E9">
              <w:rPr>
                <w:rFonts w:hint="cs"/>
                <w:rtl/>
              </w:rPr>
              <w:t xml:space="preserve"> </w:t>
            </w:r>
            <w:r w:rsidRPr="004E65E9">
              <w:rPr>
                <w:rFonts w:hint="cs"/>
                <w:b/>
                <w:bCs/>
                <w:rtl/>
              </w:rPr>
              <w:t>תאופיק ג'בארין</w:t>
            </w:r>
          </w:p>
          <w:p w14:paraId="04FEE0D4" w14:textId="77777777" w:rsidR="00A4374D" w:rsidRPr="004E65E9" w:rsidRDefault="00A4374D" w:rsidP="00F27834">
            <w:pPr>
              <w:rPr>
                <w:rFonts w:ascii="David" w:hAnsi="David"/>
                <w:sz w:val="26"/>
                <w:szCs w:val="26"/>
              </w:rPr>
            </w:pPr>
          </w:p>
        </w:tc>
      </w:tr>
    </w:tbl>
    <w:p w14:paraId="4BC8E91E" w14:textId="77777777" w:rsidR="00CB34BD" w:rsidRPr="00CB34BD" w:rsidRDefault="00CB34BD" w:rsidP="00CB34BD">
      <w:pPr>
        <w:spacing w:before="120" w:after="120" w:line="240" w:lineRule="exact"/>
        <w:ind w:left="283" w:hanging="283"/>
        <w:jc w:val="both"/>
        <w:rPr>
          <w:rFonts w:ascii="FrankRuehl" w:hAnsi="FrankRuehl" w:cs="FrankRuehl"/>
          <w:rtl/>
        </w:rPr>
      </w:pPr>
    </w:p>
    <w:p w14:paraId="75A3FFD5" w14:textId="77777777" w:rsidR="00576CB7" w:rsidRPr="00576CB7" w:rsidRDefault="00576CB7" w:rsidP="00576CB7">
      <w:pPr>
        <w:spacing w:before="120" w:after="120" w:line="240" w:lineRule="exact"/>
        <w:ind w:left="283" w:hanging="283"/>
        <w:jc w:val="both"/>
        <w:rPr>
          <w:rFonts w:ascii="FrankRuehl" w:hAnsi="FrankRuehl" w:cs="FrankRuehl"/>
          <w:rtl/>
        </w:rPr>
      </w:pPr>
    </w:p>
    <w:p w14:paraId="2F9A89B6" w14:textId="77777777" w:rsidR="00143E80" w:rsidRDefault="00143E80" w:rsidP="00143E80">
      <w:pPr>
        <w:rPr>
          <w:sz w:val="26"/>
          <w:szCs w:val="26"/>
          <w:rtl/>
        </w:rPr>
      </w:pPr>
      <w:bookmarkStart w:id="3" w:name="LawTable"/>
      <w:bookmarkEnd w:id="3"/>
    </w:p>
    <w:p w14:paraId="56A1E45B" w14:textId="77777777" w:rsidR="00143E80" w:rsidRPr="00143E80" w:rsidRDefault="00143E80" w:rsidP="00143E80">
      <w:pPr>
        <w:spacing w:before="120" w:after="120" w:line="240" w:lineRule="exact"/>
        <w:ind w:left="283" w:hanging="283"/>
        <w:jc w:val="both"/>
        <w:rPr>
          <w:rFonts w:ascii="FrankRuehl" w:hAnsi="FrankRuehl" w:cs="FrankRuehl"/>
          <w:rtl/>
        </w:rPr>
      </w:pPr>
    </w:p>
    <w:p w14:paraId="1BC25DB6" w14:textId="77777777" w:rsidR="00143E80" w:rsidRPr="00143E80" w:rsidRDefault="00143E80" w:rsidP="00143E80">
      <w:pPr>
        <w:spacing w:before="120" w:after="120" w:line="240" w:lineRule="exact"/>
        <w:ind w:left="283" w:hanging="283"/>
        <w:jc w:val="both"/>
        <w:rPr>
          <w:rFonts w:ascii="FrankRuehl" w:hAnsi="FrankRuehl" w:cs="FrankRuehl"/>
          <w:rtl/>
        </w:rPr>
      </w:pPr>
    </w:p>
    <w:p w14:paraId="0A91E31E" w14:textId="77777777" w:rsidR="00143E80" w:rsidRPr="00143E80" w:rsidRDefault="00143E80" w:rsidP="00143E80">
      <w:pPr>
        <w:spacing w:before="120" w:after="120" w:line="240" w:lineRule="exact"/>
        <w:ind w:left="283" w:hanging="283"/>
        <w:jc w:val="both"/>
        <w:rPr>
          <w:rFonts w:ascii="FrankRuehl" w:hAnsi="FrankRuehl" w:cs="FrankRuehl"/>
          <w:rtl/>
        </w:rPr>
      </w:pPr>
      <w:r w:rsidRPr="00143E80">
        <w:rPr>
          <w:rFonts w:ascii="FrankRuehl" w:hAnsi="FrankRuehl" w:cs="FrankRuehl"/>
          <w:rtl/>
        </w:rPr>
        <w:t xml:space="preserve">חקיקה שאוזכרה: </w:t>
      </w:r>
    </w:p>
    <w:p w14:paraId="19C29AC4" w14:textId="77777777" w:rsidR="00143E80" w:rsidRPr="00143E80" w:rsidRDefault="00143E80" w:rsidP="00143E80">
      <w:pPr>
        <w:spacing w:before="120" w:after="120" w:line="240" w:lineRule="exact"/>
        <w:ind w:left="283" w:hanging="283"/>
        <w:jc w:val="both"/>
        <w:rPr>
          <w:rFonts w:ascii="FrankRuehl" w:hAnsi="FrankRuehl" w:cs="FrankRuehl"/>
          <w:rtl/>
        </w:rPr>
      </w:pPr>
      <w:hyperlink r:id="rId7" w:history="1">
        <w:r w:rsidRPr="00143E80">
          <w:rPr>
            <w:rFonts w:ascii="FrankRuehl" w:hAnsi="FrankRuehl" w:cs="FrankRuehl"/>
            <w:color w:val="0000FF"/>
            <w:rtl/>
          </w:rPr>
          <w:t>חוק העונשין, תשל"ז-1977</w:t>
        </w:r>
      </w:hyperlink>
      <w:r w:rsidRPr="00143E80">
        <w:rPr>
          <w:rFonts w:ascii="FrankRuehl" w:hAnsi="FrankRuehl" w:cs="FrankRuehl"/>
          <w:rtl/>
        </w:rPr>
        <w:t xml:space="preserve">: סע'  </w:t>
      </w:r>
      <w:hyperlink r:id="rId8" w:history="1">
        <w:r w:rsidRPr="00143E80">
          <w:rPr>
            <w:rFonts w:ascii="FrankRuehl" w:hAnsi="FrankRuehl" w:cs="FrankRuehl"/>
            <w:color w:val="0000FF"/>
            <w:rtl/>
          </w:rPr>
          <w:t>40ד</w:t>
        </w:r>
      </w:hyperlink>
      <w:r w:rsidRPr="00143E80">
        <w:rPr>
          <w:rFonts w:ascii="FrankRuehl" w:hAnsi="FrankRuehl" w:cs="FrankRuehl"/>
          <w:rtl/>
        </w:rPr>
        <w:t xml:space="preserve">, </w:t>
      </w:r>
      <w:hyperlink r:id="rId9" w:history="1">
        <w:r w:rsidRPr="00143E80">
          <w:rPr>
            <w:rFonts w:ascii="FrankRuehl" w:hAnsi="FrankRuehl" w:cs="FrankRuehl"/>
            <w:color w:val="0000FF"/>
            <w:rtl/>
          </w:rPr>
          <w:t>40ה</w:t>
        </w:r>
      </w:hyperlink>
      <w:r w:rsidRPr="00143E80">
        <w:rPr>
          <w:rFonts w:ascii="FrankRuehl" w:hAnsi="FrankRuehl" w:cs="FrankRuehl"/>
          <w:rtl/>
        </w:rPr>
        <w:t xml:space="preserve">, </w:t>
      </w:r>
      <w:hyperlink r:id="rId10" w:history="1">
        <w:r w:rsidRPr="00143E80">
          <w:rPr>
            <w:rFonts w:ascii="FrankRuehl" w:hAnsi="FrankRuehl" w:cs="FrankRuehl"/>
            <w:color w:val="0000FF"/>
            <w:rtl/>
          </w:rPr>
          <w:t>40ט'</w:t>
        </w:r>
      </w:hyperlink>
      <w:r w:rsidRPr="00143E80">
        <w:rPr>
          <w:rFonts w:ascii="FrankRuehl" w:hAnsi="FrankRuehl" w:cs="FrankRuehl"/>
          <w:rtl/>
        </w:rPr>
        <w:t xml:space="preserve">, </w:t>
      </w:r>
      <w:hyperlink r:id="rId11" w:history="1">
        <w:r w:rsidRPr="00143E80">
          <w:rPr>
            <w:rFonts w:ascii="FrankRuehl" w:hAnsi="FrankRuehl" w:cs="FrankRuehl"/>
            <w:color w:val="0000FF"/>
            <w:rtl/>
          </w:rPr>
          <w:t>275</w:t>
        </w:r>
      </w:hyperlink>
      <w:r w:rsidRPr="00143E80">
        <w:rPr>
          <w:rFonts w:ascii="FrankRuehl" w:hAnsi="FrankRuehl" w:cs="FrankRuehl"/>
          <w:rtl/>
        </w:rPr>
        <w:t xml:space="preserve">, </w:t>
      </w:r>
      <w:hyperlink r:id="rId12" w:history="1">
        <w:r w:rsidRPr="00143E80">
          <w:rPr>
            <w:rFonts w:ascii="FrankRuehl" w:hAnsi="FrankRuehl" w:cs="FrankRuehl"/>
            <w:color w:val="0000FF"/>
            <w:rtl/>
          </w:rPr>
          <w:t>384</w:t>
        </w:r>
      </w:hyperlink>
      <w:r w:rsidRPr="00143E80">
        <w:rPr>
          <w:rFonts w:ascii="FrankRuehl" w:hAnsi="FrankRuehl" w:cs="FrankRuehl"/>
          <w:rtl/>
        </w:rPr>
        <w:t xml:space="preserve">, </w:t>
      </w:r>
      <w:hyperlink r:id="rId13" w:history="1">
        <w:r w:rsidRPr="00143E80">
          <w:rPr>
            <w:rFonts w:ascii="FrankRuehl" w:hAnsi="FrankRuehl" w:cs="FrankRuehl"/>
            <w:color w:val="0000FF"/>
            <w:rtl/>
          </w:rPr>
          <w:t>406(ב)</w:t>
        </w:r>
      </w:hyperlink>
      <w:r w:rsidRPr="00143E80">
        <w:rPr>
          <w:rFonts w:ascii="FrankRuehl" w:hAnsi="FrankRuehl" w:cs="FrankRuehl"/>
          <w:rtl/>
        </w:rPr>
        <w:t xml:space="preserve">, </w:t>
      </w:r>
      <w:hyperlink r:id="rId14" w:history="1">
        <w:r w:rsidRPr="00143E80">
          <w:rPr>
            <w:rFonts w:ascii="FrankRuehl" w:hAnsi="FrankRuehl" w:cs="FrankRuehl"/>
            <w:color w:val="0000FF"/>
            <w:rtl/>
          </w:rPr>
          <w:t>40יא'</w:t>
        </w:r>
      </w:hyperlink>
      <w:r w:rsidRPr="00143E80">
        <w:rPr>
          <w:rFonts w:ascii="FrankRuehl" w:hAnsi="FrankRuehl" w:cs="FrankRuehl"/>
          <w:rtl/>
        </w:rPr>
        <w:t xml:space="preserve">, </w:t>
      </w:r>
      <w:hyperlink r:id="rId15" w:history="1">
        <w:r w:rsidRPr="00143E80">
          <w:rPr>
            <w:rFonts w:ascii="FrankRuehl" w:hAnsi="FrankRuehl" w:cs="FrankRuehl"/>
            <w:color w:val="0000FF"/>
            <w:rtl/>
          </w:rPr>
          <w:t>440</w:t>
        </w:r>
      </w:hyperlink>
      <w:r w:rsidRPr="00143E80">
        <w:rPr>
          <w:rFonts w:ascii="FrankRuehl" w:hAnsi="FrankRuehl" w:cs="FrankRuehl"/>
          <w:rtl/>
        </w:rPr>
        <w:t xml:space="preserve">, </w:t>
      </w:r>
      <w:hyperlink r:id="rId16" w:history="1">
        <w:r w:rsidRPr="00143E80">
          <w:rPr>
            <w:rFonts w:ascii="FrankRuehl" w:hAnsi="FrankRuehl" w:cs="FrankRuehl"/>
            <w:color w:val="0000FF"/>
            <w:rtl/>
          </w:rPr>
          <w:t>452</w:t>
        </w:r>
      </w:hyperlink>
    </w:p>
    <w:p w14:paraId="59B812C4" w14:textId="77777777" w:rsidR="00143E80" w:rsidRPr="00143E80" w:rsidRDefault="00143E80" w:rsidP="00143E80">
      <w:pPr>
        <w:spacing w:before="120" w:after="120" w:line="240" w:lineRule="exact"/>
        <w:ind w:left="283" w:hanging="283"/>
        <w:jc w:val="both"/>
        <w:rPr>
          <w:rFonts w:ascii="FrankRuehl" w:hAnsi="FrankRuehl" w:cs="FrankRuehl"/>
          <w:rtl/>
        </w:rPr>
      </w:pPr>
      <w:hyperlink r:id="rId17" w:history="1">
        <w:r w:rsidRPr="00143E80">
          <w:rPr>
            <w:rFonts w:ascii="FrankRuehl" w:hAnsi="FrankRuehl" w:cs="FrankRuehl"/>
            <w:color w:val="0000FF"/>
            <w:rtl/>
          </w:rPr>
          <w:t>פקודת הסמים המסוכנים [נוסח חדש], תשל"ג-1973</w:t>
        </w:r>
      </w:hyperlink>
      <w:r w:rsidRPr="00143E80">
        <w:rPr>
          <w:rFonts w:ascii="FrankRuehl" w:hAnsi="FrankRuehl" w:cs="FrankRuehl"/>
          <w:rtl/>
        </w:rPr>
        <w:t xml:space="preserve">: סע'  </w:t>
      </w:r>
      <w:hyperlink r:id="rId18" w:history="1">
        <w:r w:rsidRPr="00143E80">
          <w:rPr>
            <w:rFonts w:ascii="FrankRuehl" w:hAnsi="FrankRuehl" w:cs="FrankRuehl"/>
            <w:color w:val="0000FF"/>
            <w:rtl/>
          </w:rPr>
          <w:t>7.א.</w:t>
        </w:r>
      </w:hyperlink>
      <w:r w:rsidRPr="00143E80">
        <w:rPr>
          <w:rFonts w:ascii="FrankRuehl" w:hAnsi="FrankRuehl" w:cs="FrankRuehl"/>
          <w:rtl/>
        </w:rPr>
        <w:t xml:space="preserve">, </w:t>
      </w:r>
      <w:hyperlink r:id="rId19" w:history="1">
        <w:r w:rsidRPr="00143E80">
          <w:rPr>
            <w:rFonts w:ascii="FrankRuehl" w:hAnsi="FrankRuehl" w:cs="FrankRuehl"/>
            <w:color w:val="0000FF"/>
            <w:rtl/>
          </w:rPr>
          <w:t>7.ג</w:t>
        </w:r>
      </w:hyperlink>
    </w:p>
    <w:p w14:paraId="05B4C093" w14:textId="77777777" w:rsidR="00143E80" w:rsidRPr="00143E80" w:rsidRDefault="00143E80" w:rsidP="00143E80">
      <w:pPr>
        <w:rPr>
          <w:sz w:val="26"/>
          <w:szCs w:val="26"/>
          <w:rtl/>
        </w:rPr>
      </w:pPr>
      <w:bookmarkStart w:id="4" w:name="LawTable_End"/>
      <w:bookmarkEnd w:id="4"/>
    </w:p>
    <w:p w14:paraId="024C72F1" w14:textId="77777777" w:rsidR="00A4374D" w:rsidRPr="00576CB7" w:rsidRDefault="00A4374D" w:rsidP="00576CB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4374D" w14:paraId="17854B82" w14:textId="77777777" w:rsidTr="00A4374D">
        <w:trPr>
          <w:trHeight w:val="355"/>
          <w:jc w:val="center"/>
        </w:trPr>
        <w:tc>
          <w:tcPr>
            <w:tcW w:w="8820" w:type="dxa"/>
            <w:tcBorders>
              <w:top w:val="nil"/>
              <w:left w:val="nil"/>
              <w:bottom w:val="nil"/>
              <w:right w:val="nil"/>
            </w:tcBorders>
            <w:shd w:val="clear" w:color="auto" w:fill="auto"/>
          </w:tcPr>
          <w:p w14:paraId="49E2291E" w14:textId="77777777" w:rsidR="004E65E9" w:rsidRPr="004E65E9" w:rsidRDefault="004E65E9" w:rsidP="004E65E9">
            <w:pPr>
              <w:jc w:val="center"/>
              <w:rPr>
                <w:rFonts w:ascii="David" w:hAnsi="David"/>
                <w:b/>
                <w:bCs/>
                <w:sz w:val="32"/>
                <w:szCs w:val="32"/>
                <w:u w:val="single"/>
                <w:rtl/>
              </w:rPr>
            </w:pPr>
            <w:bookmarkStart w:id="5" w:name="PsakDin" w:colFirst="0" w:colLast="0"/>
            <w:bookmarkEnd w:id="0"/>
            <w:r w:rsidRPr="004E65E9">
              <w:rPr>
                <w:rFonts w:ascii="David" w:hAnsi="David"/>
                <w:b/>
                <w:bCs/>
                <w:sz w:val="32"/>
                <w:szCs w:val="32"/>
                <w:u w:val="single"/>
                <w:rtl/>
              </w:rPr>
              <w:t>גזר דין</w:t>
            </w:r>
          </w:p>
          <w:p w14:paraId="04504C21" w14:textId="77777777" w:rsidR="00A4374D" w:rsidRPr="004E65E9" w:rsidRDefault="00A4374D" w:rsidP="004E65E9">
            <w:pPr>
              <w:jc w:val="center"/>
              <w:rPr>
                <w:rFonts w:ascii="David" w:hAnsi="David"/>
                <w:bCs/>
                <w:sz w:val="32"/>
                <w:szCs w:val="32"/>
                <w:u w:val="single"/>
                <w:rtl/>
              </w:rPr>
            </w:pPr>
          </w:p>
        </w:tc>
      </w:tr>
      <w:bookmarkEnd w:id="5"/>
    </w:tbl>
    <w:p w14:paraId="6FAE7292" w14:textId="77777777" w:rsidR="00A4374D" w:rsidRPr="00A4374D" w:rsidRDefault="00A4374D" w:rsidP="00A4374D">
      <w:pPr>
        <w:spacing w:after="160" w:line="360" w:lineRule="auto"/>
        <w:jc w:val="both"/>
        <w:rPr>
          <w:rFonts w:ascii="David" w:eastAsia="Aptos" w:hAnsi="David"/>
          <w:b/>
          <w:bCs/>
          <w:kern w:val="2"/>
          <w:u w:val="single"/>
          <w:rtl/>
        </w:rPr>
      </w:pPr>
    </w:p>
    <w:p w14:paraId="126E3BA9" w14:textId="77777777" w:rsidR="00A4374D" w:rsidRPr="00A4374D" w:rsidRDefault="00A4374D" w:rsidP="00A4374D">
      <w:pPr>
        <w:spacing w:line="360" w:lineRule="auto"/>
        <w:jc w:val="both"/>
        <w:rPr>
          <w:rFonts w:ascii="David" w:eastAsia="Aptos" w:hAnsi="David"/>
          <w:b/>
          <w:bCs/>
          <w:kern w:val="2"/>
          <w:u w:val="single"/>
          <w:rtl/>
        </w:rPr>
      </w:pPr>
      <w:r w:rsidRPr="00A4374D">
        <w:rPr>
          <w:rFonts w:ascii="David" w:eastAsia="Aptos" w:hAnsi="David"/>
          <w:b/>
          <w:bCs/>
          <w:kern w:val="2"/>
          <w:u w:val="single"/>
          <w:rtl/>
        </w:rPr>
        <w:t>רקע</w:t>
      </w:r>
    </w:p>
    <w:p w14:paraId="29F3762C" w14:textId="77777777" w:rsidR="00A4374D" w:rsidRPr="00A4374D" w:rsidRDefault="00A4374D" w:rsidP="00A4374D">
      <w:pPr>
        <w:spacing w:line="360" w:lineRule="auto"/>
        <w:jc w:val="both"/>
        <w:rPr>
          <w:rFonts w:ascii="David" w:eastAsia="Aptos" w:hAnsi="David"/>
          <w:kern w:val="2"/>
          <w:rtl/>
        </w:rPr>
      </w:pPr>
      <w:bookmarkStart w:id="6" w:name="ABSTRACT_START"/>
      <w:bookmarkEnd w:id="6"/>
      <w:r w:rsidRPr="00A4374D">
        <w:rPr>
          <w:rFonts w:ascii="David" w:eastAsia="Aptos" w:hAnsi="David"/>
          <w:kern w:val="2"/>
          <w:rtl/>
        </w:rPr>
        <w:t xml:space="preserve">הנאשמת הורשעה על פי הודאתה בכתב האישום המתוקן בעבירות </w:t>
      </w:r>
      <w:r w:rsidRPr="00A4374D">
        <w:rPr>
          <w:rFonts w:ascii="David" w:eastAsia="Aptos" w:hAnsi="David"/>
          <w:b/>
          <w:bCs/>
          <w:kern w:val="2"/>
          <w:rtl/>
        </w:rPr>
        <w:t>התפרצות למגורים</w:t>
      </w:r>
      <w:r w:rsidRPr="00A4374D">
        <w:rPr>
          <w:rFonts w:ascii="David" w:eastAsia="Aptos" w:hAnsi="David"/>
          <w:kern w:val="2"/>
          <w:rtl/>
        </w:rPr>
        <w:t xml:space="preserve"> – </w:t>
      </w:r>
      <w:hyperlink r:id="rId20" w:history="1">
        <w:r w:rsidR="00CB34BD" w:rsidRPr="00CB34BD">
          <w:rPr>
            <w:rStyle w:val="Hyperlink"/>
            <w:rFonts w:ascii="David" w:eastAsia="Aptos" w:hAnsi="David"/>
            <w:kern w:val="2"/>
            <w:rtl/>
          </w:rPr>
          <w:t>סעיף 406(ב)</w:t>
        </w:r>
      </w:hyperlink>
      <w:r w:rsidRPr="00A4374D">
        <w:rPr>
          <w:rFonts w:ascii="David" w:eastAsia="Aptos" w:hAnsi="David"/>
          <w:kern w:val="2"/>
          <w:rtl/>
        </w:rPr>
        <w:t xml:space="preserve"> ל</w:t>
      </w:r>
      <w:hyperlink r:id="rId21" w:history="1">
        <w:r w:rsidR="004E65E9" w:rsidRPr="004E65E9">
          <w:rPr>
            <w:rFonts w:ascii="David" w:eastAsia="Aptos" w:hAnsi="David"/>
            <w:color w:val="0000FF"/>
            <w:kern w:val="2"/>
            <w:u w:val="single"/>
            <w:rtl/>
          </w:rPr>
          <w:t>חוק העונשין</w:t>
        </w:r>
      </w:hyperlink>
      <w:r w:rsidRPr="00A4374D">
        <w:rPr>
          <w:rFonts w:ascii="David" w:eastAsia="Aptos" w:hAnsi="David"/>
          <w:kern w:val="2"/>
          <w:rtl/>
        </w:rPr>
        <w:t xml:space="preserve">, תשל"ז-1977, </w:t>
      </w:r>
      <w:r w:rsidRPr="00A4374D">
        <w:rPr>
          <w:rFonts w:ascii="David" w:eastAsia="Aptos" w:hAnsi="David"/>
          <w:b/>
          <w:bCs/>
          <w:kern w:val="2"/>
          <w:rtl/>
        </w:rPr>
        <w:t xml:space="preserve">גניבה </w:t>
      </w:r>
      <w:r w:rsidRPr="00A4374D">
        <w:rPr>
          <w:rFonts w:ascii="David" w:eastAsia="Aptos" w:hAnsi="David"/>
          <w:kern w:val="2"/>
          <w:rtl/>
        </w:rPr>
        <w:t xml:space="preserve">– </w:t>
      </w:r>
      <w:hyperlink r:id="rId22" w:history="1">
        <w:r w:rsidR="00CB34BD" w:rsidRPr="00CB34BD">
          <w:rPr>
            <w:rStyle w:val="Hyperlink"/>
            <w:rFonts w:ascii="David" w:eastAsia="Aptos" w:hAnsi="David"/>
            <w:kern w:val="2"/>
            <w:rtl/>
          </w:rPr>
          <w:t>סעיף 384</w:t>
        </w:r>
      </w:hyperlink>
      <w:r w:rsidRPr="00A4374D">
        <w:rPr>
          <w:rFonts w:ascii="David" w:eastAsia="Aptos" w:hAnsi="David"/>
          <w:kern w:val="2"/>
          <w:rtl/>
        </w:rPr>
        <w:t xml:space="preserve"> לחוק ו</w:t>
      </w:r>
      <w:r w:rsidRPr="00A4374D">
        <w:rPr>
          <w:rFonts w:ascii="David" w:eastAsia="Aptos" w:hAnsi="David"/>
          <w:b/>
          <w:bCs/>
          <w:kern w:val="2"/>
          <w:rtl/>
        </w:rPr>
        <w:t xml:space="preserve">היזק לרכוש במזיד </w:t>
      </w:r>
      <w:r w:rsidRPr="00A4374D">
        <w:rPr>
          <w:rFonts w:ascii="David" w:eastAsia="Aptos" w:hAnsi="David"/>
          <w:kern w:val="2"/>
          <w:rtl/>
        </w:rPr>
        <w:t xml:space="preserve">– </w:t>
      </w:r>
      <w:hyperlink r:id="rId23" w:history="1">
        <w:r w:rsidR="00CB34BD" w:rsidRPr="00CB34BD">
          <w:rPr>
            <w:rStyle w:val="Hyperlink"/>
            <w:rFonts w:ascii="David" w:eastAsia="Aptos" w:hAnsi="David"/>
            <w:kern w:val="2"/>
            <w:rtl/>
          </w:rPr>
          <w:t>סעיף 452</w:t>
        </w:r>
      </w:hyperlink>
      <w:r w:rsidRPr="00A4374D">
        <w:rPr>
          <w:rFonts w:ascii="David" w:eastAsia="Aptos" w:hAnsi="David"/>
          <w:kern w:val="2"/>
          <w:rtl/>
        </w:rPr>
        <w:t xml:space="preserve"> לחוק. לפי עובדות כתב האישום, בתאריך 30.3.23 הנאשמת הגיעה בשעות הבוקר לביתו של מר נועם נח הראל, בעודו ישן יחד עם שני ילדיו הקטינים, עיקמה את חלון הממ"ד ונכנסה פנימה, זרעה אי סדר רב בתוך הבית ובסלון ולבסוף גנבה מכשיר "אקס בוקס", מברגה חשמלית, ביגוד ומוצרי היגיינה של ביתו הקטינה של המתלונן, ממיר "הוט", סכום כסף מזומן, פנקסי המחאות, שעוני יד, רמקולים </w:t>
      </w:r>
      <w:r w:rsidRPr="00A4374D">
        <w:rPr>
          <w:rFonts w:ascii="David" w:eastAsia="Aptos" w:hAnsi="David"/>
          <w:kern w:val="2"/>
          <w:rtl/>
        </w:rPr>
        <w:lastRenderedPageBreak/>
        <w:t>ותכשיטים שונים. המתלונן הבחין בנאשמת כאשר ניסתה להימלט וצעק לעברה, הנאשמת נמלטה מהמקום והשאירה את הרכוש בתוך סדין קשור בחצר הבית.</w:t>
      </w:r>
    </w:p>
    <w:p w14:paraId="7C093D2A" w14:textId="77777777" w:rsidR="00A4374D" w:rsidRPr="00A4374D" w:rsidRDefault="00A4374D" w:rsidP="00A4374D">
      <w:pPr>
        <w:spacing w:line="360" w:lineRule="auto"/>
        <w:jc w:val="both"/>
        <w:rPr>
          <w:rFonts w:ascii="David" w:eastAsia="Aptos" w:hAnsi="David"/>
          <w:kern w:val="2"/>
          <w:rtl/>
        </w:rPr>
      </w:pPr>
      <w:bookmarkStart w:id="7" w:name="ABSTRACT_END"/>
      <w:bookmarkEnd w:id="7"/>
    </w:p>
    <w:p w14:paraId="097C6388"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בתאריך 04.</w:t>
      </w:r>
      <w:r w:rsidRPr="00A4374D">
        <w:rPr>
          <w:rFonts w:ascii="David" w:eastAsia="Aptos" w:hAnsi="David" w:hint="cs"/>
          <w:kern w:val="2"/>
          <w:rtl/>
        </w:rPr>
        <w:t>0</w:t>
      </w:r>
      <w:r w:rsidRPr="00A4374D">
        <w:rPr>
          <w:rFonts w:ascii="David" w:eastAsia="Aptos" w:hAnsi="David"/>
          <w:kern w:val="2"/>
          <w:rtl/>
        </w:rPr>
        <w:t xml:space="preserve">1.23 הודתה הנאשמת בכתב האישום המתוקן וביקשה לצרף תיק נוסף 32774-04-23 </w:t>
      </w:r>
      <w:r w:rsidRPr="00A4374D">
        <w:rPr>
          <w:rFonts w:ascii="David" w:eastAsia="Aptos" w:hAnsi="David" w:hint="cs"/>
          <w:kern w:val="2"/>
          <w:rtl/>
        </w:rPr>
        <w:t xml:space="preserve">בו </w:t>
      </w:r>
      <w:r w:rsidRPr="00A4374D">
        <w:rPr>
          <w:rFonts w:ascii="David" w:eastAsia="Aptos" w:hAnsi="David"/>
          <w:kern w:val="2"/>
          <w:rtl/>
        </w:rPr>
        <w:t>הורשעה</w:t>
      </w:r>
      <w:r w:rsidRPr="00A4374D">
        <w:rPr>
          <w:rFonts w:ascii="David" w:eastAsia="Aptos" w:hAnsi="David" w:hint="cs"/>
          <w:kern w:val="2"/>
          <w:rtl/>
        </w:rPr>
        <w:t xml:space="preserve"> הנאשמת</w:t>
      </w:r>
      <w:r w:rsidRPr="00A4374D">
        <w:rPr>
          <w:rFonts w:ascii="David" w:eastAsia="Aptos" w:hAnsi="David"/>
          <w:kern w:val="2"/>
          <w:rtl/>
        </w:rPr>
        <w:t xml:space="preserve"> בכתב אישום מתוקן, בעבירות </w:t>
      </w:r>
      <w:r w:rsidRPr="00A4374D">
        <w:rPr>
          <w:rFonts w:ascii="David" w:eastAsia="Aptos" w:hAnsi="David"/>
          <w:b/>
          <w:bCs/>
          <w:kern w:val="2"/>
          <w:rtl/>
        </w:rPr>
        <w:t>הפרעת שוטר במילוי תפקידו</w:t>
      </w:r>
      <w:r w:rsidRPr="00A4374D">
        <w:rPr>
          <w:rFonts w:ascii="David" w:eastAsia="Aptos" w:hAnsi="David"/>
          <w:kern w:val="2"/>
          <w:rtl/>
        </w:rPr>
        <w:t xml:space="preserve"> – </w:t>
      </w:r>
      <w:hyperlink r:id="rId24" w:history="1">
        <w:r w:rsidR="00CB34BD" w:rsidRPr="00CB34BD">
          <w:rPr>
            <w:rStyle w:val="Hyperlink"/>
            <w:rFonts w:ascii="David" w:eastAsia="Aptos" w:hAnsi="David"/>
            <w:kern w:val="2"/>
            <w:rtl/>
          </w:rPr>
          <w:t>סעיף 275</w:t>
        </w:r>
      </w:hyperlink>
      <w:r w:rsidRPr="00A4374D">
        <w:rPr>
          <w:rFonts w:ascii="David" w:eastAsia="Aptos" w:hAnsi="David"/>
          <w:kern w:val="2"/>
          <w:rtl/>
        </w:rPr>
        <w:t xml:space="preserve"> ל</w:t>
      </w:r>
      <w:hyperlink r:id="rId25" w:history="1">
        <w:r w:rsidR="004E65E9" w:rsidRPr="004E65E9">
          <w:rPr>
            <w:rFonts w:ascii="David" w:eastAsia="Aptos" w:hAnsi="David"/>
            <w:color w:val="0000FF"/>
            <w:kern w:val="2"/>
            <w:u w:val="single"/>
            <w:rtl/>
          </w:rPr>
          <w:t>חוק העונשין</w:t>
        </w:r>
      </w:hyperlink>
      <w:r w:rsidRPr="00A4374D">
        <w:rPr>
          <w:rFonts w:ascii="David" w:eastAsia="Aptos" w:hAnsi="David"/>
          <w:kern w:val="2"/>
          <w:rtl/>
        </w:rPr>
        <w:t xml:space="preserve"> , תשל"ז-1977, </w:t>
      </w:r>
      <w:r w:rsidRPr="00A4374D">
        <w:rPr>
          <w:rFonts w:ascii="David" w:eastAsia="Aptos" w:hAnsi="David"/>
          <w:b/>
          <w:bCs/>
          <w:kern w:val="2"/>
          <w:rtl/>
        </w:rPr>
        <w:t>הסגת גבול</w:t>
      </w:r>
      <w:r w:rsidRPr="00A4374D">
        <w:rPr>
          <w:rFonts w:ascii="David" w:eastAsia="Aptos" w:hAnsi="David"/>
          <w:kern w:val="2"/>
          <w:rtl/>
        </w:rPr>
        <w:t xml:space="preserve"> – </w:t>
      </w:r>
      <w:hyperlink r:id="rId26" w:history="1">
        <w:r w:rsidR="00CB34BD" w:rsidRPr="00CB34BD">
          <w:rPr>
            <w:rStyle w:val="Hyperlink"/>
            <w:rFonts w:ascii="David" w:eastAsia="Aptos" w:hAnsi="David"/>
            <w:kern w:val="2"/>
            <w:rtl/>
          </w:rPr>
          <w:t>סעיף 440</w:t>
        </w:r>
      </w:hyperlink>
      <w:r w:rsidRPr="00A4374D">
        <w:rPr>
          <w:rFonts w:ascii="David" w:eastAsia="Aptos" w:hAnsi="David"/>
          <w:kern w:val="2"/>
          <w:rtl/>
        </w:rPr>
        <w:t xml:space="preserve"> לחוק ו</w:t>
      </w:r>
      <w:r w:rsidRPr="00A4374D">
        <w:rPr>
          <w:rFonts w:ascii="David" w:eastAsia="Aptos" w:hAnsi="David"/>
          <w:b/>
          <w:bCs/>
          <w:kern w:val="2"/>
          <w:rtl/>
        </w:rPr>
        <w:t>החזקה/שימוש בסמים שלא לצריכה עצמית</w:t>
      </w:r>
      <w:r w:rsidRPr="00A4374D">
        <w:rPr>
          <w:rFonts w:ascii="David" w:eastAsia="Aptos" w:hAnsi="David"/>
          <w:kern w:val="2"/>
          <w:rtl/>
        </w:rPr>
        <w:t xml:space="preserve"> – </w:t>
      </w:r>
      <w:hyperlink r:id="rId27" w:history="1">
        <w:r w:rsidR="00CB34BD" w:rsidRPr="00CB34BD">
          <w:rPr>
            <w:rStyle w:val="Hyperlink"/>
            <w:rFonts w:ascii="David" w:eastAsia="Aptos" w:hAnsi="David"/>
            <w:kern w:val="2"/>
            <w:rtl/>
          </w:rPr>
          <w:t>סעיף 7(א)+7(ג)</w:t>
        </w:r>
      </w:hyperlink>
      <w:r w:rsidRPr="00A4374D">
        <w:rPr>
          <w:rFonts w:ascii="David" w:eastAsia="Aptos" w:hAnsi="David"/>
          <w:kern w:val="2"/>
          <w:rtl/>
        </w:rPr>
        <w:t xml:space="preserve"> ל</w:t>
      </w:r>
      <w:hyperlink r:id="rId28" w:history="1">
        <w:r w:rsidR="004E65E9" w:rsidRPr="004E65E9">
          <w:rPr>
            <w:rFonts w:ascii="David" w:eastAsia="Aptos" w:hAnsi="David"/>
            <w:color w:val="0000FF"/>
            <w:kern w:val="2"/>
            <w:u w:val="single"/>
            <w:rtl/>
          </w:rPr>
          <w:t>פקודת הסמים המסוכנים</w:t>
        </w:r>
      </w:hyperlink>
      <w:r w:rsidRPr="00A4374D">
        <w:rPr>
          <w:rFonts w:ascii="David" w:eastAsia="Aptos" w:hAnsi="David"/>
          <w:kern w:val="2"/>
          <w:rtl/>
        </w:rPr>
        <w:t xml:space="preserve"> (נוסח חדש) תשל'ג-1973. </w:t>
      </w:r>
    </w:p>
    <w:p w14:paraId="040301D8"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הנאשמת עצורה </w:t>
      </w:r>
      <w:r w:rsidRPr="00A4374D">
        <w:rPr>
          <w:rFonts w:ascii="David" w:eastAsia="Aptos" w:hAnsi="David" w:hint="cs"/>
          <w:kern w:val="2"/>
          <w:rtl/>
        </w:rPr>
        <w:t>מתאריך</w:t>
      </w:r>
      <w:r w:rsidRPr="00A4374D">
        <w:rPr>
          <w:rFonts w:ascii="David" w:eastAsia="Aptos" w:hAnsi="David"/>
          <w:kern w:val="2"/>
          <w:rtl/>
        </w:rPr>
        <w:t xml:space="preserve"> </w:t>
      </w:r>
      <w:r w:rsidRPr="00A4374D">
        <w:rPr>
          <w:rFonts w:ascii="David" w:eastAsia="Aptos" w:hAnsi="David" w:hint="cs"/>
          <w:kern w:val="2"/>
          <w:rtl/>
        </w:rPr>
        <w:t>0</w:t>
      </w:r>
      <w:r w:rsidRPr="00A4374D">
        <w:rPr>
          <w:rFonts w:ascii="David" w:eastAsia="Aptos" w:hAnsi="David"/>
          <w:kern w:val="2"/>
          <w:rtl/>
        </w:rPr>
        <w:t>3.</w:t>
      </w:r>
      <w:r w:rsidRPr="00A4374D">
        <w:rPr>
          <w:rFonts w:ascii="David" w:eastAsia="Aptos" w:hAnsi="David" w:hint="cs"/>
          <w:kern w:val="2"/>
          <w:rtl/>
        </w:rPr>
        <w:t>0</w:t>
      </w:r>
      <w:r w:rsidRPr="00A4374D">
        <w:rPr>
          <w:rFonts w:ascii="David" w:eastAsia="Aptos" w:hAnsi="David"/>
          <w:kern w:val="2"/>
          <w:rtl/>
        </w:rPr>
        <w:t>4.23</w:t>
      </w:r>
      <w:r w:rsidRPr="00A4374D">
        <w:rPr>
          <w:rFonts w:ascii="David" w:eastAsia="Aptos" w:hAnsi="David" w:hint="cs"/>
          <w:kern w:val="2"/>
          <w:rtl/>
        </w:rPr>
        <w:t>.</w:t>
      </w:r>
      <w:r w:rsidRPr="00A4374D">
        <w:rPr>
          <w:rFonts w:ascii="David" w:eastAsia="Aptos" w:hAnsi="David"/>
          <w:kern w:val="2"/>
          <w:rtl/>
        </w:rPr>
        <w:t xml:space="preserve"> </w:t>
      </w:r>
    </w:p>
    <w:p w14:paraId="026A801B"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טרם שמיעת טיעוני</w:t>
      </w:r>
      <w:r w:rsidRPr="00A4374D">
        <w:rPr>
          <w:rFonts w:ascii="David" w:eastAsia="Aptos" w:hAnsi="David" w:hint="cs"/>
          <w:kern w:val="2"/>
          <w:rtl/>
        </w:rPr>
        <w:t xml:space="preserve"> הצדדים</w:t>
      </w:r>
      <w:r w:rsidRPr="00A4374D">
        <w:rPr>
          <w:rFonts w:ascii="David" w:eastAsia="Aptos" w:hAnsi="David"/>
          <w:kern w:val="2"/>
          <w:rtl/>
        </w:rPr>
        <w:t xml:space="preserve"> לעונש, הנאשמת הופנתה לשירות המבחן לשם עריכת תסקירים בעניינה, בין היתר מאחר וכנגד הנאשמת קיים מאסר מותנה בן 6 חודשים, שהוטל ב</w:t>
      </w:r>
      <w:hyperlink r:id="rId29" w:history="1">
        <w:r w:rsidR="004E65E9" w:rsidRPr="004E65E9">
          <w:rPr>
            <w:rFonts w:ascii="David" w:eastAsia="Aptos" w:hAnsi="David"/>
            <w:color w:val="0000FF"/>
            <w:kern w:val="2"/>
            <w:u w:val="single"/>
            <w:rtl/>
          </w:rPr>
          <w:t>ת"פ 61951-07-22</w:t>
        </w:r>
      </w:hyperlink>
      <w:r w:rsidRPr="00A4374D">
        <w:rPr>
          <w:rFonts w:ascii="David" w:eastAsia="Aptos" w:hAnsi="David"/>
          <w:kern w:val="2"/>
          <w:rtl/>
        </w:rPr>
        <w:t xml:space="preserve"> בגזר דין </w:t>
      </w:r>
      <w:r w:rsidRPr="00A4374D">
        <w:rPr>
          <w:rFonts w:ascii="David" w:eastAsia="Aptos" w:hAnsi="David" w:hint="cs"/>
          <w:kern w:val="2"/>
          <w:rtl/>
        </w:rPr>
        <w:t>מ</w:t>
      </w:r>
      <w:r w:rsidRPr="00A4374D">
        <w:rPr>
          <w:rFonts w:ascii="David" w:eastAsia="Aptos" w:hAnsi="David"/>
          <w:kern w:val="2"/>
          <w:rtl/>
        </w:rPr>
        <w:t>תאריך 19.12.22.</w:t>
      </w:r>
    </w:p>
    <w:p w14:paraId="4AC14DF8"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בעניינה של הנאשמת הוגש תסקיר מטעם שירות המבחן, מהתסקיר עולה כי הנאשמת, בת 41, גרושה ואם ל-2 ילדים כבני 25 ו-14 עלתה ארצה מברה"מ בהיותה בת 18. הנאשמת סיימה 10 שנות לימוד בארץ מוצאה עם תעודת בגרות מלאה. </w:t>
      </w:r>
    </w:p>
    <w:p w14:paraId="74D90BD8"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התסקיר מתאר נסיבות חיים מורכבות, </w:t>
      </w:r>
      <w:r w:rsidRPr="00A4374D">
        <w:rPr>
          <w:rFonts w:ascii="David" w:eastAsia="Aptos" w:hAnsi="David" w:hint="cs"/>
          <w:kern w:val="2"/>
          <w:rtl/>
        </w:rPr>
        <w:t xml:space="preserve">בהם </w:t>
      </w:r>
      <w:r w:rsidRPr="00A4374D">
        <w:rPr>
          <w:rFonts w:ascii="David" w:eastAsia="Aptos" w:hAnsi="David"/>
          <w:kern w:val="2"/>
          <w:rtl/>
        </w:rPr>
        <w:t xml:space="preserve">נישואיה הראשונים בהיותה בת 17, הגיעו בעקבות זאת שהרתה לאדם מבוגר ממנה, אלכוהוליסט, שנהג כלפיה באלימות. לאחר הגירושין עלתה ארצה עם בנה הפעוט ואביה </w:t>
      </w:r>
      <w:r w:rsidRPr="00A4374D">
        <w:rPr>
          <w:rFonts w:ascii="David" w:eastAsia="Aptos" w:hAnsi="David" w:hint="cs"/>
          <w:kern w:val="2"/>
          <w:rtl/>
        </w:rPr>
        <w:t>ו</w:t>
      </w:r>
      <w:r w:rsidRPr="00A4374D">
        <w:rPr>
          <w:rFonts w:ascii="David" w:eastAsia="Aptos" w:hAnsi="David"/>
          <w:kern w:val="2"/>
          <w:rtl/>
        </w:rPr>
        <w:t>עברה להתגורר ברחוב עם בנה לאחר שרבה עם אביה. בהמשך ניהלה קשר עם אדם בעל עבר פלילי בעסקי הסמים.</w:t>
      </w:r>
      <w:r w:rsidRPr="00A4374D">
        <w:rPr>
          <w:rFonts w:ascii="David" w:eastAsia="Aptos" w:hAnsi="David" w:hint="cs"/>
          <w:kern w:val="2"/>
          <w:rtl/>
        </w:rPr>
        <w:t xml:space="preserve"> </w:t>
      </w:r>
    </w:p>
    <w:p w14:paraId="45A84BC3"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בנה השני </w:t>
      </w:r>
      <w:r w:rsidRPr="00A4374D">
        <w:rPr>
          <w:rFonts w:ascii="David" w:eastAsia="Aptos" w:hAnsi="David" w:hint="cs"/>
          <w:kern w:val="2"/>
          <w:rtl/>
        </w:rPr>
        <w:t xml:space="preserve">של הנאשמת נולד </w:t>
      </w:r>
      <w:r w:rsidRPr="00A4374D">
        <w:rPr>
          <w:rFonts w:ascii="David" w:eastAsia="Aptos" w:hAnsi="David"/>
          <w:kern w:val="2"/>
          <w:rtl/>
        </w:rPr>
        <w:t>מקשר עם אדם שהיה מכור לסמים ואלכוהול ונהג כלפיה באלימות</w:t>
      </w:r>
      <w:r w:rsidRPr="00A4374D">
        <w:rPr>
          <w:rFonts w:ascii="David" w:eastAsia="Aptos" w:hAnsi="David" w:hint="cs"/>
          <w:kern w:val="2"/>
          <w:rtl/>
        </w:rPr>
        <w:t xml:space="preserve"> ש</w:t>
      </w:r>
      <w:r w:rsidRPr="00A4374D">
        <w:rPr>
          <w:rFonts w:ascii="David" w:eastAsia="Aptos" w:hAnsi="David"/>
          <w:kern w:val="2"/>
          <w:rtl/>
        </w:rPr>
        <w:t xml:space="preserve">נפטר, </w:t>
      </w:r>
      <w:r w:rsidRPr="00A4374D">
        <w:rPr>
          <w:rFonts w:ascii="David" w:eastAsia="Aptos" w:hAnsi="David" w:hint="cs"/>
          <w:kern w:val="2"/>
          <w:rtl/>
        </w:rPr>
        <w:t>ו</w:t>
      </w:r>
      <w:r w:rsidRPr="00A4374D">
        <w:rPr>
          <w:rFonts w:ascii="David" w:eastAsia="Aptos" w:hAnsi="David"/>
          <w:kern w:val="2"/>
          <w:rtl/>
        </w:rPr>
        <w:t>פטירתו</w:t>
      </w:r>
      <w:r w:rsidRPr="00A4374D">
        <w:rPr>
          <w:rFonts w:ascii="David" w:eastAsia="Aptos" w:hAnsi="David" w:hint="cs"/>
          <w:kern w:val="2"/>
          <w:rtl/>
        </w:rPr>
        <w:t xml:space="preserve"> הייתה</w:t>
      </w:r>
      <w:r w:rsidRPr="00A4374D">
        <w:rPr>
          <w:rFonts w:ascii="David" w:eastAsia="Aptos" w:hAnsi="David"/>
          <w:kern w:val="2"/>
          <w:rtl/>
        </w:rPr>
        <w:t xml:space="preserve"> טראומטית עבור</w:t>
      </w:r>
      <w:r w:rsidRPr="00A4374D">
        <w:rPr>
          <w:rFonts w:ascii="David" w:eastAsia="Aptos" w:hAnsi="David" w:hint="cs"/>
          <w:kern w:val="2"/>
          <w:rtl/>
        </w:rPr>
        <w:t xml:space="preserve"> </w:t>
      </w:r>
      <w:r w:rsidRPr="00A4374D">
        <w:rPr>
          <w:rFonts w:ascii="David" w:eastAsia="Aptos" w:hAnsi="David"/>
          <w:kern w:val="2"/>
          <w:rtl/>
        </w:rPr>
        <w:t>ה</w:t>
      </w:r>
      <w:r w:rsidRPr="00A4374D">
        <w:rPr>
          <w:rFonts w:ascii="David" w:eastAsia="Aptos" w:hAnsi="David" w:hint="cs"/>
          <w:kern w:val="2"/>
          <w:rtl/>
        </w:rPr>
        <w:t>נאשמת</w:t>
      </w:r>
      <w:r w:rsidRPr="00A4374D">
        <w:rPr>
          <w:rFonts w:ascii="David" w:eastAsia="Aptos" w:hAnsi="David"/>
          <w:kern w:val="2"/>
          <w:rtl/>
        </w:rPr>
        <w:t xml:space="preserve"> וגרמה לה לחוויית נטישה ובדידות.</w:t>
      </w:r>
    </w:p>
    <w:p w14:paraId="646F6010"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הנאשמת מתמודדת עם סכיזופרניה פרנואידית</w:t>
      </w:r>
      <w:r w:rsidRPr="00A4374D">
        <w:rPr>
          <w:rFonts w:ascii="David" w:eastAsia="Aptos" w:hAnsi="David" w:hint="cs"/>
          <w:kern w:val="2"/>
          <w:rtl/>
        </w:rPr>
        <w:t>,</w:t>
      </w:r>
      <w:r w:rsidRPr="00A4374D">
        <w:rPr>
          <w:rFonts w:ascii="David" w:eastAsia="Aptos" w:hAnsi="David"/>
          <w:kern w:val="2"/>
          <w:rtl/>
        </w:rPr>
        <w:t xml:space="preserve"> לאורך השנים אובחנה גם כבעלת הפרעות נפשיות על רקע שימוש בסמים</w:t>
      </w:r>
      <w:r w:rsidRPr="00A4374D">
        <w:rPr>
          <w:rFonts w:ascii="David" w:eastAsia="Aptos" w:hAnsi="David" w:hint="cs"/>
          <w:kern w:val="2"/>
          <w:rtl/>
        </w:rPr>
        <w:t xml:space="preserve"> ו</w:t>
      </w:r>
      <w:r w:rsidRPr="00A4374D">
        <w:rPr>
          <w:rFonts w:ascii="David" w:eastAsia="Aptos" w:hAnsi="David"/>
          <w:kern w:val="2"/>
          <w:rtl/>
        </w:rPr>
        <w:t xml:space="preserve">מוכרת למערכת הפסיכיאטרית משנת 2013 בשל מצבים פסיכוטיים כגורם משני לשימוש בסמים. </w:t>
      </w:r>
    </w:p>
    <w:p w14:paraId="1FC5390E"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לחובת הנאשמת הרשעות קודמות בגינן ריצתה תקופות מאסר שונות </w:t>
      </w:r>
      <w:r w:rsidRPr="00A4374D">
        <w:rPr>
          <w:rFonts w:ascii="David" w:eastAsia="Aptos" w:hAnsi="David" w:hint="cs"/>
          <w:kern w:val="2"/>
          <w:rtl/>
        </w:rPr>
        <w:t>ו</w:t>
      </w:r>
      <w:r w:rsidRPr="00A4374D">
        <w:rPr>
          <w:rFonts w:ascii="David" w:eastAsia="Aptos" w:hAnsi="David"/>
          <w:kern w:val="2"/>
          <w:rtl/>
        </w:rPr>
        <w:t xml:space="preserve">שירות המבחן התרשם </w:t>
      </w:r>
      <w:r w:rsidRPr="00A4374D">
        <w:rPr>
          <w:rFonts w:ascii="David" w:eastAsia="Aptos" w:hAnsi="David" w:hint="cs"/>
          <w:kern w:val="2"/>
          <w:rtl/>
        </w:rPr>
        <w:t>ש</w:t>
      </w:r>
      <w:r w:rsidRPr="00A4374D">
        <w:rPr>
          <w:rFonts w:ascii="David" w:eastAsia="Aptos" w:hAnsi="David"/>
          <w:kern w:val="2"/>
          <w:rtl/>
        </w:rPr>
        <w:t>המאסרים אותם ריצתה הנאשמת לא היוו גורם מרתיע לביצוע העבירות</w:t>
      </w:r>
      <w:r w:rsidRPr="00A4374D">
        <w:rPr>
          <w:rFonts w:ascii="David" w:eastAsia="Aptos" w:hAnsi="David" w:hint="cs"/>
          <w:kern w:val="2"/>
          <w:rtl/>
        </w:rPr>
        <w:t>.</w:t>
      </w:r>
      <w:r w:rsidRPr="00A4374D">
        <w:rPr>
          <w:rFonts w:ascii="David" w:eastAsia="Aptos" w:hAnsi="David"/>
          <w:kern w:val="2"/>
          <w:rtl/>
        </w:rPr>
        <w:t xml:space="preserve"> לראייה, הנאשמת חזרה לבצע את העבירות המיוחסות לה רק כחודש לאחר מעצרה האחרון</w:t>
      </w:r>
      <w:r w:rsidRPr="00A4374D">
        <w:rPr>
          <w:rFonts w:ascii="David" w:eastAsia="Aptos" w:hAnsi="David" w:hint="cs"/>
          <w:kern w:val="2"/>
          <w:rtl/>
        </w:rPr>
        <w:t>.</w:t>
      </w:r>
      <w:r w:rsidRPr="00A4374D">
        <w:rPr>
          <w:rFonts w:ascii="David" w:eastAsia="Aptos" w:hAnsi="David"/>
          <w:kern w:val="2"/>
          <w:rtl/>
        </w:rPr>
        <w:t xml:space="preserve"> בנוסף</w:t>
      </w:r>
      <w:r w:rsidRPr="00A4374D">
        <w:rPr>
          <w:rFonts w:ascii="David" w:eastAsia="Aptos" w:hAnsi="David" w:hint="cs"/>
          <w:kern w:val="2"/>
          <w:rtl/>
        </w:rPr>
        <w:t>, דווקא</w:t>
      </w:r>
      <w:r w:rsidRPr="00A4374D">
        <w:rPr>
          <w:rFonts w:ascii="David" w:eastAsia="Aptos" w:hAnsi="David"/>
          <w:kern w:val="2"/>
          <w:rtl/>
        </w:rPr>
        <w:t xml:space="preserve"> הימצאותה של הנאשמת במסגרת הכלא מגינה עליה</w:t>
      </w:r>
      <w:r w:rsidRPr="00A4374D">
        <w:rPr>
          <w:rFonts w:ascii="David" w:eastAsia="Aptos" w:hAnsi="David" w:hint="cs"/>
          <w:kern w:val="2"/>
          <w:rtl/>
        </w:rPr>
        <w:t>,</w:t>
      </w:r>
      <w:r w:rsidRPr="00A4374D">
        <w:rPr>
          <w:rFonts w:ascii="David" w:eastAsia="Aptos" w:hAnsi="David"/>
          <w:kern w:val="2"/>
          <w:rtl/>
        </w:rPr>
        <w:t xml:space="preserve"> מספקת לה סביבה אינטנסיבית עם גבולות ברורים ונוקשים, תחושת ביטחון</w:t>
      </w:r>
      <w:r w:rsidRPr="00A4374D">
        <w:rPr>
          <w:rFonts w:ascii="David" w:eastAsia="Aptos" w:hAnsi="David" w:hint="cs"/>
          <w:kern w:val="2"/>
          <w:rtl/>
        </w:rPr>
        <w:t xml:space="preserve"> </w:t>
      </w:r>
      <w:r w:rsidRPr="00A4374D">
        <w:rPr>
          <w:rFonts w:ascii="David" w:eastAsia="Aptos" w:hAnsi="David"/>
          <w:kern w:val="2"/>
          <w:rtl/>
        </w:rPr>
        <w:t>ומאפשר</w:t>
      </w:r>
      <w:r w:rsidRPr="00A4374D">
        <w:rPr>
          <w:rFonts w:ascii="David" w:eastAsia="Aptos" w:hAnsi="David" w:hint="cs"/>
          <w:kern w:val="2"/>
          <w:rtl/>
        </w:rPr>
        <w:t>ת</w:t>
      </w:r>
      <w:r w:rsidRPr="00A4374D">
        <w:rPr>
          <w:rFonts w:ascii="David" w:eastAsia="Aptos" w:hAnsi="David"/>
          <w:kern w:val="2"/>
          <w:rtl/>
        </w:rPr>
        <w:t xml:space="preserve"> לה להשתלב בטיפול. </w:t>
      </w:r>
      <w:r w:rsidRPr="00A4374D">
        <w:rPr>
          <w:rFonts w:ascii="David" w:eastAsia="Aptos" w:hAnsi="David" w:hint="cs"/>
          <w:kern w:val="2"/>
          <w:rtl/>
        </w:rPr>
        <w:t xml:space="preserve">לאור האמור, </w:t>
      </w:r>
      <w:r w:rsidRPr="00A4374D">
        <w:rPr>
          <w:rFonts w:ascii="David" w:eastAsia="Aptos" w:hAnsi="David"/>
          <w:kern w:val="2"/>
          <w:rtl/>
        </w:rPr>
        <w:t>המליץ שירות המבחן על הפעלת עונש המאסר המותנה.</w:t>
      </w:r>
    </w:p>
    <w:p w14:paraId="6C2A8F7F"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לבקשת ב"כ הנאשמת ובהסכמת ב"כ המאשימה, הופנתה הנאשמת פעם נוספת לשירות המבחן, על מנת לבדוק התאמתה לשילוב בהליך בבית המשפט הקהילתי.</w:t>
      </w:r>
    </w:p>
    <w:p w14:paraId="37CFEAEE" w14:textId="77777777" w:rsidR="00A4374D" w:rsidRPr="00A4374D" w:rsidRDefault="00A4374D" w:rsidP="00A4374D">
      <w:pPr>
        <w:spacing w:line="360" w:lineRule="auto"/>
        <w:jc w:val="both"/>
        <w:rPr>
          <w:rFonts w:ascii="David" w:eastAsia="Aptos" w:hAnsi="David"/>
          <w:kern w:val="2"/>
          <w:rtl/>
        </w:rPr>
      </w:pPr>
      <w:r w:rsidRPr="00A4374D">
        <w:rPr>
          <w:rFonts w:ascii="David" w:eastAsia="Aptos" w:hAnsi="David"/>
          <w:kern w:val="2"/>
          <w:rtl/>
        </w:rPr>
        <w:lastRenderedPageBreak/>
        <w:t xml:space="preserve">בתסקיר הנוסף שנערך נקבע </w:t>
      </w:r>
      <w:r w:rsidRPr="00A4374D">
        <w:rPr>
          <w:rFonts w:ascii="David" w:eastAsia="Aptos" w:hAnsi="David" w:hint="cs"/>
          <w:kern w:val="2"/>
          <w:rtl/>
        </w:rPr>
        <w:t>ש</w:t>
      </w:r>
      <w:r w:rsidRPr="00A4374D">
        <w:rPr>
          <w:rFonts w:ascii="David" w:eastAsia="Aptos" w:hAnsi="David"/>
          <w:kern w:val="2"/>
          <w:rtl/>
        </w:rPr>
        <w:t>לאור הערכת הסיכון הגבוהה ומעצרה של הנאשמת עד תום ההליכים, לא התאפשרה עריכת בדיקת ההתאמה.</w:t>
      </w:r>
    </w:p>
    <w:p w14:paraId="3E74869A" w14:textId="77777777" w:rsidR="00A4374D" w:rsidRPr="00A4374D" w:rsidRDefault="00A4374D" w:rsidP="00A4374D">
      <w:pPr>
        <w:spacing w:line="360" w:lineRule="auto"/>
        <w:jc w:val="both"/>
        <w:rPr>
          <w:rFonts w:ascii="David" w:eastAsia="Aptos" w:hAnsi="David"/>
          <w:kern w:val="2"/>
          <w:u w:val="single"/>
          <w:rtl/>
        </w:rPr>
      </w:pPr>
    </w:p>
    <w:p w14:paraId="175C8921" w14:textId="77777777" w:rsidR="00A4374D" w:rsidRPr="00A4374D" w:rsidRDefault="00A4374D" w:rsidP="00A4374D">
      <w:pPr>
        <w:spacing w:line="360" w:lineRule="auto"/>
        <w:jc w:val="both"/>
        <w:rPr>
          <w:rFonts w:ascii="David" w:eastAsia="Aptos" w:hAnsi="David"/>
          <w:kern w:val="2"/>
          <w:u w:val="single"/>
          <w:rtl/>
        </w:rPr>
      </w:pPr>
      <w:r w:rsidRPr="00A4374D">
        <w:rPr>
          <w:rFonts w:ascii="David" w:eastAsia="Aptos" w:hAnsi="David"/>
          <w:kern w:val="2"/>
          <w:u w:val="single"/>
          <w:rtl/>
        </w:rPr>
        <w:t>טיעוני הצדדים לעונש</w:t>
      </w:r>
    </w:p>
    <w:p w14:paraId="54057FE5" w14:textId="77777777" w:rsidR="00A4374D" w:rsidRPr="00A4374D" w:rsidRDefault="00A4374D" w:rsidP="00A4374D">
      <w:pPr>
        <w:spacing w:line="360" w:lineRule="auto"/>
        <w:jc w:val="both"/>
        <w:rPr>
          <w:rFonts w:ascii="David" w:eastAsia="Aptos" w:hAnsi="David"/>
          <w:kern w:val="2"/>
          <w:rtl/>
        </w:rPr>
      </w:pPr>
      <w:r w:rsidRPr="00A4374D">
        <w:rPr>
          <w:rFonts w:ascii="David" w:eastAsia="Aptos" w:hAnsi="David"/>
          <w:kern w:val="2"/>
          <w:rtl/>
        </w:rPr>
        <w:t xml:space="preserve">בתאריך </w:t>
      </w:r>
      <w:r w:rsidRPr="00A4374D">
        <w:rPr>
          <w:rFonts w:ascii="David" w:eastAsia="Aptos" w:hAnsi="David" w:hint="cs"/>
          <w:kern w:val="2"/>
          <w:rtl/>
        </w:rPr>
        <w:t>0</w:t>
      </w:r>
      <w:r w:rsidRPr="00A4374D">
        <w:rPr>
          <w:rFonts w:ascii="David" w:eastAsia="Aptos" w:hAnsi="David"/>
          <w:kern w:val="2"/>
          <w:rtl/>
        </w:rPr>
        <w:t>4.</w:t>
      </w:r>
      <w:r w:rsidRPr="00A4374D">
        <w:rPr>
          <w:rFonts w:ascii="David" w:eastAsia="Aptos" w:hAnsi="David" w:hint="cs"/>
          <w:kern w:val="2"/>
          <w:rtl/>
        </w:rPr>
        <w:t>0</w:t>
      </w:r>
      <w:r w:rsidRPr="00A4374D">
        <w:rPr>
          <w:rFonts w:ascii="David" w:eastAsia="Aptos" w:hAnsi="David"/>
          <w:kern w:val="2"/>
          <w:rtl/>
        </w:rPr>
        <w:t>1.24 נשמעו טיעוני הצדדים לעונש.</w:t>
      </w:r>
    </w:p>
    <w:p w14:paraId="720843EA"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המאשימה הגישה טיעונים בכתב (ת/1) והשלימה את טיעוניה בע"פ.</w:t>
      </w:r>
    </w:p>
    <w:p w14:paraId="42224C0A"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בטיעוניה, הפנתה המאשימה לערכים המוגנים בהם פגעה הנאשמת במעשיה – זכות לקניין ורכוש וכן פגיעה בתחושת הביטחון של בעלי הבית.</w:t>
      </w:r>
    </w:p>
    <w:p w14:paraId="38CBE1FE"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הנאשמת התפרצה לבית מגורים בעת שבעל הבית ישן בו עם ילדיו הקטינים, כאשר ידועה הסכנה הפוטנציאלית הקיימת בהתקלות בין פורץ לבין </w:t>
      </w:r>
      <w:r w:rsidRPr="00A4374D">
        <w:rPr>
          <w:rFonts w:ascii="David" w:eastAsia="Aptos" w:hAnsi="David" w:hint="cs"/>
          <w:kern w:val="2"/>
          <w:rtl/>
        </w:rPr>
        <w:t>אלו המתגוררים</w:t>
      </w:r>
      <w:r w:rsidRPr="00A4374D">
        <w:rPr>
          <w:rFonts w:ascii="David" w:eastAsia="Aptos" w:hAnsi="David"/>
          <w:kern w:val="2"/>
          <w:rtl/>
        </w:rPr>
        <w:t xml:space="preserve"> בדירה. בנוסף הפנתה המאשימה לפגיעה בערכים של שלום הציבור ובריאותו, בטחונו של הציבור והפרט, פגיעה בפרטיות של המתלונן ובשלוות נפשו.</w:t>
      </w:r>
    </w:p>
    <w:p w14:paraId="00A99642"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המאשימה טענה </w:t>
      </w:r>
      <w:r w:rsidRPr="00A4374D">
        <w:rPr>
          <w:rFonts w:ascii="David" w:eastAsia="Aptos" w:hAnsi="David" w:hint="cs"/>
          <w:kern w:val="2"/>
          <w:rtl/>
        </w:rPr>
        <w:t>ש</w:t>
      </w:r>
      <w:r w:rsidRPr="00A4374D">
        <w:rPr>
          <w:rFonts w:ascii="David" w:eastAsia="Aptos" w:hAnsi="David"/>
          <w:kern w:val="2"/>
          <w:rtl/>
        </w:rPr>
        <w:t>הנאשמת השאירה את הרכוש מאחור אך ורק מפני שהמתלונן הבחין בה וצעק לעברה.</w:t>
      </w:r>
    </w:p>
    <w:p w14:paraId="04F6124F"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המאשימה ביקשה לקבוע </w:t>
      </w:r>
      <w:r w:rsidRPr="00A4374D">
        <w:rPr>
          <w:rFonts w:ascii="David" w:eastAsia="Aptos" w:hAnsi="David" w:hint="cs"/>
          <w:kern w:val="2"/>
          <w:rtl/>
        </w:rPr>
        <w:t>ש</w:t>
      </w:r>
      <w:r w:rsidRPr="00A4374D">
        <w:rPr>
          <w:rFonts w:ascii="David" w:eastAsia="Aptos" w:hAnsi="David"/>
          <w:kern w:val="2"/>
          <w:rtl/>
        </w:rPr>
        <w:t xml:space="preserve">בהתאם להלכת ג'אבר, מדובר בשני אירועים שונים אך יש לקבוע מתחם עונש אחד היות ומדובר באותו סוג עבירות – עבירות רכוש </w:t>
      </w:r>
      <w:r w:rsidRPr="00A4374D">
        <w:rPr>
          <w:rFonts w:ascii="David" w:eastAsia="Aptos" w:hAnsi="David" w:hint="cs"/>
          <w:kern w:val="2"/>
          <w:rtl/>
        </w:rPr>
        <w:t>ש</w:t>
      </w:r>
      <w:r w:rsidRPr="00A4374D">
        <w:rPr>
          <w:rFonts w:ascii="David" w:eastAsia="Aptos" w:hAnsi="David"/>
          <w:kern w:val="2"/>
          <w:rtl/>
        </w:rPr>
        <w:t>נלוות אליהן עבירות נוספות. לעמדתה מתחם הענישה ההולם לשני כתבי האישום נע בין 16 חודשי מאסר ועד ל-24 חודשי מאסר בפועל וזאת תוך הפניה לפסיקה רלוונטית.</w:t>
      </w:r>
    </w:p>
    <w:p w14:paraId="6F291A3E"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המאשימה הפנתה לעברה של הנאשמת בעבירות רכוש (ת/2) ולעונש המאסר המותנה אשר לא הרתיע את הנאשמת</w:t>
      </w:r>
      <w:r w:rsidRPr="00A4374D">
        <w:rPr>
          <w:rFonts w:ascii="David" w:eastAsia="Aptos" w:hAnsi="David" w:hint="cs"/>
          <w:kern w:val="2"/>
          <w:rtl/>
        </w:rPr>
        <w:t xml:space="preserve"> ו</w:t>
      </w:r>
      <w:r w:rsidRPr="00A4374D">
        <w:rPr>
          <w:rFonts w:ascii="David" w:eastAsia="Aptos" w:hAnsi="David"/>
          <w:kern w:val="2"/>
          <w:rtl/>
        </w:rPr>
        <w:t xml:space="preserve">הוסיפה </w:t>
      </w:r>
      <w:r w:rsidRPr="00A4374D">
        <w:rPr>
          <w:rFonts w:ascii="David" w:eastAsia="Aptos" w:hAnsi="David" w:hint="cs"/>
          <w:kern w:val="2"/>
          <w:rtl/>
        </w:rPr>
        <w:t>ש</w:t>
      </w:r>
      <w:r w:rsidRPr="00A4374D">
        <w:rPr>
          <w:rFonts w:ascii="David" w:eastAsia="Aptos" w:hAnsi="David"/>
          <w:kern w:val="2"/>
          <w:rtl/>
        </w:rPr>
        <w:t xml:space="preserve">הנאשמת תוכל להמשיך לקבל את הטיפול בו מצויה כיום </w:t>
      </w:r>
      <w:r w:rsidRPr="00A4374D">
        <w:rPr>
          <w:rFonts w:ascii="David" w:eastAsia="Aptos" w:hAnsi="David" w:hint="cs"/>
          <w:kern w:val="2"/>
          <w:rtl/>
        </w:rPr>
        <w:t>גם בעת מאסרה</w:t>
      </w:r>
      <w:r w:rsidRPr="00A4374D">
        <w:rPr>
          <w:rFonts w:ascii="David" w:eastAsia="Aptos" w:hAnsi="David"/>
          <w:kern w:val="2"/>
          <w:rtl/>
        </w:rPr>
        <w:t xml:space="preserve"> ועל כן אין לשקול זאת לקולא.</w:t>
      </w:r>
    </w:p>
    <w:p w14:paraId="16E0B50B"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המאשימה התייחסה</w:t>
      </w:r>
      <w:r w:rsidRPr="00A4374D">
        <w:rPr>
          <w:rFonts w:ascii="David" w:eastAsia="Aptos" w:hAnsi="David" w:hint="cs"/>
          <w:kern w:val="2"/>
          <w:rtl/>
        </w:rPr>
        <w:t xml:space="preserve"> </w:t>
      </w:r>
      <w:r w:rsidRPr="00A4374D">
        <w:rPr>
          <w:rFonts w:ascii="David" w:eastAsia="Aptos" w:hAnsi="David"/>
          <w:kern w:val="2"/>
          <w:rtl/>
        </w:rPr>
        <w:t>לתסקירי</w:t>
      </w:r>
      <w:r w:rsidRPr="00A4374D">
        <w:rPr>
          <w:rFonts w:ascii="David" w:eastAsia="Aptos" w:hAnsi="David" w:hint="cs"/>
          <w:kern w:val="2"/>
          <w:rtl/>
        </w:rPr>
        <w:t xml:space="preserve"> </w:t>
      </w:r>
      <w:r w:rsidRPr="00A4374D">
        <w:rPr>
          <w:rFonts w:ascii="David" w:eastAsia="Aptos" w:hAnsi="David"/>
          <w:kern w:val="2"/>
          <w:rtl/>
        </w:rPr>
        <w:t xml:space="preserve">שירות המבחן ולהערכתו </w:t>
      </w:r>
      <w:r w:rsidRPr="00A4374D">
        <w:rPr>
          <w:rFonts w:ascii="David" w:eastAsia="Aptos" w:hAnsi="David" w:hint="cs"/>
          <w:kern w:val="2"/>
          <w:rtl/>
        </w:rPr>
        <w:t>ש</w:t>
      </w:r>
      <w:r w:rsidRPr="00A4374D">
        <w:rPr>
          <w:rFonts w:ascii="David" w:eastAsia="Aptos" w:hAnsi="David"/>
          <w:kern w:val="2"/>
          <w:rtl/>
        </w:rPr>
        <w:t>קיים סיכון גבוה להישנות העבירות היות והסנקציות והמאסרים בפועל לא היוו גורם מרתיע. לאור האמור</w:t>
      </w:r>
      <w:r w:rsidRPr="00A4374D">
        <w:rPr>
          <w:rFonts w:ascii="David" w:eastAsia="Aptos" w:hAnsi="David" w:hint="cs"/>
          <w:kern w:val="2"/>
          <w:rtl/>
        </w:rPr>
        <w:t>,</w:t>
      </w:r>
      <w:r w:rsidRPr="00A4374D">
        <w:rPr>
          <w:rFonts w:ascii="David" w:eastAsia="Aptos" w:hAnsi="David"/>
          <w:kern w:val="2"/>
          <w:rtl/>
        </w:rPr>
        <w:t xml:space="preserve"> ביקשה המאשימה למקם את עונשה של הנאשמת ברף הענישה הבינוני של המתחם </w:t>
      </w:r>
      <w:r w:rsidRPr="00A4374D">
        <w:rPr>
          <w:rFonts w:ascii="David" w:eastAsia="Aptos" w:hAnsi="David" w:hint="cs"/>
          <w:kern w:val="2"/>
          <w:rtl/>
        </w:rPr>
        <w:t>ו</w:t>
      </w:r>
      <w:r w:rsidRPr="00A4374D">
        <w:rPr>
          <w:rFonts w:ascii="David" w:eastAsia="Aptos" w:hAnsi="David"/>
          <w:kern w:val="2"/>
          <w:rtl/>
        </w:rPr>
        <w:t>להפעיל במצטבר את עונש המאסר המותנה</w:t>
      </w:r>
      <w:r w:rsidRPr="00A4374D">
        <w:rPr>
          <w:rFonts w:ascii="David" w:eastAsia="Aptos" w:hAnsi="David" w:hint="cs"/>
          <w:kern w:val="2"/>
          <w:rtl/>
        </w:rPr>
        <w:t>,</w:t>
      </w:r>
      <w:r w:rsidRPr="00A4374D">
        <w:rPr>
          <w:rFonts w:ascii="David" w:eastAsia="Aptos" w:hAnsi="David"/>
          <w:kern w:val="2"/>
          <w:rtl/>
        </w:rPr>
        <w:t xml:space="preserve"> לצד ענישה נלווית.</w:t>
      </w:r>
    </w:p>
    <w:p w14:paraId="458E2C9B"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בא כוח הנאשמת הדגיש בטיעוניו שמבלי להקל ראש בחומרת העבירות בתיק העיקרי, מעשיה של הנאשמת נמצאים ברף חומרה לא גבוה היות והרכוש והכסף שנתפס הוחזרו לבעליהם. לגבי התיק המצורף טען בא כוחה שמדובר בעבירות ישנות, מדובר במחסן נטוש שהנאשמת מצאה בו מחסה בזמן שעזבה את ביתה כאשר בן זוגה היה חולה בקורונה והחזיקה סמים לצריכה עצמית</w:t>
      </w:r>
      <w:r w:rsidRPr="00A4374D">
        <w:rPr>
          <w:rFonts w:ascii="David" w:eastAsia="Aptos" w:hAnsi="David" w:hint="cs"/>
          <w:kern w:val="2"/>
          <w:rtl/>
        </w:rPr>
        <w:t>,</w:t>
      </w:r>
      <w:r w:rsidRPr="00A4374D">
        <w:rPr>
          <w:rFonts w:ascii="David" w:eastAsia="Aptos" w:hAnsi="David"/>
          <w:kern w:val="2"/>
          <w:rtl/>
        </w:rPr>
        <w:t xml:space="preserve"> הגם שהכמות הינה מעבר לצריכה עצמית. מסיבה זו</w:t>
      </w:r>
      <w:r w:rsidRPr="00A4374D">
        <w:rPr>
          <w:rFonts w:ascii="David" w:eastAsia="Aptos" w:hAnsi="David" w:hint="cs"/>
          <w:kern w:val="2"/>
          <w:rtl/>
        </w:rPr>
        <w:t>,</w:t>
      </w:r>
      <w:r w:rsidRPr="00A4374D">
        <w:rPr>
          <w:rFonts w:ascii="David" w:eastAsia="Aptos" w:hAnsi="David"/>
          <w:kern w:val="2"/>
          <w:rtl/>
        </w:rPr>
        <w:t xml:space="preserve"> ניסתה לקבל חזרה מהשוטרת את הסמים.</w:t>
      </w:r>
    </w:p>
    <w:p w14:paraId="7A520654"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ב"כ הנאשמת הפנה לפסיקה רלוונטית בה נקבעו מתחמים שהתחילו ממספר חודשי מאסר מעטים עד ל-12 חודשי מאסר בפועל.</w:t>
      </w:r>
    </w:p>
    <w:p w14:paraId="37C9C46B"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ב"כ הנאשמת פירט את נסיבות חייה ושילובה של הנאשמת במסגרת טיפולית, במסגרתה עברה טיפולי גמילה והתנקתה משימוש בסם. </w:t>
      </w:r>
    </w:p>
    <w:p w14:paraId="5281191B" w14:textId="77777777" w:rsidR="00A4374D" w:rsidRPr="00A4374D" w:rsidRDefault="00A4374D" w:rsidP="00A4374D">
      <w:pPr>
        <w:spacing w:line="360" w:lineRule="auto"/>
        <w:jc w:val="both"/>
        <w:rPr>
          <w:rFonts w:ascii="David" w:eastAsia="Aptos" w:hAnsi="David"/>
          <w:kern w:val="2"/>
          <w:rtl/>
        </w:rPr>
      </w:pPr>
      <w:r w:rsidRPr="00A4374D">
        <w:rPr>
          <w:rFonts w:ascii="David" w:eastAsia="Aptos" w:hAnsi="David"/>
          <w:kern w:val="2"/>
          <w:rtl/>
        </w:rPr>
        <w:t>לאור האמור, ביקש בא כוח הנאשמת לא למצות את הדין עימה ולחרוג מן המתחם לקולא.</w:t>
      </w:r>
    </w:p>
    <w:p w14:paraId="3DAD11A7" w14:textId="77777777" w:rsidR="00A4374D" w:rsidRPr="00A4374D" w:rsidRDefault="00A4374D" w:rsidP="00A4374D">
      <w:pPr>
        <w:spacing w:line="360" w:lineRule="auto"/>
        <w:jc w:val="both"/>
        <w:rPr>
          <w:rFonts w:ascii="David" w:eastAsia="Aptos" w:hAnsi="David"/>
          <w:kern w:val="2"/>
          <w:rtl/>
        </w:rPr>
      </w:pPr>
    </w:p>
    <w:p w14:paraId="338AFC46" w14:textId="77777777" w:rsidR="00A4374D" w:rsidRPr="00A4374D" w:rsidRDefault="00A4374D" w:rsidP="00A4374D">
      <w:pPr>
        <w:spacing w:line="360" w:lineRule="auto"/>
        <w:rPr>
          <w:rFonts w:ascii="David" w:eastAsia="Aptos" w:hAnsi="David"/>
          <w:b/>
          <w:bCs/>
          <w:kern w:val="2"/>
          <w:u w:val="single"/>
          <w:rtl/>
        </w:rPr>
      </w:pPr>
      <w:r w:rsidRPr="00A4374D">
        <w:rPr>
          <w:rFonts w:ascii="David" w:eastAsia="Aptos" w:hAnsi="David"/>
          <w:b/>
          <w:bCs/>
          <w:kern w:val="2"/>
          <w:u w:val="single"/>
          <w:rtl/>
        </w:rPr>
        <w:t>דיון והכרעה</w:t>
      </w:r>
    </w:p>
    <w:p w14:paraId="75FCE3A4"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תיקון 113 ל</w:t>
      </w:r>
      <w:hyperlink r:id="rId30" w:history="1">
        <w:r w:rsidR="004E65E9" w:rsidRPr="004E65E9">
          <w:rPr>
            <w:rFonts w:ascii="David" w:eastAsia="Aptos" w:hAnsi="David"/>
            <w:color w:val="0000FF"/>
            <w:kern w:val="2"/>
            <w:u w:val="single"/>
            <w:rtl/>
          </w:rPr>
          <w:t>חוק העונשין</w:t>
        </w:r>
      </w:hyperlink>
      <w:r w:rsidRPr="00A4374D">
        <w:rPr>
          <w:rFonts w:ascii="David" w:eastAsia="Aptos" w:hAnsi="David"/>
          <w:kern w:val="2"/>
          <w:rtl/>
        </w:rPr>
        <w:t>, עיגן את הבניית שיקול הדעת השיפוטי והעניק מעמד בכורה לעיקרון ההלימה, היינו קיומו של יחס הולם בין חומרת מעשי העבירה, בנסיבותי</w:t>
      </w:r>
      <w:r w:rsidRPr="00A4374D">
        <w:rPr>
          <w:rFonts w:ascii="David" w:eastAsia="Aptos" w:hAnsi="David" w:hint="cs"/>
          <w:kern w:val="2"/>
          <w:rtl/>
        </w:rPr>
        <w:t>ה</w:t>
      </w:r>
      <w:r w:rsidRPr="00A4374D">
        <w:rPr>
          <w:rFonts w:ascii="David" w:eastAsia="Aptos" w:hAnsi="David"/>
          <w:kern w:val="2"/>
          <w:rtl/>
        </w:rPr>
        <w:t xml:space="preserve"> ומידת אשמ</w:t>
      </w:r>
      <w:r w:rsidRPr="00A4374D">
        <w:rPr>
          <w:rFonts w:ascii="David" w:eastAsia="Aptos" w:hAnsi="David" w:hint="cs"/>
          <w:kern w:val="2"/>
          <w:rtl/>
        </w:rPr>
        <w:t>תה</w:t>
      </w:r>
      <w:r w:rsidRPr="00A4374D">
        <w:rPr>
          <w:rFonts w:ascii="David" w:eastAsia="Aptos" w:hAnsi="David"/>
          <w:kern w:val="2"/>
          <w:rtl/>
        </w:rPr>
        <w:t xml:space="preserve"> של הנאש</w:t>
      </w:r>
      <w:r w:rsidRPr="00A4374D">
        <w:rPr>
          <w:rFonts w:ascii="David" w:eastAsia="Aptos" w:hAnsi="David" w:hint="cs"/>
          <w:kern w:val="2"/>
          <w:rtl/>
        </w:rPr>
        <w:t>מת</w:t>
      </w:r>
      <w:r w:rsidRPr="00A4374D">
        <w:rPr>
          <w:rFonts w:ascii="David" w:eastAsia="Aptos" w:hAnsi="David"/>
          <w:kern w:val="2"/>
          <w:rtl/>
        </w:rPr>
        <w:t xml:space="preserve"> ובין סוג ומידת העונש המוטל עלי</w:t>
      </w:r>
      <w:r w:rsidRPr="00A4374D">
        <w:rPr>
          <w:rFonts w:ascii="David" w:eastAsia="Aptos" w:hAnsi="David" w:hint="cs"/>
          <w:kern w:val="2"/>
          <w:rtl/>
        </w:rPr>
        <w:t>ה</w:t>
      </w:r>
      <w:r w:rsidRPr="00A4374D">
        <w:rPr>
          <w:rFonts w:ascii="David" w:eastAsia="Aptos" w:hAnsi="David"/>
          <w:kern w:val="2"/>
          <w:rtl/>
        </w:rPr>
        <w:t>. בהתאם לתיקון לחוק, על בית המשפט לקבוע את מתחם העונש ההולם למעש</w:t>
      </w:r>
      <w:r w:rsidRPr="00A4374D">
        <w:rPr>
          <w:rFonts w:ascii="David" w:eastAsia="Aptos" w:hAnsi="David" w:hint="cs"/>
          <w:kern w:val="2"/>
          <w:rtl/>
        </w:rPr>
        <w:t>י</w:t>
      </w:r>
      <w:r w:rsidRPr="00A4374D">
        <w:rPr>
          <w:rFonts w:ascii="David" w:eastAsia="Aptos" w:hAnsi="David"/>
          <w:kern w:val="2"/>
          <w:rtl/>
        </w:rPr>
        <w:t xml:space="preserve"> העבירות שביצע</w:t>
      </w:r>
      <w:r w:rsidRPr="00A4374D">
        <w:rPr>
          <w:rFonts w:ascii="David" w:eastAsia="Aptos" w:hAnsi="David" w:hint="cs"/>
          <w:kern w:val="2"/>
          <w:rtl/>
        </w:rPr>
        <w:t>ה</w:t>
      </w:r>
      <w:r w:rsidRPr="00A4374D">
        <w:rPr>
          <w:rFonts w:ascii="David" w:eastAsia="Aptos" w:hAnsi="David"/>
          <w:kern w:val="2"/>
          <w:rtl/>
        </w:rPr>
        <w:t xml:space="preserve"> הנאש</w:t>
      </w:r>
      <w:r w:rsidRPr="00A4374D">
        <w:rPr>
          <w:rFonts w:ascii="David" w:eastAsia="Aptos" w:hAnsi="David" w:hint="cs"/>
          <w:kern w:val="2"/>
          <w:rtl/>
        </w:rPr>
        <w:t>מת</w:t>
      </w:r>
      <w:r w:rsidRPr="00A4374D">
        <w:rPr>
          <w:rFonts w:ascii="David" w:eastAsia="Aptos" w:hAnsi="David"/>
          <w:kern w:val="2"/>
          <w:rtl/>
        </w:rPr>
        <w:t xml:space="preserve">. לשם כך יתחשב בית המשפט בערך החברתי שנפגע מביצוע העבירה, במידת הפגיעה בו, במדיניות הענישה הנהוגה ובנסיבות הקשורות בביצוע העבירה המפורטות </w:t>
      </w:r>
      <w:hyperlink r:id="rId31" w:history="1">
        <w:r w:rsidR="00CB34BD" w:rsidRPr="00CB34BD">
          <w:rPr>
            <w:rStyle w:val="Hyperlink"/>
            <w:rFonts w:ascii="David" w:eastAsia="Aptos" w:hAnsi="David"/>
            <w:kern w:val="2"/>
            <w:rtl/>
          </w:rPr>
          <w:t>בסעיף 40ט'</w:t>
        </w:r>
      </w:hyperlink>
      <w:r w:rsidRPr="00A4374D">
        <w:rPr>
          <w:rFonts w:ascii="David" w:eastAsia="Aptos" w:hAnsi="David"/>
          <w:kern w:val="2"/>
          <w:rtl/>
        </w:rPr>
        <w:t xml:space="preserve"> ל</w:t>
      </w:r>
      <w:hyperlink r:id="rId32" w:history="1">
        <w:r w:rsidR="004E65E9" w:rsidRPr="004E65E9">
          <w:rPr>
            <w:rFonts w:ascii="David" w:eastAsia="Aptos" w:hAnsi="David"/>
            <w:color w:val="0000FF"/>
            <w:kern w:val="2"/>
            <w:u w:val="single"/>
            <w:rtl/>
          </w:rPr>
          <w:t>חוק העונשין</w:t>
        </w:r>
      </w:hyperlink>
      <w:r w:rsidRPr="00A4374D">
        <w:rPr>
          <w:rFonts w:ascii="David" w:eastAsia="Aptos" w:hAnsi="David"/>
          <w:kern w:val="2"/>
          <w:rtl/>
        </w:rPr>
        <w:t>.</w:t>
      </w:r>
    </w:p>
    <w:p w14:paraId="01B5FF19"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לכשייקבע מתחם הענישה, יקבע בית המשפט את העונש המתאים, בתוך המתחם, אשר יוטל על הנאשמת וזאת בהתחשב בנסיבות שאינן קשורות בביצוע העבירה במפורטות </w:t>
      </w:r>
      <w:hyperlink r:id="rId33" w:history="1">
        <w:r w:rsidR="00CB34BD" w:rsidRPr="00CB34BD">
          <w:rPr>
            <w:rStyle w:val="Hyperlink"/>
            <w:rFonts w:ascii="David" w:eastAsia="Aptos" w:hAnsi="David"/>
            <w:kern w:val="2"/>
            <w:rtl/>
          </w:rPr>
          <w:t>בסעיף 40יא'</w:t>
        </w:r>
      </w:hyperlink>
      <w:r w:rsidRPr="00A4374D">
        <w:rPr>
          <w:rFonts w:ascii="David" w:eastAsia="Aptos" w:hAnsi="David"/>
          <w:kern w:val="2"/>
          <w:rtl/>
        </w:rPr>
        <w:t xml:space="preserve"> לחוק.</w:t>
      </w:r>
    </w:p>
    <w:p w14:paraId="3E080094" w14:textId="77777777" w:rsidR="00A4374D" w:rsidRPr="00A4374D" w:rsidRDefault="00A4374D" w:rsidP="00A4374D">
      <w:pPr>
        <w:spacing w:after="160" w:line="360" w:lineRule="auto"/>
        <w:rPr>
          <w:rFonts w:ascii="David" w:eastAsia="Aptos" w:hAnsi="David"/>
          <w:kern w:val="2"/>
          <w:rtl/>
        </w:rPr>
      </w:pPr>
      <w:r w:rsidRPr="00A4374D">
        <w:rPr>
          <w:rFonts w:ascii="David" w:eastAsia="Aptos" w:hAnsi="David"/>
          <w:kern w:val="2"/>
          <w:rtl/>
        </w:rPr>
        <w:t xml:space="preserve">בית המשפט רשאי לחרוג ממתחם העונש ההולם בשל שיקולי שיקום או הגנה על שלום הציבור לפי </w:t>
      </w:r>
      <w:hyperlink r:id="rId34" w:history="1">
        <w:r w:rsidR="00CB34BD" w:rsidRPr="00CB34BD">
          <w:rPr>
            <w:rStyle w:val="Hyperlink"/>
            <w:rFonts w:ascii="David" w:eastAsia="Aptos" w:hAnsi="David"/>
            <w:kern w:val="2"/>
            <w:rtl/>
          </w:rPr>
          <w:t>סעיפים 40ד</w:t>
        </w:r>
      </w:hyperlink>
      <w:r w:rsidRPr="00A4374D">
        <w:rPr>
          <w:rFonts w:ascii="David" w:eastAsia="Aptos" w:hAnsi="David"/>
          <w:kern w:val="2"/>
          <w:rtl/>
        </w:rPr>
        <w:t xml:space="preserve"> ו- </w:t>
      </w:r>
      <w:hyperlink r:id="rId35" w:history="1">
        <w:r w:rsidR="00CB34BD" w:rsidRPr="00CB34BD">
          <w:rPr>
            <w:rStyle w:val="Hyperlink"/>
            <w:rFonts w:ascii="David" w:eastAsia="Aptos" w:hAnsi="David"/>
            <w:kern w:val="2"/>
            <w:rtl/>
          </w:rPr>
          <w:t>40ה</w:t>
        </w:r>
      </w:hyperlink>
      <w:r w:rsidRPr="00A4374D">
        <w:rPr>
          <w:rFonts w:ascii="David" w:eastAsia="Aptos" w:hAnsi="David"/>
          <w:kern w:val="2"/>
          <w:rtl/>
        </w:rPr>
        <w:t xml:space="preserve"> לחוק.</w:t>
      </w:r>
    </w:p>
    <w:p w14:paraId="540B04D5" w14:textId="77777777" w:rsidR="00A4374D" w:rsidRPr="00A4374D" w:rsidRDefault="00A4374D" w:rsidP="00A4374D">
      <w:pPr>
        <w:spacing w:after="160" w:line="360" w:lineRule="auto"/>
        <w:rPr>
          <w:rFonts w:ascii="David" w:eastAsia="Aptos" w:hAnsi="David"/>
          <w:kern w:val="2"/>
          <w:u w:val="single"/>
          <w:rtl/>
        </w:rPr>
      </w:pPr>
      <w:r w:rsidRPr="00A4374D">
        <w:rPr>
          <w:rFonts w:ascii="David" w:eastAsia="Aptos" w:hAnsi="David"/>
          <w:kern w:val="2"/>
          <w:u w:val="single"/>
          <w:rtl/>
        </w:rPr>
        <w:t>קביעת מתחם העונש ההולם – נסיבות הקשורות לביצוע העבירה</w:t>
      </w:r>
    </w:p>
    <w:p w14:paraId="45C552C5"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המאשימה ביקשה לקבוע שמדובר בשני אירועים שונים ואכן, לפי </w:t>
      </w:r>
      <w:hyperlink r:id="rId36" w:history="1">
        <w:r w:rsidR="004E65E9" w:rsidRPr="004E65E9">
          <w:rPr>
            <w:rFonts w:ascii="David" w:eastAsia="Aptos" w:hAnsi="David"/>
            <w:color w:val="0000FF"/>
            <w:kern w:val="2"/>
            <w:u w:val="single"/>
            <w:rtl/>
          </w:rPr>
          <w:t>רע"פ  4910/13</w:t>
        </w:r>
      </w:hyperlink>
      <w:r w:rsidRPr="00A4374D">
        <w:rPr>
          <w:rFonts w:ascii="David" w:eastAsia="Aptos" w:hAnsi="David"/>
          <w:kern w:val="2"/>
          <w:rtl/>
        </w:rPr>
        <w:t xml:space="preserve"> </w:t>
      </w:r>
      <w:r w:rsidRPr="00A4374D">
        <w:rPr>
          <w:rFonts w:ascii="David" w:eastAsia="Aptos" w:hAnsi="David"/>
          <w:b/>
          <w:bCs/>
          <w:kern w:val="2"/>
          <w:rtl/>
        </w:rPr>
        <w:t>ג'אבר  נ' מדינת ישראל</w:t>
      </w:r>
      <w:r w:rsidRPr="00A4374D">
        <w:rPr>
          <w:rFonts w:ascii="David" w:eastAsia="Aptos" w:hAnsi="David"/>
          <w:kern w:val="2"/>
          <w:rtl/>
        </w:rPr>
        <w:t xml:space="preserve"> (29.10.14)  יש לקבוע שמדובר בשני אירועים שונים בעיקר מאחר שהתרחשו בפרק זמן של כשנתיים האחד מן השני. עם זאת מאחר ומדובר באותו סוג עבירות וככל הנראה על רקע דומה של שימוש בסמים, יש לקבוע מתחם ענישה אחד.</w:t>
      </w:r>
    </w:p>
    <w:p w14:paraId="3E051EEA" w14:textId="77777777" w:rsidR="00A4374D" w:rsidRPr="00415B9B" w:rsidRDefault="00A4374D" w:rsidP="00A4374D">
      <w:pPr>
        <w:spacing w:line="360" w:lineRule="auto"/>
        <w:jc w:val="both"/>
        <w:rPr>
          <w:rFonts w:ascii="David" w:eastAsia="Aptos" w:hAnsi="David"/>
          <w:color w:val="000000"/>
          <w:rtl/>
        </w:rPr>
      </w:pPr>
      <w:r w:rsidRPr="00415B9B">
        <w:rPr>
          <w:rFonts w:ascii="David" w:eastAsia="Aptos" w:hAnsi="David"/>
          <w:color w:val="000000"/>
          <w:rtl/>
        </w:rPr>
        <w:t>בפסיקה נקבע כי מדיניות הענישה ביחס לעבירות בהן הורשעה הנאשמת בכתב</w:t>
      </w:r>
      <w:r>
        <w:rPr>
          <w:rFonts w:ascii="David" w:eastAsia="Aptos" w:hAnsi="David" w:hint="cs"/>
          <w:color w:val="000000"/>
          <w:rtl/>
        </w:rPr>
        <w:t>י</w:t>
      </w:r>
      <w:r w:rsidRPr="00415B9B">
        <w:rPr>
          <w:rFonts w:ascii="David" w:eastAsia="Aptos" w:hAnsi="David"/>
          <w:color w:val="000000"/>
          <w:rtl/>
        </w:rPr>
        <w:t xml:space="preserve"> האישום, ובהעדר נסיבות יוצאות דופן בחריגותן הינה הטלת עונשי מאסר מהותיים</w:t>
      </w:r>
      <w:r>
        <w:rPr>
          <w:rFonts w:ascii="David" w:eastAsia="Aptos" w:hAnsi="David" w:hint="cs"/>
          <w:color w:val="000000"/>
          <w:rtl/>
        </w:rPr>
        <w:t>.</w:t>
      </w:r>
      <w:r w:rsidRPr="00415B9B">
        <w:rPr>
          <w:rFonts w:ascii="David" w:eastAsia="Aptos" w:hAnsi="David"/>
          <w:color w:val="000000"/>
          <w:rtl/>
        </w:rPr>
        <w:t xml:space="preserve"> לעניין זה אפנה לעפ"א (נצרת) 306/09</w:t>
      </w:r>
      <w:r w:rsidR="004E65E9">
        <w:rPr>
          <w:rFonts w:ascii="David" w:eastAsia="Aptos" w:hAnsi="David"/>
          <w:color w:val="000000"/>
          <w:rtl/>
        </w:rPr>
        <w:t xml:space="preserve"> </w:t>
      </w:r>
      <w:r w:rsidRPr="00415B9B">
        <w:rPr>
          <w:rFonts w:ascii="David" w:eastAsia="Aptos" w:hAnsi="David"/>
          <w:b/>
          <w:bCs/>
          <w:color w:val="000000"/>
          <w:rtl/>
        </w:rPr>
        <w:t>מאיר אסור נ' מדינת ישראל</w:t>
      </w:r>
      <w:r w:rsidR="004E65E9">
        <w:rPr>
          <w:rFonts w:ascii="David" w:eastAsia="Aptos" w:hAnsi="David"/>
          <w:color w:val="000000"/>
          <w:rtl/>
        </w:rPr>
        <w:t xml:space="preserve"> </w:t>
      </w:r>
      <w:r w:rsidRPr="00415B9B">
        <w:rPr>
          <w:rFonts w:ascii="David" w:eastAsia="Aptos" w:hAnsi="David"/>
          <w:color w:val="000000"/>
          <w:rtl/>
        </w:rPr>
        <w:t>שם נאמר</w:t>
      </w:r>
      <w:r w:rsidR="004E65E9">
        <w:rPr>
          <w:rFonts w:ascii="David" w:eastAsia="Aptos" w:hAnsi="David"/>
          <w:color w:val="000000"/>
          <w:rtl/>
        </w:rPr>
        <w:t xml:space="preserve"> </w:t>
      </w:r>
      <w:r w:rsidRPr="00415B9B">
        <w:rPr>
          <w:rFonts w:ascii="David" w:eastAsia="Aptos" w:hAnsi="David"/>
          <w:color w:val="000000"/>
          <w:rtl/>
        </w:rPr>
        <w:t>ש</w:t>
      </w:r>
      <w:r w:rsidRPr="00415B9B">
        <w:rPr>
          <w:rFonts w:ascii="David" w:eastAsia="Aptos" w:hAnsi="David"/>
          <w:b/>
          <w:bCs/>
          <w:color w:val="000000"/>
          <w:rtl/>
        </w:rPr>
        <w:t>"כבר הבענו דעתנו לא אחת, והדבר נתמך בפסיקתו העקבית של בית המשפט העליון, כי יש להחמיר בעונשם של מי ההופכים בתיהם</w:t>
      </w:r>
      <w:r w:rsidRPr="00415B9B">
        <w:rPr>
          <w:rFonts w:ascii="David" w:eastAsia="Aptos" w:hAnsi="David"/>
          <w:color w:val="000000"/>
          <w:rtl/>
        </w:rPr>
        <w:t xml:space="preserve"> </w:t>
      </w:r>
      <w:r w:rsidRPr="00415B9B">
        <w:rPr>
          <w:rFonts w:ascii="David" w:eastAsia="Aptos" w:hAnsi="David"/>
          <w:b/>
          <w:bCs/>
          <w:color w:val="000000"/>
          <w:rtl/>
        </w:rPr>
        <w:t xml:space="preserve">של אחרים, לעיי חורבות, או ל"הפיכת סדום </w:t>
      </w:r>
      <w:r w:rsidRPr="00415B9B">
        <w:rPr>
          <w:rFonts w:ascii="David" w:eastAsia="Aptos" w:hAnsi="David"/>
          <w:b/>
          <w:bCs/>
          <w:rtl/>
        </w:rPr>
        <w:t>ועמורה" (ראה והשווה</w:t>
      </w:r>
      <w:r w:rsidR="004E65E9">
        <w:rPr>
          <w:rFonts w:ascii="David" w:eastAsia="Aptos" w:hAnsi="David"/>
          <w:b/>
          <w:bCs/>
          <w:rtl/>
        </w:rPr>
        <w:t xml:space="preserve"> </w:t>
      </w:r>
      <w:hyperlink r:id="rId37" w:history="1">
        <w:r w:rsidR="004E65E9" w:rsidRPr="004E65E9">
          <w:rPr>
            <w:rFonts w:ascii="David" w:eastAsia="Aptos" w:hAnsi="David"/>
            <w:b/>
            <w:bCs/>
            <w:color w:val="0000FF"/>
            <w:u w:val="single"/>
            <w:rtl/>
          </w:rPr>
          <w:t>רע"פ 1708/08</w:t>
        </w:r>
      </w:hyperlink>
      <w:r w:rsidR="004E65E9">
        <w:rPr>
          <w:rFonts w:ascii="David" w:eastAsia="Aptos" w:hAnsi="David"/>
          <w:b/>
          <w:bCs/>
          <w:rtl/>
        </w:rPr>
        <w:t xml:space="preserve"> </w:t>
      </w:r>
      <w:r w:rsidRPr="00415B9B">
        <w:rPr>
          <w:rFonts w:ascii="David" w:eastAsia="Aptos" w:hAnsi="David"/>
          <w:b/>
          <w:bCs/>
          <w:rtl/>
        </w:rPr>
        <w:t>מרדכי לוי נ' מדינת ישראל).</w:t>
      </w:r>
    </w:p>
    <w:p w14:paraId="657FDE8F" w14:textId="77777777" w:rsidR="00A4374D" w:rsidRPr="00415B9B" w:rsidRDefault="00A4374D" w:rsidP="00A4374D">
      <w:pPr>
        <w:spacing w:line="360" w:lineRule="auto"/>
        <w:jc w:val="both"/>
        <w:rPr>
          <w:rFonts w:ascii="David" w:eastAsia="Aptos" w:hAnsi="David"/>
          <w:rtl/>
        </w:rPr>
      </w:pPr>
      <w:r w:rsidRPr="00415B9B">
        <w:rPr>
          <w:rFonts w:ascii="David" w:eastAsia="Aptos" w:hAnsi="David"/>
          <w:b/>
          <w:bCs/>
          <w:rtl/>
        </w:rPr>
        <w:t>כבר אמרנו לא אחת, כי על דרך הכלל ובהעדר נסיבות אישיות יוצאות דופן, הרי, שעל מי המבצע עבירת פריצה, והוא נעדר עבר פלילי יש להטיל עונש מאסר של 12 חודשי מאסר, ואילו מי שהפך את מעשי הפריצה ללחם חוקו והינו רצידיוויסט בתחום זה, יש לגזור עונשי מאסר של 3 ואף 4 שנים מאסר בפועל.</w:t>
      </w:r>
    </w:p>
    <w:p w14:paraId="7589EED6" w14:textId="77777777" w:rsidR="00A4374D" w:rsidRPr="00415B9B" w:rsidRDefault="00A4374D" w:rsidP="00A4374D">
      <w:pPr>
        <w:spacing w:line="360" w:lineRule="auto"/>
        <w:jc w:val="both"/>
        <w:rPr>
          <w:rFonts w:ascii="David" w:eastAsia="Aptos" w:hAnsi="David"/>
          <w:rtl/>
        </w:rPr>
      </w:pPr>
      <w:r w:rsidRPr="00415B9B">
        <w:rPr>
          <w:rFonts w:ascii="David" w:eastAsia="Aptos" w:hAnsi="David"/>
          <w:b/>
          <w:bCs/>
          <w:rtl/>
        </w:rPr>
        <w:t>מאליו מובן, כי אין באמור כדי לקבוע "תעריף" אחיד, של ענישה, שכן, הענישה לעולם אינדיבידואלית היא. אולם, קו מנחה יש באמור לעיל, כאשר כמובן בכל מקרה ומקרה יישקלו נסיבותיו האישיות של כל נאשם ונאשם, שאלת הודאתו, חרטתו, קבלה כנה לעתיד לבל ישוב למעגל הפשע ועוד".</w:t>
      </w:r>
    </w:p>
    <w:p w14:paraId="479C6E3E" w14:textId="77777777" w:rsidR="00A4374D" w:rsidRPr="00A4374D" w:rsidRDefault="00A4374D" w:rsidP="00A4374D">
      <w:pPr>
        <w:spacing w:after="160" w:line="360" w:lineRule="auto"/>
        <w:jc w:val="both"/>
        <w:rPr>
          <w:rFonts w:ascii="David" w:eastAsia="Aptos" w:hAnsi="David"/>
          <w:kern w:val="2"/>
          <w:rtl/>
        </w:rPr>
      </w:pPr>
    </w:p>
    <w:p w14:paraId="573E2CF2" w14:textId="77777777" w:rsidR="00A4374D" w:rsidRPr="00A4374D" w:rsidRDefault="00A4374D" w:rsidP="00A4374D">
      <w:pPr>
        <w:spacing w:after="160" w:line="360" w:lineRule="auto"/>
        <w:jc w:val="both"/>
        <w:rPr>
          <w:rFonts w:ascii="David" w:eastAsia="Aptos" w:hAnsi="David"/>
          <w:color w:val="000000"/>
          <w:kern w:val="2"/>
          <w:rtl/>
        </w:rPr>
      </w:pPr>
      <w:r w:rsidRPr="00A4374D">
        <w:rPr>
          <w:rFonts w:ascii="David" w:eastAsia="Aptos" w:hAnsi="David"/>
          <w:kern w:val="2"/>
          <w:rtl/>
        </w:rPr>
        <w:t>בע"פ 13824-08-17 שעסק בהתפרצות לדירה בצוותא של שני נאשמים, וגניבה מינורית ביותר של 2 דולר נקבע מתחם ענישה של 12-24 חודשים. מנגד, ב</w:t>
      </w:r>
      <w:hyperlink r:id="rId38" w:history="1">
        <w:r w:rsidR="004E65E9" w:rsidRPr="004E65E9">
          <w:rPr>
            <w:rFonts w:ascii="David" w:eastAsia="Aptos" w:hAnsi="David"/>
            <w:color w:val="0000FF"/>
            <w:kern w:val="2"/>
            <w:u w:val="single"/>
            <w:rtl/>
          </w:rPr>
          <w:t>רע"פ 6607/21</w:t>
        </w:r>
      </w:hyperlink>
      <w:r w:rsidR="004E65E9">
        <w:rPr>
          <w:rFonts w:ascii="David" w:eastAsia="Aptos" w:hAnsi="David"/>
          <w:kern w:val="2"/>
          <w:rtl/>
        </w:rPr>
        <w:t xml:space="preserve"> </w:t>
      </w:r>
      <w:r w:rsidRPr="00A4374D">
        <w:rPr>
          <w:rFonts w:ascii="David" w:eastAsia="Aptos" w:hAnsi="David"/>
          <w:kern w:val="2"/>
          <w:rtl/>
        </w:rPr>
        <w:t xml:space="preserve">אמיר </w:t>
      </w:r>
      <w:r w:rsidRPr="00A4374D">
        <w:rPr>
          <w:rFonts w:ascii="David" w:eastAsia="Aptos" w:hAnsi="David"/>
          <w:color w:val="000000"/>
          <w:kern w:val="2"/>
          <w:rtl/>
        </w:rPr>
        <w:t>חסון נ' מדינת ישראל,</w:t>
      </w:r>
      <w:r w:rsidRPr="00A4374D">
        <w:rPr>
          <w:rFonts w:ascii="David" w:eastAsia="Aptos" w:hAnsi="David" w:hint="cs"/>
          <w:color w:val="000000"/>
          <w:kern w:val="2"/>
          <w:rtl/>
        </w:rPr>
        <w:t xml:space="preserve"> על </w:t>
      </w:r>
      <w:r w:rsidRPr="00A4374D">
        <w:rPr>
          <w:rFonts w:ascii="David" w:eastAsia="Aptos" w:hAnsi="David"/>
          <w:color w:val="000000"/>
          <w:kern w:val="2"/>
          <w:rtl/>
        </w:rPr>
        <w:t>נאשם שהורשע בעבירה של התפרצות לאותה דירת מגורים, יום אחרי יום, וגניבה של יותר מחצי מיליון שקל ודרכונים הוטלו 10 חודשי מאסר בפועל.</w:t>
      </w:r>
    </w:p>
    <w:p w14:paraId="074F1363" w14:textId="77777777" w:rsidR="00A4374D" w:rsidRPr="00A4374D" w:rsidRDefault="00A4374D" w:rsidP="00A4374D">
      <w:pPr>
        <w:spacing w:line="360" w:lineRule="auto"/>
        <w:jc w:val="both"/>
        <w:rPr>
          <w:rFonts w:ascii="David" w:eastAsia="Aptos" w:hAnsi="David"/>
          <w:color w:val="000000"/>
          <w:kern w:val="2"/>
          <w:rtl/>
        </w:rPr>
      </w:pPr>
      <w:r w:rsidRPr="00A4374D">
        <w:rPr>
          <w:rFonts w:ascii="David" w:eastAsia="Aptos" w:hAnsi="David"/>
          <w:color w:val="000000"/>
          <w:kern w:val="2"/>
          <w:rtl/>
        </w:rPr>
        <w:t>ככלל</w:t>
      </w:r>
      <w:r w:rsidRPr="00A4374D">
        <w:rPr>
          <w:rFonts w:ascii="David" w:eastAsia="Aptos" w:hAnsi="David" w:hint="cs"/>
          <w:color w:val="000000"/>
          <w:kern w:val="2"/>
          <w:rtl/>
        </w:rPr>
        <w:t>,</w:t>
      </w:r>
      <w:r w:rsidRPr="00A4374D">
        <w:rPr>
          <w:rFonts w:ascii="David" w:eastAsia="Aptos" w:hAnsi="David"/>
          <w:color w:val="000000"/>
          <w:kern w:val="2"/>
          <w:rtl/>
        </w:rPr>
        <w:t xml:space="preserve"> מדיניות הענישה בעבירת ההתפרצות מחייבת השתת עונשים מרתיעים כפי שקבע כב' השופט אלרון </w:t>
      </w:r>
      <w:hyperlink r:id="rId39" w:history="1">
        <w:r w:rsidR="00576CB7" w:rsidRPr="00576CB7">
          <w:rPr>
            <w:rFonts w:ascii="David" w:eastAsia="Aptos" w:hAnsi="David"/>
            <w:color w:val="0000FF"/>
            <w:kern w:val="2"/>
            <w:u w:val="single"/>
            <w:rtl/>
          </w:rPr>
          <w:t xml:space="preserve">ברע"פ 5012/22 </w:t>
        </w:r>
      </w:hyperlink>
      <w:r w:rsidRPr="00A4374D">
        <w:rPr>
          <w:rFonts w:ascii="David" w:eastAsia="Aptos" w:hAnsi="David"/>
          <w:color w:val="000000"/>
          <w:kern w:val="2"/>
          <w:rtl/>
        </w:rPr>
        <w:t xml:space="preserve"> חאלד דגמש נ' מדינת ישראל: </w:t>
      </w:r>
      <w:r w:rsidRPr="00A4374D">
        <w:rPr>
          <w:rFonts w:ascii="David" w:eastAsia="Aptos" w:hAnsi="David"/>
          <w:b/>
          <w:bCs/>
          <w:color w:val="000000"/>
          <w:kern w:val="2"/>
          <w:rtl/>
        </w:rPr>
        <w:t>"יש להחמיר בעונשם של המבצעים עבירות גניבה והתפרצות, המערערות את ביטחונם של האזרחים, ופוגעת בפרטיותם של נפגעי העבירה"</w:t>
      </w:r>
      <w:r w:rsidRPr="00A4374D">
        <w:rPr>
          <w:rFonts w:ascii="David" w:eastAsia="Aptos" w:hAnsi="David"/>
          <w:color w:val="000000"/>
          <w:kern w:val="2"/>
          <w:rtl/>
        </w:rPr>
        <w:t xml:space="preserve">. מדיניות ההחמרה נתקבלה גם על ידי בית המשפט המחוזי בחיפה בעפ"ג 13582-02-22 </w:t>
      </w:r>
      <w:r w:rsidRPr="00A4374D">
        <w:rPr>
          <w:rFonts w:ascii="David" w:eastAsia="Aptos" w:hAnsi="David"/>
          <w:b/>
          <w:bCs/>
          <w:color w:val="000000"/>
          <w:kern w:val="2"/>
          <w:rtl/>
        </w:rPr>
        <w:t>מדינת ישראל נ' מוגרבי</w:t>
      </w:r>
      <w:r w:rsidRPr="00A4374D">
        <w:rPr>
          <w:rFonts w:ascii="David" w:eastAsia="Aptos" w:hAnsi="David"/>
          <w:color w:val="000000"/>
          <w:kern w:val="2"/>
          <w:rtl/>
        </w:rPr>
        <w:t xml:space="preserve"> וכן הפסיקה שאוזכרה שם.</w:t>
      </w:r>
      <w:r w:rsidR="004E65E9">
        <w:rPr>
          <w:rFonts w:ascii="David" w:eastAsia="Aptos" w:hAnsi="David"/>
          <w:color w:val="000000"/>
          <w:kern w:val="2"/>
          <w:rtl/>
        </w:rPr>
        <w:t xml:space="preserve"> </w:t>
      </w:r>
    </w:p>
    <w:p w14:paraId="7FA77DC6" w14:textId="77777777" w:rsidR="00A4374D" w:rsidRPr="00415B9B" w:rsidRDefault="00A4374D" w:rsidP="00A4374D">
      <w:pPr>
        <w:spacing w:line="360" w:lineRule="auto"/>
        <w:jc w:val="both"/>
        <w:rPr>
          <w:rFonts w:ascii="David" w:hAnsi="David"/>
          <w:rtl/>
        </w:rPr>
      </w:pPr>
    </w:p>
    <w:p w14:paraId="579119B4" w14:textId="77777777" w:rsidR="00A4374D" w:rsidRDefault="00A4374D" w:rsidP="00A4374D">
      <w:pPr>
        <w:spacing w:line="360" w:lineRule="auto"/>
        <w:jc w:val="both"/>
        <w:rPr>
          <w:rFonts w:ascii="David" w:hAnsi="David"/>
          <w:rtl/>
        </w:rPr>
      </w:pPr>
      <w:r w:rsidRPr="00415B9B">
        <w:rPr>
          <w:rFonts w:ascii="David" w:hAnsi="David"/>
          <w:rtl/>
        </w:rPr>
        <w:t>בעצם ביצוע המעשים המיוחסים לה, פגעה הנאשמת בערכים מוגנים שעניינם שמירה לא רק על קניינו אלא גם על פרטיותו ותחושת ביטחונו של הפרט</w:t>
      </w:r>
      <w:r>
        <w:rPr>
          <w:rFonts w:ascii="David" w:hAnsi="David" w:hint="cs"/>
          <w:rtl/>
        </w:rPr>
        <w:t>,</w:t>
      </w:r>
      <w:r w:rsidRPr="00CC2217">
        <w:rPr>
          <w:rFonts w:ascii="David" w:hAnsi="David"/>
          <w:rtl/>
        </w:rPr>
        <w:t xml:space="preserve"> </w:t>
      </w:r>
      <w:r w:rsidRPr="00415B9B">
        <w:rPr>
          <w:rFonts w:ascii="David" w:hAnsi="David"/>
          <w:rtl/>
        </w:rPr>
        <w:t>בשלוות</w:t>
      </w:r>
      <w:r>
        <w:rPr>
          <w:rFonts w:ascii="David" w:hAnsi="David" w:hint="cs"/>
          <w:rtl/>
        </w:rPr>
        <w:t>ו</w:t>
      </w:r>
      <w:r w:rsidRPr="00415B9B">
        <w:rPr>
          <w:rFonts w:ascii="David" w:hAnsi="David"/>
          <w:rtl/>
        </w:rPr>
        <w:t xml:space="preserve"> ובשגרת חייו. הנאשמת הסיגה גבול, נכנסה לביתו של המתלונן וזרעה הרס. אין צורך להרחיב את הדיון בעניין הערך המוגן בעבירות כניסה לדירה וגניבה ממנה. די לכל אדם, גם </w:t>
      </w:r>
      <w:r>
        <w:rPr>
          <w:rFonts w:ascii="David" w:hAnsi="David"/>
          <w:rtl/>
        </w:rPr>
        <w:t>אם לא חווה את המקרה, לשאול עצמו</w:t>
      </w:r>
      <w:r w:rsidRPr="00415B9B">
        <w:rPr>
          <w:rFonts w:ascii="David" w:hAnsi="David"/>
          <w:rtl/>
        </w:rPr>
        <w:t xml:space="preserve"> כ</w:t>
      </w:r>
      <w:r>
        <w:rPr>
          <w:rFonts w:ascii="David" w:hAnsi="David"/>
          <w:rtl/>
        </w:rPr>
        <w:t>יצד יחוש בעת שישן יחד עם ילדיו בביתו מבצרו, כש</w:t>
      </w:r>
      <w:r w:rsidRPr="00415B9B">
        <w:rPr>
          <w:rFonts w:ascii="David" w:hAnsi="David"/>
          <w:rtl/>
        </w:rPr>
        <w:t xml:space="preserve">אדם זר פורץ לביתו בכוונה </w:t>
      </w:r>
      <w:r>
        <w:rPr>
          <w:rFonts w:ascii="David" w:hAnsi="David"/>
          <w:rtl/>
        </w:rPr>
        <w:t xml:space="preserve">ליטול את רכושו, </w:t>
      </w:r>
      <w:r>
        <w:rPr>
          <w:rFonts w:ascii="David" w:hAnsi="David" w:hint="cs"/>
          <w:rtl/>
        </w:rPr>
        <w:t>זורע הרס</w:t>
      </w:r>
      <w:r w:rsidRPr="00415B9B">
        <w:rPr>
          <w:rFonts w:ascii="David" w:hAnsi="David"/>
          <w:rtl/>
        </w:rPr>
        <w:t xml:space="preserve"> ומותירו בתחושה של חוסר ביטחון, חוסר אונים וחסר קנייני. גם לחברה בכללותה נגרם נזק מעבירות אלה בדמות פגיעה בתחושת הביטחון של שאר האוכלוסייה. מעשים אלו מכוערים ופוגעים בתחושת הביטחון של המתלוננים ובני ביתם אף אם לא נגרם נזק ממוני כזה או אחר והרי שאם הם לא מוגנים בביתם מבצרם, היכן יהיו מוגנים?</w:t>
      </w:r>
    </w:p>
    <w:p w14:paraId="7493E322" w14:textId="77777777" w:rsidR="00A4374D" w:rsidRPr="00415B9B" w:rsidRDefault="00A4374D" w:rsidP="00A4374D">
      <w:pPr>
        <w:spacing w:line="360" w:lineRule="auto"/>
        <w:jc w:val="both"/>
        <w:rPr>
          <w:rFonts w:ascii="David" w:hAnsi="David"/>
          <w:rtl/>
        </w:rPr>
      </w:pPr>
    </w:p>
    <w:p w14:paraId="687D79E6"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עבירות הרכוש מחייבו</w:t>
      </w:r>
      <w:r w:rsidRPr="00A4374D">
        <w:rPr>
          <w:rFonts w:ascii="David" w:eastAsia="Aptos" w:hAnsi="David" w:hint="cs"/>
          <w:kern w:val="2"/>
          <w:rtl/>
        </w:rPr>
        <w:t>ת את הנפגעים</w:t>
      </w:r>
      <w:r w:rsidRPr="00A4374D">
        <w:rPr>
          <w:rFonts w:ascii="David" w:eastAsia="Aptos" w:hAnsi="David"/>
          <w:kern w:val="2"/>
          <w:rtl/>
        </w:rPr>
        <w:t xml:space="preserve"> לא אחת לנקוט פעולות לתיקון המצב כשלא פעם יש קושי אפילו לכמת את הערך שיש לאותו חפץ </w:t>
      </w:r>
      <w:r w:rsidRPr="00A4374D">
        <w:rPr>
          <w:rFonts w:ascii="David" w:eastAsia="Aptos" w:hAnsi="David" w:hint="cs"/>
          <w:kern w:val="2"/>
          <w:rtl/>
        </w:rPr>
        <w:t>ש</w:t>
      </w:r>
      <w:r w:rsidRPr="00A4374D">
        <w:rPr>
          <w:rFonts w:ascii="David" w:eastAsia="Aptos" w:hAnsi="David"/>
          <w:kern w:val="2"/>
          <w:rtl/>
        </w:rPr>
        <w:t>נגנב.</w:t>
      </w:r>
    </w:p>
    <w:p w14:paraId="30BA51C9" w14:textId="77777777" w:rsidR="00A4374D" w:rsidRDefault="00A4374D" w:rsidP="00A4374D">
      <w:pPr>
        <w:spacing w:after="160" w:line="360" w:lineRule="auto"/>
        <w:jc w:val="both"/>
        <w:rPr>
          <w:rFonts w:ascii="David" w:hAnsi="David"/>
          <w:rtl/>
        </w:rPr>
      </w:pPr>
      <w:r w:rsidRPr="00415B9B">
        <w:rPr>
          <w:rFonts w:ascii="David" w:hAnsi="David"/>
          <w:rtl/>
        </w:rPr>
        <w:t>בשים לב לנסיבות הקשורות בביצוע העבירות, כפי שפורטו, ובייחוד לנוכח כמותן של העבירות אני סבור שמידת הפגיעה איננה נמוכה כלל.</w:t>
      </w:r>
    </w:p>
    <w:p w14:paraId="76E04EB4"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למרות שהרכוש הוחזר לבסוף, תחושת הביטחון של בעל הדירה נפגעה. הדברים נכונים גם לעבירה של הסגת גבול, שגם בה קיימת הפגיעה בפרטיות ובזכות הקניין, גם אם ברף נמוך יותר. דברים אלו נכונים גם אם העבירות נעשו שלא בתחכום, כפי שאירע כאן.</w:t>
      </w:r>
    </w:p>
    <w:p w14:paraId="1638428F"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כפי שנכתב ב</w:t>
      </w:r>
      <w:hyperlink r:id="rId40" w:history="1">
        <w:r w:rsidR="004E65E9" w:rsidRPr="004E65E9">
          <w:rPr>
            <w:rFonts w:ascii="David" w:eastAsia="Aptos" w:hAnsi="David"/>
            <w:color w:val="0000FF"/>
            <w:kern w:val="2"/>
            <w:u w:val="single"/>
            <w:rtl/>
          </w:rPr>
          <w:t>רע"פ 4789/22</w:t>
        </w:r>
      </w:hyperlink>
      <w:r w:rsidRPr="00A4374D">
        <w:rPr>
          <w:rFonts w:ascii="David" w:eastAsia="Aptos" w:hAnsi="David"/>
          <w:kern w:val="2"/>
          <w:rtl/>
        </w:rPr>
        <w:t xml:space="preserve"> פלוני נ' מדינת ישראל (20.07.22): </w:t>
      </w:r>
    </w:p>
    <w:p w14:paraId="075E2279" w14:textId="77777777" w:rsidR="00A4374D" w:rsidRPr="00A4374D" w:rsidRDefault="00A4374D" w:rsidP="00A4374D">
      <w:pPr>
        <w:spacing w:after="160" w:line="360" w:lineRule="auto"/>
        <w:ind w:left="567" w:right="567"/>
        <w:jc w:val="both"/>
        <w:rPr>
          <w:rFonts w:ascii="David" w:eastAsia="Aptos" w:hAnsi="David"/>
          <w:b/>
          <w:bCs/>
          <w:kern w:val="2"/>
          <w:rtl/>
        </w:rPr>
      </w:pPr>
      <w:r w:rsidRPr="00A4374D">
        <w:rPr>
          <w:rFonts w:ascii="David" w:eastAsia="Aptos" w:hAnsi="David"/>
          <w:kern w:val="2"/>
          <w:rtl/>
        </w:rPr>
        <w:t>"</w:t>
      </w:r>
      <w:r w:rsidRPr="00A4374D">
        <w:rPr>
          <w:rFonts w:ascii="David" w:eastAsia="Aptos" w:hAnsi="David"/>
          <w:b/>
          <w:bCs/>
          <w:kern w:val="2"/>
          <w:rtl/>
        </w:rPr>
        <w:t>עבירת ההתפרצות מערערת את תחושת הביטחון האישי של כל אדם, כאשר הפורץ נכנס בעזות מצח לדירה שאינה שלו, במטרה לבצע עבירה. באותה העת, קניינו, פרטיותו וכבודו של בעל הדירה נפגעים, כאשר הוא נוכח לדעת כי אפילו ביתו – אינו מבצרו (</w:t>
      </w:r>
      <w:hyperlink r:id="rId41" w:history="1">
        <w:r w:rsidR="004E65E9" w:rsidRPr="004E65E9">
          <w:rPr>
            <w:rFonts w:ascii="David" w:eastAsia="Aptos" w:hAnsi="David"/>
            <w:b/>
            <w:bCs/>
            <w:color w:val="0000FF"/>
            <w:kern w:val="2"/>
            <w:u w:val="single"/>
            <w:rtl/>
          </w:rPr>
          <w:t>רע"פ 512/22</w:t>
        </w:r>
      </w:hyperlink>
      <w:r w:rsidRPr="00A4374D">
        <w:rPr>
          <w:rFonts w:ascii="David" w:eastAsia="Aptos" w:hAnsi="David"/>
          <w:b/>
          <w:bCs/>
          <w:kern w:val="2"/>
          <w:rtl/>
        </w:rPr>
        <w:t xml:space="preserve"> דגמש נ' מדינת ישראל; </w:t>
      </w:r>
      <w:hyperlink r:id="rId42" w:history="1">
        <w:r w:rsidR="004E65E9" w:rsidRPr="004E65E9">
          <w:rPr>
            <w:rFonts w:ascii="David" w:eastAsia="Aptos" w:hAnsi="David"/>
            <w:b/>
            <w:bCs/>
            <w:color w:val="0000FF"/>
            <w:kern w:val="2"/>
            <w:u w:val="single"/>
            <w:rtl/>
          </w:rPr>
          <w:t>רע"פ 6607/21</w:t>
        </w:r>
      </w:hyperlink>
      <w:r w:rsidRPr="00A4374D">
        <w:rPr>
          <w:rFonts w:ascii="David" w:eastAsia="Aptos" w:hAnsi="David"/>
          <w:b/>
          <w:bCs/>
          <w:kern w:val="2"/>
          <w:rtl/>
        </w:rPr>
        <w:t xml:space="preserve"> חסון נ' מדינת ישראל).</w:t>
      </w:r>
    </w:p>
    <w:p w14:paraId="415D2A1D" w14:textId="77777777" w:rsidR="00A4374D" w:rsidRPr="00A4374D" w:rsidRDefault="00A4374D" w:rsidP="00A4374D">
      <w:pPr>
        <w:spacing w:after="160" w:line="360" w:lineRule="auto"/>
        <w:ind w:left="567" w:right="567"/>
        <w:jc w:val="both"/>
        <w:rPr>
          <w:rFonts w:ascii="David" w:eastAsia="Aptos" w:hAnsi="David"/>
          <w:b/>
          <w:bCs/>
          <w:kern w:val="2"/>
          <w:rtl/>
        </w:rPr>
      </w:pPr>
      <w:r w:rsidRPr="00A4374D">
        <w:rPr>
          <w:rFonts w:ascii="David" w:eastAsia="Aptos" w:hAnsi="David"/>
          <w:b/>
          <w:bCs/>
          <w:kern w:val="2"/>
          <w:rtl/>
        </w:rPr>
        <w:t>יודגש, עבירת ההתפרצות למקום מגורים אינה עבירת "רכוש" גרידא – אף שגם בכך אין להקל ראש, כי אם פגיעה בלב חירותו של כל אדם ואזרח הנגרמת כאשר אדם זר חודר ברגל גסה לדל"ת אמותיו. מאותה העת, חרדה אוחזת בבעל הדירה העולה על יצועו, ביודעו כי אף בביתו שלו, בחדרו ובמיטתו – אינו מוגן. במקרים אלו נדרשת ענישה הולמת ומרתיעה בדמות עונש מאסר בפועל מאחורי סורג ובריח, נוכח הפשיעה הגואה ברחובות ישראל בכלל, ובאזור הנגב בפרט. כך נדרש כדי להגביר את תחושת הביטחון במרחב הציבורי והאישי.</w:t>
      </w:r>
    </w:p>
    <w:p w14:paraId="2E25702E" w14:textId="77777777" w:rsidR="00A4374D" w:rsidRPr="00A4374D" w:rsidRDefault="00A4374D" w:rsidP="00A4374D">
      <w:pPr>
        <w:spacing w:after="160" w:line="360" w:lineRule="auto"/>
        <w:ind w:left="567" w:right="567"/>
        <w:jc w:val="both"/>
        <w:rPr>
          <w:rFonts w:ascii="David" w:eastAsia="Aptos" w:hAnsi="David"/>
          <w:kern w:val="2"/>
          <w:rtl/>
        </w:rPr>
      </w:pPr>
      <w:r w:rsidRPr="00A4374D">
        <w:rPr>
          <w:rFonts w:ascii="David" w:eastAsia="Aptos" w:hAnsi="David"/>
          <w:b/>
          <w:bCs/>
          <w:kern w:val="2"/>
          <w:rtl/>
        </w:rPr>
        <w:t>המבקש פרץ באישון ליל לדירה בבאר שבע שנמצאת בקומה השנייה, הסתובב ברחבי הבית בעוד בעלת הבית לנה, ונמלט עם שלל גניבתו רק לשמע צעקות בעלת הדירה אשר נעורה משנתה למראה המבקש בדירתה. מעשים אלו דורשים, כאמור, ענישה אפקטיבית של מאסר בפועל</w:t>
      </w:r>
      <w:r w:rsidRPr="00A4374D">
        <w:rPr>
          <w:rFonts w:ascii="David" w:eastAsia="Aptos" w:hAnsi="David"/>
          <w:kern w:val="2"/>
          <w:rtl/>
        </w:rPr>
        <w:t>".</w:t>
      </w:r>
    </w:p>
    <w:p w14:paraId="6D4D5FC9"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בפסיקה נקבע לא אחת כי עבירות ההתפרצות הפכו למכת מדינה, הפגיעה ברכושו של הציבור מערערת באופן משמעותי וניכר את תחושת בטחונו ובתי המשפט מחויבים לנקוט בענישה מתאימה לצורך מיגור התופעה (ר' </w:t>
      </w:r>
      <w:hyperlink r:id="rId43" w:history="1">
        <w:r w:rsidR="004E65E9" w:rsidRPr="004E65E9">
          <w:rPr>
            <w:rFonts w:ascii="David" w:eastAsia="Aptos" w:hAnsi="David"/>
            <w:color w:val="0000FF"/>
            <w:kern w:val="2"/>
            <w:u w:val="single"/>
            <w:rtl/>
          </w:rPr>
          <w:t>רע"פ 398/14</w:t>
        </w:r>
      </w:hyperlink>
      <w:r w:rsidR="004E65E9">
        <w:rPr>
          <w:rFonts w:ascii="David" w:eastAsia="Aptos" w:hAnsi="David"/>
          <w:kern w:val="2"/>
          <w:rtl/>
        </w:rPr>
        <w:t xml:space="preserve"> </w:t>
      </w:r>
      <w:r w:rsidRPr="00A4374D">
        <w:rPr>
          <w:rFonts w:ascii="David" w:eastAsia="Aptos" w:hAnsi="David"/>
          <w:b/>
          <w:bCs/>
          <w:kern w:val="2"/>
          <w:rtl/>
        </w:rPr>
        <w:t>ערג' נ' מדינת ישראל</w:t>
      </w:r>
      <w:r w:rsidRPr="00A4374D">
        <w:rPr>
          <w:rFonts w:ascii="David" w:eastAsia="Aptos" w:hAnsi="David"/>
          <w:kern w:val="2"/>
          <w:rtl/>
        </w:rPr>
        <w:t>,</w:t>
      </w:r>
      <w:r w:rsidR="004E65E9">
        <w:rPr>
          <w:rFonts w:ascii="David" w:eastAsia="Aptos" w:hAnsi="David"/>
          <w:kern w:val="2"/>
          <w:rtl/>
        </w:rPr>
        <w:t xml:space="preserve"> </w:t>
      </w:r>
      <w:hyperlink r:id="rId44" w:history="1">
        <w:r w:rsidR="004E65E9" w:rsidRPr="004E65E9">
          <w:rPr>
            <w:rFonts w:ascii="David" w:eastAsia="Aptos" w:hAnsi="David"/>
            <w:color w:val="0000FF"/>
            <w:kern w:val="2"/>
            <w:u w:val="single"/>
            <w:rtl/>
          </w:rPr>
          <w:t>רע"פ 6210/18</w:t>
        </w:r>
      </w:hyperlink>
      <w:r w:rsidR="004E65E9">
        <w:rPr>
          <w:rFonts w:ascii="David" w:eastAsia="Aptos" w:hAnsi="David"/>
          <w:kern w:val="2"/>
          <w:rtl/>
        </w:rPr>
        <w:t xml:space="preserve"> </w:t>
      </w:r>
      <w:r w:rsidRPr="00A4374D">
        <w:rPr>
          <w:rFonts w:ascii="David" w:eastAsia="Aptos" w:hAnsi="David"/>
          <w:b/>
          <w:bCs/>
          <w:kern w:val="2"/>
          <w:rtl/>
        </w:rPr>
        <w:t>אבו גאנם נ' מדינת ישראל</w:t>
      </w:r>
      <w:r w:rsidRPr="00A4374D">
        <w:rPr>
          <w:rFonts w:ascii="David" w:eastAsia="Aptos" w:hAnsi="David"/>
          <w:kern w:val="2"/>
          <w:rtl/>
        </w:rPr>
        <w:t>).</w:t>
      </w:r>
    </w:p>
    <w:p w14:paraId="4C60A25F" w14:textId="77777777" w:rsidR="00A4374D" w:rsidRPr="00A4374D" w:rsidRDefault="00A4374D" w:rsidP="00A4374D">
      <w:pPr>
        <w:spacing w:after="160" w:line="360" w:lineRule="auto"/>
        <w:jc w:val="both"/>
        <w:rPr>
          <w:rFonts w:ascii="David" w:eastAsia="Aptos" w:hAnsi="David"/>
          <w:color w:val="000000"/>
          <w:kern w:val="2"/>
        </w:rPr>
      </w:pPr>
      <w:r w:rsidRPr="00A4374D">
        <w:rPr>
          <w:rFonts w:ascii="David" w:eastAsia="Aptos" w:hAnsi="David"/>
          <w:color w:val="000000"/>
          <w:kern w:val="2"/>
          <w:rtl/>
        </w:rPr>
        <w:t>ב</w:t>
      </w:r>
      <w:hyperlink r:id="rId45" w:history="1">
        <w:r w:rsidR="004E65E9" w:rsidRPr="004E65E9">
          <w:rPr>
            <w:rFonts w:ascii="David" w:eastAsia="Aptos" w:hAnsi="David"/>
            <w:color w:val="0000FF"/>
            <w:kern w:val="2"/>
            <w:u w:val="single"/>
            <w:rtl/>
          </w:rPr>
          <w:t>ע"פ 7453/08</w:t>
        </w:r>
      </w:hyperlink>
      <w:r w:rsidRPr="00A4374D">
        <w:rPr>
          <w:rFonts w:ascii="David" w:eastAsia="Aptos" w:hAnsi="David"/>
          <w:color w:val="000000"/>
          <w:kern w:val="2"/>
          <w:rtl/>
        </w:rPr>
        <w:t xml:space="preserve"> מדינת ישראל נ' אואזנה כתב בית המשפט העליון ש"</w:t>
      </w:r>
      <w:r w:rsidRPr="00A4374D">
        <w:rPr>
          <w:rFonts w:ascii="David" w:eastAsia="Aptos" w:hAnsi="David"/>
          <w:b/>
          <w:bCs/>
          <w:color w:val="000000"/>
          <w:kern w:val="2"/>
          <w:rtl/>
        </w:rPr>
        <w:t xml:space="preserve">בית המשפט המחוזי צדק  משהתאים את הצורך בחומרה בענישה בעבירת התפרצות ובעבירות רכוש בכלל, שהיו – אפשר לומר – למכת מדינה, למקור דאגה וטרוניה לאזרחים רבים, ולפגיעה בתחושת ביטחונם. נקל לשער את החוויה הקשה העוברת על קרבנות הפריצה, בשובם לביתם והינה הפיכת סדום ועמורה בתוכו וחפצים וכסף נעלמו ואינם, ולעיתים קרובות משמעות הדבר היא כי הרכוש ירד לטמיון, שכן העבריין לא יילכד" </w:t>
      </w:r>
      <w:r w:rsidRPr="00A4374D">
        <w:rPr>
          <w:rFonts w:ascii="David" w:eastAsia="Aptos" w:hAnsi="David"/>
          <w:color w:val="000000"/>
          <w:kern w:val="2"/>
          <w:rtl/>
        </w:rPr>
        <w:t>(דברי השופט א' רובינשטיין, ב</w:t>
      </w:r>
      <w:hyperlink r:id="rId46" w:history="1">
        <w:r w:rsidR="004E65E9" w:rsidRPr="004E65E9">
          <w:rPr>
            <w:rFonts w:ascii="David" w:eastAsia="Aptos" w:hAnsi="David"/>
            <w:color w:val="0000FF"/>
            <w:kern w:val="2"/>
            <w:u w:val="single"/>
            <w:rtl/>
          </w:rPr>
          <w:t>רע"פ 1708/08</w:t>
        </w:r>
      </w:hyperlink>
      <w:r w:rsidRPr="00A4374D">
        <w:rPr>
          <w:rFonts w:ascii="David" w:eastAsia="Aptos" w:hAnsi="David"/>
          <w:color w:val="000000"/>
          <w:kern w:val="2"/>
          <w:rtl/>
        </w:rPr>
        <w:t xml:space="preserve"> לוי נ' מדינת ישראל). </w:t>
      </w:r>
    </w:p>
    <w:p w14:paraId="3241F632" w14:textId="77777777" w:rsidR="00A4374D" w:rsidRPr="00A4374D" w:rsidRDefault="00A4374D" w:rsidP="00A4374D">
      <w:pPr>
        <w:spacing w:after="160" w:line="360" w:lineRule="auto"/>
        <w:jc w:val="both"/>
        <w:rPr>
          <w:rFonts w:ascii="David" w:eastAsia="Aptos" w:hAnsi="David"/>
          <w:color w:val="000000"/>
          <w:kern w:val="2"/>
          <w:rtl/>
        </w:rPr>
      </w:pPr>
      <w:r w:rsidRPr="00A4374D">
        <w:rPr>
          <w:rFonts w:ascii="David" w:eastAsia="Aptos" w:hAnsi="David"/>
          <w:color w:val="000000"/>
          <w:kern w:val="2"/>
          <w:rtl/>
        </w:rPr>
        <w:t>באשר לנסיבות הקשורות בביצוע העבירה לא ניתן להתעלם מהעובדה שהנאשמת התפרצה לביתו של המתלונן בשעות הבוקר המוקדמות, שעה בה שהו בבית המתלונן, יחד עם ילדיו הקטינים אשר ישנו אותה עת. ניתן להניח כי מי מבני הבית שוהה בו ויופתע על ידי הנאשמת, רק במזל נגמר אירוע הפריצה ללא נפגעים בגוף מאחר ולא ניתן לנבא כיצד האירוע היה עלול להתפתח. יודגש כי</w:t>
      </w:r>
      <w:r w:rsidRPr="00A4374D">
        <w:rPr>
          <w:rFonts w:ascii="David" w:eastAsia="Aptos" w:hAnsi="David"/>
          <w:b/>
          <w:bCs/>
          <w:color w:val="000000"/>
          <w:kern w:val="2"/>
          <w:rtl/>
        </w:rPr>
        <w:t xml:space="preserve"> "עבירת ההתפרצות לדירת מגורים טומנת בחובה גם פוטנציאל להתפתחות אלימה ולפגיעות בגוף ובנפש. כניסה לביתו הפרטי – מבצרו של אדם, מעבר לכיעור ולתעוזה הטמונים בה, יש בה כדי ללמד על אופיו של אדם. מי אשר אינו מכבד את פרטיותו של הזולת, מי שנכון לפגוע בקניינו ורכושו של אחר, מי אשר נוטל רכוש זולתו, אינו זכאי להתחשבות ואין לו להלין אלא על עצמו"</w:t>
      </w:r>
      <w:r w:rsidRPr="00A4374D">
        <w:rPr>
          <w:rFonts w:ascii="David" w:eastAsia="Aptos" w:hAnsi="David"/>
          <w:color w:val="000000"/>
          <w:kern w:val="2"/>
          <w:rtl/>
        </w:rPr>
        <w:t xml:space="preserve"> (ת"פ 50651-03-17 מ"י נ' לוי, בית משפט שלום טבריה כב' השופט</w:t>
      </w:r>
      <w:r w:rsidR="004E65E9">
        <w:rPr>
          <w:rFonts w:ascii="David" w:eastAsia="Aptos" w:hAnsi="David"/>
          <w:color w:val="000000"/>
          <w:kern w:val="2"/>
          <w:rtl/>
        </w:rPr>
        <w:t xml:space="preserve"> </w:t>
      </w:r>
      <w:r w:rsidRPr="00A4374D">
        <w:rPr>
          <w:rFonts w:ascii="David" w:eastAsia="Aptos" w:hAnsi="David"/>
          <w:color w:val="000000"/>
          <w:kern w:val="2"/>
          <w:rtl/>
        </w:rPr>
        <w:t>יריב נבון).</w:t>
      </w:r>
    </w:p>
    <w:p w14:paraId="278EB448"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color w:val="000000"/>
          <w:kern w:val="2"/>
          <w:rtl/>
        </w:rPr>
        <w:t>באשר לתיק המצורף</w:t>
      </w:r>
      <w:r w:rsidRPr="00A4374D">
        <w:rPr>
          <w:rFonts w:ascii="David" w:eastAsia="Aptos" w:hAnsi="David"/>
          <w:kern w:val="2"/>
          <w:rtl/>
        </w:rPr>
        <w:t xml:space="preserve">, </w:t>
      </w:r>
      <w:r w:rsidRPr="00A4374D">
        <w:rPr>
          <w:rFonts w:ascii="David" w:eastAsia="Aptos" w:hAnsi="David" w:hint="cs"/>
          <w:kern w:val="2"/>
          <w:rtl/>
        </w:rPr>
        <w:t>ב</w:t>
      </w:r>
      <w:r w:rsidRPr="00A4374D">
        <w:rPr>
          <w:rFonts w:ascii="David" w:eastAsia="Aptos" w:hAnsi="David"/>
          <w:kern w:val="2"/>
          <w:rtl/>
        </w:rPr>
        <w:t xml:space="preserve">עבירות החזקת סמים שלא לשימוש עצמי והפרעת שוטר במילוי תפקידו </w:t>
      </w:r>
      <w:r w:rsidRPr="00A4374D">
        <w:rPr>
          <w:rFonts w:ascii="David" w:hAnsi="David" w:hint="cs"/>
          <w:kern w:val="2"/>
          <w:rtl/>
        </w:rPr>
        <w:t>פגעה הנאשמת</w:t>
      </w:r>
      <w:r w:rsidRPr="00A4374D">
        <w:rPr>
          <w:rFonts w:ascii="David" w:hAnsi="David"/>
          <w:kern w:val="2"/>
          <w:rtl/>
        </w:rPr>
        <w:t xml:space="preserve"> בערכים המוגנים </w:t>
      </w:r>
      <w:r w:rsidRPr="00A4374D">
        <w:rPr>
          <w:rFonts w:ascii="David" w:hAnsi="David" w:hint="cs"/>
          <w:kern w:val="2"/>
          <w:rtl/>
        </w:rPr>
        <w:t xml:space="preserve">של בטחון הציבור </w:t>
      </w:r>
      <w:r w:rsidRPr="00A4374D">
        <w:rPr>
          <w:rFonts w:ascii="David" w:hAnsi="David"/>
          <w:kern w:val="2"/>
          <w:rtl/>
        </w:rPr>
        <w:t>בכללותו</w:t>
      </w:r>
      <w:r w:rsidRPr="00A4374D">
        <w:rPr>
          <w:rFonts w:ascii="David" w:hAnsi="David" w:hint="cs"/>
          <w:kern w:val="2"/>
          <w:rtl/>
        </w:rPr>
        <w:t>. עקרון זה נכון במיוחד עת</w:t>
      </w:r>
      <w:r w:rsidRPr="00A4374D">
        <w:rPr>
          <w:rFonts w:ascii="David" w:hAnsi="David"/>
          <w:kern w:val="2"/>
          <w:rtl/>
        </w:rPr>
        <w:t xml:space="preserve"> עסקינן בסם מסוג הרואין</w:t>
      </w:r>
      <w:r w:rsidRPr="00A4374D">
        <w:rPr>
          <w:rFonts w:ascii="David" w:hAnsi="David" w:hint="cs"/>
          <w:kern w:val="2"/>
          <w:rtl/>
        </w:rPr>
        <w:t xml:space="preserve"> </w:t>
      </w:r>
      <w:r w:rsidRPr="00A4374D">
        <w:rPr>
          <w:rFonts w:ascii="David" w:hAnsi="David"/>
          <w:kern w:val="2"/>
          <w:rtl/>
        </w:rPr>
        <w:t xml:space="preserve">שהחזקתו פוגעת בבריאות הציבור </w:t>
      </w:r>
      <w:r w:rsidRPr="00A4374D">
        <w:rPr>
          <w:rFonts w:ascii="David" w:hAnsi="David" w:hint="cs"/>
          <w:kern w:val="2"/>
          <w:rtl/>
        </w:rPr>
        <w:t>ו</w:t>
      </w:r>
      <w:r w:rsidRPr="00A4374D">
        <w:rPr>
          <w:rFonts w:ascii="David" w:hAnsi="David"/>
          <w:kern w:val="2"/>
          <w:rtl/>
        </w:rPr>
        <w:t>בשלומו</w:t>
      </w:r>
      <w:r w:rsidRPr="00A4374D">
        <w:rPr>
          <w:rFonts w:ascii="David" w:hAnsi="David" w:hint="cs"/>
          <w:kern w:val="2"/>
          <w:rtl/>
        </w:rPr>
        <w:t xml:space="preserve"> שבאה לידי ביטוי</w:t>
      </w:r>
      <w:r w:rsidRPr="00A4374D">
        <w:rPr>
          <w:rFonts w:ascii="David" w:hAnsi="David"/>
          <w:kern w:val="2"/>
          <w:rtl/>
        </w:rPr>
        <w:t xml:space="preserve"> בפגיעה הפיזית והנפשית ש</w:t>
      </w:r>
      <w:r w:rsidRPr="00A4374D">
        <w:rPr>
          <w:rFonts w:ascii="David" w:hAnsi="David" w:hint="cs"/>
          <w:kern w:val="2"/>
          <w:rtl/>
        </w:rPr>
        <w:t>נגרמת</w:t>
      </w:r>
      <w:r w:rsidRPr="00A4374D">
        <w:rPr>
          <w:rFonts w:ascii="David" w:hAnsi="David"/>
          <w:kern w:val="2"/>
          <w:rtl/>
        </w:rPr>
        <w:t xml:space="preserve"> כתוצאה ממנו, הן בטווח המיידי והן בטווח ה</w:t>
      </w:r>
      <w:r w:rsidRPr="00A4374D">
        <w:rPr>
          <w:rFonts w:ascii="David" w:hAnsi="David" w:hint="cs"/>
          <w:kern w:val="2"/>
          <w:rtl/>
        </w:rPr>
        <w:t>ארוך.</w:t>
      </w:r>
      <w:r w:rsidRPr="00A4374D">
        <w:rPr>
          <w:rFonts w:ascii="David" w:hAnsi="David"/>
          <w:kern w:val="2"/>
          <w:rtl/>
        </w:rPr>
        <w:t xml:space="preserve"> וודאי כאשר מדובר בנזקים שנגרמים לחברה כתוצאה מהשימוש בסם גם על ידי הפרט, מאחר שגם המשתמש הבודד מהווה סכנה מידית ומוחשית לסביבתו ולחברה בכללותה.</w:t>
      </w:r>
      <w:r w:rsidRPr="00A4374D">
        <w:rPr>
          <w:rFonts w:ascii="David" w:hAnsi="David" w:hint="cs"/>
          <w:kern w:val="2"/>
          <w:rtl/>
        </w:rPr>
        <w:t xml:space="preserve"> </w:t>
      </w:r>
    </w:p>
    <w:p w14:paraId="28A6F903" w14:textId="77777777" w:rsidR="00A4374D" w:rsidRPr="00A4374D" w:rsidRDefault="00A4374D" w:rsidP="00A4374D">
      <w:pPr>
        <w:spacing w:line="360" w:lineRule="auto"/>
        <w:jc w:val="both"/>
        <w:rPr>
          <w:rFonts w:ascii="David" w:hAnsi="David"/>
          <w:kern w:val="2"/>
          <w:rtl/>
        </w:rPr>
      </w:pPr>
      <w:r w:rsidRPr="00A4374D">
        <w:rPr>
          <w:rFonts w:ascii="David" w:hAnsi="David"/>
          <w:kern w:val="2"/>
          <w:rtl/>
        </w:rPr>
        <w:t>עבירות הסמים מגבירות ומהוות לעיתים את הסיבה העיקרית לביצוע עבירות פליליות אחרות כגון עבירות רכוש הפוגעות בקניינו של הפרט</w:t>
      </w:r>
      <w:r w:rsidRPr="00A4374D">
        <w:rPr>
          <w:rFonts w:ascii="David" w:hAnsi="David" w:hint="cs"/>
          <w:kern w:val="2"/>
          <w:rtl/>
        </w:rPr>
        <w:t>,</w:t>
      </w:r>
      <w:r w:rsidRPr="00A4374D">
        <w:rPr>
          <w:rFonts w:ascii="David" w:hAnsi="David"/>
          <w:kern w:val="2"/>
          <w:rtl/>
        </w:rPr>
        <w:t xml:space="preserve"> כפי שניתן גם להתרשם בתיק זה שבו עבירות הנאשמת בוצעו על רקע שימוש בסמים.</w:t>
      </w:r>
    </w:p>
    <w:p w14:paraId="28ABAD2D" w14:textId="77777777" w:rsidR="00A4374D" w:rsidRPr="00A4374D" w:rsidRDefault="00A4374D" w:rsidP="00A4374D">
      <w:pPr>
        <w:spacing w:line="360" w:lineRule="auto"/>
        <w:jc w:val="both"/>
        <w:rPr>
          <w:rFonts w:ascii="David" w:hAnsi="David"/>
          <w:kern w:val="2"/>
          <w:rtl/>
        </w:rPr>
      </w:pPr>
    </w:p>
    <w:p w14:paraId="5D1F5CF4" w14:textId="77777777" w:rsidR="00A4374D" w:rsidRPr="00A4374D" w:rsidRDefault="00A4374D" w:rsidP="00A4374D">
      <w:pPr>
        <w:spacing w:after="150" w:line="360" w:lineRule="auto"/>
        <w:jc w:val="both"/>
        <w:rPr>
          <w:rFonts w:ascii="David" w:eastAsia="Calibri" w:hAnsi="David"/>
          <w:kern w:val="2"/>
          <w:rtl/>
        </w:rPr>
      </w:pPr>
      <w:r w:rsidRPr="00A4374D">
        <w:rPr>
          <w:rFonts w:ascii="David" w:eastAsia="Calibri" w:hAnsi="David"/>
          <w:kern w:val="2"/>
          <w:rtl/>
        </w:rPr>
        <w:t>ב</w:t>
      </w:r>
      <w:hyperlink r:id="rId47" w:history="1">
        <w:r w:rsidR="004E65E9" w:rsidRPr="004E65E9">
          <w:rPr>
            <w:rFonts w:ascii="David" w:eastAsia="Calibri" w:hAnsi="David"/>
            <w:color w:val="0000FF"/>
            <w:kern w:val="2"/>
            <w:u w:val="single"/>
            <w:rtl/>
          </w:rPr>
          <w:t>רע"פ 3575/07</w:t>
        </w:r>
      </w:hyperlink>
      <w:r w:rsidRPr="00A4374D">
        <w:rPr>
          <w:rFonts w:ascii="David" w:eastAsia="Calibri" w:hAnsi="David"/>
          <w:kern w:val="2"/>
          <w:rtl/>
        </w:rPr>
        <w:t xml:space="preserve"> סעיד דקא נ' מ</w:t>
      </w:r>
      <w:r w:rsidRPr="00A4374D">
        <w:rPr>
          <w:rFonts w:ascii="David" w:eastAsia="Calibri" w:hAnsi="David" w:hint="cs"/>
          <w:kern w:val="2"/>
          <w:rtl/>
        </w:rPr>
        <w:t xml:space="preserve">דינת </w:t>
      </w:r>
      <w:r w:rsidRPr="00A4374D">
        <w:rPr>
          <w:rFonts w:ascii="David" w:eastAsia="Calibri" w:hAnsi="David"/>
          <w:kern w:val="2"/>
          <w:rtl/>
        </w:rPr>
        <w:t>י</w:t>
      </w:r>
      <w:r w:rsidRPr="00A4374D">
        <w:rPr>
          <w:rFonts w:ascii="David" w:eastAsia="Calibri" w:hAnsi="David" w:hint="cs"/>
          <w:kern w:val="2"/>
          <w:rtl/>
        </w:rPr>
        <w:t>שראל נכתב</w:t>
      </w:r>
      <w:r w:rsidRPr="00A4374D">
        <w:rPr>
          <w:rFonts w:ascii="David" w:eastAsia="Calibri" w:hAnsi="David"/>
          <w:kern w:val="2"/>
          <w:rtl/>
        </w:rPr>
        <w:t xml:space="preserve"> ע</w:t>
      </w:r>
      <w:r w:rsidRPr="00A4374D">
        <w:rPr>
          <w:rFonts w:ascii="David" w:eastAsia="Calibri" w:hAnsi="David" w:hint="cs"/>
          <w:kern w:val="2"/>
          <w:rtl/>
        </w:rPr>
        <w:t xml:space="preserve">ל </w:t>
      </w:r>
      <w:r w:rsidRPr="00A4374D">
        <w:rPr>
          <w:rFonts w:ascii="David" w:eastAsia="Calibri" w:hAnsi="David"/>
          <w:kern w:val="2"/>
          <w:rtl/>
        </w:rPr>
        <w:t>י</w:t>
      </w:r>
      <w:r w:rsidRPr="00A4374D">
        <w:rPr>
          <w:rFonts w:ascii="David" w:eastAsia="Calibri" w:hAnsi="David" w:hint="cs"/>
          <w:kern w:val="2"/>
          <w:rtl/>
        </w:rPr>
        <w:t>די</w:t>
      </w:r>
      <w:r w:rsidRPr="00A4374D">
        <w:rPr>
          <w:rFonts w:ascii="David" w:eastAsia="Calibri" w:hAnsi="David"/>
          <w:kern w:val="2"/>
          <w:rtl/>
        </w:rPr>
        <w:t xml:space="preserve"> כב' השופט ג'ובראן:</w:t>
      </w:r>
      <w:r w:rsidRPr="00A4374D">
        <w:rPr>
          <w:rFonts w:ascii="David" w:eastAsia="Calibri" w:hAnsi="David"/>
          <w:b/>
          <w:bCs/>
          <w:kern w:val="2"/>
          <w:rtl/>
        </w:rPr>
        <w:t xml:space="preserve"> "דומה, כי אין צורך להכביר מילים על נגע הסמים אשר פשה בכל שדרות החברה, והרס חלקות רבות וטובות בה. מתפקידו של בית המשפט להשתלב במאבק כנגד נגע זה, ולהשית עונשים שירתיעו את העוסקים בסחר בסמים ויגנו על החברה מפניהם".</w:t>
      </w:r>
      <w:r w:rsidRPr="00A4374D">
        <w:rPr>
          <w:rFonts w:ascii="David" w:eastAsia="Calibri" w:hAnsi="David"/>
          <w:kern w:val="2"/>
          <w:rtl/>
        </w:rPr>
        <w:t xml:space="preserve"> דברים אלה יפים לטעמי בענייננו וודאי ככל שנוגעים להחזקת סם בכמות שלא לצריכה עצמית מסוג הסם שנתפס בחזקת הנאשמת. </w:t>
      </w:r>
    </w:p>
    <w:p w14:paraId="173DF308" w14:textId="77777777" w:rsidR="00A4374D" w:rsidRPr="00A4374D" w:rsidRDefault="00A4374D" w:rsidP="00A4374D">
      <w:pPr>
        <w:spacing w:line="360" w:lineRule="auto"/>
        <w:jc w:val="both"/>
        <w:rPr>
          <w:rFonts w:ascii="David" w:eastAsia="Calibri" w:hAnsi="David"/>
          <w:kern w:val="2"/>
          <w:rtl/>
        </w:rPr>
      </w:pPr>
      <w:r w:rsidRPr="00A4374D">
        <w:rPr>
          <w:rFonts w:ascii="David" w:eastAsia="Calibri" w:hAnsi="David"/>
          <w:kern w:val="2"/>
          <w:rtl/>
        </w:rPr>
        <w:t>בשים לב לנסיבות הקשורות בביצוע העבירות בתיק העיקרי, כפי שפורטו ובהתאם לפסיקה הנוהגת, אני קובע שמתחת העונש ההולם הינו 12-24 חודשי מאסר בפועל, מאסר על תנאי, קנס ופיצוי.</w:t>
      </w:r>
    </w:p>
    <w:p w14:paraId="3EA12D15" w14:textId="77777777" w:rsidR="00A4374D" w:rsidRPr="00A4374D" w:rsidRDefault="00A4374D" w:rsidP="00A4374D">
      <w:pPr>
        <w:spacing w:line="360" w:lineRule="auto"/>
        <w:jc w:val="both"/>
        <w:rPr>
          <w:rFonts w:ascii="David" w:eastAsia="Calibri" w:hAnsi="David"/>
          <w:b/>
          <w:bCs/>
          <w:kern w:val="2"/>
          <w:u w:val="single"/>
          <w:rtl/>
        </w:rPr>
      </w:pPr>
    </w:p>
    <w:p w14:paraId="484B5ACA" w14:textId="77777777" w:rsidR="00A4374D" w:rsidRPr="00A4374D" w:rsidRDefault="00A4374D" w:rsidP="00A4374D">
      <w:pPr>
        <w:spacing w:line="360" w:lineRule="auto"/>
        <w:jc w:val="both"/>
        <w:rPr>
          <w:rFonts w:ascii="David" w:eastAsia="Calibri" w:hAnsi="David"/>
          <w:kern w:val="2"/>
          <w:u w:val="single"/>
          <w:rtl/>
        </w:rPr>
      </w:pPr>
      <w:r w:rsidRPr="00A4374D">
        <w:rPr>
          <w:rFonts w:ascii="David" w:eastAsia="Calibri" w:hAnsi="David" w:hint="cs"/>
          <w:kern w:val="2"/>
          <w:u w:val="single"/>
          <w:rtl/>
        </w:rPr>
        <w:t xml:space="preserve">קביעת העונש ההולם בתוך המתחם - </w:t>
      </w:r>
      <w:r w:rsidRPr="00A4374D">
        <w:rPr>
          <w:rFonts w:ascii="David" w:eastAsia="Calibri" w:hAnsi="David"/>
          <w:kern w:val="2"/>
          <w:u w:val="single"/>
          <w:rtl/>
        </w:rPr>
        <w:t>נסיבות שאינן קשורות בביצוע העבירה</w:t>
      </w:r>
    </w:p>
    <w:p w14:paraId="0DE6E143"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Calibri" w:hAnsi="David"/>
          <w:kern w:val="2"/>
          <w:rtl/>
        </w:rPr>
        <w:t xml:space="preserve">עסקינן בנאשמת ילידת 1981, לחובתה 5 הרשעות קודמות בעבירות דומות, האחרונה </w:t>
      </w:r>
      <w:r w:rsidRPr="00A4374D">
        <w:rPr>
          <w:rFonts w:ascii="David" w:eastAsia="Calibri" w:hAnsi="David" w:hint="cs"/>
          <w:kern w:val="2"/>
          <w:rtl/>
        </w:rPr>
        <w:t>מ</w:t>
      </w:r>
      <w:r w:rsidRPr="00A4374D">
        <w:rPr>
          <w:rFonts w:ascii="David" w:eastAsia="Calibri" w:hAnsi="David"/>
          <w:kern w:val="2"/>
          <w:rtl/>
        </w:rPr>
        <w:t>שנת 2022 במסגרתה הורשעה בעבירות של גניבה והסגת גבול והוטל עליה עונש מאסר בפועל, לצד עונש מאסר מותנה בר הפעלה של 6 חודשים</w:t>
      </w:r>
      <w:r w:rsidRPr="00A4374D">
        <w:rPr>
          <w:rFonts w:ascii="David" w:eastAsia="Aptos" w:hAnsi="David"/>
          <w:kern w:val="2"/>
          <w:rtl/>
        </w:rPr>
        <w:t>. ביצוע העבירות בתיק זה מלמד שעונשי המאסר המותנים לא הרתיעו את הנאשמת וכראיה לכך חזר לסורה. כמו כן, בין השנים 2012-2019 הורשעה הנאשמת 4 פעמים בגין ביצוע עבירות אלימות</w:t>
      </w:r>
      <w:r w:rsidRPr="00A4374D">
        <w:rPr>
          <w:rFonts w:ascii="David" w:eastAsia="Aptos" w:hAnsi="David" w:hint="cs"/>
          <w:kern w:val="2"/>
          <w:rtl/>
        </w:rPr>
        <w:t>,</w:t>
      </w:r>
      <w:r w:rsidRPr="00A4374D">
        <w:rPr>
          <w:rFonts w:ascii="David" w:eastAsia="Aptos" w:hAnsi="David"/>
          <w:kern w:val="2"/>
          <w:rtl/>
        </w:rPr>
        <w:t xml:space="preserve"> רכוש ומרמה.</w:t>
      </w:r>
    </w:p>
    <w:p w14:paraId="6D5C6DB3"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 xml:space="preserve">הנאשמת פנתה להליך גמילה בזמן מעצרה הנוכחי ומקבלת טיפול תרופתי פסיכיאטרי שלדבריה מאזן אותה ואף הביעה נכונות להמשיך את הטיפול בכלא. </w:t>
      </w:r>
      <w:r w:rsidRPr="00A4374D">
        <w:rPr>
          <w:rFonts w:ascii="David" w:eastAsia="Aptos" w:hAnsi="David" w:hint="cs"/>
          <w:kern w:val="2"/>
          <w:rtl/>
        </w:rPr>
        <w:t xml:space="preserve">זאת, לעומת </w:t>
      </w:r>
      <w:r w:rsidRPr="00A4374D">
        <w:rPr>
          <w:rFonts w:ascii="David" w:eastAsia="Aptos" w:hAnsi="David"/>
          <w:kern w:val="2"/>
          <w:rtl/>
        </w:rPr>
        <w:t>תקופת מאסרה האחרון</w:t>
      </w:r>
      <w:r w:rsidRPr="00A4374D">
        <w:rPr>
          <w:rFonts w:ascii="David" w:eastAsia="Aptos" w:hAnsi="David" w:hint="cs"/>
          <w:kern w:val="2"/>
          <w:rtl/>
        </w:rPr>
        <w:t xml:space="preserve"> של הנאשמת בו</w:t>
      </w:r>
      <w:r w:rsidRPr="00A4374D">
        <w:rPr>
          <w:rFonts w:ascii="David" w:eastAsia="Aptos" w:hAnsi="David"/>
          <w:kern w:val="2"/>
          <w:rtl/>
        </w:rPr>
        <w:t xml:space="preserve"> חשבה שתצליח להתמודד עם הקשיים לבד ולכן לא השתלבה בטיפול</w:t>
      </w:r>
      <w:r w:rsidRPr="00A4374D">
        <w:rPr>
          <w:rFonts w:ascii="David" w:eastAsia="Aptos" w:hAnsi="David" w:hint="cs"/>
          <w:kern w:val="2"/>
          <w:rtl/>
        </w:rPr>
        <w:t xml:space="preserve"> קודם לכן.</w:t>
      </w:r>
      <w:r w:rsidRPr="00A4374D">
        <w:rPr>
          <w:rFonts w:ascii="David" w:eastAsia="Aptos" w:hAnsi="David"/>
          <w:kern w:val="2"/>
          <w:rtl/>
        </w:rPr>
        <w:t xml:space="preserve"> </w:t>
      </w:r>
    </w:p>
    <w:p w14:paraId="0DE96C3C" w14:textId="77777777" w:rsidR="00A4374D" w:rsidRPr="00415B9B" w:rsidRDefault="00A4374D" w:rsidP="00A4374D">
      <w:pPr>
        <w:spacing w:line="360" w:lineRule="auto"/>
        <w:jc w:val="both"/>
        <w:rPr>
          <w:rFonts w:ascii="David" w:hAnsi="David"/>
        </w:rPr>
      </w:pPr>
      <w:r w:rsidRPr="00415B9B">
        <w:rPr>
          <w:rFonts w:ascii="David" w:hAnsi="David"/>
          <w:rtl/>
        </w:rPr>
        <w:t>שקלתי לקולא את העובדה שהנאשמת הודתה במיוחס לה</w:t>
      </w:r>
      <w:r>
        <w:rPr>
          <w:rFonts w:ascii="David" w:hAnsi="David" w:hint="cs"/>
          <w:rtl/>
        </w:rPr>
        <w:t>,</w:t>
      </w:r>
      <w:r w:rsidRPr="00415B9B">
        <w:rPr>
          <w:rFonts w:ascii="David" w:hAnsi="David"/>
          <w:rtl/>
        </w:rPr>
        <w:t xml:space="preserve"> </w:t>
      </w:r>
      <w:r>
        <w:rPr>
          <w:rFonts w:ascii="David" w:hAnsi="David"/>
          <w:rtl/>
        </w:rPr>
        <w:t>צירפה תיק נוסף</w:t>
      </w:r>
      <w:r>
        <w:rPr>
          <w:rFonts w:ascii="David" w:hAnsi="David" w:hint="cs"/>
          <w:rtl/>
        </w:rPr>
        <w:t>,</w:t>
      </w:r>
      <w:r>
        <w:rPr>
          <w:rFonts w:ascii="David" w:hAnsi="David"/>
          <w:rtl/>
        </w:rPr>
        <w:t xml:space="preserve"> </w:t>
      </w:r>
      <w:r w:rsidRPr="00415B9B">
        <w:rPr>
          <w:rFonts w:ascii="David" w:hAnsi="David"/>
          <w:rtl/>
        </w:rPr>
        <w:t>הביאה לחיסכון בזמן שיפוטי יקר וייתרה את הצורך ב</w:t>
      </w:r>
      <w:r>
        <w:rPr>
          <w:rFonts w:ascii="David" w:hAnsi="David"/>
          <w:rtl/>
        </w:rPr>
        <w:t>עדותם של המתלוננים ו</w:t>
      </w:r>
      <w:r w:rsidRPr="00415B9B">
        <w:rPr>
          <w:rFonts w:ascii="David" w:hAnsi="David"/>
          <w:rtl/>
        </w:rPr>
        <w:t>של השוטרים.</w:t>
      </w:r>
      <w:r w:rsidR="004E65E9">
        <w:rPr>
          <w:rFonts w:ascii="David" w:hAnsi="David"/>
          <w:rtl/>
        </w:rPr>
        <w:t xml:space="preserve"> </w:t>
      </w:r>
    </w:p>
    <w:p w14:paraId="4EE9E52E" w14:textId="77777777" w:rsidR="00A4374D" w:rsidRPr="00415B9B" w:rsidRDefault="00A4374D" w:rsidP="00A4374D">
      <w:pPr>
        <w:spacing w:line="360" w:lineRule="auto"/>
        <w:jc w:val="both"/>
        <w:rPr>
          <w:rFonts w:ascii="David" w:hAnsi="David"/>
          <w:rtl/>
        </w:rPr>
      </w:pPr>
    </w:p>
    <w:p w14:paraId="7E09F611" w14:textId="77777777" w:rsidR="00A4374D" w:rsidRDefault="00A4374D" w:rsidP="00A4374D">
      <w:pPr>
        <w:spacing w:line="360" w:lineRule="auto"/>
        <w:jc w:val="both"/>
        <w:rPr>
          <w:rFonts w:ascii="David" w:hAnsi="David"/>
          <w:rtl/>
        </w:rPr>
      </w:pPr>
      <w:r w:rsidRPr="00415B9B">
        <w:rPr>
          <w:rFonts w:ascii="David" w:hAnsi="David"/>
          <w:rtl/>
        </w:rPr>
        <w:t xml:space="preserve">בנוסף, יש לקחת בחשבון את </w:t>
      </w:r>
      <w:r>
        <w:rPr>
          <w:rFonts w:ascii="David" w:hAnsi="David" w:hint="cs"/>
          <w:rtl/>
        </w:rPr>
        <w:t xml:space="preserve">משך </w:t>
      </w:r>
      <w:r w:rsidRPr="00415B9B">
        <w:rPr>
          <w:rFonts w:ascii="David" w:hAnsi="David"/>
          <w:rtl/>
        </w:rPr>
        <w:t xml:space="preserve">מעצרה של הנאשמת בגין תיק זה </w:t>
      </w:r>
      <w:r>
        <w:rPr>
          <w:rFonts w:ascii="David" w:hAnsi="David" w:hint="cs"/>
          <w:rtl/>
        </w:rPr>
        <w:t>ב</w:t>
      </w:r>
      <w:r w:rsidRPr="00415B9B">
        <w:rPr>
          <w:rFonts w:ascii="David" w:hAnsi="David"/>
          <w:rtl/>
        </w:rPr>
        <w:t>משך 9 חודשים כאשר ידוע שתנאי מעצר קשים מתנאי מאסר, וודאי במצבה הנפשי של הנאשמת כפי שגם תואר בהרחבה בתסקיר שירות המבחן.</w:t>
      </w:r>
    </w:p>
    <w:p w14:paraId="5F31DAA4" w14:textId="77777777" w:rsidR="00A4374D" w:rsidRPr="00415B9B" w:rsidRDefault="00A4374D" w:rsidP="00A4374D">
      <w:pPr>
        <w:spacing w:line="360" w:lineRule="auto"/>
        <w:jc w:val="both"/>
        <w:rPr>
          <w:rFonts w:ascii="David" w:hAnsi="David"/>
          <w:rtl/>
        </w:rPr>
      </w:pPr>
    </w:p>
    <w:p w14:paraId="169DB825"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לאור התנהלותה של הנאשמת, החזרתיות על העבירות בהן הורשעה זה מכבר, הפגיעה בערכים המוגנים והעובדה שעונשי מאסר מותנים לא הרתיעו אותה מלחזור לסורה, אני מוצא לנכון למקם את עונשה של הנאשמת מעט מתחת לאמצע המתחם</w:t>
      </w:r>
      <w:r w:rsidRPr="00A4374D">
        <w:rPr>
          <w:rFonts w:ascii="David" w:eastAsia="Aptos" w:hAnsi="David" w:hint="cs"/>
          <w:kern w:val="2"/>
          <w:rtl/>
        </w:rPr>
        <w:t>,</w:t>
      </w:r>
      <w:r w:rsidRPr="00A4374D">
        <w:rPr>
          <w:rFonts w:ascii="David" w:eastAsia="Aptos" w:hAnsi="David"/>
          <w:kern w:val="2"/>
          <w:rtl/>
        </w:rPr>
        <w:t xml:space="preserve"> לצד הפעלת עונש </w:t>
      </w:r>
      <w:r w:rsidRPr="00A4374D">
        <w:rPr>
          <w:rFonts w:ascii="David" w:eastAsia="Aptos" w:hAnsi="David" w:hint="cs"/>
          <w:kern w:val="2"/>
          <w:rtl/>
        </w:rPr>
        <w:t>ה</w:t>
      </w:r>
      <w:r w:rsidRPr="00A4374D">
        <w:rPr>
          <w:rFonts w:ascii="David" w:eastAsia="Aptos" w:hAnsi="David"/>
          <w:kern w:val="2"/>
          <w:rtl/>
        </w:rPr>
        <w:t xml:space="preserve">מאסר </w:t>
      </w:r>
      <w:r w:rsidRPr="00A4374D">
        <w:rPr>
          <w:rFonts w:ascii="David" w:eastAsia="Aptos" w:hAnsi="David" w:hint="cs"/>
          <w:kern w:val="2"/>
          <w:rtl/>
        </w:rPr>
        <w:t>ה</w:t>
      </w:r>
      <w:r w:rsidRPr="00A4374D">
        <w:rPr>
          <w:rFonts w:ascii="David" w:eastAsia="Aptos" w:hAnsi="David"/>
          <w:kern w:val="2"/>
          <w:rtl/>
        </w:rPr>
        <w:t xml:space="preserve">מותנה שחלקו יינשא במצטבר וחלקו בחופף, מאסר מותנה, והתחייבות. </w:t>
      </w:r>
    </w:p>
    <w:p w14:paraId="3BAE32DE" w14:textId="77777777" w:rsidR="00A4374D" w:rsidRPr="00A4374D" w:rsidRDefault="00A4374D" w:rsidP="00A4374D">
      <w:pPr>
        <w:spacing w:after="160" w:line="360" w:lineRule="auto"/>
        <w:jc w:val="both"/>
        <w:rPr>
          <w:rFonts w:ascii="David" w:eastAsia="Aptos" w:hAnsi="David"/>
          <w:b/>
          <w:bCs/>
          <w:kern w:val="2"/>
          <w:u w:val="single"/>
          <w:rtl/>
        </w:rPr>
      </w:pPr>
      <w:r w:rsidRPr="00A4374D">
        <w:rPr>
          <w:rFonts w:ascii="David" w:eastAsia="Aptos" w:hAnsi="David"/>
          <w:kern w:val="2"/>
          <w:rtl/>
        </w:rPr>
        <w:t>בעניין הליך הגמילה אותו עוברת הנאשמת, לראשונה, במהלך מעצרה בכלא ואת רצונה בעזרה</w:t>
      </w:r>
      <w:r w:rsidRPr="00A4374D">
        <w:rPr>
          <w:rFonts w:ascii="David" w:eastAsia="Aptos" w:hAnsi="David" w:hint="cs"/>
          <w:kern w:val="2"/>
          <w:rtl/>
        </w:rPr>
        <w:t xml:space="preserve">, </w:t>
      </w:r>
      <w:r w:rsidRPr="00A4374D">
        <w:rPr>
          <w:rFonts w:ascii="David" w:eastAsia="Aptos" w:hAnsi="David"/>
          <w:kern w:val="2"/>
          <w:rtl/>
        </w:rPr>
        <w:t>בית המשפט מקווה</w:t>
      </w:r>
      <w:r w:rsidRPr="00A4374D">
        <w:rPr>
          <w:rFonts w:ascii="David" w:eastAsia="Aptos" w:hAnsi="David" w:hint="cs"/>
          <w:kern w:val="2"/>
          <w:rtl/>
        </w:rPr>
        <w:t xml:space="preserve"> שה</w:t>
      </w:r>
      <w:r w:rsidRPr="00A4374D">
        <w:rPr>
          <w:rFonts w:ascii="David" w:eastAsia="Aptos" w:hAnsi="David"/>
          <w:kern w:val="2"/>
          <w:rtl/>
        </w:rPr>
        <w:t>נאשמת תנצל את ההזדמנות הניתנת לה ותמשיך לשמור על ניקיונה מסמים הן לטובתה והן לטובת משפחתה.</w:t>
      </w:r>
    </w:p>
    <w:p w14:paraId="24E236CE"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u w:val="single"/>
          <w:rtl/>
        </w:rPr>
        <w:t>לאור האמור בזאת אני מטיל על הנאשמת את העונשים הבאים</w:t>
      </w:r>
      <w:r w:rsidRPr="00A4374D">
        <w:rPr>
          <w:rFonts w:ascii="David" w:eastAsia="Aptos" w:hAnsi="David" w:hint="cs"/>
          <w:kern w:val="2"/>
          <w:rtl/>
        </w:rPr>
        <w:t>:</w:t>
      </w:r>
    </w:p>
    <w:p w14:paraId="155D539B" w14:textId="77777777" w:rsidR="00A4374D" w:rsidRPr="00A4374D" w:rsidRDefault="00A4374D" w:rsidP="00A4374D">
      <w:pPr>
        <w:numPr>
          <w:ilvl w:val="0"/>
          <w:numId w:val="1"/>
        </w:numPr>
        <w:spacing w:after="160" w:line="360" w:lineRule="auto"/>
        <w:contextualSpacing/>
        <w:jc w:val="both"/>
        <w:rPr>
          <w:rFonts w:ascii="David" w:eastAsia="Aptos" w:hAnsi="David"/>
          <w:kern w:val="2"/>
        </w:rPr>
      </w:pPr>
      <w:r w:rsidRPr="00A4374D">
        <w:rPr>
          <w:rFonts w:ascii="David" w:eastAsia="Aptos" w:hAnsi="David"/>
          <w:kern w:val="2"/>
          <w:rtl/>
        </w:rPr>
        <w:t>מאסר בפועל למשך 14 חודשים</w:t>
      </w:r>
      <w:r w:rsidRPr="00A4374D">
        <w:rPr>
          <w:rFonts w:ascii="David" w:eastAsia="Aptos" w:hAnsi="David" w:hint="cs"/>
          <w:kern w:val="2"/>
          <w:rtl/>
        </w:rPr>
        <w:t>, בניכוי תקופת מעצרה על פי רישומי שב"ס</w:t>
      </w:r>
      <w:r w:rsidRPr="00A4374D">
        <w:rPr>
          <w:rFonts w:ascii="David" w:eastAsia="Aptos" w:hAnsi="David"/>
          <w:kern w:val="2"/>
          <w:rtl/>
        </w:rPr>
        <w:t>.</w:t>
      </w:r>
    </w:p>
    <w:p w14:paraId="385D21D3" w14:textId="77777777" w:rsidR="00A4374D" w:rsidRPr="00A4374D" w:rsidRDefault="00A4374D" w:rsidP="00A4374D">
      <w:pPr>
        <w:spacing w:after="160" w:line="360" w:lineRule="auto"/>
        <w:ind w:left="720"/>
        <w:contextualSpacing/>
        <w:jc w:val="both"/>
        <w:rPr>
          <w:rFonts w:ascii="David" w:eastAsia="Aptos" w:hAnsi="David"/>
          <w:kern w:val="2"/>
          <w:rtl/>
        </w:rPr>
      </w:pPr>
    </w:p>
    <w:p w14:paraId="67E75E30" w14:textId="77777777" w:rsidR="00A4374D" w:rsidRPr="00A4374D" w:rsidRDefault="00A4374D" w:rsidP="00A4374D">
      <w:pPr>
        <w:numPr>
          <w:ilvl w:val="0"/>
          <w:numId w:val="1"/>
        </w:numPr>
        <w:spacing w:after="160" w:line="360" w:lineRule="auto"/>
        <w:contextualSpacing/>
        <w:jc w:val="both"/>
        <w:rPr>
          <w:rFonts w:ascii="David" w:eastAsia="Aptos" w:hAnsi="David"/>
          <w:kern w:val="2"/>
        </w:rPr>
      </w:pPr>
      <w:r w:rsidRPr="00A4374D">
        <w:rPr>
          <w:rFonts w:ascii="David" w:eastAsia="Aptos" w:hAnsi="David"/>
          <w:kern w:val="2"/>
          <w:rtl/>
        </w:rPr>
        <w:t>אני מורה על הפעלת עונש מאסר מותנה של 6 חודשים כפי שהוטל על הנאשמת בבית משפט שלום חדרה ב</w:t>
      </w:r>
      <w:hyperlink r:id="rId48" w:history="1">
        <w:r w:rsidR="004E65E9" w:rsidRPr="004E65E9">
          <w:rPr>
            <w:rFonts w:ascii="David" w:eastAsia="Aptos" w:hAnsi="David"/>
            <w:color w:val="0000FF"/>
            <w:kern w:val="2"/>
            <w:u w:val="single"/>
            <w:rtl/>
          </w:rPr>
          <w:t>ת"פ 61951-07-22</w:t>
        </w:r>
      </w:hyperlink>
      <w:r w:rsidRPr="00A4374D">
        <w:rPr>
          <w:rFonts w:ascii="David" w:eastAsia="Aptos" w:hAnsi="David" w:hint="cs"/>
          <w:kern w:val="2"/>
          <w:rtl/>
        </w:rPr>
        <w:t xml:space="preserve"> ש</w:t>
      </w:r>
      <w:r w:rsidRPr="00A4374D">
        <w:rPr>
          <w:rFonts w:ascii="David" w:eastAsia="Aptos" w:hAnsi="David"/>
          <w:kern w:val="2"/>
          <w:rtl/>
        </w:rPr>
        <w:t>יחושב באופן</w:t>
      </w:r>
      <w:r w:rsidRPr="00A4374D">
        <w:rPr>
          <w:rFonts w:ascii="David" w:eastAsia="Aptos" w:hAnsi="David" w:hint="cs"/>
          <w:kern w:val="2"/>
          <w:rtl/>
        </w:rPr>
        <w:t xml:space="preserve"> בו </w:t>
      </w:r>
      <w:r w:rsidRPr="00A4374D">
        <w:rPr>
          <w:rFonts w:ascii="David" w:eastAsia="Aptos" w:hAnsi="David"/>
          <w:kern w:val="2"/>
          <w:rtl/>
        </w:rPr>
        <w:t xml:space="preserve">4 חודשים יינשאו </w:t>
      </w:r>
      <w:r w:rsidRPr="00A4374D">
        <w:rPr>
          <w:rFonts w:ascii="David" w:eastAsia="Aptos" w:hAnsi="David"/>
          <w:b/>
          <w:bCs/>
          <w:kern w:val="2"/>
          <w:rtl/>
        </w:rPr>
        <w:t>בחופף</w:t>
      </w:r>
      <w:r w:rsidRPr="00A4374D">
        <w:rPr>
          <w:rFonts w:ascii="David" w:eastAsia="Aptos" w:hAnsi="David"/>
          <w:kern w:val="2"/>
          <w:rtl/>
        </w:rPr>
        <w:t xml:space="preserve"> ו-2 חודשים יינשאו </w:t>
      </w:r>
      <w:r w:rsidRPr="00A4374D">
        <w:rPr>
          <w:rFonts w:ascii="David" w:eastAsia="Aptos" w:hAnsi="David"/>
          <w:b/>
          <w:bCs/>
          <w:kern w:val="2"/>
          <w:rtl/>
        </w:rPr>
        <w:t>במצטבר</w:t>
      </w:r>
      <w:r w:rsidRPr="00A4374D">
        <w:rPr>
          <w:rFonts w:ascii="David" w:eastAsia="Aptos" w:hAnsi="David"/>
          <w:kern w:val="2"/>
          <w:rtl/>
        </w:rPr>
        <w:t xml:space="preserve"> לעונש המאסר האמור בסעיף 1.</w:t>
      </w:r>
      <w:r w:rsidRPr="00A4374D">
        <w:rPr>
          <w:rFonts w:ascii="David" w:eastAsia="Aptos" w:hAnsi="David" w:hint="cs"/>
          <w:kern w:val="2"/>
          <w:rtl/>
        </w:rPr>
        <w:t xml:space="preserve"> </w:t>
      </w:r>
      <w:r w:rsidRPr="00A4374D">
        <w:rPr>
          <w:rFonts w:ascii="David" w:eastAsia="Aptos" w:hAnsi="David" w:hint="cs"/>
          <w:kern w:val="2"/>
          <w:u w:val="single"/>
          <w:rtl/>
        </w:rPr>
        <w:t>סך הכל תישא הנאשמת ב-16 חודשי מאסר בפועל בניכוי תקופת מעצרה</w:t>
      </w:r>
      <w:r w:rsidRPr="00A4374D">
        <w:rPr>
          <w:rFonts w:ascii="David" w:eastAsia="Aptos" w:hAnsi="David" w:hint="cs"/>
          <w:kern w:val="2"/>
          <w:rtl/>
        </w:rPr>
        <w:t>.</w:t>
      </w:r>
    </w:p>
    <w:p w14:paraId="32153CAB" w14:textId="77777777" w:rsidR="00A4374D" w:rsidRPr="00A4374D" w:rsidRDefault="00A4374D" w:rsidP="00A4374D">
      <w:pPr>
        <w:spacing w:after="160" w:line="360" w:lineRule="auto"/>
        <w:contextualSpacing/>
        <w:jc w:val="both"/>
        <w:rPr>
          <w:rFonts w:ascii="David" w:eastAsia="Aptos" w:hAnsi="David"/>
          <w:kern w:val="2"/>
          <w:rtl/>
        </w:rPr>
      </w:pPr>
    </w:p>
    <w:p w14:paraId="73C52ECE" w14:textId="77777777" w:rsidR="00A4374D" w:rsidRPr="00A4374D" w:rsidRDefault="00A4374D" w:rsidP="00A4374D">
      <w:pPr>
        <w:numPr>
          <w:ilvl w:val="0"/>
          <w:numId w:val="1"/>
        </w:numPr>
        <w:spacing w:after="160" w:line="360" w:lineRule="auto"/>
        <w:contextualSpacing/>
        <w:jc w:val="both"/>
        <w:rPr>
          <w:rFonts w:ascii="David" w:eastAsia="Aptos" w:hAnsi="David"/>
          <w:kern w:val="2"/>
        </w:rPr>
      </w:pPr>
      <w:r w:rsidRPr="00A4374D">
        <w:rPr>
          <w:rFonts w:ascii="David" w:eastAsia="Aptos" w:hAnsi="David"/>
          <w:kern w:val="2"/>
          <w:rtl/>
        </w:rPr>
        <w:t xml:space="preserve">מאסר על תנאי של </w:t>
      </w:r>
      <w:r w:rsidRPr="00A4374D">
        <w:rPr>
          <w:rFonts w:ascii="David" w:eastAsia="Aptos" w:hAnsi="David" w:hint="cs"/>
          <w:kern w:val="2"/>
          <w:rtl/>
        </w:rPr>
        <w:t>4</w:t>
      </w:r>
      <w:r w:rsidRPr="00A4374D">
        <w:rPr>
          <w:rFonts w:ascii="David" w:eastAsia="Aptos" w:hAnsi="David"/>
          <w:kern w:val="2"/>
          <w:rtl/>
        </w:rPr>
        <w:t xml:space="preserve"> חודשים למשך 3 שנים</w:t>
      </w:r>
      <w:r w:rsidRPr="00A4374D">
        <w:rPr>
          <w:rFonts w:ascii="David" w:eastAsia="Aptos" w:hAnsi="David" w:hint="cs"/>
          <w:kern w:val="2"/>
          <w:rtl/>
        </w:rPr>
        <w:t xml:space="preserve"> והתנאי הוא שהנאשמת לא תעבור בפרק זמן זה לאחר </w:t>
      </w:r>
      <w:r w:rsidRPr="00A4374D">
        <w:rPr>
          <w:rFonts w:ascii="David" w:eastAsia="Aptos" w:hAnsi="David"/>
          <w:kern w:val="2"/>
          <w:rtl/>
        </w:rPr>
        <w:t>שחרורה</w:t>
      </w:r>
      <w:r w:rsidRPr="00A4374D">
        <w:rPr>
          <w:rFonts w:ascii="David" w:eastAsia="Aptos" w:hAnsi="David" w:hint="cs"/>
          <w:kern w:val="2"/>
          <w:rtl/>
        </w:rPr>
        <w:t xml:space="preserve"> מריצוי תום מאסרה בגין תיק זה על כל </w:t>
      </w:r>
      <w:r w:rsidRPr="00A4374D">
        <w:rPr>
          <w:rFonts w:ascii="David" w:eastAsia="Aptos" w:hAnsi="David"/>
          <w:kern w:val="2"/>
          <w:rtl/>
        </w:rPr>
        <w:t>עבירות רכוש</w:t>
      </w:r>
      <w:r w:rsidRPr="00A4374D">
        <w:rPr>
          <w:rFonts w:ascii="David" w:eastAsia="Aptos" w:hAnsi="David" w:hint="cs"/>
          <w:kern w:val="2"/>
          <w:rtl/>
        </w:rPr>
        <w:t xml:space="preserve"> שעונשה שנתיים מאסר ומעלה ותורשע בה על פי </w:t>
      </w:r>
      <w:hyperlink r:id="rId49" w:history="1">
        <w:r w:rsidR="004E65E9" w:rsidRPr="004E65E9">
          <w:rPr>
            <w:rFonts w:ascii="David" w:eastAsia="Aptos" w:hAnsi="David"/>
            <w:color w:val="0000FF"/>
            <w:kern w:val="2"/>
            <w:u w:val="single"/>
            <w:rtl/>
          </w:rPr>
          <w:t>חוק העונשין</w:t>
        </w:r>
      </w:hyperlink>
      <w:r w:rsidRPr="00A4374D">
        <w:rPr>
          <w:rFonts w:ascii="David" w:eastAsia="Aptos" w:hAnsi="David"/>
          <w:kern w:val="2"/>
          <w:rtl/>
        </w:rPr>
        <w:t>.</w:t>
      </w:r>
    </w:p>
    <w:p w14:paraId="6EA18800" w14:textId="77777777" w:rsidR="00A4374D" w:rsidRPr="00A4374D" w:rsidRDefault="00A4374D" w:rsidP="00A4374D">
      <w:pPr>
        <w:spacing w:after="160" w:line="360" w:lineRule="auto"/>
        <w:contextualSpacing/>
        <w:jc w:val="both"/>
        <w:rPr>
          <w:rFonts w:ascii="David" w:eastAsia="Aptos" w:hAnsi="David"/>
          <w:kern w:val="2"/>
          <w:rtl/>
        </w:rPr>
      </w:pPr>
    </w:p>
    <w:p w14:paraId="45EB48E2" w14:textId="77777777" w:rsidR="00A4374D" w:rsidRPr="00A4374D" w:rsidRDefault="00A4374D" w:rsidP="00A4374D">
      <w:pPr>
        <w:numPr>
          <w:ilvl w:val="0"/>
          <w:numId w:val="1"/>
        </w:numPr>
        <w:spacing w:after="160" w:line="360" w:lineRule="auto"/>
        <w:contextualSpacing/>
        <w:jc w:val="both"/>
        <w:rPr>
          <w:rFonts w:ascii="David" w:eastAsia="Aptos" w:hAnsi="David"/>
          <w:kern w:val="2"/>
        </w:rPr>
      </w:pPr>
      <w:r w:rsidRPr="00A4374D">
        <w:rPr>
          <w:rFonts w:ascii="David" w:eastAsia="Aptos" w:hAnsi="David"/>
          <w:kern w:val="2"/>
          <w:rtl/>
        </w:rPr>
        <w:t xml:space="preserve">מאסר על תנאי של </w:t>
      </w:r>
      <w:r w:rsidRPr="00A4374D">
        <w:rPr>
          <w:rFonts w:ascii="David" w:eastAsia="Aptos" w:hAnsi="David" w:hint="cs"/>
          <w:kern w:val="2"/>
          <w:rtl/>
        </w:rPr>
        <w:t>4</w:t>
      </w:r>
      <w:r w:rsidRPr="00A4374D">
        <w:rPr>
          <w:rFonts w:ascii="David" w:eastAsia="Aptos" w:hAnsi="David"/>
          <w:kern w:val="2"/>
          <w:rtl/>
        </w:rPr>
        <w:t xml:space="preserve"> חודשים למשך 3 שנים </w:t>
      </w:r>
      <w:r w:rsidRPr="00A4374D">
        <w:rPr>
          <w:rFonts w:ascii="David" w:eastAsia="Aptos" w:hAnsi="David" w:hint="cs"/>
          <w:kern w:val="2"/>
          <w:rtl/>
        </w:rPr>
        <w:t xml:space="preserve"> והתנאי הוא שהנאשמת לא תעבור בפרק זמן זה, לאחר שחרורה מריצוי תום מאסרה בגין תיק זה על כל עבירת סמים לפי </w:t>
      </w:r>
      <w:hyperlink r:id="rId50" w:history="1">
        <w:r w:rsidR="004E65E9" w:rsidRPr="004E65E9">
          <w:rPr>
            <w:rFonts w:ascii="David" w:eastAsia="Aptos" w:hAnsi="David"/>
            <w:color w:val="0000FF"/>
            <w:kern w:val="2"/>
            <w:u w:val="single"/>
            <w:rtl/>
          </w:rPr>
          <w:t>פקודת הסמים המסוכנים</w:t>
        </w:r>
      </w:hyperlink>
      <w:r w:rsidRPr="00A4374D">
        <w:rPr>
          <w:rFonts w:ascii="David" w:eastAsia="Aptos" w:hAnsi="David" w:hint="cs"/>
          <w:kern w:val="2"/>
          <w:rtl/>
        </w:rPr>
        <w:t xml:space="preserve"> למעט עבירה של החזקת סם לצריכה עצמית. </w:t>
      </w:r>
    </w:p>
    <w:p w14:paraId="6E57DAB1" w14:textId="77777777" w:rsidR="00A4374D" w:rsidRPr="00A4374D" w:rsidRDefault="00A4374D" w:rsidP="00A4374D">
      <w:pPr>
        <w:spacing w:after="160" w:line="360" w:lineRule="auto"/>
        <w:ind w:left="360"/>
        <w:contextualSpacing/>
        <w:jc w:val="both"/>
        <w:rPr>
          <w:rFonts w:ascii="David" w:eastAsia="Aptos" w:hAnsi="David"/>
          <w:kern w:val="2"/>
          <w:rtl/>
        </w:rPr>
      </w:pPr>
    </w:p>
    <w:p w14:paraId="3B6DBB47" w14:textId="77777777" w:rsidR="00A4374D" w:rsidRPr="00A4374D" w:rsidRDefault="00A4374D" w:rsidP="00A4374D">
      <w:pPr>
        <w:spacing w:after="160" w:line="360" w:lineRule="auto"/>
        <w:jc w:val="both"/>
        <w:rPr>
          <w:rFonts w:ascii="David" w:eastAsia="Aptos" w:hAnsi="David"/>
          <w:kern w:val="2"/>
          <w:rtl/>
        </w:rPr>
      </w:pPr>
      <w:r w:rsidRPr="00A4374D">
        <w:rPr>
          <w:rFonts w:ascii="David" w:eastAsia="Aptos" w:hAnsi="David"/>
          <w:kern w:val="2"/>
          <w:rtl/>
        </w:rPr>
        <w:t>בנסיבות העניין ומאחר והרכוש הושב לבעליו אינני מטיל עונש כספי.</w:t>
      </w:r>
    </w:p>
    <w:p w14:paraId="7BB659BF" w14:textId="77777777" w:rsidR="00A4374D" w:rsidRPr="00A4374D" w:rsidRDefault="00A4374D" w:rsidP="00A4374D">
      <w:pPr>
        <w:spacing w:after="160" w:line="360" w:lineRule="auto"/>
        <w:jc w:val="both"/>
        <w:rPr>
          <w:rFonts w:ascii="David" w:eastAsia="Aptos" w:hAnsi="David"/>
          <w:kern w:val="2"/>
          <w:u w:val="single"/>
          <w:rtl/>
        </w:rPr>
      </w:pPr>
      <w:r w:rsidRPr="00A4374D">
        <w:rPr>
          <w:rFonts w:ascii="David" w:eastAsia="Aptos" w:hAnsi="David" w:hint="cs"/>
          <w:kern w:val="2"/>
          <w:u w:val="single"/>
          <w:rtl/>
        </w:rPr>
        <w:t xml:space="preserve">ניתן בזאת צו להשמדת מוצגים ככל שקיימים. </w:t>
      </w:r>
    </w:p>
    <w:p w14:paraId="1D9DF51E" w14:textId="77777777" w:rsidR="00A4374D" w:rsidRPr="00A4374D" w:rsidRDefault="004E65E9" w:rsidP="00A4374D">
      <w:pPr>
        <w:spacing w:after="160" w:line="360" w:lineRule="auto"/>
        <w:jc w:val="both"/>
        <w:rPr>
          <w:rFonts w:ascii="David" w:eastAsia="Aptos" w:hAnsi="David"/>
          <w:kern w:val="2"/>
          <w:u w:val="single"/>
          <w:rtl/>
        </w:rPr>
      </w:pPr>
      <w:r w:rsidRPr="004E65E9">
        <w:rPr>
          <w:rFonts w:ascii="David" w:eastAsia="Aptos" w:hAnsi="David"/>
          <w:color w:val="FFFFFF"/>
          <w:kern w:val="2"/>
          <w:sz w:val="2"/>
          <w:szCs w:val="2"/>
          <w:u w:val="single"/>
          <w:rtl/>
        </w:rPr>
        <w:t>5129371</w:t>
      </w:r>
      <w:r w:rsidR="00A4374D" w:rsidRPr="00A4374D">
        <w:rPr>
          <w:rFonts w:ascii="David" w:eastAsia="Aptos" w:hAnsi="David"/>
          <w:kern w:val="2"/>
          <w:u w:val="single"/>
          <w:rtl/>
        </w:rPr>
        <w:t>גזר דין זה מהווה פקודת מאסר</w:t>
      </w:r>
      <w:r w:rsidR="00A4374D" w:rsidRPr="00A4374D">
        <w:rPr>
          <w:rFonts w:ascii="David" w:eastAsia="Aptos" w:hAnsi="David" w:hint="cs"/>
          <w:kern w:val="2"/>
          <w:rtl/>
        </w:rPr>
        <w:t>.</w:t>
      </w:r>
    </w:p>
    <w:p w14:paraId="4FD135C5" w14:textId="77777777" w:rsidR="00A4374D" w:rsidRPr="000F2247" w:rsidRDefault="004E65E9" w:rsidP="00A4374D">
      <w:pPr>
        <w:spacing w:after="160" w:line="360" w:lineRule="auto"/>
        <w:jc w:val="both"/>
        <w:rPr>
          <w:rFonts w:ascii="Arial" w:hAnsi="Arial"/>
          <w:b/>
          <w:bCs/>
          <w:sz w:val="26"/>
          <w:szCs w:val="26"/>
          <w:rtl/>
        </w:rPr>
      </w:pPr>
      <w:r w:rsidRPr="004E65E9">
        <w:rPr>
          <w:rFonts w:ascii="David" w:eastAsia="Aptos" w:hAnsi="David"/>
          <w:b/>
          <w:bCs/>
          <w:color w:val="FFFFFF"/>
          <w:kern w:val="2"/>
          <w:sz w:val="2"/>
          <w:szCs w:val="2"/>
          <w:rtl/>
        </w:rPr>
        <w:t>54678313</w:t>
      </w:r>
      <w:r w:rsidR="00A4374D" w:rsidRPr="00A4374D">
        <w:rPr>
          <w:rFonts w:ascii="David" w:eastAsia="Aptos" w:hAnsi="David"/>
          <w:b/>
          <w:bCs/>
          <w:kern w:val="2"/>
          <w:rtl/>
        </w:rPr>
        <w:t>זכות ערעור כדין לבית המשפט המחוזי תוך 45 ימים מהיום</w:t>
      </w:r>
      <w:r w:rsidR="00A4374D" w:rsidRPr="00A4374D">
        <w:rPr>
          <w:rFonts w:ascii="David" w:eastAsia="Aptos" w:hAnsi="David" w:hint="cs"/>
          <w:b/>
          <w:bCs/>
          <w:kern w:val="2"/>
          <w:rtl/>
        </w:rPr>
        <w:t>.</w:t>
      </w:r>
    </w:p>
    <w:p w14:paraId="2808B769" w14:textId="77777777" w:rsidR="00A4374D" w:rsidRPr="000F2247" w:rsidRDefault="00A4374D" w:rsidP="00A4374D">
      <w:pPr>
        <w:rPr>
          <w:rFonts w:ascii="Arial" w:hAnsi="Arial"/>
          <w:b/>
          <w:bCs/>
          <w:sz w:val="26"/>
          <w:szCs w:val="26"/>
          <w:rtl/>
        </w:rPr>
      </w:pPr>
    </w:p>
    <w:p w14:paraId="7170FFBF" w14:textId="77777777" w:rsidR="00A4374D" w:rsidRPr="000F2247" w:rsidRDefault="004E65E9" w:rsidP="00A4374D">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י"א אדר א' תשפ"ד, 20 פברואר 2024, במעמד הצדדים. </w:t>
      </w:r>
      <w:bookmarkEnd w:id="8"/>
      <w:r w:rsidR="00A4374D">
        <w:rPr>
          <w:rFonts w:ascii="Arial" w:hAnsi="Arial"/>
          <w:b/>
          <w:bCs/>
          <w:sz w:val="26"/>
          <w:szCs w:val="26"/>
          <w:rtl/>
        </w:rPr>
        <w:tab/>
      </w:r>
      <w:r w:rsidR="00A4374D">
        <w:rPr>
          <w:rFonts w:ascii="Arial" w:hAnsi="Arial"/>
          <w:b/>
          <w:bCs/>
          <w:sz w:val="26"/>
          <w:szCs w:val="26"/>
          <w:rtl/>
        </w:rPr>
        <w:tab/>
      </w:r>
      <w:r w:rsidR="00A4374D">
        <w:rPr>
          <w:rFonts w:ascii="Arial" w:hAnsi="Arial"/>
          <w:b/>
          <w:bCs/>
          <w:sz w:val="26"/>
          <w:szCs w:val="26"/>
          <w:rtl/>
        </w:rPr>
        <w:tab/>
      </w:r>
      <w:r w:rsidR="00A4374D">
        <w:rPr>
          <w:rFonts w:ascii="Arial" w:hAnsi="Arial"/>
          <w:b/>
          <w:bCs/>
          <w:sz w:val="26"/>
          <w:szCs w:val="26"/>
          <w:rtl/>
        </w:rPr>
        <w:tab/>
      </w:r>
      <w:r w:rsidR="00A4374D">
        <w:rPr>
          <w:rFonts w:ascii="Arial" w:hAnsi="Arial"/>
          <w:b/>
          <w:bCs/>
          <w:sz w:val="26"/>
          <w:szCs w:val="26"/>
          <w:rtl/>
        </w:rPr>
        <w:tab/>
      </w:r>
      <w:r w:rsidR="00A4374D">
        <w:rPr>
          <w:rFonts w:ascii="Arial" w:hAnsi="Arial"/>
          <w:b/>
          <w:bCs/>
          <w:sz w:val="26"/>
          <w:szCs w:val="26"/>
          <w:rtl/>
        </w:rPr>
        <w:tab/>
      </w:r>
      <w:r w:rsidR="00A4374D">
        <w:rPr>
          <w:rFonts w:ascii="Arial" w:hAnsi="Arial"/>
          <w:b/>
          <w:bCs/>
          <w:sz w:val="26"/>
          <w:szCs w:val="26"/>
          <w:rtl/>
        </w:rPr>
        <w:tab/>
      </w:r>
      <w:r w:rsidR="00A4374D">
        <w:rPr>
          <w:rFonts w:ascii="Arial" w:hAnsi="Arial" w:hint="cs"/>
          <w:b/>
          <w:bCs/>
          <w:sz w:val="26"/>
          <w:szCs w:val="26"/>
          <w:rtl/>
        </w:rPr>
        <w:t xml:space="preserve">         </w:t>
      </w:r>
    </w:p>
    <w:p w14:paraId="171042F7" w14:textId="77777777" w:rsidR="004E65E9" w:rsidRDefault="004E65E9" w:rsidP="004E65E9">
      <w:pPr>
        <w:rPr>
          <w:rtl/>
        </w:rPr>
      </w:pPr>
    </w:p>
    <w:p w14:paraId="65E5CBE1" w14:textId="77777777" w:rsidR="004E65E9" w:rsidRDefault="004E65E9" w:rsidP="004E65E9">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3BCB61E3" w14:textId="77777777" w:rsidR="00CB34BD" w:rsidRPr="00CB34BD" w:rsidRDefault="00CB34BD" w:rsidP="00CB34BD">
      <w:pPr>
        <w:keepNext/>
        <w:rPr>
          <w:rFonts w:ascii="David" w:hAnsi="David"/>
          <w:color w:val="000000"/>
          <w:sz w:val="22"/>
          <w:szCs w:val="22"/>
          <w:rtl/>
        </w:rPr>
      </w:pPr>
    </w:p>
    <w:p w14:paraId="04771191" w14:textId="77777777" w:rsidR="00CB34BD" w:rsidRPr="00CB34BD" w:rsidRDefault="00CB34BD" w:rsidP="00CB34BD">
      <w:pPr>
        <w:keepNext/>
        <w:rPr>
          <w:rFonts w:ascii="David" w:hAnsi="David"/>
          <w:color w:val="000000"/>
          <w:sz w:val="22"/>
          <w:szCs w:val="22"/>
          <w:rtl/>
        </w:rPr>
      </w:pPr>
      <w:r w:rsidRPr="00CB34BD">
        <w:rPr>
          <w:rFonts w:ascii="David" w:hAnsi="David"/>
          <w:color w:val="000000"/>
          <w:sz w:val="22"/>
          <w:szCs w:val="22"/>
          <w:rtl/>
        </w:rPr>
        <w:t>אלכס אחטר 54678313-/</w:t>
      </w:r>
    </w:p>
    <w:p w14:paraId="66E9A1D1" w14:textId="77777777" w:rsidR="004E65E9" w:rsidRPr="004E65E9" w:rsidRDefault="00CB34BD" w:rsidP="00CB34BD">
      <w:pPr>
        <w:rPr>
          <w:color w:val="0000FF"/>
          <w:u w:val="single"/>
        </w:rPr>
      </w:pPr>
      <w:r w:rsidRPr="00CB34BD">
        <w:rPr>
          <w:color w:val="000000"/>
          <w:u w:val="single"/>
          <w:rtl/>
        </w:rPr>
        <w:t>נוסח מסמך זה כפוף לשינויי ניסוח ועריכה</w:t>
      </w:r>
    </w:p>
    <w:sectPr w:rsidR="004E65E9" w:rsidRPr="004E65E9" w:rsidSect="00CB34BD">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316B0" w14:textId="77777777" w:rsidR="00DB6F47" w:rsidRDefault="00DB6F47" w:rsidP="00684B20">
      <w:r>
        <w:separator/>
      </w:r>
    </w:p>
  </w:endnote>
  <w:endnote w:type="continuationSeparator" w:id="0">
    <w:p w14:paraId="6A59FB7A" w14:textId="77777777" w:rsidR="00DB6F47" w:rsidRDefault="00DB6F47" w:rsidP="00684B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CF0D2" w14:textId="77777777" w:rsidR="00CB34BD" w:rsidRDefault="00CB34BD" w:rsidP="00CB34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5ACF92B0" w14:textId="77777777" w:rsidR="00F27834" w:rsidRPr="00CB34BD" w:rsidRDefault="00CB34BD" w:rsidP="00CB34BD">
    <w:pPr>
      <w:pStyle w:val="a5"/>
      <w:pBdr>
        <w:top w:val="single" w:sz="4" w:space="1" w:color="auto"/>
        <w:between w:val="single" w:sz="4" w:space="0" w:color="auto"/>
      </w:pBdr>
      <w:spacing w:after="60"/>
      <w:jc w:val="center"/>
      <w:rPr>
        <w:rFonts w:ascii="FrankRuehl" w:hAnsi="FrankRuehl" w:cs="FrankRuehl"/>
        <w:color w:val="000000"/>
      </w:rPr>
    </w:pPr>
    <w:r w:rsidRPr="00CB34B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C7F9F" w14:textId="77777777" w:rsidR="00CB34BD" w:rsidRDefault="00CB34BD" w:rsidP="00CB34BD">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647C">
      <w:rPr>
        <w:rFonts w:ascii="FrankRuehl" w:hAnsi="FrankRuehl" w:cs="FrankRuehl"/>
        <w:noProof/>
        <w:rtl/>
      </w:rPr>
      <w:t>1</w:t>
    </w:r>
    <w:r>
      <w:rPr>
        <w:rFonts w:ascii="FrankRuehl" w:hAnsi="FrankRuehl" w:cs="FrankRuehl"/>
        <w:rtl/>
      </w:rPr>
      <w:fldChar w:fldCharType="end"/>
    </w:r>
  </w:p>
  <w:p w14:paraId="5FF8CB0E" w14:textId="77777777" w:rsidR="00F27834" w:rsidRPr="00CB34BD" w:rsidRDefault="00CB34BD" w:rsidP="00CB34BD">
    <w:pPr>
      <w:pStyle w:val="a5"/>
      <w:pBdr>
        <w:top w:val="single" w:sz="4" w:space="1" w:color="auto"/>
        <w:between w:val="single" w:sz="4" w:space="0" w:color="auto"/>
      </w:pBdr>
      <w:spacing w:after="60"/>
      <w:jc w:val="center"/>
      <w:rPr>
        <w:rFonts w:ascii="FrankRuehl" w:hAnsi="FrankRuehl" w:cs="FrankRuehl"/>
        <w:color w:val="000000"/>
      </w:rPr>
    </w:pPr>
    <w:r w:rsidRPr="00CB34BD">
      <w:rPr>
        <w:rFonts w:ascii="FrankRuehl" w:hAnsi="FrankRuehl" w:cs="FrankRuehl"/>
        <w:color w:val="000000"/>
      </w:rPr>
      <w:pict w14:anchorId="4BE06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5EF9C3" w14:textId="77777777" w:rsidR="00DB6F47" w:rsidRDefault="00DB6F47" w:rsidP="00684B20">
      <w:r>
        <w:separator/>
      </w:r>
    </w:p>
  </w:footnote>
  <w:footnote w:type="continuationSeparator" w:id="0">
    <w:p w14:paraId="10C38A75" w14:textId="77777777" w:rsidR="00DB6F47" w:rsidRDefault="00DB6F47" w:rsidP="00684B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D7851" w14:textId="77777777" w:rsidR="004E65E9" w:rsidRPr="00CB34BD" w:rsidRDefault="00CB34BD" w:rsidP="00CB34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15707-04-23</w:t>
    </w:r>
    <w:r>
      <w:rPr>
        <w:rFonts w:ascii="David" w:hAnsi="David"/>
        <w:color w:val="000000"/>
        <w:sz w:val="22"/>
        <w:szCs w:val="22"/>
        <w:rtl/>
      </w:rPr>
      <w:tab/>
      <w:t xml:space="preserve"> מדינת ישראל נ' דינה גרונטובסקי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A61B0B" w14:textId="77777777" w:rsidR="004E65E9" w:rsidRPr="00CB34BD" w:rsidRDefault="00CB34BD" w:rsidP="00CB34BD">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(חד') 15707-04-23</w:t>
    </w:r>
    <w:r>
      <w:rPr>
        <w:rFonts w:ascii="David" w:hAnsi="David"/>
        <w:color w:val="000000"/>
        <w:sz w:val="22"/>
        <w:szCs w:val="22"/>
        <w:rtl/>
      </w:rPr>
      <w:tab/>
      <w:t xml:space="preserve"> מדינת ישראל נ' דינה גרונטובסקי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A7965"/>
    <w:multiLevelType w:val="hybridMultilevel"/>
    <w:tmpl w:val="F976D2DE"/>
    <w:lvl w:ilvl="0" w:tplc="07D6E98C">
      <w:start w:val="1"/>
      <w:numFmt w:val="decimal"/>
      <w:lvlText w:val="%1."/>
      <w:lvlJc w:val="left"/>
      <w:pPr>
        <w:ind w:left="720" w:hanging="360"/>
      </w:pPr>
    </w:lvl>
    <w:lvl w:ilvl="1" w:tplc="2F62143C">
      <w:start w:val="1"/>
      <w:numFmt w:val="lowerLetter"/>
      <w:lvlText w:val="%2."/>
      <w:lvlJc w:val="left"/>
      <w:pPr>
        <w:ind w:left="1440" w:hanging="360"/>
      </w:pPr>
    </w:lvl>
    <w:lvl w:ilvl="2" w:tplc="94CAB6CE">
      <w:start w:val="1"/>
      <w:numFmt w:val="lowerRoman"/>
      <w:lvlText w:val="%3."/>
      <w:lvlJc w:val="right"/>
      <w:pPr>
        <w:ind w:left="2160" w:hanging="180"/>
      </w:pPr>
    </w:lvl>
    <w:lvl w:ilvl="3" w:tplc="72129140">
      <w:start w:val="1"/>
      <w:numFmt w:val="decimal"/>
      <w:lvlText w:val="%4."/>
      <w:lvlJc w:val="left"/>
      <w:pPr>
        <w:ind w:left="2880" w:hanging="360"/>
      </w:pPr>
    </w:lvl>
    <w:lvl w:ilvl="4" w:tplc="B894B592">
      <w:start w:val="1"/>
      <w:numFmt w:val="lowerLetter"/>
      <w:lvlText w:val="%5."/>
      <w:lvlJc w:val="left"/>
      <w:pPr>
        <w:ind w:left="3600" w:hanging="360"/>
      </w:pPr>
    </w:lvl>
    <w:lvl w:ilvl="5" w:tplc="472CD73A">
      <w:start w:val="1"/>
      <w:numFmt w:val="lowerRoman"/>
      <w:lvlText w:val="%6."/>
      <w:lvlJc w:val="right"/>
      <w:pPr>
        <w:ind w:left="4320" w:hanging="180"/>
      </w:pPr>
    </w:lvl>
    <w:lvl w:ilvl="6" w:tplc="61A44B9A">
      <w:start w:val="1"/>
      <w:numFmt w:val="decimal"/>
      <w:lvlText w:val="%7."/>
      <w:lvlJc w:val="left"/>
      <w:pPr>
        <w:ind w:left="5040" w:hanging="360"/>
      </w:pPr>
    </w:lvl>
    <w:lvl w:ilvl="7" w:tplc="D7B02CC8">
      <w:start w:val="1"/>
      <w:numFmt w:val="lowerLetter"/>
      <w:lvlText w:val="%8."/>
      <w:lvlJc w:val="left"/>
      <w:pPr>
        <w:ind w:left="5760" w:hanging="360"/>
      </w:pPr>
    </w:lvl>
    <w:lvl w:ilvl="8" w:tplc="7E04DE74">
      <w:start w:val="1"/>
      <w:numFmt w:val="lowerRoman"/>
      <w:lvlText w:val="%9."/>
      <w:lvlJc w:val="right"/>
      <w:pPr>
        <w:ind w:left="6480" w:hanging="180"/>
      </w:pPr>
    </w:lvl>
  </w:abstractNum>
  <w:num w:numId="1" w16cid:durableId="954874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4374D"/>
    <w:rsid w:val="00143E80"/>
    <w:rsid w:val="001B5A3B"/>
    <w:rsid w:val="001F1BB1"/>
    <w:rsid w:val="004E65E9"/>
    <w:rsid w:val="0052348D"/>
    <w:rsid w:val="00576CB7"/>
    <w:rsid w:val="00684B20"/>
    <w:rsid w:val="009B09C2"/>
    <w:rsid w:val="00A4374D"/>
    <w:rsid w:val="00AA647C"/>
    <w:rsid w:val="00AD6E38"/>
    <w:rsid w:val="00CB34BD"/>
    <w:rsid w:val="00D578A4"/>
    <w:rsid w:val="00DB6F47"/>
    <w:rsid w:val="00DF17FD"/>
    <w:rsid w:val="00F278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02D47F"/>
  <w15:chartTrackingRefBased/>
  <w15:docId w15:val="{53182667-9474-4F2C-BA85-FA10A59C1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4374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4374D"/>
    <w:pPr>
      <w:tabs>
        <w:tab w:val="center" w:pos="4153"/>
        <w:tab w:val="right" w:pos="8306"/>
      </w:tabs>
    </w:pPr>
  </w:style>
  <w:style w:type="character" w:customStyle="1" w:styleId="a4">
    <w:name w:val="כותרת עליונה תו"/>
    <w:link w:val="a3"/>
    <w:rsid w:val="00A4374D"/>
    <w:rPr>
      <w:rFonts w:ascii="Times New Roman" w:eastAsia="Times New Roman" w:hAnsi="Times New Roman" w:cs="David"/>
      <w:sz w:val="24"/>
      <w:szCs w:val="24"/>
    </w:rPr>
  </w:style>
  <w:style w:type="paragraph" w:styleId="a5">
    <w:name w:val="footer"/>
    <w:basedOn w:val="a"/>
    <w:link w:val="a6"/>
    <w:rsid w:val="00A4374D"/>
    <w:pPr>
      <w:tabs>
        <w:tab w:val="center" w:pos="4153"/>
        <w:tab w:val="right" w:pos="8306"/>
      </w:tabs>
    </w:pPr>
  </w:style>
  <w:style w:type="character" w:customStyle="1" w:styleId="a6">
    <w:name w:val="כותרת תחתונה תו"/>
    <w:link w:val="a5"/>
    <w:rsid w:val="00A4374D"/>
    <w:rPr>
      <w:rFonts w:ascii="Times New Roman" w:eastAsia="Times New Roman" w:hAnsi="Times New Roman" w:cs="David"/>
      <w:sz w:val="24"/>
      <w:szCs w:val="24"/>
    </w:rPr>
  </w:style>
  <w:style w:type="table" w:styleId="a7">
    <w:name w:val="Table Grid"/>
    <w:basedOn w:val="a1"/>
    <w:rsid w:val="00A4374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4374D"/>
  </w:style>
  <w:style w:type="character" w:styleId="Hyperlink">
    <w:name w:val="Hyperlink"/>
    <w:rsid w:val="004E65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b" TargetMode="External"/><Relationship Id="rId18" Type="http://schemas.openxmlformats.org/officeDocument/2006/relationships/hyperlink" Target="http://www.nevo.co.il/law/4216/7.a." TargetMode="External"/><Relationship Id="rId26" Type="http://schemas.openxmlformats.org/officeDocument/2006/relationships/hyperlink" Target="http://www.nevo.co.il/law/70301/440" TargetMode="External"/><Relationship Id="rId39" Type="http://schemas.openxmlformats.org/officeDocument/2006/relationships/hyperlink" Target="http://www.nevo.co.il/case/28262347"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40d" TargetMode="External"/><Relationship Id="rId42" Type="http://schemas.openxmlformats.org/officeDocument/2006/relationships/hyperlink" Target="http://www.nevo.co.il/case/27946319" TargetMode="External"/><Relationship Id="rId47" Type="http://schemas.openxmlformats.org/officeDocument/2006/relationships/hyperlink" Target="http://www.nevo.co.il/case/5903684"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52" TargetMode="External"/><Relationship Id="rId29" Type="http://schemas.openxmlformats.org/officeDocument/2006/relationships/hyperlink" Target="http://www.nevo.co.il/case/28814669"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70301/275"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786637" TargetMode="External"/><Relationship Id="rId40" Type="http://schemas.openxmlformats.org/officeDocument/2006/relationships/hyperlink" Target="http://www.nevo.co.il/case/28774341" TargetMode="External"/><Relationship Id="rId45" Type="http://schemas.openxmlformats.org/officeDocument/2006/relationships/hyperlink" Target="http://www.nevo.co.il/case/5701236"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4216/7.c" TargetMode="External"/><Relationship Id="rId4" Type="http://schemas.openxmlformats.org/officeDocument/2006/relationships/webSettings" Target="webSettings.xml"/><Relationship Id="rId9" Type="http://schemas.openxmlformats.org/officeDocument/2006/relationships/hyperlink" Target="http://www.nevo.co.il/law/70301/40e"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384" TargetMode="External"/><Relationship Id="rId27" Type="http://schemas.openxmlformats.org/officeDocument/2006/relationships/hyperlink" Target="http://www.nevo.co.il/law/4216/7.a.;7.c"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40e" TargetMode="External"/><Relationship Id="rId43" Type="http://schemas.openxmlformats.org/officeDocument/2006/relationships/hyperlink" Target="http://www.nevo.co.il/case/11206360" TargetMode="External"/><Relationship Id="rId48" Type="http://schemas.openxmlformats.org/officeDocument/2006/relationships/hyperlink" Target="http://www.nevo.co.il/case/28814669" TargetMode="External"/><Relationship Id="rId56" Type="http://schemas.openxmlformats.org/officeDocument/2006/relationships/fontTable" Target="fontTable.xml"/><Relationship Id="rId8" Type="http://schemas.openxmlformats.org/officeDocument/2006/relationships/hyperlink" Target="http://www.nevo.co.il/law/70301/40d"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40ja" TargetMode="External"/><Relationship Id="rId38" Type="http://schemas.openxmlformats.org/officeDocument/2006/relationships/hyperlink" Target="http://www.nevo.co.il/case/27946319" TargetMode="External"/><Relationship Id="rId46" Type="http://schemas.openxmlformats.org/officeDocument/2006/relationships/hyperlink" Target="http://www.nevo.co.il/case/5786637" TargetMode="External"/><Relationship Id="rId20" Type="http://schemas.openxmlformats.org/officeDocument/2006/relationships/hyperlink" Target="http://www.nevo.co.il/law/70301/406.b" TargetMode="External"/><Relationship Id="rId41" Type="http://schemas.openxmlformats.org/officeDocument/2006/relationships/hyperlink" Target="http://www.nevo.co.il/case/28262347"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40" TargetMode="External"/><Relationship Id="rId23" Type="http://schemas.openxmlformats.org/officeDocument/2006/relationships/hyperlink" Target="http://www.nevo.co.il/law/70301/452" TargetMode="External"/><Relationship Id="rId28" Type="http://schemas.openxmlformats.org/officeDocument/2006/relationships/hyperlink" Target="http://www.nevo.co.il/law/4216" TargetMode="External"/><Relationship Id="rId36" Type="http://schemas.openxmlformats.org/officeDocument/2006/relationships/hyperlink" Target="http://www.nevo.co.il/case/13093721" TargetMode="External"/><Relationship Id="rId49" Type="http://schemas.openxmlformats.org/officeDocument/2006/relationships/hyperlink" Target="http://www.nevo.co.il/law/70301" TargetMode="External"/><Relationship Id="rId57" Type="http://schemas.openxmlformats.org/officeDocument/2006/relationships/theme" Target="theme/theme1.xml"/><Relationship Id="rId10" Type="http://schemas.openxmlformats.org/officeDocument/2006/relationships/hyperlink" Target="http://www.nevo.co.il/law/70301/40i" TargetMode="External"/><Relationship Id="rId31" Type="http://schemas.openxmlformats.org/officeDocument/2006/relationships/hyperlink" Target="http://www.nevo.co.il/law/70301/40i" TargetMode="External"/><Relationship Id="rId44" Type="http://schemas.openxmlformats.org/officeDocument/2006/relationships/hyperlink" Target="http://www.nevo.co.il/case/24951168"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2951</Words>
  <Characters>14755</Characters>
  <Application>Microsoft Office Word</Application>
  <DocSecurity>0</DocSecurity>
  <Lines>122</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17671</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7995492</vt:i4>
      </vt:variant>
      <vt:variant>
        <vt:i4>126</vt:i4>
      </vt:variant>
      <vt:variant>
        <vt:i4>0</vt:i4>
      </vt:variant>
      <vt:variant>
        <vt:i4>5</vt:i4>
      </vt:variant>
      <vt:variant>
        <vt:lpwstr>http://www.nevo.co.il/law/70301</vt:lpwstr>
      </vt:variant>
      <vt:variant>
        <vt:lpwstr/>
      </vt:variant>
      <vt:variant>
        <vt:i4>3670139</vt:i4>
      </vt:variant>
      <vt:variant>
        <vt:i4>123</vt:i4>
      </vt:variant>
      <vt:variant>
        <vt:i4>0</vt:i4>
      </vt:variant>
      <vt:variant>
        <vt:i4>5</vt:i4>
      </vt:variant>
      <vt:variant>
        <vt:lpwstr>http://www.nevo.co.il/case/28814669</vt:lpwstr>
      </vt:variant>
      <vt:variant>
        <vt:lpwstr/>
      </vt:variant>
      <vt:variant>
        <vt:i4>3604598</vt:i4>
      </vt:variant>
      <vt:variant>
        <vt:i4>120</vt:i4>
      </vt:variant>
      <vt:variant>
        <vt:i4>0</vt:i4>
      </vt:variant>
      <vt:variant>
        <vt:i4>5</vt:i4>
      </vt:variant>
      <vt:variant>
        <vt:lpwstr>http://www.nevo.co.il/case/5903684</vt:lpwstr>
      </vt:variant>
      <vt:variant>
        <vt:lpwstr/>
      </vt:variant>
      <vt:variant>
        <vt:i4>3932278</vt:i4>
      </vt:variant>
      <vt:variant>
        <vt:i4>117</vt:i4>
      </vt:variant>
      <vt:variant>
        <vt:i4>0</vt:i4>
      </vt:variant>
      <vt:variant>
        <vt:i4>5</vt:i4>
      </vt:variant>
      <vt:variant>
        <vt:lpwstr>http://www.nevo.co.il/case/5786637</vt:lpwstr>
      </vt:variant>
      <vt:variant>
        <vt:lpwstr/>
      </vt:variant>
      <vt:variant>
        <vt:i4>3211377</vt:i4>
      </vt:variant>
      <vt:variant>
        <vt:i4>114</vt:i4>
      </vt:variant>
      <vt:variant>
        <vt:i4>0</vt:i4>
      </vt:variant>
      <vt:variant>
        <vt:i4>5</vt:i4>
      </vt:variant>
      <vt:variant>
        <vt:lpwstr>http://www.nevo.co.il/case/5701236</vt:lpwstr>
      </vt:variant>
      <vt:variant>
        <vt:lpwstr/>
      </vt:variant>
      <vt:variant>
        <vt:i4>3932276</vt:i4>
      </vt:variant>
      <vt:variant>
        <vt:i4>111</vt:i4>
      </vt:variant>
      <vt:variant>
        <vt:i4>0</vt:i4>
      </vt:variant>
      <vt:variant>
        <vt:i4>5</vt:i4>
      </vt:variant>
      <vt:variant>
        <vt:lpwstr>http://www.nevo.co.il/case/24951168</vt:lpwstr>
      </vt:variant>
      <vt:variant>
        <vt:lpwstr/>
      </vt:variant>
      <vt:variant>
        <vt:i4>3342454</vt:i4>
      </vt:variant>
      <vt:variant>
        <vt:i4>108</vt:i4>
      </vt:variant>
      <vt:variant>
        <vt:i4>0</vt:i4>
      </vt:variant>
      <vt:variant>
        <vt:i4>5</vt:i4>
      </vt:variant>
      <vt:variant>
        <vt:lpwstr>http://www.nevo.co.il/case/11206360</vt:lpwstr>
      </vt:variant>
      <vt:variant>
        <vt:lpwstr/>
      </vt:variant>
      <vt:variant>
        <vt:i4>3932276</vt:i4>
      </vt:variant>
      <vt:variant>
        <vt:i4>105</vt:i4>
      </vt:variant>
      <vt:variant>
        <vt:i4>0</vt:i4>
      </vt:variant>
      <vt:variant>
        <vt:i4>5</vt:i4>
      </vt:variant>
      <vt:variant>
        <vt:lpwstr>http://www.nevo.co.il/case/27946319</vt:lpwstr>
      </vt:variant>
      <vt:variant>
        <vt:lpwstr/>
      </vt:variant>
      <vt:variant>
        <vt:i4>3539065</vt:i4>
      </vt:variant>
      <vt:variant>
        <vt:i4>102</vt:i4>
      </vt:variant>
      <vt:variant>
        <vt:i4>0</vt:i4>
      </vt:variant>
      <vt:variant>
        <vt:i4>5</vt:i4>
      </vt:variant>
      <vt:variant>
        <vt:lpwstr>http://www.nevo.co.il/case/28262347</vt:lpwstr>
      </vt:variant>
      <vt:variant>
        <vt:lpwstr/>
      </vt:variant>
      <vt:variant>
        <vt:i4>3473528</vt:i4>
      </vt:variant>
      <vt:variant>
        <vt:i4>99</vt:i4>
      </vt:variant>
      <vt:variant>
        <vt:i4>0</vt:i4>
      </vt:variant>
      <vt:variant>
        <vt:i4>5</vt:i4>
      </vt:variant>
      <vt:variant>
        <vt:lpwstr>http://www.nevo.co.il/case/28774341</vt:lpwstr>
      </vt:variant>
      <vt:variant>
        <vt:lpwstr/>
      </vt:variant>
      <vt:variant>
        <vt:i4>3539065</vt:i4>
      </vt:variant>
      <vt:variant>
        <vt:i4>96</vt:i4>
      </vt:variant>
      <vt:variant>
        <vt:i4>0</vt:i4>
      </vt:variant>
      <vt:variant>
        <vt:i4>5</vt:i4>
      </vt:variant>
      <vt:variant>
        <vt:lpwstr>http://www.nevo.co.il/case/28262347</vt:lpwstr>
      </vt:variant>
      <vt:variant>
        <vt:lpwstr/>
      </vt:variant>
      <vt:variant>
        <vt:i4>3932276</vt:i4>
      </vt:variant>
      <vt:variant>
        <vt:i4>93</vt:i4>
      </vt:variant>
      <vt:variant>
        <vt:i4>0</vt:i4>
      </vt:variant>
      <vt:variant>
        <vt:i4>5</vt:i4>
      </vt:variant>
      <vt:variant>
        <vt:lpwstr>http://www.nevo.co.il/case/27946319</vt:lpwstr>
      </vt:variant>
      <vt:variant>
        <vt:lpwstr/>
      </vt:variant>
      <vt:variant>
        <vt:i4>3932278</vt:i4>
      </vt:variant>
      <vt:variant>
        <vt:i4>90</vt:i4>
      </vt:variant>
      <vt:variant>
        <vt:i4>0</vt:i4>
      </vt:variant>
      <vt:variant>
        <vt:i4>5</vt:i4>
      </vt:variant>
      <vt:variant>
        <vt:lpwstr>http://www.nevo.co.il/case/5786637</vt:lpwstr>
      </vt:variant>
      <vt:variant>
        <vt:lpwstr/>
      </vt:variant>
      <vt:variant>
        <vt:i4>3145849</vt:i4>
      </vt:variant>
      <vt:variant>
        <vt:i4>87</vt:i4>
      </vt:variant>
      <vt:variant>
        <vt:i4>0</vt:i4>
      </vt:variant>
      <vt:variant>
        <vt:i4>5</vt:i4>
      </vt:variant>
      <vt:variant>
        <vt:lpwstr>http://www.nevo.co.il/case/13093721</vt:lpwstr>
      </vt:variant>
      <vt:variant>
        <vt:lpwstr/>
      </vt:variant>
      <vt:variant>
        <vt:i4>6619233</vt:i4>
      </vt:variant>
      <vt:variant>
        <vt:i4>84</vt:i4>
      </vt:variant>
      <vt:variant>
        <vt:i4>0</vt:i4>
      </vt:variant>
      <vt:variant>
        <vt:i4>5</vt:i4>
      </vt:variant>
      <vt:variant>
        <vt:lpwstr>http://www.nevo.co.il/law/70301/40e</vt:lpwstr>
      </vt:variant>
      <vt:variant>
        <vt:lpwstr/>
      </vt:variant>
      <vt:variant>
        <vt:i4>6619233</vt:i4>
      </vt:variant>
      <vt:variant>
        <vt:i4>81</vt:i4>
      </vt:variant>
      <vt:variant>
        <vt:i4>0</vt:i4>
      </vt:variant>
      <vt:variant>
        <vt:i4>5</vt:i4>
      </vt:variant>
      <vt:variant>
        <vt:lpwstr>http://www.nevo.co.il/law/70301/40d</vt:lpwstr>
      </vt:variant>
      <vt:variant>
        <vt:lpwstr/>
      </vt:variant>
      <vt:variant>
        <vt:i4>262155</vt:i4>
      </vt:variant>
      <vt:variant>
        <vt:i4>78</vt:i4>
      </vt:variant>
      <vt:variant>
        <vt:i4>0</vt:i4>
      </vt:variant>
      <vt:variant>
        <vt:i4>5</vt:i4>
      </vt:variant>
      <vt:variant>
        <vt:lpwstr>http://www.nevo.co.il/law/70301/40ja</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3670139</vt:i4>
      </vt:variant>
      <vt:variant>
        <vt:i4>66</vt:i4>
      </vt:variant>
      <vt:variant>
        <vt:i4>0</vt:i4>
      </vt:variant>
      <vt:variant>
        <vt:i4>5</vt:i4>
      </vt:variant>
      <vt:variant>
        <vt:lpwstr>http://www.nevo.co.il/case/28814669</vt:lpwstr>
      </vt:variant>
      <vt:variant>
        <vt:lpwstr/>
      </vt:variant>
      <vt:variant>
        <vt:i4>8257637</vt:i4>
      </vt:variant>
      <vt:variant>
        <vt:i4>63</vt:i4>
      </vt:variant>
      <vt:variant>
        <vt:i4>0</vt:i4>
      </vt:variant>
      <vt:variant>
        <vt:i4>5</vt:i4>
      </vt:variant>
      <vt:variant>
        <vt:lpwstr>http://www.nevo.co.il/law/4216</vt:lpwstr>
      </vt:variant>
      <vt:variant>
        <vt:lpwstr/>
      </vt:variant>
      <vt:variant>
        <vt:i4>3997821</vt:i4>
      </vt:variant>
      <vt:variant>
        <vt:i4>60</vt:i4>
      </vt:variant>
      <vt:variant>
        <vt:i4>0</vt:i4>
      </vt:variant>
      <vt:variant>
        <vt:i4>5</vt:i4>
      </vt:variant>
      <vt:variant>
        <vt:lpwstr>http://www.nevo.co.il/law/4216/7.a.;7.c</vt:lpwstr>
      </vt:variant>
      <vt:variant>
        <vt:lpwstr/>
      </vt:variant>
      <vt:variant>
        <vt:i4>6357089</vt:i4>
      </vt:variant>
      <vt:variant>
        <vt:i4>57</vt:i4>
      </vt:variant>
      <vt:variant>
        <vt:i4>0</vt:i4>
      </vt:variant>
      <vt:variant>
        <vt:i4>5</vt:i4>
      </vt:variant>
      <vt:variant>
        <vt:lpwstr>http://www.nevo.co.il/law/70301/440</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6291553</vt:i4>
      </vt:variant>
      <vt:variant>
        <vt:i4>48</vt:i4>
      </vt:variant>
      <vt:variant>
        <vt:i4>0</vt:i4>
      </vt:variant>
      <vt:variant>
        <vt:i4>5</vt:i4>
      </vt:variant>
      <vt:variant>
        <vt:lpwstr>http://www.nevo.co.il/law/70301/452</vt:lpwstr>
      </vt:variant>
      <vt:variant>
        <vt:lpwstr/>
      </vt:variant>
      <vt:variant>
        <vt:i4>7143526</vt:i4>
      </vt:variant>
      <vt:variant>
        <vt:i4>45</vt:i4>
      </vt:variant>
      <vt:variant>
        <vt:i4>0</vt:i4>
      </vt:variant>
      <vt:variant>
        <vt:i4>5</vt:i4>
      </vt:variant>
      <vt:variant>
        <vt:lpwstr>http://www.nevo.co.il/law/70301/384</vt:lpwstr>
      </vt:variant>
      <vt:variant>
        <vt:lpwstr/>
      </vt:variant>
      <vt:variant>
        <vt:i4>7995492</vt:i4>
      </vt:variant>
      <vt:variant>
        <vt:i4>42</vt:i4>
      </vt:variant>
      <vt:variant>
        <vt:i4>0</vt:i4>
      </vt:variant>
      <vt:variant>
        <vt:i4>5</vt:i4>
      </vt:variant>
      <vt:variant>
        <vt:lpwstr>http://www.nevo.co.il/law/70301</vt:lpwstr>
      </vt:variant>
      <vt:variant>
        <vt:lpwstr/>
      </vt:variant>
      <vt:variant>
        <vt:i4>4915287</vt:i4>
      </vt:variant>
      <vt:variant>
        <vt:i4>39</vt:i4>
      </vt:variant>
      <vt:variant>
        <vt:i4>0</vt:i4>
      </vt:variant>
      <vt:variant>
        <vt:i4>5</vt:i4>
      </vt:variant>
      <vt:variant>
        <vt:lpwstr>http://www.nevo.co.il/law/70301/406.b</vt:lpwstr>
      </vt:variant>
      <vt:variant>
        <vt:lpwstr/>
      </vt:variant>
      <vt:variant>
        <vt:i4>2752612</vt:i4>
      </vt:variant>
      <vt:variant>
        <vt:i4>36</vt:i4>
      </vt:variant>
      <vt:variant>
        <vt:i4>0</vt:i4>
      </vt:variant>
      <vt:variant>
        <vt:i4>5</vt:i4>
      </vt:variant>
      <vt:variant>
        <vt:lpwstr>http://www.nevo.co.il/law/4216/7.c</vt:lpwstr>
      </vt:variant>
      <vt:variant>
        <vt:lpwstr/>
      </vt:variant>
      <vt:variant>
        <vt:i4>2621540</vt:i4>
      </vt:variant>
      <vt:variant>
        <vt:i4>33</vt:i4>
      </vt:variant>
      <vt:variant>
        <vt:i4>0</vt:i4>
      </vt:variant>
      <vt:variant>
        <vt:i4>5</vt:i4>
      </vt:variant>
      <vt:variant>
        <vt:lpwstr>http://www.nevo.co.il/law/4216/7.a.</vt:lpwstr>
      </vt:variant>
      <vt:variant>
        <vt:lpwstr/>
      </vt:variant>
      <vt:variant>
        <vt:i4>8257637</vt:i4>
      </vt:variant>
      <vt:variant>
        <vt:i4>30</vt:i4>
      </vt:variant>
      <vt:variant>
        <vt:i4>0</vt:i4>
      </vt:variant>
      <vt:variant>
        <vt:i4>5</vt:i4>
      </vt:variant>
      <vt:variant>
        <vt:lpwstr>http://www.nevo.co.il/law/4216</vt:lpwstr>
      </vt:variant>
      <vt:variant>
        <vt:lpwstr/>
      </vt:variant>
      <vt:variant>
        <vt:i4>6291553</vt:i4>
      </vt:variant>
      <vt:variant>
        <vt:i4>27</vt:i4>
      </vt:variant>
      <vt:variant>
        <vt:i4>0</vt:i4>
      </vt:variant>
      <vt:variant>
        <vt:i4>5</vt:i4>
      </vt:variant>
      <vt:variant>
        <vt:lpwstr>http://www.nevo.co.il/law/70301/452</vt:lpwstr>
      </vt:variant>
      <vt:variant>
        <vt:lpwstr/>
      </vt:variant>
      <vt:variant>
        <vt:i4>6357089</vt:i4>
      </vt:variant>
      <vt:variant>
        <vt:i4>24</vt:i4>
      </vt:variant>
      <vt:variant>
        <vt:i4>0</vt:i4>
      </vt:variant>
      <vt:variant>
        <vt:i4>5</vt:i4>
      </vt:variant>
      <vt:variant>
        <vt:lpwstr>http://www.nevo.co.il/law/70301/440</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4915287</vt:i4>
      </vt:variant>
      <vt:variant>
        <vt:i4>18</vt:i4>
      </vt:variant>
      <vt:variant>
        <vt:i4>0</vt:i4>
      </vt:variant>
      <vt:variant>
        <vt:i4>5</vt:i4>
      </vt:variant>
      <vt:variant>
        <vt:lpwstr>http://www.nevo.co.il/law/70301/406.b</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http://www.nevo.co.il/law/70301/40e</vt:lpwstr>
      </vt:variant>
      <vt:variant>
        <vt:lpwstr/>
      </vt:variant>
      <vt:variant>
        <vt:i4>6619233</vt:i4>
      </vt:variant>
      <vt:variant>
        <vt:i4>3</vt:i4>
      </vt:variant>
      <vt:variant>
        <vt:i4>0</vt:i4>
      </vt:variant>
      <vt:variant>
        <vt:i4>5</vt:i4>
      </vt:variant>
      <vt:variant>
        <vt:lpwstr>http://www.nevo.co.il/law/70301/40d</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2025-04-23T01:45:00Z</dcterms:created>
  <dcterms:modified xsi:type="dcterms:W3CDTF">2025-04-23T01:45:00Z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15707</vt:lpwstr>
  </property>
  <property fmtid="{D5CDD505-2E9C-101B-9397-08002B2CF9AE}" pid="6" name="NEWPARTB">
    <vt:lpwstr>04</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דינה גרונטובסקי</vt:lpwstr>
  </property>
  <property fmtid="{D5CDD505-2E9C-101B-9397-08002B2CF9AE}" pid="10" name="LAWYER">
    <vt:lpwstr>תאופיק ג'בארין</vt:lpwstr>
  </property>
  <property fmtid="{D5CDD505-2E9C-101B-9397-08002B2CF9AE}" pid="11" name="JUDGE">
    <vt:lpwstr>אלכס אחטר</vt:lpwstr>
  </property>
  <property fmtid="{D5CDD505-2E9C-101B-9397-08002B2CF9AE}" pid="12" name="CITY">
    <vt:lpwstr>חד'</vt:lpwstr>
  </property>
  <property fmtid="{D5CDD505-2E9C-101B-9397-08002B2CF9AE}" pid="13" name="DATE">
    <vt:lpwstr>20240220</vt:lpwstr>
  </property>
  <property fmtid="{D5CDD505-2E9C-101B-9397-08002B2CF9AE}" pid="14" name="TYPE_N_DATE">
    <vt:lpwstr>38020240220</vt:lpwstr>
  </property>
  <property fmtid="{D5CDD505-2E9C-101B-9397-08002B2CF9AE}" pid="15" name="WORDNUMPAGES">
    <vt:lpwstr>8</vt:lpwstr>
  </property>
  <property fmtid="{D5CDD505-2E9C-101B-9397-08002B2CF9AE}" pid="16" name="TYPE_ABS_DATE">
    <vt:lpwstr>380020240220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28814669:2;13093721;5786637:2;27946319:2;28262347:2;28774341;11206360;24951168;5701236;5903684</vt:lpwstr>
  </property>
  <property fmtid="{D5CDD505-2E9C-101B-9397-08002B2CF9AE}" pid="36" name="LAWLISTTMP1">
    <vt:lpwstr>70301/406.b;384;452;275;440;040i;40ja;040d;040e</vt:lpwstr>
  </property>
  <property fmtid="{D5CDD505-2E9C-101B-9397-08002B2CF9AE}" pid="37" name="LAWLISTTMP2">
    <vt:lpwstr>4216/007.a;007.c</vt:lpwstr>
  </property>
</Properties>
</file>