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1748F5" w:rsidRPr="000C7938" w14:paraId="20F9BFB0" w14:textId="77777777" w:rsidTr="00937B12">
        <w:trPr>
          <w:trHeight w:hRule="exact" w:val="418"/>
          <w:jc w:val="center"/>
        </w:trPr>
        <w:tc>
          <w:tcPr>
            <w:tcW w:w="8721" w:type="dxa"/>
            <w:gridSpan w:val="2"/>
          </w:tcPr>
          <w:p w14:paraId="34A45FBE" w14:textId="77777777" w:rsidR="001748F5" w:rsidRPr="000C7938" w:rsidRDefault="001748F5" w:rsidP="008054F7">
            <w:pPr>
              <w:pStyle w:val="a3"/>
              <w:jc w:val="center"/>
              <w:rPr>
                <w:rFonts w:ascii="Tahoma" w:hAnsi="Tahoma" w:cs="Tahoma"/>
                <w:color w:val="000080"/>
                <w:rtl/>
              </w:rPr>
            </w:pPr>
            <w:bookmarkStart w:id="0" w:name="FirstLawyer"/>
            <w:bookmarkStart w:id="1" w:name="LastJudge"/>
            <w:r w:rsidRPr="000C7938">
              <w:rPr>
                <w:rFonts w:ascii="Tahoma" w:hAnsi="Tahoma" w:cs="Tahoma"/>
                <w:b/>
                <w:bCs/>
                <w:color w:val="000080"/>
                <w:rtl/>
              </w:rPr>
              <w:t>בית משפט השלום בחדרה</w:t>
            </w:r>
          </w:p>
        </w:tc>
      </w:tr>
      <w:tr w:rsidR="001748F5" w:rsidRPr="000C7938" w14:paraId="497ECDE7" w14:textId="77777777" w:rsidTr="00937B12">
        <w:trPr>
          <w:trHeight w:val="337"/>
          <w:jc w:val="center"/>
        </w:trPr>
        <w:tc>
          <w:tcPr>
            <w:tcW w:w="5055" w:type="dxa"/>
          </w:tcPr>
          <w:p w14:paraId="283B773D" w14:textId="77777777" w:rsidR="001748F5" w:rsidRPr="000C7938" w:rsidRDefault="001748F5" w:rsidP="008054F7">
            <w:pPr>
              <w:rPr>
                <w:rFonts w:cs="FrankRuehl"/>
                <w:sz w:val="28"/>
                <w:szCs w:val="28"/>
                <w:rtl/>
              </w:rPr>
            </w:pPr>
            <w:r w:rsidRPr="000C7938">
              <w:rPr>
                <w:rFonts w:cs="FrankRuehl"/>
                <w:sz w:val="28"/>
                <w:szCs w:val="28"/>
                <w:rtl/>
              </w:rPr>
              <w:t>ת"פ</w:t>
            </w:r>
            <w:r w:rsidRPr="000C7938">
              <w:rPr>
                <w:rFonts w:cs="FrankRuehl" w:hint="cs"/>
                <w:sz w:val="28"/>
                <w:szCs w:val="28"/>
                <w:rtl/>
              </w:rPr>
              <w:t xml:space="preserve"> </w:t>
            </w:r>
            <w:r w:rsidRPr="000C7938">
              <w:rPr>
                <w:rFonts w:cs="FrankRuehl"/>
                <w:sz w:val="28"/>
                <w:szCs w:val="28"/>
                <w:rtl/>
              </w:rPr>
              <w:t>6793-04-23</w:t>
            </w:r>
            <w:r w:rsidRPr="000C7938">
              <w:rPr>
                <w:rFonts w:cs="FrankRuehl" w:hint="cs"/>
                <w:sz w:val="28"/>
                <w:szCs w:val="28"/>
                <w:rtl/>
              </w:rPr>
              <w:t xml:space="preserve"> </w:t>
            </w:r>
            <w:r w:rsidRPr="000C7938">
              <w:rPr>
                <w:rFonts w:cs="FrankRuehl"/>
                <w:sz w:val="28"/>
                <w:szCs w:val="28"/>
                <w:rtl/>
              </w:rPr>
              <w:t>מדינת ישראל נ' מחאג'נה</w:t>
            </w:r>
          </w:p>
          <w:p w14:paraId="0C5A30C3" w14:textId="77777777" w:rsidR="001748F5" w:rsidRPr="000C7938" w:rsidRDefault="001748F5" w:rsidP="008054F7">
            <w:pPr>
              <w:pStyle w:val="a3"/>
              <w:rPr>
                <w:rFonts w:cs="FrankRuehl"/>
                <w:sz w:val="28"/>
                <w:szCs w:val="28"/>
                <w:rtl/>
              </w:rPr>
            </w:pPr>
          </w:p>
        </w:tc>
        <w:tc>
          <w:tcPr>
            <w:tcW w:w="3666" w:type="dxa"/>
          </w:tcPr>
          <w:p w14:paraId="7B0D54E5" w14:textId="77777777" w:rsidR="001748F5" w:rsidRPr="000C7938" w:rsidRDefault="001748F5" w:rsidP="008054F7">
            <w:pPr>
              <w:pStyle w:val="a3"/>
              <w:jc w:val="right"/>
              <w:rPr>
                <w:rFonts w:cs="FrankRuehl"/>
                <w:sz w:val="28"/>
                <w:szCs w:val="28"/>
                <w:rtl/>
              </w:rPr>
            </w:pPr>
          </w:p>
        </w:tc>
      </w:tr>
    </w:tbl>
    <w:p w14:paraId="20ADE25F" w14:textId="77777777" w:rsidR="001748F5" w:rsidRPr="000C7938" w:rsidRDefault="001748F5" w:rsidP="001748F5">
      <w:pPr>
        <w:pStyle w:val="a3"/>
        <w:rPr>
          <w:rtl/>
        </w:rPr>
      </w:pPr>
      <w:r w:rsidRPr="000C7938">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1748F5" w:rsidRPr="000C7938" w14:paraId="745C22A4" w14:textId="77777777" w:rsidTr="001748F5">
        <w:trPr>
          <w:trHeight w:val="295"/>
          <w:jc w:val="center"/>
        </w:trPr>
        <w:tc>
          <w:tcPr>
            <w:tcW w:w="923" w:type="dxa"/>
            <w:tcBorders>
              <w:top w:val="nil"/>
              <w:left w:val="nil"/>
              <w:bottom w:val="nil"/>
              <w:right w:val="nil"/>
            </w:tcBorders>
            <w:shd w:val="clear" w:color="auto" w:fill="auto"/>
          </w:tcPr>
          <w:p w14:paraId="49D22CFB" w14:textId="77777777" w:rsidR="001748F5" w:rsidRPr="000C7938" w:rsidRDefault="001748F5" w:rsidP="001748F5">
            <w:pPr>
              <w:jc w:val="both"/>
              <w:rPr>
                <w:rFonts w:ascii="David" w:hAnsi="David"/>
                <w:sz w:val="26"/>
                <w:szCs w:val="26"/>
              </w:rPr>
            </w:pPr>
            <w:r w:rsidRPr="000C7938">
              <w:rPr>
                <w:rFonts w:ascii="David" w:hAnsi="David" w:hint="cs"/>
                <w:sz w:val="26"/>
                <w:szCs w:val="26"/>
                <w:rtl/>
              </w:rPr>
              <w:t>ל</w:t>
            </w:r>
            <w:r w:rsidRPr="000C7938">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1F146430" w14:textId="77777777" w:rsidR="001748F5" w:rsidRPr="000C7938" w:rsidRDefault="001748F5" w:rsidP="008054F7">
            <w:pPr>
              <w:rPr>
                <w:rFonts w:ascii="David" w:hAnsi="David"/>
                <w:b/>
                <w:bCs/>
                <w:sz w:val="26"/>
                <w:szCs w:val="26"/>
                <w:rtl/>
              </w:rPr>
            </w:pPr>
            <w:r w:rsidRPr="000C7938">
              <w:rPr>
                <w:rFonts w:ascii="David" w:hAnsi="David"/>
                <w:b/>
                <w:bCs/>
                <w:sz w:val="26"/>
                <w:szCs w:val="26"/>
                <w:rtl/>
              </w:rPr>
              <w:t>כבוד השופט  אלכס אחטר</w:t>
            </w:r>
          </w:p>
          <w:p w14:paraId="6C545875" w14:textId="77777777" w:rsidR="001748F5" w:rsidRPr="000C7938" w:rsidRDefault="001748F5" w:rsidP="008054F7">
            <w:pPr>
              <w:rPr>
                <w:rFonts w:ascii="David" w:hAnsi="David"/>
                <w:sz w:val="26"/>
                <w:szCs w:val="26"/>
                <w:rtl/>
              </w:rPr>
            </w:pPr>
          </w:p>
          <w:p w14:paraId="7AD2643B" w14:textId="77777777" w:rsidR="001748F5" w:rsidRPr="000C7938" w:rsidRDefault="001748F5" w:rsidP="001748F5">
            <w:pPr>
              <w:jc w:val="both"/>
              <w:rPr>
                <w:rFonts w:ascii="David" w:hAnsi="David"/>
                <w:sz w:val="26"/>
                <w:szCs w:val="26"/>
              </w:rPr>
            </w:pPr>
          </w:p>
        </w:tc>
      </w:tr>
      <w:tr w:rsidR="001748F5" w:rsidRPr="000C7938" w14:paraId="1943C2E8" w14:textId="77777777" w:rsidTr="001748F5">
        <w:trPr>
          <w:trHeight w:val="355"/>
          <w:jc w:val="center"/>
        </w:trPr>
        <w:tc>
          <w:tcPr>
            <w:tcW w:w="923" w:type="dxa"/>
            <w:tcBorders>
              <w:top w:val="nil"/>
              <w:left w:val="nil"/>
              <w:bottom w:val="nil"/>
              <w:right w:val="nil"/>
            </w:tcBorders>
            <w:shd w:val="clear" w:color="auto" w:fill="auto"/>
          </w:tcPr>
          <w:p w14:paraId="0DA9ED7C" w14:textId="77777777" w:rsidR="001748F5" w:rsidRPr="000C7938" w:rsidRDefault="001748F5" w:rsidP="001748F5">
            <w:pPr>
              <w:jc w:val="both"/>
              <w:rPr>
                <w:rFonts w:ascii="David" w:hAnsi="David"/>
                <w:sz w:val="26"/>
                <w:szCs w:val="26"/>
              </w:rPr>
            </w:pPr>
            <w:bookmarkStart w:id="2" w:name="FirstAppellant"/>
            <w:r w:rsidRPr="000C7938">
              <w:rPr>
                <w:rFonts w:ascii="David" w:hAnsi="David"/>
                <w:sz w:val="26"/>
                <w:szCs w:val="26"/>
                <w:rtl/>
              </w:rPr>
              <w:t>בעניין:</w:t>
            </w:r>
          </w:p>
        </w:tc>
        <w:tc>
          <w:tcPr>
            <w:tcW w:w="3219" w:type="dxa"/>
            <w:tcBorders>
              <w:top w:val="nil"/>
              <w:left w:val="nil"/>
              <w:bottom w:val="nil"/>
              <w:right w:val="nil"/>
            </w:tcBorders>
            <w:shd w:val="clear" w:color="auto" w:fill="auto"/>
          </w:tcPr>
          <w:p w14:paraId="4B0863EC" w14:textId="77777777" w:rsidR="001748F5" w:rsidRPr="000C7938" w:rsidRDefault="001748F5" w:rsidP="001748F5">
            <w:pPr>
              <w:suppressLineNumbers/>
            </w:pPr>
            <w:r w:rsidRPr="000C7938">
              <w:rPr>
                <w:rFonts w:ascii="Arial" w:hAnsi="Arial" w:hint="cs"/>
                <w:b/>
                <w:bCs/>
                <w:sz w:val="26"/>
                <w:szCs w:val="26"/>
                <w:rtl/>
              </w:rPr>
              <w:t>ה</w:t>
            </w:r>
            <w:r w:rsidRPr="000C7938">
              <w:rPr>
                <w:rFonts w:ascii="Arial" w:hAnsi="Arial"/>
                <w:b/>
                <w:bCs/>
                <w:sz w:val="26"/>
                <w:szCs w:val="26"/>
                <w:rtl/>
              </w:rPr>
              <w:t>מאשימה</w:t>
            </w:r>
          </w:p>
          <w:p w14:paraId="1BEE1F37" w14:textId="77777777" w:rsidR="001748F5" w:rsidRPr="000C7938" w:rsidRDefault="001748F5" w:rsidP="008054F7">
            <w:pPr>
              <w:rPr>
                <w:rFonts w:ascii="David" w:hAnsi="David"/>
                <w:sz w:val="26"/>
                <w:szCs w:val="26"/>
              </w:rPr>
            </w:pPr>
          </w:p>
        </w:tc>
        <w:tc>
          <w:tcPr>
            <w:tcW w:w="4678" w:type="dxa"/>
            <w:tcBorders>
              <w:top w:val="nil"/>
              <w:left w:val="nil"/>
              <w:bottom w:val="nil"/>
              <w:right w:val="nil"/>
            </w:tcBorders>
            <w:shd w:val="clear" w:color="auto" w:fill="auto"/>
            <w:vAlign w:val="center"/>
          </w:tcPr>
          <w:p w14:paraId="19304997" w14:textId="77777777" w:rsidR="001748F5" w:rsidRPr="000C7938" w:rsidRDefault="001748F5" w:rsidP="001748F5">
            <w:pPr>
              <w:suppressLineNumbers/>
              <w:rPr>
                <w:rtl/>
              </w:rPr>
            </w:pPr>
            <w:r w:rsidRPr="000C7938">
              <w:rPr>
                <w:rFonts w:ascii="Arial" w:hAnsi="Arial"/>
                <w:b/>
                <w:bCs/>
                <w:sz w:val="26"/>
                <w:szCs w:val="26"/>
                <w:rtl/>
              </w:rPr>
              <w:t>מדינת ישראל</w:t>
            </w:r>
            <w:r w:rsidRPr="000C7938">
              <w:rPr>
                <w:rFonts w:ascii="Arial" w:hAnsi="Arial" w:hint="cs"/>
                <w:b/>
                <w:bCs/>
                <w:sz w:val="26"/>
                <w:szCs w:val="26"/>
                <w:rtl/>
              </w:rPr>
              <w:t xml:space="preserve"> </w:t>
            </w:r>
            <w:r w:rsidRPr="000C7938">
              <w:rPr>
                <w:rFonts w:ascii="Arial" w:hAnsi="Arial"/>
                <w:b/>
                <w:bCs/>
                <w:sz w:val="26"/>
                <w:szCs w:val="26"/>
                <w:rtl/>
              </w:rPr>
              <w:t>ע"י ב"כ עוה"ד</w:t>
            </w:r>
            <w:r w:rsidRPr="000C7938">
              <w:rPr>
                <w:rFonts w:hint="cs"/>
                <w:rtl/>
              </w:rPr>
              <w:t xml:space="preserve"> </w:t>
            </w:r>
            <w:r w:rsidRPr="000C7938">
              <w:rPr>
                <w:rFonts w:hint="cs"/>
                <w:b/>
                <w:bCs/>
                <w:rtl/>
              </w:rPr>
              <w:t>לינוי ברזני</w:t>
            </w:r>
          </w:p>
          <w:p w14:paraId="6C83D9B4" w14:textId="77777777" w:rsidR="001748F5" w:rsidRPr="000C7938" w:rsidRDefault="001748F5" w:rsidP="008054F7">
            <w:pPr>
              <w:rPr>
                <w:rFonts w:ascii="David" w:hAnsi="David"/>
                <w:sz w:val="26"/>
                <w:szCs w:val="26"/>
              </w:rPr>
            </w:pPr>
          </w:p>
        </w:tc>
      </w:tr>
      <w:bookmarkEnd w:id="2"/>
      <w:tr w:rsidR="001748F5" w:rsidRPr="000C7938" w14:paraId="7879E9AF" w14:textId="77777777" w:rsidTr="001748F5">
        <w:trPr>
          <w:trHeight w:val="355"/>
          <w:jc w:val="center"/>
        </w:trPr>
        <w:tc>
          <w:tcPr>
            <w:tcW w:w="923" w:type="dxa"/>
            <w:tcBorders>
              <w:top w:val="nil"/>
              <w:left w:val="nil"/>
              <w:bottom w:val="nil"/>
              <w:right w:val="nil"/>
            </w:tcBorders>
            <w:shd w:val="clear" w:color="auto" w:fill="auto"/>
          </w:tcPr>
          <w:p w14:paraId="57990324" w14:textId="77777777" w:rsidR="001748F5" w:rsidRPr="000C7938" w:rsidRDefault="001748F5" w:rsidP="001748F5">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241A5326" w14:textId="77777777" w:rsidR="001748F5" w:rsidRPr="000C7938" w:rsidRDefault="001748F5" w:rsidP="001748F5">
            <w:pPr>
              <w:jc w:val="center"/>
              <w:rPr>
                <w:rFonts w:ascii="David" w:hAnsi="David"/>
                <w:b/>
                <w:bCs/>
                <w:sz w:val="26"/>
                <w:szCs w:val="26"/>
                <w:rtl/>
              </w:rPr>
            </w:pPr>
          </w:p>
          <w:p w14:paraId="20F48ED5" w14:textId="77777777" w:rsidR="001748F5" w:rsidRPr="000C7938" w:rsidRDefault="001748F5" w:rsidP="001748F5">
            <w:pPr>
              <w:jc w:val="center"/>
              <w:rPr>
                <w:rFonts w:ascii="David" w:hAnsi="David"/>
                <w:b/>
                <w:bCs/>
                <w:sz w:val="26"/>
                <w:szCs w:val="26"/>
                <w:rtl/>
              </w:rPr>
            </w:pPr>
            <w:r w:rsidRPr="000C7938">
              <w:rPr>
                <w:rFonts w:ascii="David" w:hAnsi="David"/>
                <w:b/>
                <w:bCs/>
                <w:sz w:val="26"/>
                <w:szCs w:val="26"/>
                <w:rtl/>
              </w:rPr>
              <w:t>נגד</w:t>
            </w:r>
          </w:p>
          <w:p w14:paraId="6118336E" w14:textId="77777777" w:rsidR="001748F5" w:rsidRPr="000C7938" w:rsidRDefault="001748F5" w:rsidP="001748F5">
            <w:pPr>
              <w:jc w:val="both"/>
              <w:rPr>
                <w:rFonts w:ascii="David" w:hAnsi="David"/>
                <w:sz w:val="26"/>
                <w:szCs w:val="26"/>
              </w:rPr>
            </w:pPr>
          </w:p>
        </w:tc>
      </w:tr>
      <w:tr w:rsidR="001748F5" w:rsidRPr="000C7938" w14:paraId="1E3DE8FF" w14:textId="77777777" w:rsidTr="001748F5">
        <w:trPr>
          <w:trHeight w:val="355"/>
          <w:jc w:val="center"/>
        </w:trPr>
        <w:tc>
          <w:tcPr>
            <w:tcW w:w="923" w:type="dxa"/>
            <w:tcBorders>
              <w:top w:val="nil"/>
              <w:left w:val="nil"/>
              <w:bottom w:val="nil"/>
              <w:right w:val="nil"/>
            </w:tcBorders>
            <w:shd w:val="clear" w:color="auto" w:fill="auto"/>
          </w:tcPr>
          <w:p w14:paraId="7806DFE6" w14:textId="77777777" w:rsidR="001748F5" w:rsidRPr="000C7938" w:rsidRDefault="001748F5" w:rsidP="008054F7">
            <w:pPr>
              <w:rPr>
                <w:rFonts w:ascii="David" w:hAnsi="David"/>
                <w:sz w:val="26"/>
                <w:szCs w:val="26"/>
                <w:rtl/>
              </w:rPr>
            </w:pPr>
          </w:p>
        </w:tc>
        <w:tc>
          <w:tcPr>
            <w:tcW w:w="3219" w:type="dxa"/>
            <w:tcBorders>
              <w:top w:val="nil"/>
              <w:left w:val="nil"/>
              <w:bottom w:val="nil"/>
              <w:right w:val="nil"/>
            </w:tcBorders>
            <w:shd w:val="clear" w:color="auto" w:fill="auto"/>
          </w:tcPr>
          <w:p w14:paraId="3AC8682D" w14:textId="77777777" w:rsidR="001748F5" w:rsidRPr="000C7938" w:rsidRDefault="001748F5" w:rsidP="008054F7">
            <w:pPr>
              <w:rPr>
                <w:rFonts w:ascii="Arial" w:hAnsi="Arial"/>
                <w:b/>
                <w:bCs/>
                <w:sz w:val="26"/>
                <w:szCs w:val="26"/>
                <w:rtl/>
              </w:rPr>
            </w:pPr>
            <w:r w:rsidRPr="000C7938">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3551564C" w14:textId="77777777" w:rsidR="001748F5" w:rsidRPr="000C7938" w:rsidRDefault="001748F5" w:rsidP="001748F5">
            <w:pPr>
              <w:suppressLineNumbers/>
            </w:pPr>
            <w:r w:rsidRPr="000C7938">
              <w:rPr>
                <w:rFonts w:ascii="Arial" w:hAnsi="Arial"/>
                <w:b/>
                <w:bCs/>
                <w:sz w:val="26"/>
                <w:szCs w:val="26"/>
                <w:rtl/>
              </w:rPr>
              <w:t>אחמד מחאג'נה</w:t>
            </w:r>
            <w:r w:rsidRPr="000C7938">
              <w:rPr>
                <w:rFonts w:ascii="Arial" w:hAnsi="Arial" w:hint="cs"/>
                <w:b/>
                <w:bCs/>
                <w:sz w:val="26"/>
                <w:szCs w:val="26"/>
                <w:rtl/>
              </w:rPr>
              <w:t xml:space="preserve"> </w:t>
            </w:r>
            <w:r w:rsidRPr="000C7938">
              <w:rPr>
                <w:rFonts w:ascii="Arial" w:hAnsi="Arial"/>
                <w:b/>
                <w:bCs/>
                <w:sz w:val="26"/>
                <w:szCs w:val="26"/>
                <w:rtl/>
              </w:rPr>
              <w:t>ע"י ב"כ עוה"ד</w:t>
            </w:r>
            <w:r w:rsidRPr="000C7938">
              <w:rPr>
                <w:rFonts w:hint="cs"/>
                <w:rtl/>
              </w:rPr>
              <w:t xml:space="preserve"> </w:t>
            </w:r>
            <w:r w:rsidRPr="000C7938">
              <w:rPr>
                <w:rFonts w:hint="cs"/>
                <w:b/>
                <w:bCs/>
                <w:rtl/>
              </w:rPr>
              <w:t>עאדל בויראת</w:t>
            </w:r>
          </w:p>
          <w:p w14:paraId="0C68742F" w14:textId="77777777" w:rsidR="001748F5" w:rsidRPr="000C7938" w:rsidRDefault="001748F5" w:rsidP="008054F7">
            <w:pPr>
              <w:rPr>
                <w:rFonts w:ascii="David" w:hAnsi="David"/>
                <w:sz w:val="26"/>
                <w:szCs w:val="26"/>
              </w:rPr>
            </w:pPr>
          </w:p>
        </w:tc>
      </w:tr>
    </w:tbl>
    <w:p w14:paraId="482041C6" w14:textId="77777777" w:rsidR="00937B12" w:rsidRPr="00937B12" w:rsidRDefault="00937B12" w:rsidP="00937B12">
      <w:pPr>
        <w:spacing w:before="120" w:after="120" w:line="240" w:lineRule="exact"/>
        <w:ind w:left="283" w:hanging="283"/>
        <w:jc w:val="both"/>
        <w:rPr>
          <w:rFonts w:ascii="FrankRuehl" w:hAnsi="FrankRuehl" w:cs="FrankRuehl"/>
          <w:rtl/>
        </w:rPr>
      </w:pPr>
      <w:bookmarkStart w:id="3" w:name="LawTable"/>
      <w:bookmarkEnd w:id="3"/>
    </w:p>
    <w:p w14:paraId="1888192E" w14:textId="77777777" w:rsidR="00937B12" w:rsidRPr="00937B12" w:rsidRDefault="00937B12" w:rsidP="00937B12">
      <w:pPr>
        <w:spacing w:before="120" w:after="120" w:line="240" w:lineRule="exact"/>
        <w:ind w:left="283" w:hanging="283"/>
        <w:jc w:val="both"/>
        <w:rPr>
          <w:rFonts w:ascii="FrankRuehl" w:hAnsi="FrankRuehl" w:cs="FrankRuehl"/>
          <w:rtl/>
        </w:rPr>
      </w:pPr>
      <w:r w:rsidRPr="00937B12">
        <w:rPr>
          <w:rFonts w:ascii="FrankRuehl" w:hAnsi="FrankRuehl" w:cs="FrankRuehl"/>
          <w:rtl/>
        </w:rPr>
        <w:t xml:space="preserve">חקיקה שאוזכרה: </w:t>
      </w:r>
    </w:p>
    <w:p w14:paraId="383AC1CB" w14:textId="77777777" w:rsidR="00937B12" w:rsidRPr="00937B12" w:rsidRDefault="00937B12" w:rsidP="00937B12">
      <w:pPr>
        <w:spacing w:before="120" w:after="120" w:line="240" w:lineRule="exact"/>
        <w:ind w:left="283" w:hanging="283"/>
        <w:jc w:val="both"/>
        <w:rPr>
          <w:rFonts w:ascii="FrankRuehl" w:hAnsi="FrankRuehl" w:cs="FrankRuehl"/>
          <w:color w:val="0000FF"/>
          <w:rtl/>
        </w:rPr>
      </w:pPr>
      <w:hyperlink r:id="rId7" w:history="1">
        <w:r w:rsidRPr="00937B12">
          <w:rPr>
            <w:rStyle w:val="Hyperlink"/>
            <w:rFonts w:ascii="FrankRuehl" w:hAnsi="FrankRuehl" w:cs="FrankRuehl"/>
            <w:u w:val="none"/>
            <w:rtl/>
          </w:rPr>
          <w:t>חוק העונשין, תשל"ז-1977</w:t>
        </w:r>
      </w:hyperlink>
      <w:r w:rsidRPr="00937B12">
        <w:rPr>
          <w:rFonts w:ascii="FrankRuehl" w:hAnsi="FrankRuehl" w:cs="FrankRuehl"/>
          <w:color w:val="0000FF"/>
          <w:rtl/>
        </w:rPr>
        <w:t xml:space="preserve">: סע'  </w:t>
      </w:r>
      <w:hyperlink r:id="rId8" w:history="1">
        <w:r w:rsidRPr="00937B12">
          <w:rPr>
            <w:rStyle w:val="Hyperlink"/>
            <w:rFonts w:ascii="FrankRuehl" w:hAnsi="FrankRuehl" w:cs="FrankRuehl"/>
            <w:u w:val="none"/>
          </w:rPr>
          <w:t>40</w:t>
        </w:r>
        <w:r w:rsidRPr="00937B12">
          <w:rPr>
            <w:rStyle w:val="Hyperlink"/>
            <w:rFonts w:ascii="FrankRuehl" w:hAnsi="FrankRuehl" w:cs="FrankRuehl"/>
            <w:u w:val="none"/>
            <w:rtl/>
          </w:rPr>
          <w:t>ד</w:t>
        </w:r>
        <w:r w:rsidRPr="00937B12">
          <w:rPr>
            <w:rStyle w:val="Hyperlink"/>
            <w:rFonts w:ascii="FrankRuehl" w:hAnsi="FrankRuehl" w:cs="FrankRuehl"/>
            <w:u w:val="none"/>
          </w:rPr>
          <w:t>'</w:t>
        </w:r>
      </w:hyperlink>
      <w:r w:rsidRPr="00937B12">
        <w:rPr>
          <w:rFonts w:ascii="FrankRuehl" w:hAnsi="FrankRuehl" w:cs="FrankRuehl"/>
          <w:color w:val="0000FF"/>
          <w:rtl/>
        </w:rPr>
        <w:t xml:space="preserve">, </w:t>
      </w:r>
      <w:hyperlink r:id="rId9" w:history="1">
        <w:r w:rsidRPr="00937B12">
          <w:rPr>
            <w:rStyle w:val="Hyperlink"/>
            <w:rFonts w:ascii="FrankRuehl" w:hAnsi="FrankRuehl" w:cs="FrankRuehl"/>
            <w:u w:val="none"/>
          </w:rPr>
          <w:t xml:space="preserve">40 </w:t>
        </w:r>
        <w:r w:rsidRPr="00937B12">
          <w:rPr>
            <w:rStyle w:val="Hyperlink"/>
            <w:rFonts w:ascii="FrankRuehl" w:hAnsi="FrankRuehl" w:cs="FrankRuehl"/>
            <w:u w:val="none"/>
            <w:rtl/>
          </w:rPr>
          <w:t>ה</w:t>
        </w:r>
        <w:r w:rsidRPr="00937B12">
          <w:rPr>
            <w:rStyle w:val="Hyperlink"/>
            <w:rFonts w:ascii="FrankRuehl" w:hAnsi="FrankRuehl" w:cs="FrankRuehl"/>
            <w:u w:val="none"/>
          </w:rPr>
          <w:t>'</w:t>
        </w:r>
      </w:hyperlink>
      <w:r w:rsidRPr="00937B12">
        <w:rPr>
          <w:rFonts w:ascii="FrankRuehl" w:hAnsi="FrankRuehl" w:cs="FrankRuehl"/>
          <w:color w:val="0000FF"/>
          <w:rtl/>
        </w:rPr>
        <w:t xml:space="preserve">, </w:t>
      </w:r>
      <w:hyperlink r:id="rId10" w:history="1">
        <w:r w:rsidRPr="00937B12">
          <w:rPr>
            <w:rStyle w:val="Hyperlink"/>
            <w:rFonts w:ascii="FrankRuehl" w:hAnsi="FrankRuehl" w:cs="FrankRuehl"/>
            <w:u w:val="none"/>
          </w:rPr>
          <w:t>40</w:t>
        </w:r>
        <w:r w:rsidRPr="00937B12">
          <w:rPr>
            <w:rStyle w:val="Hyperlink"/>
            <w:rFonts w:ascii="FrankRuehl" w:hAnsi="FrankRuehl" w:cs="FrankRuehl"/>
            <w:u w:val="none"/>
            <w:rtl/>
          </w:rPr>
          <w:t>ט</w:t>
        </w:r>
        <w:r w:rsidRPr="00937B12">
          <w:rPr>
            <w:rStyle w:val="Hyperlink"/>
            <w:rFonts w:ascii="FrankRuehl" w:hAnsi="FrankRuehl" w:cs="FrankRuehl"/>
            <w:u w:val="none"/>
          </w:rPr>
          <w:t>'</w:t>
        </w:r>
      </w:hyperlink>
      <w:r w:rsidRPr="00937B12">
        <w:rPr>
          <w:rFonts w:ascii="FrankRuehl" w:hAnsi="FrankRuehl" w:cs="FrankRuehl"/>
          <w:color w:val="0000FF"/>
          <w:rtl/>
        </w:rPr>
        <w:t xml:space="preserve">, </w:t>
      </w:r>
      <w:hyperlink r:id="rId11" w:history="1">
        <w:r w:rsidRPr="00937B12">
          <w:rPr>
            <w:rStyle w:val="Hyperlink"/>
            <w:rFonts w:ascii="FrankRuehl" w:hAnsi="FrankRuehl" w:cs="FrankRuehl"/>
            <w:u w:val="none"/>
          </w:rPr>
          <w:t>144</w:t>
        </w:r>
      </w:hyperlink>
      <w:r w:rsidRPr="00937B12">
        <w:rPr>
          <w:rFonts w:ascii="FrankRuehl" w:hAnsi="FrankRuehl" w:cs="FrankRuehl"/>
          <w:color w:val="0000FF"/>
          <w:rtl/>
        </w:rPr>
        <w:t xml:space="preserve">(ב), </w:t>
      </w:r>
      <w:hyperlink r:id="rId12" w:history="1">
        <w:r w:rsidRPr="00937B12">
          <w:rPr>
            <w:rStyle w:val="Hyperlink"/>
            <w:rFonts w:ascii="FrankRuehl" w:hAnsi="FrankRuehl" w:cs="FrankRuehl"/>
            <w:u w:val="none"/>
          </w:rPr>
          <w:t>40</w:t>
        </w:r>
        <w:r w:rsidRPr="00937B12">
          <w:rPr>
            <w:rStyle w:val="Hyperlink"/>
            <w:rFonts w:ascii="FrankRuehl" w:hAnsi="FrankRuehl" w:cs="FrankRuehl"/>
            <w:u w:val="none"/>
            <w:rtl/>
          </w:rPr>
          <w:t>יא</w:t>
        </w:r>
        <w:r w:rsidRPr="00937B12">
          <w:rPr>
            <w:rStyle w:val="Hyperlink"/>
            <w:rFonts w:ascii="FrankRuehl" w:hAnsi="FrankRuehl" w:cs="FrankRuehl"/>
            <w:u w:val="none"/>
          </w:rPr>
          <w:t>'</w:t>
        </w:r>
      </w:hyperlink>
    </w:p>
    <w:p w14:paraId="4129588C" w14:textId="77777777" w:rsidR="00937B12" w:rsidRPr="00937B12" w:rsidRDefault="00937B12" w:rsidP="00937B12">
      <w:pPr>
        <w:spacing w:before="120" w:after="120" w:line="240" w:lineRule="exact"/>
        <w:ind w:left="283" w:hanging="283"/>
        <w:jc w:val="both"/>
        <w:rPr>
          <w:rFonts w:ascii="FrankRuehl" w:hAnsi="FrankRuehl" w:cs="FrankRuehl"/>
          <w:color w:val="0000FF"/>
          <w:rtl/>
        </w:rPr>
      </w:pPr>
      <w:hyperlink r:id="rId13" w:history="1">
        <w:r w:rsidRPr="00937B12">
          <w:rPr>
            <w:rStyle w:val="Hyperlink"/>
            <w:rFonts w:ascii="FrankRuehl" w:hAnsi="FrankRuehl" w:cs="FrankRuehl"/>
            <w:u w:val="none"/>
            <w:rtl/>
          </w:rPr>
          <w:t>פקודת הסמים המסוכנים [נוסח חדש], תשל"ג-1973</w:t>
        </w:r>
      </w:hyperlink>
      <w:r w:rsidRPr="00937B12">
        <w:rPr>
          <w:rFonts w:ascii="FrankRuehl" w:hAnsi="FrankRuehl" w:cs="FrankRuehl"/>
          <w:color w:val="0000FF"/>
          <w:rtl/>
        </w:rPr>
        <w:t xml:space="preserve">: סע'  </w:t>
      </w:r>
      <w:hyperlink r:id="rId14" w:history="1">
        <w:r w:rsidRPr="00937B12">
          <w:rPr>
            <w:rStyle w:val="Hyperlink"/>
            <w:rFonts w:ascii="FrankRuehl" w:hAnsi="FrankRuehl" w:cs="FrankRuehl"/>
            <w:u w:val="none"/>
          </w:rPr>
          <w:t>7.</w:t>
        </w:r>
        <w:r w:rsidRPr="00937B12">
          <w:rPr>
            <w:rStyle w:val="Hyperlink"/>
            <w:rFonts w:ascii="FrankRuehl" w:hAnsi="FrankRuehl" w:cs="FrankRuehl"/>
            <w:u w:val="none"/>
            <w:rtl/>
          </w:rPr>
          <w:t>א</w:t>
        </w:r>
        <w:r w:rsidRPr="00937B12">
          <w:rPr>
            <w:rStyle w:val="Hyperlink"/>
            <w:rFonts w:ascii="FrankRuehl" w:hAnsi="FrankRuehl" w:cs="FrankRuehl"/>
            <w:u w:val="none"/>
          </w:rPr>
          <w:t>.</w:t>
        </w:r>
      </w:hyperlink>
      <w:r w:rsidRPr="00937B12">
        <w:rPr>
          <w:rFonts w:ascii="FrankRuehl" w:hAnsi="FrankRuehl" w:cs="FrankRuehl"/>
          <w:color w:val="0000FF"/>
          <w:rtl/>
        </w:rPr>
        <w:t xml:space="preserve">, </w:t>
      </w:r>
      <w:hyperlink r:id="rId15" w:history="1">
        <w:r w:rsidRPr="00937B12">
          <w:rPr>
            <w:rStyle w:val="Hyperlink"/>
            <w:rFonts w:ascii="FrankRuehl" w:hAnsi="FrankRuehl" w:cs="FrankRuehl"/>
            <w:u w:val="none"/>
          </w:rPr>
          <w:t>7.</w:t>
        </w:r>
        <w:r w:rsidRPr="00937B12">
          <w:rPr>
            <w:rStyle w:val="Hyperlink"/>
            <w:rFonts w:ascii="FrankRuehl" w:hAnsi="FrankRuehl" w:cs="FrankRuehl"/>
            <w:u w:val="none"/>
            <w:rtl/>
          </w:rPr>
          <w:t>ג</w:t>
        </w:r>
      </w:hyperlink>
    </w:p>
    <w:p w14:paraId="6A36B77E" w14:textId="77777777" w:rsidR="00937B12" w:rsidRPr="00937B12" w:rsidRDefault="00937B12" w:rsidP="00937B12">
      <w:pPr>
        <w:spacing w:before="120" w:after="120" w:line="240" w:lineRule="exact"/>
        <w:ind w:left="283" w:hanging="283"/>
        <w:jc w:val="both"/>
        <w:rPr>
          <w:rFonts w:ascii="FrankRuehl" w:hAnsi="FrankRuehl" w:cs="FrankRuehl"/>
          <w:color w:val="0000FF"/>
          <w:rtl/>
        </w:rPr>
      </w:pPr>
      <w:hyperlink r:id="rId16" w:history="1">
        <w:r w:rsidRPr="00937B12">
          <w:rPr>
            <w:rStyle w:val="Hyperlink"/>
            <w:rFonts w:ascii="FrankRuehl" w:hAnsi="FrankRuehl" w:cs="FrankRuehl"/>
            <w:u w:val="none"/>
            <w:rtl/>
          </w:rPr>
          <w:t>פקודת התעבורה [נוסח חדש</w:t>
        </w:r>
        <w:r w:rsidRPr="00937B12">
          <w:rPr>
            <w:rStyle w:val="Hyperlink"/>
            <w:rFonts w:ascii="FrankRuehl" w:hAnsi="FrankRuehl" w:cs="FrankRuehl"/>
            <w:u w:val="none"/>
          </w:rPr>
          <w:t>]</w:t>
        </w:r>
      </w:hyperlink>
    </w:p>
    <w:p w14:paraId="502A454C" w14:textId="77777777" w:rsidR="001748F5" w:rsidRPr="00937B12" w:rsidRDefault="001748F5" w:rsidP="00937B12">
      <w:pPr>
        <w:rPr>
          <w:sz w:val="26"/>
          <w:szCs w:val="26"/>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748F5" w14:paraId="477F5C69" w14:textId="77777777" w:rsidTr="001748F5">
        <w:trPr>
          <w:trHeight w:val="355"/>
          <w:jc w:val="center"/>
        </w:trPr>
        <w:tc>
          <w:tcPr>
            <w:tcW w:w="8820" w:type="dxa"/>
            <w:tcBorders>
              <w:top w:val="nil"/>
              <w:left w:val="nil"/>
              <w:bottom w:val="nil"/>
              <w:right w:val="nil"/>
            </w:tcBorders>
            <w:shd w:val="clear" w:color="auto" w:fill="auto"/>
          </w:tcPr>
          <w:p w14:paraId="00B15D5D" w14:textId="77777777" w:rsidR="000C7938" w:rsidRPr="000C7938" w:rsidRDefault="000C7938" w:rsidP="000C7938">
            <w:pPr>
              <w:jc w:val="center"/>
              <w:rPr>
                <w:rFonts w:ascii="David" w:hAnsi="David"/>
                <w:b/>
                <w:bCs/>
                <w:sz w:val="32"/>
                <w:szCs w:val="32"/>
                <w:u w:val="single"/>
                <w:rtl/>
              </w:rPr>
            </w:pPr>
            <w:bookmarkStart w:id="5" w:name="PsakDin" w:colFirst="0" w:colLast="0"/>
            <w:bookmarkEnd w:id="0"/>
            <w:bookmarkEnd w:id="1"/>
            <w:r w:rsidRPr="000C7938">
              <w:rPr>
                <w:rFonts w:ascii="David" w:hAnsi="David"/>
                <w:b/>
                <w:bCs/>
                <w:sz w:val="32"/>
                <w:szCs w:val="32"/>
                <w:u w:val="single"/>
                <w:rtl/>
              </w:rPr>
              <w:t>גזר דין</w:t>
            </w:r>
          </w:p>
          <w:p w14:paraId="2F5769B7" w14:textId="77777777" w:rsidR="001748F5" w:rsidRPr="000C7938" w:rsidRDefault="001748F5" w:rsidP="000C7938">
            <w:pPr>
              <w:jc w:val="center"/>
              <w:rPr>
                <w:rFonts w:ascii="David" w:hAnsi="David"/>
                <w:bCs/>
                <w:sz w:val="32"/>
                <w:szCs w:val="32"/>
                <w:u w:val="single"/>
                <w:rtl/>
              </w:rPr>
            </w:pPr>
          </w:p>
        </w:tc>
      </w:tr>
      <w:bookmarkEnd w:id="5"/>
    </w:tbl>
    <w:p w14:paraId="7C08FFB2" w14:textId="77777777" w:rsidR="001748F5" w:rsidRDefault="001748F5" w:rsidP="001748F5">
      <w:pPr>
        <w:spacing w:line="360" w:lineRule="auto"/>
        <w:jc w:val="both"/>
        <w:rPr>
          <w:rFonts w:ascii="Arial" w:hAnsi="Arial"/>
          <w:rtl/>
        </w:rPr>
      </w:pPr>
    </w:p>
    <w:p w14:paraId="00464634" w14:textId="77777777" w:rsidR="001748F5" w:rsidRPr="00F57E73" w:rsidRDefault="001748F5" w:rsidP="001748F5">
      <w:pPr>
        <w:spacing w:line="360" w:lineRule="auto"/>
        <w:jc w:val="both"/>
        <w:rPr>
          <w:rFonts w:ascii="Arial" w:hAnsi="Arial"/>
          <w:rtl/>
        </w:rPr>
      </w:pPr>
      <w:bookmarkStart w:id="6" w:name="ABSTRACT_START"/>
      <w:bookmarkEnd w:id="6"/>
      <w:r w:rsidRPr="00F57E73">
        <w:rPr>
          <w:rFonts w:ascii="Arial" w:hAnsi="Arial" w:hint="cs"/>
          <w:rtl/>
        </w:rPr>
        <w:t>הנאשם הורשע על פי הודאתו</w:t>
      </w:r>
      <w:r>
        <w:rPr>
          <w:rFonts w:ascii="Arial" w:hAnsi="Arial" w:hint="cs"/>
          <w:rtl/>
        </w:rPr>
        <w:t>,</w:t>
      </w:r>
      <w:r w:rsidRPr="00F57E73">
        <w:rPr>
          <w:rFonts w:ascii="Arial" w:hAnsi="Arial" w:hint="cs"/>
          <w:rtl/>
        </w:rPr>
        <w:t xml:space="preserve"> לאחר שחזר בו מכפירתו</w:t>
      </w:r>
      <w:r>
        <w:rPr>
          <w:rFonts w:ascii="Arial" w:hAnsi="Arial" w:hint="cs"/>
          <w:rtl/>
        </w:rPr>
        <w:t>,</w:t>
      </w:r>
      <w:r w:rsidRPr="00F57E73">
        <w:rPr>
          <w:rFonts w:ascii="Arial" w:hAnsi="Arial" w:hint="cs"/>
          <w:rtl/>
        </w:rPr>
        <w:t xml:space="preserve"> בעבירות המיוחסות לו בכתב האישום המתוקן וזאת במסגרת הסדר טיעון אשר גובש בין הצדדים שלא כלל הסכמה עונשית. </w:t>
      </w:r>
    </w:p>
    <w:p w14:paraId="22FFFA28" w14:textId="77777777" w:rsidR="001748F5" w:rsidRPr="00F57E73" w:rsidRDefault="001748F5" w:rsidP="001748F5">
      <w:pPr>
        <w:spacing w:line="360" w:lineRule="auto"/>
        <w:jc w:val="both"/>
        <w:rPr>
          <w:rFonts w:ascii="Arial" w:hAnsi="Arial"/>
          <w:rtl/>
        </w:rPr>
      </w:pPr>
    </w:p>
    <w:p w14:paraId="512C8C06" w14:textId="77777777" w:rsidR="001748F5" w:rsidRDefault="001748F5" w:rsidP="001748F5">
      <w:pPr>
        <w:spacing w:line="360" w:lineRule="auto"/>
        <w:jc w:val="both"/>
        <w:rPr>
          <w:rFonts w:ascii="Arial" w:hAnsi="Arial"/>
          <w:rtl/>
        </w:rPr>
      </w:pPr>
      <w:bookmarkStart w:id="7" w:name="ABSTRACT_END"/>
      <w:bookmarkEnd w:id="7"/>
      <w:r w:rsidRPr="00F57E73">
        <w:rPr>
          <w:rFonts w:ascii="Arial" w:hAnsi="Arial" w:hint="cs"/>
          <w:rtl/>
        </w:rPr>
        <w:t xml:space="preserve">בהתאם לכתב האישום המתוקן הורשע הנאשם בעבירות של נשיאת/הובלת </w:t>
      </w:r>
      <w:r>
        <w:rPr>
          <w:rFonts w:ascii="Arial" w:hAnsi="Arial" w:hint="cs"/>
          <w:rtl/>
        </w:rPr>
        <w:t xml:space="preserve">חלק של נשק או תחמושת </w:t>
      </w:r>
      <w:r>
        <w:rPr>
          <w:rFonts w:ascii="Arial" w:hAnsi="Arial"/>
          <w:rtl/>
        </w:rPr>
        <w:t>–</w:t>
      </w:r>
      <w:r>
        <w:rPr>
          <w:rFonts w:ascii="Arial" w:hAnsi="Arial" w:hint="cs"/>
          <w:rtl/>
        </w:rPr>
        <w:t xml:space="preserve"> עבירה לפי </w:t>
      </w:r>
      <w:hyperlink r:id="rId17" w:history="1">
        <w:r w:rsidR="00937B12" w:rsidRPr="00937B12">
          <w:rPr>
            <w:rStyle w:val="Hyperlink"/>
            <w:rFonts w:ascii="Arial" w:hAnsi="Arial" w:hint="eastAsia"/>
            <w:color w:val="0000FF"/>
            <w:rtl/>
          </w:rPr>
          <w:t>סעיף</w:t>
        </w:r>
        <w:r w:rsidR="00937B12" w:rsidRPr="00937B12">
          <w:rPr>
            <w:rStyle w:val="Hyperlink"/>
            <w:rFonts w:ascii="Arial" w:hAnsi="Arial"/>
            <w:color w:val="0000FF"/>
            <w:rtl/>
          </w:rPr>
          <w:t xml:space="preserve"> 144(ב)</w:t>
        </w:r>
      </w:hyperlink>
      <w:r>
        <w:rPr>
          <w:rFonts w:ascii="Arial" w:hAnsi="Arial" w:hint="cs"/>
          <w:rtl/>
        </w:rPr>
        <w:t xml:space="preserve"> סיפא ל</w:t>
      </w:r>
      <w:hyperlink r:id="rId18" w:history="1">
        <w:r w:rsidR="000C7938" w:rsidRPr="000C7938">
          <w:rPr>
            <w:rFonts w:ascii="Arial" w:hAnsi="Arial"/>
            <w:color w:val="0000FF"/>
            <w:u w:val="single"/>
            <w:rtl/>
          </w:rPr>
          <w:t>חוק העונשין</w:t>
        </w:r>
      </w:hyperlink>
      <w:r>
        <w:rPr>
          <w:rFonts w:ascii="Arial" w:hAnsi="Arial" w:hint="cs"/>
          <w:rtl/>
        </w:rPr>
        <w:t xml:space="preserve">, תשל"ז </w:t>
      </w:r>
      <w:r>
        <w:rPr>
          <w:rFonts w:ascii="Arial" w:hAnsi="Arial"/>
          <w:rtl/>
        </w:rPr>
        <w:t>–</w:t>
      </w:r>
      <w:r>
        <w:rPr>
          <w:rFonts w:ascii="Arial" w:hAnsi="Arial" w:hint="cs"/>
          <w:rtl/>
        </w:rPr>
        <w:t xml:space="preserve"> 1977. החזקה/שימוש בסמים שלא לצריכה עצמית </w:t>
      </w:r>
      <w:r>
        <w:rPr>
          <w:rFonts w:ascii="Arial" w:hAnsi="Arial"/>
          <w:rtl/>
        </w:rPr>
        <w:t>–</w:t>
      </w:r>
      <w:r>
        <w:rPr>
          <w:rFonts w:ascii="Arial" w:hAnsi="Arial" w:hint="cs"/>
          <w:rtl/>
        </w:rPr>
        <w:t xml:space="preserve"> עבירה לפי </w:t>
      </w:r>
      <w:hyperlink r:id="rId19" w:history="1">
        <w:r w:rsidR="00937B12" w:rsidRPr="00937B12">
          <w:rPr>
            <w:rStyle w:val="Hyperlink"/>
            <w:rFonts w:ascii="Arial" w:hAnsi="Arial" w:hint="eastAsia"/>
            <w:color w:val="0000FF"/>
            <w:rtl/>
          </w:rPr>
          <w:t>סעיף</w:t>
        </w:r>
        <w:r w:rsidR="00937B12" w:rsidRPr="00937B12">
          <w:rPr>
            <w:rStyle w:val="Hyperlink"/>
            <w:rFonts w:ascii="Arial" w:hAnsi="Arial"/>
            <w:color w:val="0000FF"/>
            <w:rtl/>
          </w:rPr>
          <w:t xml:space="preserve"> 7(א)+7(ג)</w:t>
        </w:r>
      </w:hyperlink>
      <w:r>
        <w:rPr>
          <w:rFonts w:ascii="Arial" w:hAnsi="Arial" w:hint="cs"/>
          <w:rtl/>
        </w:rPr>
        <w:t xml:space="preserve"> רישא ל</w:t>
      </w:r>
      <w:hyperlink r:id="rId20" w:history="1">
        <w:r w:rsidR="000C7938" w:rsidRPr="000C7938">
          <w:rPr>
            <w:rFonts w:ascii="Arial" w:hAnsi="Arial"/>
            <w:color w:val="0000FF"/>
            <w:u w:val="single"/>
            <w:rtl/>
          </w:rPr>
          <w:t>פקודת הסמים המסוכנים</w:t>
        </w:r>
      </w:hyperlink>
      <w:r>
        <w:rPr>
          <w:rFonts w:ascii="Arial" w:hAnsi="Arial" w:hint="cs"/>
          <w:rtl/>
        </w:rPr>
        <w:t xml:space="preserve"> (נוסח חדש), תשל"ג - 1973</w:t>
      </w:r>
      <w:r w:rsidRPr="00F57E73">
        <w:rPr>
          <w:rFonts w:ascii="Arial" w:hAnsi="Arial" w:hint="cs"/>
          <w:rtl/>
        </w:rPr>
        <w:t xml:space="preserve">      וזאת בהתאם לעובדות כתב האישום לפיו בתאריך </w:t>
      </w:r>
      <w:r>
        <w:rPr>
          <w:rFonts w:ascii="Arial" w:hAnsi="Arial" w:hint="cs"/>
          <w:rtl/>
        </w:rPr>
        <w:t>23/3/23, בשעה 06:45 לערך, במסגרת חיפוש על פי צו בית משפט נמצא הנאשם מחזיק בתא המטען ברכבו מסוג יונדאי שמספרו 52504201, אשר חנה סמוך לביתו באום אל פאחם, את הפריטים הבאים:</w:t>
      </w:r>
    </w:p>
    <w:p w14:paraId="3504B2F3" w14:textId="77777777" w:rsidR="001748F5" w:rsidRDefault="001748F5" w:rsidP="001748F5">
      <w:pPr>
        <w:spacing w:line="360" w:lineRule="auto"/>
        <w:jc w:val="both"/>
        <w:rPr>
          <w:rFonts w:ascii="Arial" w:hAnsi="Arial"/>
          <w:rtl/>
        </w:rPr>
      </w:pPr>
      <w:r>
        <w:rPr>
          <w:rFonts w:ascii="Arial" w:hAnsi="Arial" w:hint="cs"/>
          <w:rtl/>
        </w:rPr>
        <w:t xml:space="preserve"> </w:t>
      </w:r>
    </w:p>
    <w:p w14:paraId="1051D5EB" w14:textId="77777777" w:rsidR="001748F5" w:rsidRDefault="001748F5" w:rsidP="001748F5">
      <w:pPr>
        <w:spacing w:line="360" w:lineRule="auto"/>
        <w:jc w:val="both"/>
        <w:rPr>
          <w:rFonts w:ascii="Arial" w:hAnsi="Arial"/>
          <w:rtl/>
        </w:rPr>
      </w:pPr>
      <w:r>
        <w:rPr>
          <w:rFonts w:ascii="Arial" w:hAnsi="Arial" w:hint="cs"/>
          <w:rtl/>
        </w:rPr>
        <w:t xml:space="preserve">א. </w:t>
      </w:r>
      <w:r>
        <w:rPr>
          <w:rFonts w:ascii="Arial" w:hAnsi="Arial"/>
          <w:rtl/>
        </w:rPr>
        <w:tab/>
      </w:r>
      <w:r>
        <w:rPr>
          <w:rFonts w:ascii="Arial" w:hAnsi="Arial" w:hint="cs"/>
          <w:rtl/>
        </w:rPr>
        <w:t xml:space="preserve">שקית שקופה ובה 24 כדורי תחמושת בקוטר 0.38 אינץ' המיועדים לאקדח. </w:t>
      </w:r>
    </w:p>
    <w:p w14:paraId="2E885058" w14:textId="77777777" w:rsidR="001748F5" w:rsidRDefault="001748F5" w:rsidP="001748F5">
      <w:pPr>
        <w:spacing w:line="360" w:lineRule="auto"/>
        <w:jc w:val="both"/>
        <w:rPr>
          <w:rFonts w:ascii="Arial" w:hAnsi="Arial"/>
          <w:rtl/>
        </w:rPr>
      </w:pPr>
    </w:p>
    <w:p w14:paraId="3E7F0DBF" w14:textId="77777777" w:rsidR="001748F5" w:rsidRDefault="001748F5" w:rsidP="001748F5">
      <w:pPr>
        <w:spacing w:line="360" w:lineRule="auto"/>
        <w:jc w:val="both"/>
        <w:rPr>
          <w:rFonts w:ascii="Arial" w:hAnsi="Arial"/>
          <w:rtl/>
        </w:rPr>
      </w:pPr>
      <w:r>
        <w:rPr>
          <w:rFonts w:ascii="Arial" w:hAnsi="Arial" w:hint="cs"/>
          <w:rtl/>
        </w:rPr>
        <w:t>ב.</w:t>
      </w:r>
      <w:r>
        <w:rPr>
          <w:rFonts w:ascii="Arial" w:hAnsi="Arial"/>
          <w:rtl/>
        </w:rPr>
        <w:tab/>
      </w:r>
      <w:r>
        <w:rPr>
          <w:rFonts w:ascii="Arial" w:hAnsi="Arial" w:hint="cs"/>
          <w:rtl/>
        </w:rPr>
        <w:t xml:space="preserve">שקית שחורה ובה 47 כדורי תחמושת בקוטר 9 מ"מ המיועדים לאקדח. </w:t>
      </w:r>
    </w:p>
    <w:p w14:paraId="2B3F20B2" w14:textId="77777777" w:rsidR="001748F5" w:rsidRDefault="001748F5" w:rsidP="001748F5">
      <w:pPr>
        <w:spacing w:line="360" w:lineRule="auto"/>
        <w:jc w:val="both"/>
        <w:rPr>
          <w:rFonts w:ascii="Arial" w:hAnsi="Arial"/>
          <w:rtl/>
        </w:rPr>
      </w:pPr>
    </w:p>
    <w:p w14:paraId="2FD60B01" w14:textId="77777777" w:rsidR="001748F5" w:rsidRDefault="001748F5" w:rsidP="001748F5">
      <w:pPr>
        <w:spacing w:line="360" w:lineRule="auto"/>
        <w:jc w:val="both"/>
        <w:rPr>
          <w:rFonts w:ascii="Arial" w:hAnsi="Arial"/>
          <w:rtl/>
        </w:rPr>
      </w:pPr>
      <w:r>
        <w:rPr>
          <w:rFonts w:ascii="Arial" w:hAnsi="Arial" w:hint="cs"/>
          <w:rtl/>
        </w:rPr>
        <w:t>ג.</w:t>
      </w:r>
      <w:r>
        <w:rPr>
          <w:rFonts w:ascii="Arial" w:hAnsi="Arial"/>
          <w:rtl/>
        </w:rPr>
        <w:tab/>
      </w:r>
      <w:r>
        <w:rPr>
          <w:rFonts w:ascii="Arial" w:hAnsi="Arial" w:hint="cs"/>
          <w:rtl/>
        </w:rPr>
        <w:t xml:space="preserve">ידית דריכה לנשק ארוך. </w:t>
      </w:r>
    </w:p>
    <w:p w14:paraId="417103FF" w14:textId="77777777" w:rsidR="001748F5" w:rsidRDefault="001748F5" w:rsidP="001748F5">
      <w:pPr>
        <w:spacing w:line="360" w:lineRule="auto"/>
        <w:jc w:val="both"/>
        <w:rPr>
          <w:rFonts w:ascii="Arial" w:hAnsi="Arial"/>
          <w:rtl/>
        </w:rPr>
      </w:pPr>
    </w:p>
    <w:p w14:paraId="27B3374A" w14:textId="77777777" w:rsidR="001748F5" w:rsidRDefault="001748F5" w:rsidP="001748F5">
      <w:pPr>
        <w:spacing w:line="360" w:lineRule="auto"/>
        <w:jc w:val="both"/>
        <w:rPr>
          <w:rFonts w:ascii="Arial" w:hAnsi="Arial"/>
          <w:rtl/>
        </w:rPr>
      </w:pPr>
      <w:r>
        <w:rPr>
          <w:rFonts w:ascii="Arial" w:hAnsi="Arial" w:hint="cs"/>
          <w:rtl/>
        </w:rPr>
        <w:lastRenderedPageBreak/>
        <w:t>ד.</w:t>
      </w:r>
      <w:r>
        <w:rPr>
          <w:rFonts w:ascii="Arial" w:hAnsi="Arial"/>
          <w:rtl/>
        </w:rPr>
        <w:tab/>
      </w:r>
      <w:r>
        <w:rPr>
          <w:rFonts w:ascii="Arial" w:hAnsi="Arial" w:hint="cs"/>
          <w:rtl/>
        </w:rPr>
        <w:t xml:space="preserve">שקית צהובה ובה 60 כדורי תחמושת בקוטר 5.5 מ"מ המיועדים לנשק ארוך. </w:t>
      </w:r>
    </w:p>
    <w:p w14:paraId="215CC9B5" w14:textId="77777777" w:rsidR="001748F5" w:rsidRDefault="001748F5" w:rsidP="001748F5">
      <w:pPr>
        <w:spacing w:line="360" w:lineRule="auto"/>
        <w:jc w:val="both"/>
        <w:rPr>
          <w:rFonts w:ascii="Arial" w:hAnsi="Arial"/>
          <w:rtl/>
        </w:rPr>
      </w:pPr>
    </w:p>
    <w:p w14:paraId="7FB2E497" w14:textId="77777777" w:rsidR="001748F5" w:rsidRDefault="001748F5" w:rsidP="001748F5">
      <w:pPr>
        <w:spacing w:line="360" w:lineRule="auto"/>
        <w:jc w:val="both"/>
        <w:rPr>
          <w:rFonts w:ascii="Arial" w:hAnsi="Arial"/>
          <w:rtl/>
        </w:rPr>
      </w:pPr>
      <w:r>
        <w:rPr>
          <w:rFonts w:ascii="Arial" w:hAnsi="Arial" w:hint="cs"/>
          <w:rtl/>
        </w:rPr>
        <w:t>ה.</w:t>
      </w:r>
      <w:r>
        <w:rPr>
          <w:rFonts w:ascii="Arial" w:hAnsi="Arial"/>
          <w:rtl/>
        </w:rPr>
        <w:tab/>
      </w:r>
      <w:r>
        <w:rPr>
          <w:rFonts w:ascii="Arial" w:hAnsi="Arial" w:hint="cs"/>
          <w:rtl/>
        </w:rPr>
        <w:t xml:space="preserve">קופסת פלסטיק ובה 50 כדורי תחמושת בקוטר 9 מ"מ המיועדים לאקדח. </w:t>
      </w:r>
    </w:p>
    <w:p w14:paraId="0CF86BC5" w14:textId="77777777" w:rsidR="001748F5" w:rsidRDefault="001748F5" w:rsidP="001748F5">
      <w:pPr>
        <w:spacing w:line="360" w:lineRule="auto"/>
        <w:jc w:val="both"/>
        <w:rPr>
          <w:rFonts w:ascii="Arial" w:hAnsi="Arial"/>
          <w:rtl/>
        </w:rPr>
      </w:pPr>
    </w:p>
    <w:p w14:paraId="314B223C" w14:textId="77777777" w:rsidR="001748F5" w:rsidRDefault="001748F5" w:rsidP="001748F5">
      <w:pPr>
        <w:spacing w:line="360" w:lineRule="auto"/>
        <w:jc w:val="both"/>
        <w:rPr>
          <w:rFonts w:ascii="Arial" w:hAnsi="Arial"/>
          <w:rtl/>
        </w:rPr>
      </w:pPr>
      <w:r>
        <w:rPr>
          <w:rFonts w:ascii="Arial" w:hAnsi="Arial" w:hint="cs"/>
          <w:rtl/>
        </w:rPr>
        <w:t>ו.</w:t>
      </w:r>
      <w:r>
        <w:rPr>
          <w:rFonts w:ascii="Arial" w:hAnsi="Arial"/>
          <w:rtl/>
        </w:rPr>
        <w:tab/>
      </w:r>
      <w:r>
        <w:rPr>
          <w:rFonts w:ascii="Arial" w:hAnsi="Arial" w:hint="cs"/>
          <w:rtl/>
        </w:rPr>
        <w:t xml:space="preserve">קופסת פלסטיק ובה 29 כדורי תחמושת בקוטר 9 מ"מ המיועדים לאקדח. </w:t>
      </w:r>
    </w:p>
    <w:p w14:paraId="2A6D1E15" w14:textId="77777777" w:rsidR="001748F5" w:rsidRDefault="001748F5" w:rsidP="001748F5">
      <w:pPr>
        <w:spacing w:line="360" w:lineRule="auto"/>
        <w:ind w:left="720" w:hanging="720"/>
        <w:jc w:val="both"/>
        <w:rPr>
          <w:rFonts w:ascii="Arial" w:hAnsi="Arial"/>
          <w:rtl/>
        </w:rPr>
      </w:pPr>
      <w:r>
        <w:rPr>
          <w:rFonts w:ascii="Arial" w:hAnsi="Arial" w:hint="cs"/>
          <w:rtl/>
        </w:rPr>
        <w:t>ז.</w:t>
      </w:r>
      <w:r>
        <w:rPr>
          <w:rFonts w:ascii="Arial" w:hAnsi="Arial"/>
          <w:rtl/>
        </w:rPr>
        <w:tab/>
      </w:r>
      <w:r>
        <w:rPr>
          <w:rFonts w:ascii="Arial" w:hAnsi="Arial" w:hint="cs"/>
          <w:rtl/>
        </w:rPr>
        <w:t xml:space="preserve">שקית שקופה ובה 2 אריזות סם מסוכן מסוג קוקאין במשקל כולל של 16.76 גרם נטו שלא לצריכתו העצמית. </w:t>
      </w:r>
    </w:p>
    <w:p w14:paraId="3727CDA4" w14:textId="77777777" w:rsidR="001748F5" w:rsidRDefault="001748F5" w:rsidP="001748F5">
      <w:pPr>
        <w:spacing w:line="360" w:lineRule="auto"/>
        <w:jc w:val="both"/>
        <w:rPr>
          <w:rFonts w:ascii="Arial" w:hAnsi="Arial"/>
          <w:rtl/>
        </w:rPr>
      </w:pPr>
    </w:p>
    <w:p w14:paraId="0D08E765" w14:textId="77777777" w:rsidR="001748F5" w:rsidRDefault="001748F5" w:rsidP="001748F5">
      <w:pPr>
        <w:spacing w:line="360" w:lineRule="auto"/>
        <w:jc w:val="both"/>
        <w:rPr>
          <w:rFonts w:ascii="Arial" w:hAnsi="Arial"/>
          <w:rtl/>
        </w:rPr>
      </w:pPr>
      <w:r>
        <w:rPr>
          <w:rFonts w:ascii="Arial" w:hAnsi="Arial" w:hint="cs"/>
          <w:rtl/>
        </w:rPr>
        <w:t>במעשיו כמתואר לעיל, הנאשם החזיק 210 כדורי תחמושת, ובאבזר של נשק, שלא כדין, וכן במעמד זה החזיק הנאשם בסם מסוכן שלא לצריכתו העצמית וזאת ללא היתר או רישיון מהמנהל.</w:t>
      </w:r>
    </w:p>
    <w:p w14:paraId="29A1C6DD" w14:textId="77777777" w:rsidR="001748F5" w:rsidRDefault="001748F5" w:rsidP="001748F5">
      <w:pPr>
        <w:spacing w:line="360" w:lineRule="auto"/>
        <w:jc w:val="both"/>
        <w:rPr>
          <w:rFonts w:ascii="Arial" w:hAnsi="Arial"/>
          <w:rtl/>
        </w:rPr>
      </w:pPr>
    </w:p>
    <w:p w14:paraId="3E56D677" w14:textId="77777777" w:rsidR="001748F5" w:rsidRDefault="001748F5" w:rsidP="001748F5">
      <w:pPr>
        <w:spacing w:line="360" w:lineRule="auto"/>
        <w:jc w:val="both"/>
        <w:rPr>
          <w:rFonts w:ascii="Arial" w:hAnsi="Arial"/>
          <w:rtl/>
        </w:rPr>
      </w:pPr>
      <w:r>
        <w:rPr>
          <w:rFonts w:ascii="Arial" w:hAnsi="Arial" w:hint="cs"/>
          <w:rtl/>
        </w:rPr>
        <w:t xml:space="preserve">טרם שמיעת הטיעונים לעונש ולבקשת ב"כ הנאשם הופנה עניינו של הנאשם לשירות המבחן וזאת לצורך קבלת תסקיר בעניינו, מטעם שירות המבחן הוגשו בעניינו של הנאשם 3 תסקירים, התסקיר הראשון מיום 20/6/24, השני מיום 8/10/24 והשלישי מיום 16/2/25. שירות המבחן נפגש עם הנאשם וערך בעניינו 3 תסקירים. היכרות שירות המבחן עם הנאשם נפרסה על פני מספר חודשים ובסופו של דבר מצא לנכון שירות המבחן להמליץ לאור התרשמותו מיכולתו של הנאשם להתמיד בהליך טיפולי ולהירתם ממנו, על שילוב הנאשם בהליך שיקומי ולצורך כך התבקש בית המשפט להטיל על הנאשם צו מבחן למשך 12 חודשים שכן לעמדת שירות המבחן שליחתו של הנאשם לריצוי עונש מאסר בפועל בשלב זה בחייו עלול להוביל לרגרסיה במצבו ולהוות קושי משמעותי במאמצי השיקום. </w:t>
      </w:r>
    </w:p>
    <w:p w14:paraId="246E6654" w14:textId="77777777" w:rsidR="001748F5" w:rsidRDefault="001748F5" w:rsidP="001748F5">
      <w:pPr>
        <w:spacing w:line="360" w:lineRule="auto"/>
        <w:jc w:val="both"/>
        <w:rPr>
          <w:rFonts w:ascii="Arial" w:hAnsi="Arial"/>
          <w:rtl/>
        </w:rPr>
      </w:pPr>
    </w:p>
    <w:p w14:paraId="3A5868DA" w14:textId="77777777" w:rsidR="001748F5" w:rsidRDefault="001748F5" w:rsidP="001748F5">
      <w:pPr>
        <w:spacing w:line="360" w:lineRule="auto"/>
        <w:jc w:val="both"/>
        <w:rPr>
          <w:rFonts w:ascii="Arial" w:hAnsi="Arial"/>
          <w:rtl/>
        </w:rPr>
      </w:pPr>
      <w:r>
        <w:rPr>
          <w:rFonts w:ascii="Arial" w:hAnsi="Arial" w:hint="cs"/>
          <w:rtl/>
        </w:rPr>
        <w:t xml:space="preserve">במקביל לצו המבחן הומלץ להטיל על הנאשם צו של"צ בהיקף של 340 שעות אשר יבוצע בעיריית עפולה, במנהל תפעול וגן וחי בתפקיד האכלת חיות, ניקיון גן החי וסביבתו. לצד זאת הומלץ על הטלת מאסר על תנאי. </w:t>
      </w:r>
    </w:p>
    <w:p w14:paraId="6CBB3FD8" w14:textId="77777777" w:rsidR="001748F5" w:rsidRDefault="001748F5" w:rsidP="001748F5">
      <w:pPr>
        <w:spacing w:line="360" w:lineRule="auto"/>
        <w:jc w:val="both"/>
        <w:rPr>
          <w:rFonts w:ascii="Arial" w:hAnsi="Arial"/>
          <w:rtl/>
        </w:rPr>
      </w:pPr>
    </w:p>
    <w:p w14:paraId="668D3AB3" w14:textId="77777777" w:rsidR="001748F5" w:rsidRDefault="001748F5" w:rsidP="001748F5">
      <w:pPr>
        <w:spacing w:line="360" w:lineRule="auto"/>
        <w:jc w:val="both"/>
        <w:rPr>
          <w:rFonts w:ascii="Arial" w:hAnsi="Arial"/>
          <w:rtl/>
        </w:rPr>
      </w:pPr>
      <w:r>
        <w:rPr>
          <w:rFonts w:ascii="Arial" w:hAnsi="Arial" w:hint="cs"/>
          <w:rtl/>
        </w:rPr>
        <w:t xml:space="preserve">בתאריך 15/10/24 ביקש ב"כ הנאשם לצד תסקירי המבחן שהוגשו בעניינו של מרשו, להפנות את עניינו לממונה על עבודות השירות על מנת שתיבדק כשירתו לריצוי עונש המאסר בעבודות שירות. </w:t>
      </w:r>
    </w:p>
    <w:p w14:paraId="5311E155" w14:textId="77777777" w:rsidR="001748F5" w:rsidRDefault="001748F5" w:rsidP="001748F5">
      <w:pPr>
        <w:spacing w:line="360" w:lineRule="auto"/>
        <w:jc w:val="both"/>
        <w:rPr>
          <w:rFonts w:ascii="Arial" w:hAnsi="Arial"/>
          <w:rtl/>
        </w:rPr>
      </w:pPr>
    </w:p>
    <w:p w14:paraId="6FFE60D4" w14:textId="77777777" w:rsidR="001748F5" w:rsidRDefault="001748F5" w:rsidP="001748F5">
      <w:pPr>
        <w:spacing w:line="360" w:lineRule="auto"/>
        <w:jc w:val="both"/>
        <w:rPr>
          <w:rFonts w:ascii="Arial" w:hAnsi="Arial"/>
          <w:rtl/>
        </w:rPr>
      </w:pPr>
      <w:r>
        <w:rPr>
          <w:rFonts w:ascii="Arial" w:hAnsi="Arial" w:hint="cs"/>
          <w:rtl/>
        </w:rPr>
        <w:t>ביום 14/11/24 התקבלה חוות דעת מטעם הממונה על עבודות השירות לפיה לאור חוות דעת מודיעינית של משטרת ישראל, קיימת מניעה להעסקתו בעבודות שירות. לחוות הדעת הוגשה פראפרזה שהועברה לצדדים וביום 18/12/24 התקיים בפני בעניין זה דיון במעמד הצדדים כאשר לישיבה זו התייצב קמ"ן ימ"ר חוף אשר הציג בפני , (במעמד צד אחד) מסמכים מודיעיניי</w:t>
      </w:r>
      <w:r>
        <w:rPr>
          <w:rFonts w:ascii="Arial" w:hAnsi="Arial" w:hint="eastAsia"/>
          <w:rtl/>
        </w:rPr>
        <w:t>ם</w:t>
      </w:r>
      <w:r>
        <w:rPr>
          <w:rFonts w:ascii="Arial" w:hAnsi="Arial" w:hint="cs"/>
          <w:rtl/>
        </w:rPr>
        <w:t xml:space="preserve">  רלוונטיים התומכים במניעה שהוצגה ע"י הממונה  על עבודות השירות. </w:t>
      </w:r>
    </w:p>
    <w:p w14:paraId="0CD594E3" w14:textId="77777777" w:rsidR="001748F5" w:rsidRDefault="001748F5" w:rsidP="001748F5">
      <w:pPr>
        <w:spacing w:line="360" w:lineRule="auto"/>
        <w:jc w:val="both"/>
        <w:rPr>
          <w:rFonts w:ascii="Arial" w:hAnsi="Arial"/>
          <w:rtl/>
        </w:rPr>
      </w:pPr>
    </w:p>
    <w:p w14:paraId="78BD8348" w14:textId="77777777" w:rsidR="001748F5" w:rsidRDefault="001748F5" w:rsidP="001748F5">
      <w:pPr>
        <w:spacing w:line="360" w:lineRule="auto"/>
        <w:jc w:val="both"/>
        <w:rPr>
          <w:rFonts w:ascii="Arial" w:hAnsi="Arial"/>
          <w:rtl/>
        </w:rPr>
      </w:pPr>
      <w:r>
        <w:rPr>
          <w:rFonts w:ascii="Arial" w:hAnsi="Arial" w:hint="cs"/>
          <w:rtl/>
        </w:rPr>
        <w:lastRenderedPageBreak/>
        <w:t xml:space="preserve">לאחר שעיינתי באסמכתאות הרלוונטיות ושמעתי את הצדדים, מצאתי בנסיבות העניין לנכון לקבוע כי אכן המניעה שהוצגה בפני הממונה על עבודות השירות היא מניעה קונקרטית ומהותית ומתוקפה הנאשם לא יכול לבצע עבודות שירות. </w:t>
      </w:r>
    </w:p>
    <w:p w14:paraId="1962518D" w14:textId="77777777" w:rsidR="001748F5" w:rsidRDefault="001748F5" w:rsidP="001748F5">
      <w:pPr>
        <w:spacing w:line="360" w:lineRule="auto"/>
        <w:jc w:val="both"/>
        <w:rPr>
          <w:rFonts w:ascii="Arial" w:hAnsi="Arial"/>
          <w:rtl/>
        </w:rPr>
      </w:pPr>
    </w:p>
    <w:p w14:paraId="6BDF5361" w14:textId="77777777" w:rsidR="001748F5" w:rsidRDefault="001748F5" w:rsidP="001748F5">
      <w:pPr>
        <w:spacing w:line="360" w:lineRule="auto"/>
        <w:jc w:val="both"/>
        <w:rPr>
          <w:rFonts w:ascii="Arial" w:hAnsi="Arial"/>
          <w:rtl/>
        </w:rPr>
      </w:pPr>
      <w:r>
        <w:rPr>
          <w:rFonts w:ascii="Arial" w:hAnsi="Arial" w:hint="cs"/>
          <w:rtl/>
        </w:rPr>
        <w:t xml:space="preserve">לבקשת ב"כ הנאשם הפניתי פעם נוספת את עניינו של הנאשם לשירות המבחן על מנת שתתקבל עמדת שירות המבחן בדבר האפשרות של שילוב הנאשם בצו של"צ וזאת חרף עמדת שירות המבחן כפי שבאה לידי ביטוי בתסקיר מיום 8/10/24 כאשר במסגרת תסקיר זה המליץ שירות המבחן לצד  הטלת צו מבחן למשך 12 חודשים, להטיל על הנאשם מאסר שירוצה בעבודות שירות. ואכן בתסקיר האחרון שהוגש ביום 16/2/25 המליץ שירות המבחן על הטלת צו של"צ חרף המאסר בעבודות שירות. </w:t>
      </w:r>
    </w:p>
    <w:p w14:paraId="718EA32D" w14:textId="77777777" w:rsidR="001748F5" w:rsidRDefault="001748F5" w:rsidP="001748F5">
      <w:pPr>
        <w:spacing w:line="360" w:lineRule="auto"/>
        <w:jc w:val="both"/>
        <w:rPr>
          <w:rFonts w:ascii="Arial" w:hAnsi="Arial"/>
          <w:rtl/>
        </w:rPr>
      </w:pPr>
    </w:p>
    <w:p w14:paraId="0816E7C4" w14:textId="77777777" w:rsidR="001748F5" w:rsidRDefault="001748F5" w:rsidP="001748F5">
      <w:pPr>
        <w:spacing w:line="360" w:lineRule="auto"/>
        <w:jc w:val="both"/>
        <w:rPr>
          <w:rFonts w:ascii="Arial" w:hAnsi="Arial"/>
          <w:b/>
          <w:bCs/>
          <w:u w:val="single"/>
          <w:rtl/>
        </w:rPr>
      </w:pPr>
      <w:r>
        <w:rPr>
          <w:rFonts w:ascii="Arial" w:hAnsi="Arial" w:hint="cs"/>
          <w:b/>
          <w:bCs/>
          <w:u w:val="single"/>
          <w:rtl/>
        </w:rPr>
        <w:t xml:space="preserve">טיעוני הצדדים לעונש: </w:t>
      </w:r>
    </w:p>
    <w:p w14:paraId="71C60BC3" w14:textId="77777777" w:rsidR="001748F5" w:rsidRDefault="001748F5" w:rsidP="001748F5">
      <w:pPr>
        <w:spacing w:line="360" w:lineRule="auto"/>
        <w:jc w:val="both"/>
        <w:rPr>
          <w:rFonts w:ascii="Arial" w:hAnsi="Arial"/>
          <w:rtl/>
        </w:rPr>
      </w:pPr>
      <w:r>
        <w:rPr>
          <w:rFonts w:ascii="Arial" w:hAnsi="Arial" w:hint="cs"/>
          <w:rtl/>
        </w:rPr>
        <w:t xml:space="preserve">המאשימה בטיעוניה הדגישה את חומרת העבירות בהן הורשע הנאשם בכתב האישום המתוקן, את הפגיעה בערכים המוגנים ואת מידת הפגיעה בהם, ועתרה לקביעת מתחם ענישה שנע בין 18 ועד 36 חודשי מאסר לצד הטלת ענישה נלווית. המאשימה הדגישה במסגרת טיעוניה את כמות התחמושת שנתפסה את סוגי הכדורים השונים, את ידית הדריכה וכן את סוג הסם. המאשימה הפנתה לפסיקה שלעמדתה תומכת במתחם הענישה אליו היא עתרה. </w:t>
      </w:r>
    </w:p>
    <w:p w14:paraId="55BE3592" w14:textId="77777777" w:rsidR="001748F5" w:rsidRDefault="001748F5" w:rsidP="001748F5">
      <w:pPr>
        <w:spacing w:line="360" w:lineRule="auto"/>
        <w:jc w:val="both"/>
        <w:rPr>
          <w:rFonts w:ascii="Arial" w:hAnsi="Arial"/>
          <w:rtl/>
        </w:rPr>
      </w:pPr>
    </w:p>
    <w:p w14:paraId="7D19F415" w14:textId="77777777" w:rsidR="001748F5" w:rsidRDefault="001748F5" w:rsidP="001748F5">
      <w:pPr>
        <w:spacing w:line="360" w:lineRule="auto"/>
        <w:jc w:val="both"/>
        <w:rPr>
          <w:rFonts w:ascii="Arial" w:hAnsi="Arial"/>
          <w:rtl/>
        </w:rPr>
      </w:pPr>
      <w:r>
        <w:rPr>
          <w:rFonts w:ascii="Arial" w:hAnsi="Arial" w:hint="cs"/>
          <w:rtl/>
        </w:rPr>
        <w:t xml:space="preserve">המאשימה התייחסה לתסקירי שירות המבחן, וחרף עמדת שירות המבחן היא סבורה כי עדיין מהנאשם נשקף סיכון קונקרטי ולא ניתן לקבוע שהנאשם עבר שיקום משמעותי, שכן הוא נמצא בשלבים הראשונים של ההליך. </w:t>
      </w:r>
    </w:p>
    <w:p w14:paraId="67B5C5DC" w14:textId="77777777" w:rsidR="001748F5" w:rsidRDefault="001748F5" w:rsidP="001748F5">
      <w:pPr>
        <w:spacing w:line="360" w:lineRule="auto"/>
        <w:jc w:val="both"/>
        <w:rPr>
          <w:rFonts w:ascii="Arial" w:hAnsi="Arial"/>
          <w:rtl/>
        </w:rPr>
      </w:pPr>
    </w:p>
    <w:p w14:paraId="4374690E" w14:textId="77777777" w:rsidR="001748F5" w:rsidRDefault="001748F5" w:rsidP="001748F5">
      <w:pPr>
        <w:spacing w:line="360" w:lineRule="auto"/>
        <w:jc w:val="both"/>
        <w:rPr>
          <w:rFonts w:ascii="Arial" w:hAnsi="Arial"/>
          <w:rtl/>
        </w:rPr>
      </w:pPr>
      <w:r>
        <w:rPr>
          <w:rFonts w:ascii="Arial" w:hAnsi="Arial" w:hint="cs"/>
          <w:rtl/>
        </w:rPr>
        <w:t>המאשימה הפנתה לעברו הפלילי של הנאשם, (ת/1)</w:t>
      </w:r>
      <w:r>
        <w:rPr>
          <w:rFonts w:ascii="Arial" w:hAnsi="Arial" w:hint="cs"/>
        </w:rPr>
        <w:t xml:space="preserve"> </w:t>
      </w:r>
      <w:r>
        <w:rPr>
          <w:rFonts w:ascii="Arial" w:hAnsi="Arial" w:hint="cs"/>
          <w:rtl/>
        </w:rPr>
        <w:t xml:space="preserve">ובסופו של דבר על סמך כלל הנתונים האמורים לעיל, ביקשה לדחות את המלצת שירות המבחן ולמקם את עונשו של הנאשם ברף הבינוני של המתחם. </w:t>
      </w:r>
    </w:p>
    <w:p w14:paraId="63EF19A5" w14:textId="77777777" w:rsidR="001748F5" w:rsidRDefault="001748F5" w:rsidP="001748F5">
      <w:pPr>
        <w:spacing w:line="360" w:lineRule="auto"/>
        <w:jc w:val="both"/>
        <w:rPr>
          <w:rFonts w:ascii="Arial" w:hAnsi="Arial"/>
          <w:rtl/>
        </w:rPr>
      </w:pPr>
      <w:r>
        <w:rPr>
          <w:rFonts w:ascii="Arial" w:hAnsi="Arial" w:hint="cs"/>
          <w:rtl/>
        </w:rPr>
        <w:t xml:space="preserve">עם זאת, לאור ההליך הטיפולי אותו עבר הנאשם בחסות ההליך הנוכחי, הסכימה המאשימה לחרוג ממתחם זה, ועתרה לקביעת עונש הולם מופחת ומחוץ למתחם אליו היא עתרה כך שבסופו של דבר התבקש בית המשפט להטיל על הנאשם מאסר בפועל למשך 12 חודשים, מאסר על תנאי, וקנס. </w:t>
      </w:r>
    </w:p>
    <w:p w14:paraId="66B7CDCB" w14:textId="77777777" w:rsidR="001748F5" w:rsidRDefault="001748F5" w:rsidP="001748F5">
      <w:pPr>
        <w:spacing w:line="360" w:lineRule="auto"/>
        <w:jc w:val="both"/>
        <w:rPr>
          <w:rFonts w:ascii="Arial" w:hAnsi="Arial"/>
          <w:rtl/>
        </w:rPr>
      </w:pPr>
    </w:p>
    <w:p w14:paraId="345ED271" w14:textId="77777777" w:rsidR="001748F5" w:rsidRDefault="001748F5" w:rsidP="001748F5">
      <w:pPr>
        <w:spacing w:line="360" w:lineRule="auto"/>
        <w:jc w:val="both"/>
        <w:rPr>
          <w:rFonts w:ascii="Arial" w:hAnsi="Arial"/>
          <w:rtl/>
        </w:rPr>
      </w:pPr>
      <w:r>
        <w:rPr>
          <w:rFonts w:ascii="Arial" w:hAnsi="Arial" w:hint="cs"/>
          <w:rtl/>
        </w:rPr>
        <w:t xml:space="preserve">ב"כ הנאשם מיקד את טיעוניו בהליך הטיפולי המוצלח שעבר מרשו, והדגיש כי מקרה קונקרטי זה מצדיק חריגה ממתחמי הענישה כפי שגם סברה המאשימה וזאת לאור שיקומו של הנאשם והסיכוי הממשי להמשך שיקומו בעתיד. </w:t>
      </w:r>
    </w:p>
    <w:p w14:paraId="34BC0FE5" w14:textId="77777777" w:rsidR="001748F5" w:rsidRDefault="001748F5" w:rsidP="001748F5">
      <w:pPr>
        <w:spacing w:line="360" w:lineRule="auto"/>
        <w:jc w:val="both"/>
        <w:rPr>
          <w:rFonts w:ascii="Arial" w:hAnsi="Arial"/>
          <w:rtl/>
        </w:rPr>
      </w:pPr>
    </w:p>
    <w:p w14:paraId="2DBA8BAD" w14:textId="77777777" w:rsidR="001748F5" w:rsidRDefault="001748F5" w:rsidP="001748F5">
      <w:pPr>
        <w:spacing w:line="360" w:lineRule="auto"/>
        <w:jc w:val="both"/>
        <w:rPr>
          <w:rFonts w:ascii="Arial" w:hAnsi="Arial"/>
          <w:rtl/>
        </w:rPr>
      </w:pPr>
      <w:r>
        <w:rPr>
          <w:rFonts w:ascii="Arial" w:hAnsi="Arial" w:hint="cs"/>
          <w:rtl/>
        </w:rPr>
        <w:t xml:space="preserve">ב"כ הנאשם ציין כי בשל קיומה של מניעה לשילוב הנאשם בריצוי עונש המאסר בעבודות שירות אין מקום להחמיר עמו יתר על המידה ולהטיל עליו מאסר בפועל, על אחת כמה וכמה כשהנאשם לקח אחריות על מעשיו, הודה בעבירות המיוחסות לו בכתב האישום המתוקן, חסך זמן שיפוטי יקר וכן את זמנם של 17 עדי התביעה. </w:t>
      </w:r>
    </w:p>
    <w:p w14:paraId="688D2A43" w14:textId="77777777" w:rsidR="001748F5" w:rsidRDefault="001748F5" w:rsidP="001748F5">
      <w:pPr>
        <w:spacing w:line="360" w:lineRule="auto"/>
        <w:jc w:val="both"/>
        <w:rPr>
          <w:rFonts w:ascii="Arial" w:hAnsi="Arial"/>
          <w:rtl/>
        </w:rPr>
      </w:pPr>
    </w:p>
    <w:p w14:paraId="0A9B31F2" w14:textId="77777777" w:rsidR="001748F5" w:rsidRDefault="001748F5" w:rsidP="001748F5">
      <w:pPr>
        <w:spacing w:line="360" w:lineRule="auto"/>
        <w:jc w:val="both"/>
        <w:rPr>
          <w:rFonts w:ascii="Arial" w:hAnsi="Arial"/>
          <w:rtl/>
        </w:rPr>
      </w:pPr>
      <w:r>
        <w:rPr>
          <w:rFonts w:ascii="Arial" w:hAnsi="Arial" w:hint="cs"/>
          <w:rtl/>
        </w:rPr>
        <w:t xml:space="preserve">ב"כ הנאשם הפנה לנסיבותיו האישיות של מרשו, לאמור בתסקיר שירות המבחן, וכן לפסיקה שלטעמו תואמת לענייננו. </w:t>
      </w:r>
    </w:p>
    <w:p w14:paraId="7ED7D013" w14:textId="77777777" w:rsidR="001748F5" w:rsidRDefault="001748F5" w:rsidP="001748F5">
      <w:pPr>
        <w:spacing w:line="360" w:lineRule="auto"/>
        <w:jc w:val="both"/>
        <w:rPr>
          <w:rFonts w:ascii="Arial" w:hAnsi="Arial"/>
          <w:rtl/>
        </w:rPr>
      </w:pPr>
    </w:p>
    <w:p w14:paraId="38566DD3" w14:textId="77777777" w:rsidR="001748F5" w:rsidRDefault="001748F5" w:rsidP="001748F5">
      <w:pPr>
        <w:spacing w:line="360" w:lineRule="auto"/>
        <w:jc w:val="both"/>
        <w:rPr>
          <w:rFonts w:ascii="Arial" w:hAnsi="Arial"/>
          <w:rtl/>
        </w:rPr>
      </w:pPr>
      <w:r>
        <w:rPr>
          <w:rFonts w:ascii="Arial" w:hAnsi="Arial" w:hint="cs"/>
          <w:rtl/>
        </w:rPr>
        <w:t xml:space="preserve">בסופו של דבר ביקש ב"כ הנאשם לאמץ את המלצת שירות המבחן וכל מתחם ענישה שיקבע ע"י בית המשפט, יוחרג עונשו של הנאשם מחוץ למתחם זה וזאת נוכח שיקולי השיקום. </w:t>
      </w:r>
    </w:p>
    <w:p w14:paraId="66C01A7B" w14:textId="77777777" w:rsidR="001748F5" w:rsidRDefault="001748F5" w:rsidP="001748F5">
      <w:pPr>
        <w:spacing w:line="360" w:lineRule="auto"/>
        <w:jc w:val="both"/>
        <w:rPr>
          <w:rFonts w:ascii="Arial" w:hAnsi="Arial"/>
          <w:rtl/>
        </w:rPr>
      </w:pPr>
    </w:p>
    <w:p w14:paraId="72C4D0EC" w14:textId="77777777" w:rsidR="001748F5" w:rsidRDefault="001748F5" w:rsidP="001748F5">
      <w:pPr>
        <w:spacing w:line="360" w:lineRule="auto"/>
        <w:jc w:val="both"/>
        <w:rPr>
          <w:rFonts w:ascii="Arial" w:hAnsi="Arial"/>
          <w:rtl/>
        </w:rPr>
      </w:pPr>
      <w:r>
        <w:rPr>
          <w:rFonts w:ascii="Arial" w:hAnsi="Arial" w:hint="cs"/>
          <w:rtl/>
        </w:rPr>
        <w:t xml:space="preserve">הנאשם אף הוא ביקש לומר את דברו, התנצל על מעשיו, הדגיש את ההליך השיקומי אותו הוא עובר, והתחייב להמשיך ולשתף פעולה עם שירות המבחן, לא רק מתוקף הליך זה, אלא גם בעתיד ככל שיידרש. </w:t>
      </w:r>
    </w:p>
    <w:p w14:paraId="038FF1B0" w14:textId="77777777" w:rsidR="001748F5" w:rsidRDefault="001748F5" w:rsidP="001748F5">
      <w:pPr>
        <w:spacing w:line="360" w:lineRule="auto"/>
        <w:jc w:val="both"/>
        <w:rPr>
          <w:rFonts w:ascii="Arial" w:hAnsi="Arial"/>
          <w:rtl/>
        </w:rPr>
      </w:pPr>
    </w:p>
    <w:p w14:paraId="44379B78" w14:textId="77777777" w:rsidR="001748F5" w:rsidRPr="00F03DFA" w:rsidRDefault="001748F5" w:rsidP="001748F5">
      <w:pPr>
        <w:spacing w:line="360" w:lineRule="auto"/>
        <w:jc w:val="both"/>
        <w:rPr>
          <w:rFonts w:ascii="Arial" w:hAnsi="Arial"/>
          <w:b/>
          <w:bCs/>
          <w:u w:val="single"/>
          <w:rtl/>
        </w:rPr>
      </w:pPr>
      <w:r w:rsidRPr="00F03DFA">
        <w:rPr>
          <w:rFonts w:ascii="Arial" w:hAnsi="Arial" w:hint="cs"/>
          <w:b/>
          <w:bCs/>
          <w:u w:val="single"/>
          <w:rtl/>
        </w:rPr>
        <w:t xml:space="preserve">דיון והכרעה: </w:t>
      </w:r>
    </w:p>
    <w:p w14:paraId="24541CB8" w14:textId="77777777" w:rsidR="001748F5" w:rsidRPr="00665F01" w:rsidRDefault="001748F5" w:rsidP="001748F5">
      <w:pPr>
        <w:spacing w:line="360" w:lineRule="auto"/>
        <w:jc w:val="both"/>
        <w:rPr>
          <w:rFonts w:ascii="Arial" w:hAnsi="Arial"/>
          <w:rtl/>
        </w:rPr>
      </w:pPr>
      <w:r w:rsidRPr="00665F01">
        <w:rPr>
          <w:rFonts w:ascii="Arial" w:hAnsi="Arial"/>
          <w:rtl/>
        </w:rPr>
        <w:t>תיקון 113 ל</w:t>
      </w:r>
      <w:hyperlink r:id="rId21" w:history="1">
        <w:r w:rsidR="000C7938" w:rsidRPr="000C7938">
          <w:rPr>
            <w:rFonts w:ascii="Arial" w:hAnsi="Arial"/>
            <w:color w:val="0000FF"/>
            <w:u w:val="single"/>
            <w:rtl/>
          </w:rPr>
          <w:t>חוק העונשין</w:t>
        </w:r>
      </w:hyperlink>
      <w:r w:rsidRPr="00665F01">
        <w:rPr>
          <w:rFonts w:ascii="Arial" w:hAnsi="Arial"/>
          <w:rtl/>
        </w:rPr>
        <w:t xml:space="preserve">, עיגן את הבניית שיקול הדעת השיפוטי והעניק מעמד בכורה לעיקרון ההלימה, היינו קיומו של יחס הולם בין חומרת מעשי העבירה, בנסיבותיו ומידת אשמו של הנאשם ובין סוג ומידת העונש המוטל עליו. בהתאם לתיקון לחוק, על בית המשפט לקבוע את מתחם העונש ההולם למעשה העבירות שביצע הנאשם. לשם כך יתחשב בית המשפט בערך החברתי שנפגע מביצוע העבירה, במידת הפגיעה בו, במדיניות הענישה הנהוגה ובנסיבות הקשורות בביצוע העבירה המפורטות </w:t>
      </w:r>
      <w:hyperlink r:id="rId22" w:history="1">
        <w:r w:rsidR="00937B12" w:rsidRPr="00937B12">
          <w:rPr>
            <w:rStyle w:val="Hyperlink"/>
            <w:rFonts w:ascii="Arial" w:hAnsi="Arial"/>
            <w:color w:val="0000FF"/>
            <w:rtl/>
          </w:rPr>
          <w:t>בסעיף 40ט'</w:t>
        </w:r>
      </w:hyperlink>
      <w:r w:rsidRPr="00665F01">
        <w:rPr>
          <w:rFonts w:ascii="Arial" w:hAnsi="Arial"/>
          <w:rtl/>
        </w:rPr>
        <w:t xml:space="preserve"> ל</w:t>
      </w:r>
      <w:hyperlink r:id="rId23" w:history="1">
        <w:r w:rsidR="000C7938" w:rsidRPr="000C7938">
          <w:rPr>
            <w:rFonts w:ascii="Arial" w:hAnsi="Arial"/>
            <w:color w:val="0000FF"/>
            <w:u w:val="single"/>
            <w:rtl/>
          </w:rPr>
          <w:t>חוק העונשין</w:t>
        </w:r>
      </w:hyperlink>
      <w:r w:rsidRPr="00665F01">
        <w:rPr>
          <w:rFonts w:ascii="Arial" w:hAnsi="Arial"/>
          <w:rtl/>
        </w:rPr>
        <w:t xml:space="preserve">. </w:t>
      </w:r>
    </w:p>
    <w:p w14:paraId="49DE7551" w14:textId="77777777" w:rsidR="001748F5" w:rsidRPr="00665F01" w:rsidRDefault="001748F5" w:rsidP="001748F5">
      <w:pPr>
        <w:spacing w:line="360" w:lineRule="auto"/>
        <w:jc w:val="both"/>
        <w:rPr>
          <w:rFonts w:ascii="Arial" w:hAnsi="Arial"/>
          <w:rtl/>
        </w:rPr>
      </w:pPr>
    </w:p>
    <w:p w14:paraId="76478049" w14:textId="77777777" w:rsidR="001748F5" w:rsidRPr="00665F01" w:rsidRDefault="001748F5" w:rsidP="001748F5">
      <w:pPr>
        <w:spacing w:line="360" w:lineRule="auto"/>
        <w:jc w:val="both"/>
        <w:rPr>
          <w:rFonts w:ascii="Arial" w:hAnsi="Arial"/>
          <w:rtl/>
        </w:rPr>
      </w:pPr>
      <w:r w:rsidRPr="00665F01">
        <w:rPr>
          <w:rFonts w:ascii="Arial" w:hAnsi="Arial"/>
          <w:rtl/>
        </w:rPr>
        <w:t xml:space="preserve">לכשייקבע מתחם הענישה, יקבע בית המשפט את העונש המתאים, בתוך המתחם, אשר יוטל על הנאשם וזאת בהתחשב בנסיבות שאינן קשורות בביצוע העבירה המפורטות </w:t>
      </w:r>
      <w:hyperlink r:id="rId24" w:history="1">
        <w:r w:rsidR="00937B12" w:rsidRPr="00937B12">
          <w:rPr>
            <w:rStyle w:val="Hyperlink"/>
            <w:rFonts w:ascii="Arial" w:hAnsi="Arial"/>
            <w:color w:val="0000FF"/>
            <w:rtl/>
          </w:rPr>
          <w:t>בסעיף 40יא'</w:t>
        </w:r>
      </w:hyperlink>
      <w:r w:rsidRPr="00665F01">
        <w:rPr>
          <w:rFonts w:ascii="Arial" w:hAnsi="Arial"/>
          <w:rtl/>
        </w:rPr>
        <w:t xml:space="preserve"> לחוק. </w:t>
      </w:r>
    </w:p>
    <w:p w14:paraId="301164E2" w14:textId="77777777" w:rsidR="001748F5" w:rsidRPr="00665F01" w:rsidRDefault="001748F5" w:rsidP="001748F5">
      <w:pPr>
        <w:spacing w:line="360" w:lineRule="auto"/>
        <w:jc w:val="both"/>
        <w:rPr>
          <w:rFonts w:ascii="Arial" w:hAnsi="Arial"/>
          <w:rtl/>
        </w:rPr>
      </w:pPr>
    </w:p>
    <w:p w14:paraId="26580F64" w14:textId="77777777" w:rsidR="001748F5" w:rsidRDefault="001748F5" w:rsidP="001748F5">
      <w:pPr>
        <w:spacing w:line="360" w:lineRule="auto"/>
        <w:jc w:val="both"/>
        <w:rPr>
          <w:rFonts w:ascii="Arial" w:hAnsi="Arial"/>
          <w:rtl/>
        </w:rPr>
      </w:pPr>
      <w:r w:rsidRPr="00665F01">
        <w:rPr>
          <w:rFonts w:ascii="Arial" w:hAnsi="Arial"/>
          <w:rtl/>
        </w:rPr>
        <w:t xml:space="preserve">בית המשפט רשאי לחרוג ממתחם העונש ההולם בשל שיקולי שיקום או הגנה על שלום הציבור לפי </w:t>
      </w:r>
      <w:hyperlink r:id="rId25" w:history="1">
        <w:r w:rsidR="00937B12" w:rsidRPr="00937B12">
          <w:rPr>
            <w:rStyle w:val="Hyperlink"/>
            <w:rFonts w:ascii="Arial" w:hAnsi="Arial"/>
            <w:color w:val="0000FF"/>
            <w:rtl/>
          </w:rPr>
          <w:t>סעיפים 40ד'</w:t>
        </w:r>
      </w:hyperlink>
      <w:r w:rsidRPr="00665F01">
        <w:rPr>
          <w:rFonts w:ascii="Arial" w:hAnsi="Arial"/>
          <w:rtl/>
        </w:rPr>
        <w:t xml:space="preserve"> ו</w:t>
      </w:r>
      <w:hyperlink r:id="rId26" w:history="1">
        <w:r w:rsidR="00937B12" w:rsidRPr="00937B12">
          <w:rPr>
            <w:rStyle w:val="Hyperlink"/>
            <w:rFonts w:ascii="Arial" w:hAnsi="Arial"/>
            <w:color w:val="0000FF"/>
            <w:rtl/>
          </w:rPr>
          <w:t>40 ה'</w:t>
        </w:r>
      </w:hyperlink>
      <w:r w:rsidRPr="00665F01">
        <w:rPr>
          <w:rFonts w:ascii="Arial" w:hAnsi="Arial"/>
          <w:rtl/>
        </w:rPr>
        <w:t xml:space="preserve"> לחוק. </w:t>
      </w:r>
    </w:p>
    <w:p w14:paraId="1B532847" w14:textId="77777777" w:rsidR="001748F5" w:rsidRPr="00902F60" w:rsidRDefault="001748F5" w:rsidP="001748F5">
      <w:pPr>
        <w:spacing w:line="360" w:lineRule="auto"/>
        <w:jc w:val="both"/>
        <w:rPr>
          <w:rFonts w:ascii="David" w:hAnsi="David"/>
          <w:b/>
          <w:bCs/>
          <w:rtl/>
        </w:rPr>
      </w:pPr>
      <w:r>
        <w:rPr>
          <w:rFonts w:ascii="David" w:hAnsi="David"/>
          <w:rtl/>
        </w:rPr>
        <w:br/>
      </w:r>
      <w:r w:rsidRPr="00902F60">
        <w:rPr>
          <w:rFonts w:ascii="David" w:hAnsi="David"/>
          <w:rtl/>
        </w:rPr>
        <w:t>ב</w:t>
      </w:r>
      <w:r w:rsidRPr="000C7938">
        <w:rPr>
          <w:rFonts w:ascii="David" w:hAnsi="David"/>
          <w:color w:val="000000"/>
          <w:rtl/>
        </w:rPr>
        <w:t>ע"פ 761/07</w:t>
      </w:r>
      <w:r w:rsidRPr="00902F60">
        <w:rPr>
          <w:rFonts w:ascii="David" w:hAnsi="David"/>
          <w:rtl/>
        </w:rPr>
        <w:t xml:space="preserve"> </w:t>
      </w:r>
      <w:r w:rsidRPr="00902F60">
        <w:rPr>
          <w:rFonts w:ascii="David" w:hAnsi="David"/>
          <w:b/>
          <w:bCs/>
          <w:rtl/>
        </w:rPr>
        <w:t>אדרי נ' מדינת ישראל</w:t>
      </w:r>
      <w:r>
        <w:rPr>
          <w:rFonts w:ascii="David" w:hAnsi="David" w:hint="cs"/>
          <w:rtl/>
        </w:rPr>
        <w:t>:</w:t>
      </w:r>
      <w:r w:rsidRPr="00902F60">
        <w:rPr>
          <w:rFonts w:ascii="David" w:hAnsi="David"/>
          <w:rtl/>
        </w:rPr>
        <w:t xml:space="preserve"> </w:t>
      </w:r>
      <w:r w:rsidRPr="00902F60">
        <w:rPr>
          <w:rFonts w:ascii="David" w:hAnsi="David"/>
          <w:b/>
          <w:bCs/>
          <w:rtl/>
        </w:rPr>
        <w:t xml:space="preserve">"ניסיון השנים האחרונות מלמד שנשק המוחזק שלא כדין מוצא את דרכו לעתים לידיים עוינות, ולעתים נעשה בו שימוש למטרות פליליות, ואלה גם אלה כבר גרמו לא אחת לאובדן חיי אדם, ולפגיעה בחפים מפשע שכל 'חטאם' נבע מכך שהם נקלעו בדרך מקרה לזירת הפשע. כדי להלחם בכל אלה צריך העונש לבטא את סלידתה של החברה ודעתה הנחרצת שלא להשלים עם עבריינות בכלל, ומסוג זה בפרט" (וראו גם </w:t>
      </w:r>
      <w:hyperlink r:id="rId27" w:history="1">
        <w:r w:rsidR="000C7938" w:rsidRPr="000C7938">
          <w:rPr>
            <w:rFonts w:ascii="David" w:hAnsi="David"/>
            <w:b/>
            <w:bCs/>
            <w:color w:val="0000FF"/>
            <w:u w:val="single"/>
            <w:rtl/>
          </w:rPr>
          <w:t>ע"פ 8246/05</w:t>
        </w:r>
      </w:hyperlink>
      <w:r w:rsidRPr="00902F60">
        <w:rPr>
          <w:rFonts w:ascii="David" w:hAnsi="David"/>
          <w:b/>
          <w:bCs/>
          <w:rtl/>
        </w:rPr>
        <w:t xml:space="preserve"> דערי נ' מדינת ישראל [פורסם בנבו] ; </w:t>
      </w:r>
      <w:hyperlink r:id="rId28" w:history="1">
        <w:r w:rsidR="000C7938" w:rsidRPr="000C7938">
          <w:rPr>
            <w:rFonts w:ascii="David" w:hAnsi="David"/>
            <w:b/>
            <w:bCs/>
            <w:color w:val="0000FF"/>
            <w:u w:val="single"/>
            <w:rtl/>
          </w:rPr>
          <w:t>ע"פ 9373/10</w:t>
        </w:r>
      </w:hyperlink>
      <w:r w:rsidRPr="00902F60">
        <w:rPr>
          <w:rFonts w:ascii="David" w:hAnsi="David"/>
          <w:b/>
          <w:bCs/>
          <w:rtl/>
        </w:rPr>
        <w:t xml:space="preserve"> ותד נ' מדינת ישראל </w:t>
      </w:r>
      <w:r w:rsidRPr="00902F60">
        <w:rPr>
          <w:rFonts w:ascii="David" w:hAnsi="David" w:hint="cs"/>
          <w:b/>
          <w:bCs/>
          <w:rtl/>
        </w:rPr>
        <w:t>"</w:t>
      </w:r>
      <w:r w:rsidRPr="00902F60">
        <w:rPr>
          <w:rFonts w:ascii="David" w:hAnsi="David"/>
          <w:b/>
          <w:bCs/>
          <w:rtl/>
        </w:rPr>
        <w:t xml:space="preserve">[פורסם בנבו] ). </w:t>
      </w:r>
    </w:p>
    <w:p w14:paraId="603CE111" w14:textId="77777777" w:rsidR="001748F5" w:rsidRPr="00902F60" w:rsidRDefault="001748F5" w:rsidP="001748F5">
      <w:pPr>
        <w:spacing w:line="360" w:lineRule="auto"/>
        <w:jc w:val="both"/>
        <w:rPr>
          <w:rFonts w:ascii="David" w:hAnsi="David"/>
          <w:b/>
          <w:bCs/>
        </w:rPr>
      </w:pPr>
    </w:p>
    <w:p w14:paraId="1A9328A3" w14:textId="77777777" w:rsidR="001748F5" w:rsidRPr="00902F60" w:rsidRDefault="001748F5" w:rsidP="001748F5">
      <w:pPr>
        <w:spacing w:line="360" w:lineRule="auto"/>
        <w:jc w:val="both"/>
        <w:rPr>
          <w:rFonts w:ascii="David" w:hAnsi="David"/>
          <w:b/>
          <w:bCs/>
          <w:sz w:val="22"/>
          <w:szCs w:val="22"/>
        </w:rPr>
      </w:pPr>
      <w:r w:rsidRPr="00105ABA">
        <w:rPr>
          <w:rFonts w:ascii="David" w:hAnsi="David"/>
          <w:rtl/>
        </w:rPr>
        <w:t>ביהמ"ש העליון חזר, הזכיר והדגיש את החומרה היתרה הנלמדת ממעשי הנאשמים כדלהלן: "</w:t>
      </w:r>
      <w:r w:rsidRPr="00105ABA">
        <w:rPr>
          <w:rFonts w:ascii="David" w:hAnsi="David"/>
          <w:b/>
          <w:bCs/>
          <w:rtl/>
        </w:rPr>
        <w:t xml:space="preserve">החזקת נשק שלא כדין מאיימת על שלום הציבור ובטחונו .... לנוכח היקפן המתרחב של עבירות המבוצעות בנשק, הזמינות הבלתי נסבלת של נשק בידי מי שאינו מורשה לכך, מהווה כאמור סיכון של ממש ומגבירה את הסיכון לביצוע עבירות חמורות נוספות ..... כמו גם לאסונות נוראיים. יעידו על כך ריבוי המקרים במגזר הערבי בעת האחרונה, כאשר אזרחים תמימים – כמו ילד רך בשנים ועלמה צעירה – נפגעים ואף מוצאים את מותם בביתם-מבצרם או בגן השעשועים, כל זאת כתוצאה משימוש בנשק של אחרים. מציאות קשה זו מחייבת לנקוט ביד מחמירה כלפי מעורבים בעבירות נשק, אף אם הם נעדרי עבר פלילי ... ענייננו ב"מכת מדינה" שהצורך להילחם בה על מנת להגן על הציבור, מצריך מענה הולם והטלת עונשי מאסר משמעותיים ..ידע כל מי שמחזיק בנשק בלתי חוקי כי צפוי הוא להיענש בחומרה, בבחינת "אם מחזיקים – למאסר נשלחים. לא למותר להזכיר כי המחוקק מצא לעגן בהוראת שעה עונשי מינימום לעבירות נשק, כך שהעונש שיושת על מבצעיהן </w:t>
      </w:r>
      <w:r w:rsidRPr="00902F60">
        <w:rPr>
          <w:rFonts w:ascii="David" w:hAnsi="David"/>
          <w:b/>
          <w:bCs/>
          <w:rtl/>
        </w:rPr>
        <w:t>יתחיל מרבע העונש המרבי שנקבע לעבירה, אלא אם החליט בית המשפט מטעמים מיוחדים להקל בעונש (סעיף 144(ז) ל</w:t>
      </w:r>
      <w:hyperlink r:id="rId29" w:history="1">
        <w:r w:rsidR="000C7938" w:rsidRPr="000C7938">
          <w:rPr>
            <w:rFonts w:ascii="David" w:hAnsi="David"/>
            <w:b/>
            <w:bCs/>
            <w:color w:val="0000FF"/>
            <w:u w:val="single"/>
            <w:rtl/>
          </w:rPr>
          <w:t>חוק העונשין</w:t>
        </w:r>
      </w:hyperlink>
      <w:r w:rsidRPr="00902F60">
        <w:rPr>
          <w:rFonts w:ascii="David" w:hAnsi="David"/>
          <w:b/>
          <w:bCs/>
          <w:rtl/>
        </w:rPr>
        <w:t>, וראו חוק העונשין (תיקון מס' 140 - הוראת שעה), התשפ"ב-2021, ס"ח 472;"</w:t>
      </w:r>
      <w:r w:rsidRPr="00902F60">
        <w:rPr>
          <w:rFonts w:ascii="David" w:hAnsi="David"/>
          <w:rtl/>
        </w:rPr>
        <w:t xml:space="preserve"> (</w:t>
      </w:r>
      <w:hyperlink r:id="rId30" w:history="1">
        <w:r w:rsidR="000C7938" w:rsidRPr="000C7938">
          <w:rPr>
            <w:rFonts w:ascii="David" w:hAnsi="David"/>
            <w:color w:val="0000FF"/>
            <w:u w:val="single"/>
            <w:rtl/>
          </w:rPr>
          <w:t>ע"פ 2482/22</w:t>
        </w:r>
      </w:hyperlink>
      <w:r w:rsidRPr="00902F60">
        <w:rPr>
          <w:rFonts w:ascii="David" w:hAnsi="David"/>
          <w:rtl/>
        </w:rPr>
        <w:t xml:space="preserve"> </w:t>
      </w:r>
      <w:r w:rsidRPr="00902F60">
        <w:rPr>
          <w:rFonts w:ascii="David" w:hAnsi="David"/>
          <w:b/>
          <w:bCs/>
          <w:rtl/>
        </w:rPr>
        <w:t>מדינת ישראל נ' אחמד קדורה</w:t>
      </w:r>
      <w:r w:rsidRPr="00902F60">
        <w:rPr>
          <w:rFonts w:ascii="David" w:hAnsi="David"/>
          <w:rtl/>
        </w:rPr>
        <w:t xml:space="preserve"> (14.04.22)).</w:t>
      </w:r>
    </w:p>
    <w:p w14:paraId="1A8AB86E" w14:textId="77777777" w:rsidR="001748F5" w:rsidRPr="00902F60" w:rsidRDefault="001748F5" w:rsidP="001748F5">
      <w:pPr>
        <w:spacing w:line="360" w:lineRule="auto"/>
        <w:ind w:right="567"/>
        <w:jc w:val="both"/>
        <w:rPr>
          <w:rFonts w:ascii="David" w:hAnsi="David"/>
          <w:rtl/>
        </w:rPr>
      </w:pPr>
    </w:p>
    <w:p w14:paraId="56D204D0" w14:textId="77777777" w:rsidR="001748F5" w:rsidRDefault="001748F5" w:rsidP="001748F5">
      <w:pPr>
        <w:spacing w:line="360" w:lineRule="auto"/>
        <w:jc w:val="both"/>
        <w:rPr>
          <w:rFonts w:ascii="David" w:hAnsi="David"/>
          <w:b/>
          <w:bCs/>
          <w:rtl/>
        </w:rPr>
      </w:pPr>
      <w:r w:rsidRPr="00902F60">
        <w:rPr>
          <w:rFonts w:ascii="David" w:hAnsi="David"/>
          <w:rtl/>
        </w:rPr>
        <w:t>בתי המשפט בכלל ובית המשפט העליון בראשם, קבעו מדיניות ענישה מחמירה ביחס לכל מי שעובר עבירות בנשק. מדיניות מחמירה זו הינה פועל יוצא של ריבוי המקרים שבהם נעשה שימוש בנשק המוחזק שלא כחוק המסכן חיי אדם. עמד על כך כב' השופט עמית ב</w:t>
      </w:r>
      <w:hyperlink r:id="rId31" w:history="1">
        <w:r w:rsidR="000C7938" w:rsidRPr="000C7938">
          <w:rPr>
            <w:rFonts w:ascii="David" w:hAnsi="David"/>
            <w:color w:val="0000FF"/>
            <w:u w:val="single"/>
            <w:rtl/>
          </w:rPr>
          <w:t>ע"פ 2398/14</w:t>
        </w:r>
      </w:hyperlink>
      <w:r w:rsidRPr="00902F60">
        <w:rPr>
          <w:rFonts w:ascii="David" w:hAnsi="David"/>
          <w:rtl/>
        </w:rPr>
        <w:t xml:space="preserve"> </w:t>
      </w:r>
      <w:r w:rsidRPr="00902F60">
        <w:rPr>
          <w:rFonts w:ascii="David" w:hAnsi="David"/>
          <w:b/>
          <w:bCs/>
          <w:rtl/>
        </w:rPr>
        <w:t>אלהזייל נגד מדינת ישראל</w:t>
      </w:r>
      <w:r w:rsidRPr="00105ABA">
        <w:rPr>
          <w:rFonts w:ascii="David" w:hAnsi="David"/>
          <w:rtl/>
        </w:rPr>
        <w:t xml:space="preserve"> (ניתן בתאריך 08.07.14 [פורסם בנבו]) בציינו כך: </w:t>
      </w:r>
      <w:r w:rsidRPr="00105ABA">
        <w:rPr>
          <w:rFonts w:ascii="David" w:hAnsi="David"/>
          <w:b/>
          <w:bCs/>
          <w:rtl/>
        </w:rPr>
        <w:t>"אחזור</w:t>
      </w:r>
      <w:r w:rsidRPr="00105ABA">
        <w:rPr>
          <w:rFonts w:ascii="David" w:hAnsi="David"/>
          <w:b/>
          <w:bCs/>
        </w:rPr>
        <w:t xml:space="preserve"> </w:t>
      </w:r>
      <w:r w:rsidRPr="00105ABA">
        <w:rPr>
          <w:rFonts w:ascii="David" w:hAnsi="David"/>
          <w:b/>
          <w:bCs/>
          <w:rtl/>
        </w:rPr>
        <w:t>ואדגיש</w:t>
      </w:r>
      <w:r w:rsidRPr="00105ABA">
        <w:rPr>
          <w:rFonts w:ascii="David" w:hAnsi="David"/>
          <w:b/>
          <w:bCs/>
        </w:rPr>
        <w:t xml:space="preserve"> </w:t>
      </w:r>
      <w:r w:rsidRPr="00105ABA">
        <w:rPr>
          <w:rFonts w:ascii="David" w:hAnsi="David"/>
          <w:b/>
          <w:bCs/>
          <w:rtl/>
        </w:rPr>
        <w:t>את</w:t>
      </w:r>
      <w:r w:rsidRPr="00105ABA">
        <w:rPr>
          <w:rFonts w:ascii="David" w:hAnsi="David"/>
          <w:b/>
          <w:bCs/>
        </w:rPr>
        <w:t xml:space="preserve"> </w:t>
      </w:r>
      <w:r w:rsidRPr="00105ABA">
        <w:rPr>
          <w:rFonts w:ascii="David" w:hAnsi="David"/>
          <w:b/>
          <w:bCs/>
          <w:rtl/>
        </w:rPr>
        <w:t>מדיניות</w:t>
      </w:r>
      <w:r w:rsidRPr="00105ABA">
        <w:rPr>
          <w:rFonts w:ascii="David" w:hAnsi="David"/>
          <w:b/>
          <w:bCs/>
        </w:rPr>
        <w:t xml:space="preserve"> </w:t>
      </w:r>
      <w:r w:rsidRPr="00105ABA">
        <w:rPr>
          <w:rFonts w:ascii="David" w:hAnsi="David"/>
          <w:b/>
          <w:bCs/>
          <w:rtl/>
        </w:rPr>
        <w:t>ההחמרה בעבירות</w:t>
      </w:r>
      <w:r w:rsidRPr="00105ABA">
        <w:rPr>
          <w:rFonts w:ascii="David" w:hAnsi="David"/>
          <w:b/>
          <w:bCs/>
        </w:rPr>
        <w:t xml:space="preserve"> </w:t>
      </w:r>
      <w:r w:rsidRPr="00105ABA">
        <w:rPr>
          <w:rFonts w:ascii="David" w:hAnsi="David"/>
          <w:b/>
          <w:bCs/>
          <w:rtl/>
        </w:rPr>
        <w:t>נשק, שבאה</w:t>
      </w:r>
      <w:r w:rsidRPr="00105ABA">
        <w:rPr>
          <w:rFonts w:ascii="David" w:hAnsi="David"/>
          <w:b/>
          <w:bCs/>
        </w:rPr>
        <w:t xml:space="preserve"> </w:t>
      </w:r>
      <w:r w:rsidRPr="00105ABA">
        <w:rPr>
          <w:rFonts w:ascii="David" w:hAnsi="David"/>
          <w:b/>
          <w:bCs/>
          <w:rtl/>
        </w:rPr>
        <w:t>לידי</w:t>
      </w:r>
      <w:r w:rsidRPr="00105ABA">
        <w:rPr>
          <w:rFonts w:ascii="David" w:hAnsi="David"/>
          <w:b/>
          <w:bCs/>
        </w:rPr>
        <w:t xml:space="preserve"> </w:t>
      </w:r>
      <w:r w:rsidRPr="00105ABA">
        <w:rPr>
          <w:rFonts w:ascii="David" w:hAnsi="David"/>
          <w:b/>
          <w:bCs/>
          <w:rtl/>
        </w:rPr>
        <w:t>ביטוי</w:t>
      </w:r>
      <w:r w:rsidRPr="00105ABA">
        <w:rPr>
          <w:rFonts w:ascii="David" w:hAnsi="David"/>
          <w:b/>
          <w:bCs/>
        </w:rPr>
        <w:t xml:space="preserve"> </w:t>
      </w:r>
      <w:r w:rsidRPr="00105ABA">
        <w:rPr>
          <w:rFonts w:ascii="David" w:hAnsi="David"/>
          <w:b/>
          <w:bCs/>
          <w:rtl/>
        </w:rPr>
        <w:t>בשורה</w:t>
      </w:r>
      <w:r w:rsidRPr="00105ABA">
        <w:rPr>
          <w:rFonts w:ascii="David" w:hAnsi="David"/>
          <w:b/>
          <w:bCs/>
        </w:rPr>
        <w:t xml:space="preserve"> </w:t>
      </w:r>
      <w:r w:rsidRPr="00105ABA">
        <w:rPr>
          <w:rFonts w:ascii="David" w:hAnsi="David"/>
          <w:b/>
          <w:bCs/>
          <w:rtl/>
        </w:rPr>
        <w:t>ארוכה</w:t>
      </w:r>
      <w:r w:rsidRPr="00105ABA">
        <w:rPr>
          <w:rFonts w:ascii="David" w:hAnsi="David"/>
          <w:b/>
          <w:bCs/>
        </w:rPr>
        <w:t xml:space="preserve"> </w:t>
      </w:r>
      <w:r w:rsidRPr="00105ABA">
        <w:rPr>
          <w:rFonts w:ascii="David" w:hAnsi="David"/>
          <w:b/>
          <w:bCs/>
          <w:rtl/>
        </w:rPr>
        <w:t>של</w:t>
      </w:r>
      <w:r w:rsidRPr="00105ABA">
        <w:rPr>
          <w:rFonts w:ascii="David" w:hAnsi="David"/>
          <w:b/>
          <w:bCs/>
        </w:rPr>
        <w:t xml:space="preserve"> </w:t>
      </w:r>
      <w:r w:rsidRPr="00105ABA">
        <w:rPr>
          <w:rFonts w:ascii="David" w:hAnsi="David"/>
          <w:b/>
          <w:bCs/>
          <w:rtl/>
        </w:rPr>
        <w:t>פסקי</w:t>
      </w:r>
      <w:r w:rsidRPr="00105ABA">
        <w:rPr>
          <w:rFonts w:ascii="David" w:hAnsi="David"/>
          <w:b/>
          <w:bCs/>
        </w:rPr>
        <w:t xml:space="preserve"> </w:t>
      </w:r>
      <w:r w:rsidRPr="00105ABA">
        <w:rPr>
          <w:rFonts w:ascii="David" w:hAnsi="David"/>
          <w:b/>
          <w:bCs/>
          <w:rtl/>
        </w:rPr>
        <w:t>דין</w:t>
      </w:r>
      <w:r w:rsidRPr="00105ABA">
        <w:rPr>
          <w:rFonts w:ascii="David" w:hAnsi="David"/>
          <w:b/>
          <w:bCs/>
        </w:rPr>
        <w:t xml:space="preserve"> </w:t>
      </w:r>
      <w:r w:rsidRPr="00105ABA">
        <w:rPr>
          <w:rFonts w:ascii="David" w:hAnsi="David"/>
          <w:b/>
          <w:bCs/>
          <w:rtl/>
        </w:rPr>
        <w:t>של</w:t>
      </w:r>
      <w:r w:rsidRPr="00105ABA">
        <w:rPr>
          <w:rFonts w:ascii="David" w:hAnsi="David"/>
          <w:b/>
          <w:bCs/>
        </w:rPr>
        <w:t xml:space="preserve"> </w:t>
      </w:r>
      <w:r w:rsidRPr="00105ABA">
        <w:rPr>
          <w:rFonts w:ascii="David" w:hAnsi="David"/>
          <w:b/>
          <w:bCs/>
          <w:rtl/>
        </w:rPr>
        <w:t>בית</w:t>
      </w:r>
      <w:r w:rsidRPr="00105ABA">
        <w:rPr>
          <w:rFonts w:ascii="David" w:hAnsi="David"/>
          <w:b/>
          <w:bCs/>
        </w:rPr>
        <w:t xml:space="preserve"> </w:t>
      </w:r>
      <w:r w:rsidRPr="00105ABA">
        <w:rPr>
          <w:rFonts w:ascii="David" w:hAnsi="David"/>
          <w:b/>
          <w:bCs/>
          <w:rtl/>
        </w:rPr>
        <w:t>משפט</w:t>
      </w:r>
      <w:r w:rsidRPr="00105ABA">
        <w:rPr>
          <w:rFonts w:ascii="David" w:hAnsi="David"/>
          <w:b/>
          <w:bCs/>
        </w:rPr>
        <w:t xml:space="preserve"> </w:t>
      </w:r>
      <w:r w:rsidRPr="00105ABA">
        <w:rPr>
          <w:rFonts w:ascii="David" w:hAnsi="David"/>
          <w:b/>
          <w:bCs/>
          <w:rtl/>
        </w:rPr>
        <w:t>זה</w:t>
      </w:r>
      <w:r w:rsidRPr="00105ABA">
        <w:rPr>
          <w:rFonts w:ascii="David" w:hAnsi="David"/>
          <w:b/>
          <w:bCs/>
        </w:rPr>
        <w:t xml:space="preserve"> </w:t>
      </w:r>
      <w:r w:rsidRPr="00105ABA">
        <w:rPr>
          <w:rFonts w:ascii="David" w:hAnsi="David"/>
          <w:b/>
          <w:bCs/>
          <w:rtl/>
        </w:rPr>
        <w:t>בשנים האחרונות...לזמינות</w:t>
      </w:r>
      <w:r w:rsidRPr="00105ABA">
        <w:rPr>
          <w:rFonts w:ascii="David" w:hAnsi="David"/>
          <w:b/>
          <w:bCs/>
        </w:rPr>
        <w:t xml:space="preserve"> </w:t>
      </w:r>
      <w:r w:rsidRPr="00105ABA">
        <w:rPr>
          <w:rFonts w:ascii="David" w:hAnsi="David"/>
          <w:b/>
          <w:bCs/>
          <w:rtl/>
        </w:rPr>
        <w:t>הבלתי</w:t>
      </w:r>
      <w:r w:rsidRPr="00105ABA">
        <w:rPr>
          <w:rFonts w:ascii="David" w:hAnsi="David"/>
          <w:b/>
          <w:bCs/>
        </w:rPr>
        <w:t xml:space="preserve"> </w:t>
      </w:r>
      <w:r w:rsidRPr="00105ABA">
        <w:rPr>
          <w:rFonts w:ascii="David" w:hAnsi="David"/>
          <w:b/>
          <w:bCs/>
          <w:rtl/>
        </w:rPr>
        <w:t>נסבלת</w:t>
      </w:r>
      <w:r w:rsidRPr="00105ABA">
        <w:rPr>
          <w:rFonts w:ascii="David" w:hAnsi="David"/>
          <w:b/>
          <w:bCs/>
        </w:rPr>
        <w:t xml:space="preserve"> </w:t>
      </w:r>
      <w:r w:rsidRPr="00105ABA">
        <w:rPr>
          <w:rFonts w:ascii="David" w:hAnsi="David"/>
          <w:b/>
          <w:bCs/>
          <w:rtl/>
        </w:rPr>
        <w:t>של</w:t>
      </w:r>
      <w:r w:rsidRPr="00105ABA">
        <w:rPr>
          <w:rFonts w:ascii="David" w:hAnsi="David"/>
          <w:b/>
          <w:bCs/>
        </w:rPr>
        <w:t xml:space="preserve"> </w:t>
      </w:r>
      <w:r w:rsidRPr="00105ABA">
        <w:rPr>
          <w:rFonts w:ascii="David" w:hAnsi="David"/>
          <w:b/>
          <w:bCs/>
          <w:rtl/>
        </w:rPr>
        <w:t>נשק</w:t>
      </w:r>
      <w:r w:rsidRPr="00105ABA">
        <w:rPr>
          <w:rFonts w:ascii="David" w:hAnsi="David"/>
          <w:b/>
          <w:bCs/>
        </w:rPr>
        <w:t xml:space="preserve"> </w:t>
      </w:r>
      <w:r w:rsidRPr="00105ABA">
        <w:rPr>
          <w:rFonts w:ascii="David" w:hAnsi="David"/>
          <w:b/>
          <w:bCs/>
          <w:rtl/>
        </w:rPr>
        <w:t>חם</w:t>
      </w:r>
      <w:r w:rsidRPr="00105ABA">
        <w:rPr>
          <w:rFonts w:ascii="David" w:hAnsi="David"/>
          <w:b/>
          <w:bCs/>
        </w:rPr>
        <w:t xml:space="preserve"> </w:t>
      </w:r>
      <w:r w:rsidRPr="00105ABA">
        <w:rPr>
          <w:rFonts w:ascii="David" w:hAnsi="David"/>
          <w:b/>
          <w:bCs/>
          <w:rtl/>
        </w:rPr>
        <w:t>בידי</w:t>
      </w:r>
      <w:r w:rsidRPr="00105ABA">
        <w:rPr>
          <w:rFonts w:ascii="David" w:hAnsi="David"/>
          <w:b/>
          <w:bCs/>
        </w:rPr>
        <w:t xml:space="preserve"> </w:t>
      </w:r>
      <w:r w:rsidRPr="00105ABA">
        <w:rPr>
          <w:rFonts w:ascii="David" w:hAnsi="David"/>
          <w:b/>
          <w:bCs/>
          <w:rtl/>
        </w:rPr>
        <w:t>מי</w:t>
      </w:r>
      <w:r w:rsidRPr="00105ABA">
        <w:rPr>
          <w:rFonts w:ascii="David" w:hAnsi="David"/>
          <w:b/>
          <w:bCs/>
        </w:rPr>
        <w:t xml:space="preserve"> </w:t>
      </w:r>
      <w:r w:rsidRPr="00105ABA">
        <w:rPr>
          <w:rFonts w:ascii="David" w:hAnsi="David"/>
          <w:b/>
          <w:bCs/>
          <w:rtl/>
        </w:rPr>
        <w:t>שאינם</w:t>
      </w:r>
      <w:r w:rsidRPr="00105ABA">
        <w:rPr>
          <w:rFonts w:ascii="David" w:hAnsi="David"/>
          <w:b/>
          <w:bCs/>
        </w:rPr>
        <w:t xml:space="preserve"> </w:t>
      </w:r>
      <w:r w:rsidRPr="00105ABA">
        <w:rPr>
          <w:rFonts w:ascii="David" w:hAnsi="David"/>
          <w:b/>
          <w:bCs/>
          <w:rtl/>
        </w:rPr>
        <w:t>מורשים</w:t>
      </w:r>
      <w:r w:rsidRPr="00105ABA">
        <w:rPr>
          <w:rFonts w:ascii="David" w:hAnsi="David"/>
          <w:b/>
          <w:bCs/>
        </w:rPr>
        <w:t xml:space="preserve"> </w:t>
      </w:r>
      <w:r w:rsidRPr="00105ABA">
        <w:rPr>
          <w:rFonts w:ascii="David" w:hAnsi="David"/>
          <w:b/>
          <w:bCs/>
          <w:rtl/>
        </w:rPr>
        <w:t>לכך יש</w:t>
      </w:r>
      <w:r w:rsidRPr="00105ABA">
        <w:rPr>
          <w:rFonts w:ascii="David" w:hAnsi="David"/>
          <w:b/>
          <w:bCs/>
        </w:rPr>
        <w:t xml:space="preserve"> </w:t>
      </w:r>
      <w:r w:rsidRPr="00105ABA">
        <w:rPr>
          <w:rFonts w:ascii="David" w:hAnsi="David"/>
          <w:b/>
          <w:bCs/>
          <w:rtl/>
        </w:rPr>
        <w:t>פוטנציאל</w:t>
      </w:r>
      <w:r w:rsidRPr="00105ABA">
        <w:rPr>
          <w:rFonts w:ascii="David" w:hAnsi="David"/>
          <w:b/>
          <w:bCs/>
        </w:rPr>
        <w:t xml:space="preserve"> </w:t>
      </w:r>
      <w:r w:rsidRPr="00105ABA">
        <w:rPr>
          <w:rFonts w:ascii="David" w:hAnsi="David"/>
          <w:b/>
          <w:bCs/>
          <w:rtl/>
        </w:rPr>
        <w:t>לשמש</w:t>
      </w:r>
      <w:r w:rsidRPr="00105ABA">
        <w:rPr>
          <w:rFonts w:ascii="David" w:hAnsi="David"/>
          <w:b/>
          <w:bCs/>
        </w:rPr>
        <w:t xml:space="preserve"> </w:t>
      </w:r>
      <w:r w:rsidRPr="00105ABA">
        <w:rPr>
          <w:rFonts w:ascii="David" w:hAnsi="David"/>
          <w:b/>
          <w:bCs/>
          <w:rtl/>
        </w:rPr>
        <w:t>ל</w:t>
      </w:r>
      <w:r w:rsidRPr="00105ABA">
        <w:rPr>
          <w:rFonts w:ascii="David" w:hAnsi="David"/>
          <w:b/>
          <w:bCs/>
        </w:rPr>
        <w:t>"</w:t>
      </w:r>
      <w:r w:rsidRPr="00105ABA">
        <w:rPr>
          <w:rFonts w:ascii="David" w:hAnsi="David"/>
          <w:b/>
          <w:bCs/>
          <w:rtl/>
        </w:rPr>
        <w:t>חיסול</w:t>
      </w:r>
      <w:r w:rsidRPr="00105ABA">
        <w:rPr>
          <w:rFonts w:ascii="David" w:hAnsi="David"/>
          <w:b/>
          <w:bCs/>
        </w:rPr>
        <w:t xml:space="preserve"> </w:t>
      </w:r>
      <w:r w:rsidRPr="00105ABA">
        <w:rPr>
          <w:rFonts w:ascii="David" w:hAnsi="David"/>
          <w:b/>
          <w:bCs/>
          <w:rtl/>
        </w:rPr>
        <w:t>חשבונות" ול"פתרון</w:t>
      </w:r>
      <w:r w:rsidRPr="00105ABA">
        <w:rPr>
          <w:rFonts w:ascii="David" w:hAnsi="David"/>
          <w:b/>
          <w:bCs/>
        </w:rPr>
        <w:t xml:space="preserve"> </w:t>
      </w:r>
      <w:r w:rsidRPr="00105ABA">
        <w:rPr>
          <w:rFonts w:ascii="David" w:hAnsi="David"/>
          <w:b/>
          <w:bCs/>
          <w:rtl/>
        </w:rPr>
        <w:t>סכסוכים" כמו גם</w:t>
      </w:r>
      <w:r w:rsidRPr="00105ABA">
        <w:rPr>
          <w:rFonts w:ascii="David" w:hAnsi="David"/>
          <w:b/>
          <w:bCs/>
        </w:rPr>
        <w:t xml:space="preserve"> </w:t>
      </w:r>
      <w:r w:rsidRPr="00105ABA">
        <w:rPr>
          <w:rFonts w:ascii="David" w:hAnsi="David"/>
          <w:b/>
          <w:bCs/>
          <w:rtl/>
        </w:rPr>
        <w:t>לעבירות</w:t>
      </w:r>
      <w:r w:rsidRPr="00105ABA">
        <w:rPr>
          <w:rFonts w:ascii="David" w:hAnsi="David"/>
          <w:b/>
          <w:bCs/>
        </w:rPr>
        <w:t xml:space="preserve"> </w:t>
      </w:r>
      <w:r w:rsidRPr="00105ABA">
        <w:rPr>
          <w:rFonts w:ascii="David" w:hAnsi="David"/>
          <w:b/>
          <w:bCs/>
          <w:rtl/>
        </w:rPr>
        <w:t>חמורות נוספות. המציאות</w:t>
      </w:r>
      <w:r w:rsidRPr="00105ABA">
        <w:rPr>
          <w:rFonts w:ascii="David" w:hAnsi="David"/>
          <w:b/>
          <w:bCs/>
        </w:rPr>
        <w:t xml:space="preserve"> </w:t>
      </w:r>
      <w:r w:rsidRPr="00105ABA">
        <w:rPr>
          <w:rFonts w:ascii="David" w:hAnsi="David"/>
          <w:b/>
          <w:bCs/>
          <w:rtl/>
        </w:rPr>
        <w:t>בארצנו</w:t>
      </w:r>
      <w:r w:rsidRPr="00105ABA">
        <w:rPr>
          <w:rFonts w:ascii="David" w:hAnsi="David"/>
          <w:b/>
          <w:bCs/>
        </w:rPr>
        <w:t xml:space="preserve"> </w:t>
      </w:r>
      <w:r w:rsidRPr="00105ABA">
        <w:rPr>
          <w:rFonts w:ascii="David" w:hAnsi="David"/>
          <w:b/>
          <w:bCs/>
          <w:rtl/>
        </w:rPr>
        <w:t>מוכיחה</w:t>
      </w:r>
      <w:r w:rsidRPr="00105ABA">
        <w:rPr>
          <w:rFonts w:ascii="David" w:hAnsi="David"/>
          <w:b/>
          <w:bCs/>
        </w:rPr>
        <w:t xml:space="preserve"> </w:t>
      </w:r>
      <w:r w:rsidRPr="00105ABA">
        <w:rPr>
          <w:rFonts w:ascii="David" w:hAnsi="David"/>
          <w:b/>
          <w:bCs/>
          <w:rtl/>
        </w:rPr>
        <w:t>כי</w:t>
      </w:r>
      <w:r w:rsidRPr="00105ABA">
        <w:rPr>
          <w:rFonts w:ascii="David" w:hAnsi="David"/>
          <w:b/>
          <w:bCs/>
        </w:rPr>
        <w:t xml:space="preserve"> </w:t>
      </w:r>
      <w:r w:rsidRPr="00105ABA">
        <w:rPr>
          <w:rFonts w:ascii="David" w:hAnsi="David"/>
          <w:b/>
          <w:bCs/>
          <w:rtl/>
        </w:rPr>
        <w:t>הקלישאה</w:t>
      </w:r>
      <w:r w:rsidRPr="00105ABA">
        <w:rPr>
          <w:rFonts w:ascii="David" w:hAnsi="David"/>
          <w:b/>
          <w:bCs/>
        </w:rPr>
        <w:t xml:space="preserve"> </w:t>
      </w:r>
      <w:r w:rsidRPr="00105ABA">
        <w:rPr>
          <w:rFonts w:ascii="David" w:hAnsi="David"/>
          <w:b/>
          <w:bCs/>
          <w:rtl/>
        </w:rPr>
        <w:t>אודות</w:t>
      </w:r>
      <w:r w:rsidRPr="00105ABA">
        <w:rPr>
          <w:rFonts w:ascii="David" w:hAnsi="David"/>
          <w:b/>
          <w:bCs/>
        </w:rPr>
        <w:t xml:space="preserve"> </w:t>
      </w:r>
      <w:r w:rsidRPr="00105ABA">
        <w:rPr>
          <w:rFonts w:ascii="David" w:hAnsi="David"/>
          <w:b/>
          <w:bCs/>
          <w:rtl/>
        </w:rPr>
        <w:t>האקדח</w:t>
      </w:r>
      <w:r w:rsidRPr="00105ABA">
        <w:rPr>
          <w:rFonts w:ascii="David" w:hAnsi="David"/>
          <w:b/>
          <w:bCs/>
        </w:rPr>
        <w:t xml:space="preserve"> </w:t>
      </w:r>
      <w:r w:rsidRPr="00105ABA">
        <w:rPr>
          <w:rFonts w:ascii="David" w:hAnsi="David"/>
          <w:b/>
          <w:bCs/>
          <w:rtl/>
        </w:rPr>
        <w:t>במערכה</w:t>
      </w:r>
      <w:r w:rsidRPr="00105ABA">
        <w:rPr>
          <w:rFonts w:ascii="David" w:hAnsi="David"/>
          <w:b/>
          <w:bCs/>
        </w:rPr>
        <w:t xml:space="preserve"> </w:t>
      </w:r>
      <w:r w:rsidRPr="00105ABA">
        <w:rPr>
          <w:rFonts w:ascii="David" w:hAnsi="David"/>
          <w:b/>
          <w:bCs/>
          <w:rtl/>
        </w:rPr>
        <w:t>הראשונה</w:t>
      </w:r>
      <w:r w:rsidRPr="00105ABA">
        <w:rPr>
          <w:rFonts w:ascii="David" w:hAnsi="David"/>
          <w:b/>
          <w:bCs/>
        </w:rPr>
        <w:t xml:space="preserve"> </w:t>
      </w:r>
      <w:r w:rsidRPr="00105ABA">
        <w:rPr>
          <w:rFonts w:ascii="David" w:hAnsi="David"/>
          <w:b/>
          <w:bCs/>
          <w:rtl/>
        </w:rPr>
        <w:t>אינה מדויקת,</w:t>
      </w:r>
      <w:r w:rsidRPr="00105ABA">
        <w:rPr>
          <w:rFonts w:ascii="David" w:hAnsi="David"/>
          <w:b/>
          <w:bCs/>
        </w:rPr>
        <w:t xml:space="preserve"> </w:t>
      </w:r>
      <w:r w:rsidRPr="00105ABA">
        <w:rPr>
          <w:rFonts w:ascii="David" w:hAnsi="David"/>
          <w:b/>
          <w:bCs/>
          <w:rtl/>
        </w:rPr>
        <w:t>באשר</w:t>
      </w:r>
      <w:r w:rsidRPr="00105ABA">
        <w:rPr>
          <w:rFonts w:ascii="David" w:hAnsi="David"/>
          <w:b/>
          <w:bCs/>
        </w:rPr>
        <w:t xml:space="preserve"> </w:t>
      </w:r>
      <w:r w:rsidRPr="00105ABA">
        <w:rPr>
          <w:rFonts w:ascii="David" w:hAnsi="David"/>
          <w:b/>
          <w:bCs/>
          <w:rtl/>
        </w:rPr>
        <w:t>לעיתים</w:t>
      </w:r>
      <w:r w:rsidRPr="00105ABA">
        <w:rPr>
          <w:rFonts w:ascii="David" w:hAnsi="David"/>
          <w:b/>
          <w:bCs/>
        </w:rPr>
        <w:t xml:space="preserve"> </w:t>
      </w:r>
      <w:r w:rsidRPr="00105ABA">
        <w:rPr>
          <w:rFonts w:ascii="David" w:hAnsi="David"/>
          <w:b/>
          <w:bCs/>
          <w:rtl/>
        </w:rPr>
        <w:t>מזומנות</w:t>
      </w:r>
      <w:r w:rsidRPr="00105ABA">
        <w:rPr>
          <w:rFonts w:ascii="David" w:hAnsi="David"/>
          <w:b/>
          <w:bCs/>
        </w:rPr>
        <w:t xml:space="preserve"> </w:t>
      </w:r>
      <w:r w:rsidRPr="00105ABA">
        <w:rPr>
          <w:rFonts w:ascii="David" w:hAnsi="David"/>
          <w:b/>
          <w:bCs/>
          <w:rtl/>
        </w:rPr>
        <w:t>האקדח</w:t>
      </w:r>
      <w:r w:rsidRPr="00105ABA">
        <w:rPr>
          <w:rFonts w:ascii="David" w:hAnsi="David"/>
          <w:b/>
          <w:bCs/>
        </w:rPr>
        <w:t xml:space="preserve"> </w:t>
      </w:r>
      <w:r w:rsidRPr="00105ABA">
        <w:rPr>
          <w:rFonts w:ascii="David" w:hAnsi="David"/>
          <w:b/>
          <w:bCs/>
          <w:rtl/>
        </w:rPr>
        <w:t>אינו</w:t>
      </w:r>
      <w:r w:rsidRPr="00105ABA">
        <w:rPr>
          <w:rFonts w:ascii="David" w:hAnsi="David"/>
          <w:b/>
          <w:bCs/>
        </w:rPr>
        <w:t xml:space="preserve"> </w:t>
      </w:r>
      <w:r w:rsidRPr="00105ABA">
        <w:rPr>
          <w:rFonts w:ascii="David" w:hAnsi="David"/>
          <w:b/>
          <w:bCs/>
          <w:rtl/>
        </w:rPr>
        <w:t>ממתין</w:t>
      </w:r>
      <w:r w:rsidRPr="00105ABA">
        <w:rPr>
          <w:rFonts w:ascii="David" w:hAnsi="David"/>
          <w:b/>
          <w:bCs/>
        </w:rPr>
        <w:t xml:space="preserve"> </w:t>
      </w:r>
      <w:r w:rsidRPr="00105ABA">
        <w:rPr>
          <w:rFonts w:ascii="David" w:hAnsi="David"/>
          <w:b/>
          <w:bCs/>
          <w:rtl/>
        </w:rPr>
        <w:t>עד</w:t>
      </w:r>
      <w:r w:rsidRPr="00105ABA">
        <w:rPr>
          <w:rFonts w:ascii="David" w:hAnsi="David"/>
          <w:b/>
          <w:bCs/>
        </w:rPr>
        <w:t xml:space="preserve"> </w:t>
      </w:r>
      <w:r w:rsidRPr="00105ABA">
        <w:rPr>
          <w:rFonts w:ascii="David" w:hAnsi="David"/>
          <w:b/>
          <w:bCs/>
          <w:rtl/>
        </w:rPr>
        <w:t>למערכה</w:t>
      </w:r>
      <w:r w:rsidRPr="00105ABA">
        <w:rPr>
          <w:rFonts w:ascii="David" w:hAnsi="David"/>
          <w:b/>
          <w:bCs/>
        </w:rPr>
        <w:t xml:space="preserve"> </w:t>
      </w:r>
      <w:r w:rsidRPr="00105ABA">
        <w:rPr>
          <w:rFonts w:ascii="David" w:hAnsi="David"/>
          <w:b/>
          <w:bCs/>
          <w:rtl/>
        </w:rPr>
        <w:t>האחרונה</w:t>
      </w:r>
      <w:r w:rsidRPr="00105ABA">
        <w:rPr>
          <w:rFonts w:ascii="David" w:hAnsi="David"/>
          <w:b/>
          <w:bCs/>
        </w:rPr>
        <w:t xml:space="preserve"> </w:t>
      </w:r>
      <w:r w:rsidRPr="00105ABA">
        <w:rPr>
          <w:rFonts w:ascii="David" w:hAnsi="David"/>
          <w:b/>
          <w:bCs/>
          <w:rtl/>
        </w:rPr>
        <w:t>ויורה</w:t>
      </w:r>
      <w:r w:rsidRPr="00105ABA">
        <w:rPr>
          <w:rFonts w:ascii="David" w:hAnsi="David"/>
          <w:b/>
          <w:bCs/>
        </w:rPr>
        <w:t xml:space="preserve"> </w:t>
      </w:r>
      <w:r w:rsidRPr="00105ABA">
        <w:rPr>
          <w:rFonts w:ascii="David" w:hAnsi="David"/>
          <w:b/>
          <w:bCs/>
          <w:rtl/>
        </w:rPr>
        <w:t>עוד קודם</w:t>
      </w:r>
      <w:r w:rsidRPr="00105ABA">
        <w:rPr>
          <w:rFonts w:ascii="David" w:hAnsi="David"/>
          <w:b/>
          <w:bCs/>
        </w:rPr>
        <w:t xml:space="preserve"> </w:t>
      </w:r>
      <w:r w:rsidRPr="00105ABA">
        <w:rPr>
          <w:rFonts w:ascii="David" w:hAnsi="David"/>
          <w:b/>
          <w:bCs/>
          <w:rtl/>
        </w:rPr>
        <w:t>לכן,</w:t>
      </w:r>
      <w:r w:rsidRPr="00105ABA">
        <w:rPr>
          <w:rFonts w:ascii="David" w:hAnsi="David"/>
          <w:b/>
          <w:bCs/>
        </w:rPr>
        <w:t xml:space="preserve"> </w:t>
      </w:r>
      <w:r w:rsidRPr="00105ABA">
        <w:rPr>
          <w:rFonts w:ascii="David" w:hAnsi="David"/>
          <w:b/>
          <w:bCs/>
          <w:rtl/>
        </w:rPr>
        <w:t>מכאן,</w:t>
      </w:r>
      <w:r w:rsidRPr="00105ABA">
        <w:rPr>
          <w:rFonts w:ascii="David" w:hAnsi="David"/>
          <w:b/>
          <w:bCs/>
        </w:rPr>
        <w:t xml:space="preserve"> </w:t>
      </w:r>
      <w:r w:rsidRPr="00105ABA">
        <w:rPr>
          <w:rFonts w:ascii="David" w:hAnsi="David"/>
          <w:b/>
          <w:bCs/>
          <w:rtl/>
        </w:rPr>
        <w:t>שבעבירות</w:t>
      </w:r>
      <w:r w:rsidRPr="00105ABA">
        <w:rPr>
          <w:rFonts w:ascii="David" w:hAnsi="David"/>
          <w:b/>
          <w:bCs/>
        </w:rPr>
        <w:t xml:space="preserve"> </w:t>
      </w:r>
      <w:r w:rsidRPr="00105ABA">
        <w:rPr>
          <w:rFonts w:ascii="David" w:hAnsi="David"/>
          <w:b/>
          <w:bCs/>
          <w:rtl/>
        </w:rPr>
        <w:t>כגון</w:t>
      </w:r>
      <w:r w:rsidRPr="00105ABA">
        <w:rPr>
          <w:rFonts w:ascii="David" w:hAnsi="David"/>
          <w:b/>
          <w:bCs/>
        </w:rPr>
        <w:t xml:space="preserve"> </w:t>
      </w:r>
      <w:r w:rsidRPr="00105ABA">
        <w:rPr>
          <w:rFonts w:ascii="David" w:hAnsi="David"/>
          <w:b/>
          <w:bCs/>
          <w:rtl/>
        </w:rPr>
        <w:t>דא, גם</w:t>
      </w:r>
      <w:r w:rsidRPr="00105ABA">
        <w:rPr>
          <w:rFonts w:ascii="David" w:hAnsi="David"/>
          <w:b/>
          <w:bCs/>
        </w:rPr>
        <w:t xml:space="preserve"> </w:t>
      </w:r>
      <w:r w:rsidRPr="00105ABA">
        <w:rPr>
          <w:rFonts w:ascii="David" w:hAnsi="David"/>
          <w:b/>
          <w:bCs/>
          <w:rtl/>
        </w:rPr>
        <w:t>לשיקולי</w:t>
      </w:r>
      <w:r w:rsidRPr="00105ABA">
        <w:rPr>
          <w:rFonts w:ascii="David" w:hAnsi="David"/>
          <w:b/>
          <w:bCs/>
        </w:rPr>
        <w:t xml:space="preserve"> </w:t>
      </w:r>
      <w:r w:rsidRPr="00105ABA">
        <w:rPr>
          <w:rFonts w:ascii="David" w:hAnsi="David"/>
          <w:b/>
          <w:bCs/>
          <w:rtl/>
        </w:rPr>
        <w:t>ההרתעה</w:t>
      </w:r>
      <w:r w:rsidRPr="00105ABA">
        <w:rPr>
          <w:rFonts w:ascii="David" w:hAnsi="David"/>
          <w:b/>
          <w:bCs/>
        </w:rPr>
        <w:t xml:space="preserve"> </w:t>
      </w:r>
      <w:r w:rsidRPr="00105ABA">
        <w:rPr>
          <w:rFonts w:ascii="David" w:hAnsi="David"/>
          <w:b/>
          <w:bCs/>
          <w:rtl/>
        </w:rPr>
        <w:t>משקל</w:t>
      </w:r>
      <w:r w:rsidRPr="00105ABA">
        <w:rPr>
          <w:rFonts w:ascii="David" w:hAnsi="David"/>
          <w:b/>
          <w:bCs/>
        </w:rPr>
        <w:t xml:space="preserve"> </w:t>
      </w:r>
      <w:r w:rsidRPr="00105ABA">
        <w:rPr>
          <w:rFonts w:ascii="David" w:hAnsi="David"/>
          <w:b/>
          <w:bCs/>
          <w:rtl/>
        </w:rPr>
        <w:t>של</w:t>
      </w:r>
      <w:r w:rsidRPr="00105ABA">
        <w:rPr>
          <w:rFonts w:ascii="David" w:hAnsi="David"/>
          <w:b/>
          <w:bCs/>
        </w:rPr>
        <w:t xml:space="preserve"> </w:t>
      </w:r>
      <w:r w:rsidRPr="00105ABA">
        <w:rPr>
          <w:rFonts w:ascii="David" w:hAnsi="David"/>
          <w:b/>
          <w:bCs/>
          <w:rtl/>
        </w:rPr>
        <w:t>ממש</w:t>
      </w:r>
      <w:r w:rsidRPr="00105ABA">
        <w:rPr>
          <w:rFonts w:ascii="David" w:hAnsi="David"/>
          <w:b/>
          <w:bCs/>
        </w:rPr>
        <w:t>.</w:t>
      </w:r>
    </w:p>
    <w:p w14:paraId="520F89E3" w14:textId="77777777" w:rsidR="001748F5" w:rsidRDefault="001748F5" w:rsidP="001748F5">
      <w:pPr>
        <w:spacing w:line="360" w:lineRule="auto"/>
        <w:jc w:val="both"/>
        <w:rPr>
          <w:rFonts w:ascii="David" w:hAnsi="David"/>
          <w:b/>
          <w:bCs/>
          <w:rtl/>
        </w:rPr>
      </w:pPr>
    </w:p>
    <w:p w14:paraId="392999A4" w14:textId="77777777" w:rsidR="001748F5" w:rsidRDefault="001748F5" w:rsidP="001748F5">
      <w:pPr>
        <w:spacing w:line="360" w:lineRule="auto"/>
        <w:jc w:val="both"/>
        <w:rPr>
          <w:rFonts w:ascii="David" w:hAnsi="David"/>
          <w:color w:val="000000"/>
          <w:rtl/>
        </w:rPr>
      </w:pPr>
      <w:r>
        <w:rPr>
          <w:rFonts w:ascii="David" w:hAnsi="David" w:hint="cs"/>
          <w:rtl/>
        </w:rPr>
        <w:t xml:space="preserve">בענייננו, </w:t>
      </w:r>
      <w:r w:rsidRPr="00810CCF">
        <w:rPr>
          <w:rFonts w:ascii="David" w:hAnsi="David"/>
          <w:color w:val="000000"/>
          <w:rtl/>
        </w:rPr>
        <w:t>הערך החברתי</w:t>
      </w:r>
      <w:r>
        <w:rPr>
          <w:rFonts w:ascii="David" w:hAnsi="David"/>
          <w:b/>
          <w:bCs/>
          <w:color w:val="000000"/>
          <w:rtl/>
        </w:rPr>
        <w:t xml:space="preserve"> </w:t>
      </w:r>
      <w:r>
        <w:rPr>
          <w:rFonts w:ascii="David" w:hAnsi="David"/>
          <w:color w:val="000000"/>
          <w:rtl/>
        </w:rPr>
        <w:t xml:space="preserve">אשר נפגע הוא הגנה על בטחון הציבור. </w:t>
      </w:r>
      <w:r>
        <w:rPr>
          <w:rFonts w:ascii="David" w:hAnsi="David" w:hint="cs"/>
          <w:color w:val="000000"/>
          <w:rtl/>
        </w:rPr>
        <w:t xml:space="preserve">כידוע, </w:t>
      </w:r>
      <w:r>
        <w:rPr>
          <w:rFonts w:ascii="David" w:hAnsi="David"/>
          <w:color w:val="000000"/>
          <w:rtl/>
        </w:rPr>
        <w:t>החזקת תחמושת יוצרת סיכון</w:t>
      </w:r>
      <w:r>
        <w:rPr>
          <w:rFonts w:ascii="David" w:hAnsi="David" w:hint="cs"/>
          <w:color w:val="000000"/>
          <w:rtl/>
        </w:rPr>
        <w:t xml:space="preserve"> ממשי כי במידת הצורך</w:t>
      </w:r>
      <w:r>
        <w:rPr>
          <w:rFonts w:ascii="David" w:hAnsi="David"/>
          <w:color w:val="000000"/>
          <w:rtl/>
        </w:rPr>
        <w:t xml:space="preserve"> </w:t>
      </w:r>
      <w:r>
        <w:rPr>
          <w:rFonts w:ascii="David" w:hAnsi="David" w:hint="cs"/>
          <w:color w:val="000000"/>
          <w:rtl/>
        </w:rPr>
        <w:t>י</w:t>
      </w:r>
      <w:r>
        <w:rPr>
          <w:rFonts w:ascii="David" w:hAnsi="David"/>
          <w:color w:val="000000"/>
          <w:rtl/>
        </w:rPr>
        <w:t>יעשה שימוש בתחמושת למטרות פסולות, פליליות או ביטחוניות, לרבות פגיעה בגוף או בנפש. בית המשפט העליון, מפי כב' השופט נ' סולברג, עמד על חומרת עבירות בנשק ב</w:t>
      </w:r>
      <w:hyperlink r:id="rId32" w:history="1">
        <w:r w:rsidR="000C7938" w:rsidRPr="000C7938">
          <w:rPr>
            <w:rFonts w:ascii="David" w:hAnsi="David"/>
            <w:color w:val="0000FF"/>
            <w:u w:val="single"/>
            <w:rtl/>
          </w:rPr>
          <w:t>ע"פ 135/17</w:t>
        </w:r>
      </w:hyperlink>
      <w:r>
        <w:rPr>
          <w:rFonts w:ascii="David" w:hAnsi="David"/>
          <w:color w:val="000000"/>
          <w:rtl/>
        </w:rPr>
        <w:t xml:space="preserve"> </w:t>
      </w:r>
      <w:r>
        <w:rPr>
          <w:rFonts w:ascii="David" w:hAnsi="David"/>
          <w:b/>
          <w:bCs/>
          <w:color w:val="000000"/>
          <w:rtl/>
        </w:rPr>
        <w:t>מדינת ישראל נ' בסל</w:t>
      </w:r>
      <w:r>
        <w:rPr>
          <w:rFonts w:ascii="David" w:hAnsi="David"/>
          <w:color w:val="000000"/>
          <w:rtl/>
        </w:rPr>
        <w:t xml:space="preserve"> (8.3.17):</w:t>
      </w:r>
      <w:r>
        <w:rPr>
          <w:rFonts w:ascii="David" w:hAnsi="David" w:hint="cs"/>
          <w:color w:val="000000"/>
          <w:rtl/>
        </w:rPr>
        <w:t xml:space="preserve"> </w:t>
      </w:r>
      <w:r>
        <w:rPr>
          <w:rFonts w:ascii="David" w:hAnsi="David"/>
          <w:color w:val="000000"/>
          <w:rtl/>
        </w:rPr>
        <w:t>"</w:t>
      </w:r>
      <w:r>
        <w:rPr>
          <w:rFonts w:ascii="David" w:hAnsi="David"/>
          <w:b/>
          <w:bCs/>
          <w:color w:val="000000"/>
          <w:rtl/>
        </w:rPr>
        <w:t>בית משפט זה עמד לא פעם על חומרתן של עבירות נשק, ובכללן עבירות של החזקת ונשיאת נשק, תוך שהוא מציין את חומרת המעשה ואת פוטנציאל הנזק הכרוך בו. נשק המתגלגל מיד ליד עלול להגיע לידי גורמים עברייניים או לפעילות ביטחונית, פגיעתו הרעה מורגשת ומהווה איום על שלום הציבור כולו; כתוצאה מכך גדל ההכרח להרתיע את היחיד והרבים מפני עיסוק בכך. לא אחת גם צוין כי קיימת מגמת החמרה הדרגתית בעונשים המושתים על עבריינות נשק</w:t>
      </w:r>
      <w:r>
        <w:rPr>
          <w:rFonts w:ascii="David" w:hAnsi="David"/>
          <w:color w:val="000000"/>
          <w:rtl/>
        </w:rPr>
        <w:t xml:space="preserve">". </w:t>
      </w:r>
    </w:p>
    <w:p w14:paraId="0BF7E9B2" w14:textId="77777777" w:rsidR="001748F5" w:rsidRDefault="001748F5" w:rsidP="001748F5">
      <w:pPr>
        <w:spacing w:line="360" w:lineRule="auto"/>
        <w:jc w:val="both"/>
        <w:rPr>
          <w:rFonts w:ascii="David" w:hAnsi="David"/>
          <w:color w:val="000000"/>
          <w:rtl/>
        </w:rPr>
      </w:pPr>
    </w:p>
    <w:p w14:paraId="40CCFF39" w14:textId="77777777" w:rsidR="001748F5" w:rsidRDefault="001748F5" w:rsidP="001748F5">
      <w:pPr>
        <w:spacing w:line="360" w:lineRule="auto"/>
        <w:jc w:val="both"/>
        <w:rPr>
          <w:rFonts w:ascii="David" w:hAnsi="David"/>
          <w:color w:val="000000"/>
          <w:rtl/>
        </w:rPr>
      </w:pPr>
      <w:r>
        <w:rPr>
          <w:rFonts w:ascii="David" w:hAnsi="David" w:hint="cs"/>
          <w:color w:val="000000"/>
          <w:rtl/>
        </w:rPr>
        <w:t xml:space="preserve">וכך גם נאמר </w:t>
      </w:r>
      <w:r>
        <w:rPr>
          <w:rFonts w:ascii="David" w:hAnsi="David"/>
          <w:color w:val="000000"/>
          <w:rtl/>
        </w:rPr>
        <w:t>ב</w:t>
      </w:r>
      <w:hyperlink r:id="rId33" w:history="1">
        <w:r w:rsidR="000C7938" w:rsidRPr="000C7938">
          <w:rPr>
            <w:rFonts w:ascii="David" w:hAnsi="David"/>
            <w:color w:val="0000FF"/>
            <w:u w:val="single"/>
            <w:rtl/>
          </w:rPr>
          <w:t>ע"פ 5446/19</w:t>
        </w:r>
      </w:hyperlink>
      <w:r>
        <w:rPr>
          <w:rFonts w:ascii="David" w:hAnsi="David"/>
          <w:color w:val="000000"/>
          <w:rtl/>
        </w:rPr>
        <w:t xml:space="preserve"> </w:t>
      </w:r>
      <w:r>
        <w:rPr>
          <w:rFonts w:ascii="David" w:hAnsi="David"/>
          <w:b/>
          <w:bCs/>
          <w:color w:val="000000"/>
          <w:rtl/>
        </w:rPr>
        <w:t>מדינת ישראל נ' הוארי</w:t>
      </w:r>
      <w:r>
        <w:rPr>
          <w:rFonts w:ascii="David" w:hAnsi="David"/>
          <w:color w:val="000000"/>
          <w:rtl/>
        </w:rPr>
        <w:t xml:space="preserve"> (25.11.19):</w:t>
      </w:r>
      <w:r>
        <w:rPr>
          <w:rFonts w:ascii="David" w:hAnsi="David" w:hint="cs"/>
          <w:color w:val="000000"/>
          <w:rtl/>
        </w:rPr>
        <w:t xml:space="preserve"> </w:t>
      </w:r>
      <w:r>
        <w:rPr>
          <w:rFonts w:ascii="David" w:hAnsi="David"/>
          <w:color w:val="000000"/>
          <w:rtl/>
        </w:rPr>
        <w:t>"</w:t>
      </w:r>
      <w:r>
        <w:rPr>
          <w:rFonts w:ascii="David" w:hAnsi="David"/>
          <w:b/>
          <w:bCs/>
          <w:color w:val="000000"/>
          <w:rtl/>
        </w:rPr>
        <w:t>בשנים האחרונות, עמד בית משפט זה פעם אחר פעם על החומרה היתרה שבביצוע עבירות נשק, וזאת בשל הסיכון הממשי לשלום הציבור והפגיעה בערכים המוגנים של שלמות הגוף וחיי אדם הטמונים בעבירות אלו. לאור כך, ננקטת מגמת החמרה ברמת הענישה של המורשעים בעבירות נשק, כך שזו תבטא באופן הולם את פוטנציאל ההרס הרב הגלום בהן</w:t>
      </w:r>
      <w:r>
        <w:rPr>
          <w:rFonts w:ascii="David" w:hAnsi="David"/>
          <w:color w:val="000000"/>
          <w:rtl/>
        </w:rPr>
        <w:t xml:space="preserve">". </w:t>
      </w:r>
    </w:p>
    <w:p w14:paraId="1367F1F8" w14:textId="77777777" w:rsidR="001748F5" w:rsidRDefault="001748F5" w:rsidP="001748F5">
      <w:pPr>
        <w:spacing w:line="360" w:lineRule="auto"/>
        <w:jc w:val="both"/>
        <w:rPr>
          <w:rFonts w:ascii="David" w:hAnsi="David"/>
          <w:b/>
          <w:bCs/>
          <w:rtl/>
        </w:rPr>
      </w:pPr>
      <w:r>
        <w:rPr>
          <w:rFonts w:ascii="David" w:hAnsi="David" w:hint="cs"/>
          <w:b/>
          <w:bCs/>
          <w:rtl/>
        </w:rPr>
        <w:t xml:space="preserve"> </w:t>
      </w:r>
    </w:p>
    <w:p w14:paraId="15BA7CC8" w14:textId="77777777" w:rsidR="001748F5" w:rsidRDefault="001748F5" w:rsidP="001748F5">
      <w:pPr>
        <w:spacing w:line="360" w:lineRule="auto"/>
        <w:jc w:val="both"/>
        <w:rPr>
          <w:rFonts w:ascii="David" w:hAnsi="David"/>
          <w:rtl/>
        </w:rPr>
      </w:pPr>
      <w:r>
        <w:rPr>
          <w:rFonts w:ascii="David" w:hAnsi="David" w:hint="cs"/>
          <w:rtl/>
        </w:rPr>
        <w:t>הנאשם במעשיו פגע בערכים המוגנים באופן ממשי, החזקת התחמושת בתא המטען ברכב והסמים המסוכן מסוג קוקאין מלמדים על זמינות, מסוכנות וקרבה ממשית לאפשרות של שימוש בתחמושת או העברתה לאחרים.</w:t>
      </w:r>
    </w:p>
    <w:p w14:paraId="2E51B549" w14:textId="77777777" w:rsidR="001748F5" w:rsidRPr="00714842" w:rsidRDefault="001748F5" w:rsidP="001748F5">
      <w:pPr>
        <w:spacing w:line="360" w:lineRule="auto"/>
        <w:jc w:val="both"/>
        <w:rPr>
          <w:rFonts w:ascii="David" w:hAnsi="David"/>
          <w:rtl/>
        </w:rPr>
      </w:pPr>
    </w:p>
    <w:p w14:paraId="0FA486F1" w14:textId="77777777" w:rsidR="001748F5" w:rsidRDefault="001748F5" w:rsidP="001748F5">
      <w:pPr>
        <w:spacing w:line="360" w:lineRule="auto"/>
        <w:jc w:val="both"/>
        <w:rPr>
          <w:rFonts w:ascii="David" w:hAnsi="David"/>
          <w:b/>
          <w:bCs/>
          <w:u w:val="single"/>
          <w:rtl/>
        </w:rPr>
      </w:pPr>
      <w:r>
        <w:rPr>
          <w:rFonts w:ascii="David" w:hAnsi="David" w:hint="cs"/>
          <w:b/>
          <w:bCs/>
          <w:u w:val="single"/>
          <w:rtl/>
        </w:rPr>
        <w:t>מדיניות הענישה הנוהגת</w:t>
      </w:r>
    </w:p>
    <w:p w14:paraId="35D981BA" w14:textId="77777777" w:rsidR="001748F5" w:rsidRDefault="001748F5" w:rsidP="001748F5">
      <w:pPr>
        <w:spacing w:line="360" w:lineRule="auto"/>
        <w:jc w:val="both"/>
        <w:rPr>
          <w:rFonts w:ascii="David" w:hAnsi="David"/>
          <w:rtl/>
        </w:rPr>
      </w:pPr>
      <w:r>
        <w:rPr>
          <w:rFonts w:ascii="David" w:hAnsi="David" w:hint="cs"/>
          <w:rtl/>
        </w:rPr>
        <w:t>המאשימה עתרה לקביעת מתחם ענישה אשר נע בין 18-36 חודשי מאסר בפועל. אולם עיון בפסיקה מגלה כי מתחם העונש ההולם אשר נקבע במקרים דומים ואף חמורים מזה שפני, שונה ומנוך בהרבה מהאמור לעיל.</w:t>
      </w:r>
    </w:p>
    <w:p w14:paraId="74527C8E" w14:textId="77777777" w:rsidR="001748F5" w:rsidRDefault="001748F5" w:rsidP="001748F5">
      <w:pPr>
        <w:spacing w:line="360" w:lineRule="auto"/>
        <w:jc w:val="both"/>
        <w:rPr>
          <w:rFonts w:ascii="David" w:hAnsi="David"/>
          <w:rtl/>
        </w:rPr>
      </w:pPr>
    </w:p>
    <w:p w14:paraId="1B815870" w14:textId="77777777" w:rsidR="001748F5" w:rsidRDefault="001748F5" w:rsidP="001748F5">
      <w:pPr>
        <w:spacing w:line="360" w:lineRule="auto"/>
        <w:jc w:val="both"/>
        <w:rPr>
          <w:rFonts w:ascii="David" w:hAnsi="David"/>
          <w:rtl/>
        </w:rPr>
      </w:pPr>
      <w:r>
        <w:rPr>
          <w:rFonts w:ascii="David" w:hAnsi="David" w:hint="cs"/>
          <w:rtl/>
        </w:rPr>
        <w:t>יחד עם זאת יש לזכור כי לצד עבירת הנשק ונאשם הורשע בעבירה נוספת של החזקת סם מסוג קוקאין שלא לצריכה עצמית. בפסיקה נקבע מתחם ענישה מחמיר לעבירה זו במיוחד לאור כמות הסם וסוגו.</w:t>
      </w:r>
    </w:p>
    <w:p w14:paraId="4C2A761C" w14:textId="77777777" w:rsidR="001748F5" w:rsidRDefault="001748F5" w:rsidP="001748F5">
      <w:pPr>
        <w:spacing w:line="360" w:lineRule="auto"/>
        <w:jc w:val="both"/>
        <w:rPr>
          <w:rFonts w:ascii="David" w:hAnsi="David"/>
          <w:rtl/>
        </w:rPr>
      </w:pPr>
    </w:p>
    <w:p w14:paraId="1401FD92" w14:textId="77777777" w:rsidR="001748F5" w:rsidRDefault="001748F5" w:rsidP="001748F5">
      <w:pPr>
        <w:spacing w:line="360" w:lineRule="auto"/>
        <w:jc w:val="both"/>
        <w:rPr>
          <w:rFonts w:ascii="David" w:hAnsi="David"/>
          <w:rtl/>
        </w:rPr>
      </w:pPr>
      <w:r>
        <w:rPr>
          <w:rFonts w:ascii="David" w:hAnsi="David" w:hint="cs"/>
          <w:rtl/>
        </w:rPr>
        <w:t>ב</w:t>
      </w:r>
      <w:hyperlink r:id="rId34" w:history="1">
        <w:r w:rsidR="000C7938" w:rsidRPr="000C7938">
          <w:rPr>
            <w:rFonts w:ascii="David" w:hAnsi="David"/>
            <w:color w:val="0000FF"/>
            <w:u w:val="single"/>
            <w:rtl/>
          </w:rPr>
          <w:t>ת"פ 53220-09-24</w:t>
        </w:r>
      </w:hyperlink>
      <w:r>
        <w:rPr>
          <w:rFonts w:ascii="David" w:hAnsi="David" w:hint="cs"/>
          <w:rtl/>
        </w:rPr>
        <w:t xml:space="preserve"> </w:t>
      </w:r>
      <w:r w:rsidRPr="00902F60">
        <w:rPr>
          <w:rFonts w:ascii="David" w:hAnsi="David" w:hint="cs"/>
          <w:b/>
          <w:bCs/>
          <w:rtl/>
        </w:rPr>
        <w:t>מדינת ישראל נ' אבו סעד</w:t>
      </w:r>
      <w:r>
        <w:rPr>
          <w:rFonts w:ascii="David" w:hAnsi="David" w:hint="cs"/>
          <w:rtl/>
        </w:rPr>
        <w:t>, נקבע מתחם ענישה שנע בין 9  חודשי מאסר אשר יכול וירוצו בעבודות שירות ועד 18 חודשי מאסר בפועל וזאת ביחס לנאשם אשר הורשע בהחזקת ארגז תחמושת ברכבו אשר הכיל 500 כדורים מסוג 5.56 מ"מ ושני ארגזי תחמושת נוספים כאשר בכל אחד מהם בנפרד 900 כדורים מסוג 5.56 מ"מ. בית המשפט הטיל על נאשם מאסר ברף התחתון של המתחם שלא מאחורי סורג ובריח אלא בעבודות שירות.</w:t>
      </w:r>
    </w:p>
    <w:p w14:paraId="2B698502" w14:textId="77777777" w:rsidR="001748F5" w:rsidRDefault="001748F5" w:rsidP="001748F5">
      <w:pPr>
        <w:spacing w:line="360" w:lineRule="auto"/>
        <w:jc w:val="both"/>
        <w:rPr>
          <w:rFonts w:ascii="David" w:hAnsi="David"/>
          <w:rtl/>
        </w:rPr>
      </w:pPr>
    </w:p>
    <w:p w14:paraId="0A2075B2" w14:textId="77777777" w:rsidR="001748F5" w:rsidRDefault="000C7938" w:rsidP="001748F5">
      <w:pPr>
        <w:spacing w:line="360" w:lineRule="auto"/>
        <w:jc w:val="both"/>
      </w:pPr>
      <w:hyperlink r:id="rId35" w:history="1">
        <w:r w:rsidRPr="000C7938">
          <w:rPr>
            <w:rFonts w:ascii="David" w:hAnsi="David"/>
            <w:color w:val="0000FF"/>
            <w:u w:val="single"/>
            <w:rtl/>
          </w:rPr>
          <w:t>ת"פ (טבריה) 26182-10-14</w:t>
        </w:r>
      </w:hyperlink>
      <w:r w:rsidR="001748F5">
        <w:rPr>
          <w:rFonts w:ascii="David" w:hAnsi="David" w:hint="cs"/>
          <w:rtl/>
        </w:rPr>
        <w:t xml:space="preserve"> </w:t>
      </w:r>
      <w:r w:rsidR="001748F5" w:rsidRPr="00902F60">
        <w:rPr>
          <w:rFonts w:ascii="David" w:hAnsi="David" w:hint="cs"/>
          <w:b/>
          <w:bCs/>
          <w:rtl/>
        </w:rPr>
        <w:t>מדינת ישראל נ' אבו חנין</w:t>
      </w:r>
      <w:r w:rsidR="001748F5">
        <w:rPr>
          <w:rFonts w:ascii="David" w:hAnsi="David" w:hint="cs"/>
          <w:rtl/>
        </w:rPr>
        <w:t xml:space="preserve">, נקבע מתחם ענישה שנע בין מאסר על תנאי ועד 8 חודשי מאסר בפועל וזאת ביחס לשני נאשמים, כאשר אחד מהם הורשע </w:t>
      </w:r>
      <w:r w:rsidR="001748F5">
        <w:rPr>
          <w:rFonts w:hint="cs"/>
          <w:rtl/>
        </w:rPr>
        <w:t xml:space="preserve">בהחזקת </w:t>
      </w:r>
      <w:r w:rsidR="001748F5">
        <w:rPr>
          <w:rtl/>
        </w:rPr>
        <w:t xml:space="preserve">דבק חבלה; מחסנית לנשק גליל; 9 כדורים של 7.62 מ"מ בשרשרת; 357 כדורים של 7.62 מ"מ; 484 כדורים עקרים של 5.56 מ"מ בתפזורת; 230 כדורים של 5.56 מ"מ בשרשרת; 12 מחסניות של </w:t>
      </w:r>
      <w:r w:rsidR="001748F5">
        <w:t>M16</w:t>
      </w:r>
      <w:r w:rsidR="001748F5">
        <w:rPr>
          <w:rtl/>
        </w:rPr>
        <w:t xml:space="preserve"> שבכל מחסנית 29 כדורים; 12 מחסניות נוספות ל – </w:t>
      </w:r>
      <w:r w:rsidR="001748F5">
        <w:t>M16</w:t>
      </w:r>
      <w:r w:rsidR="001748F5">
        <w:rPr>
          <w:rtl/>
        </w:rPr>
        <w:t xml:space="preserve"> שבכל מחסנית 30 כדורים; 26 מחסניות ריקות ל – </w:t>
      </w:r>
      <w:r w:rsidR="001748F5">
        <w:t>M16</w:t>
      </w:r>
      <w:r w:rsidR="001748F5">
        <w:rPr>
          <w:rtl/>
        </w:rPr>
        <w:t>. הפריטים הללו נלקחו על ידי הנאשם במהלך שירותו הצבאי ולא הוחזרו</w:t>
      </w:r>
      <w:r w:rsidR="001748F5">
        <w:rPr>
          <w:rFonts w:hint="cs"/>
          <w:rtl/>
        </w:rPr>
        <w:t xml:space="preserve"> והנאשם השני הורשע בחזקת </w:t>
      </w:r>
      <w:r w:rsidR="001748F5">
        <w:rPr>
          <w:rtl/>
        </w:rPr>
        <w:t>133 כדורי צייד; מחסנית לנשק עוזי; 52 כדורים של 9 מ"מ; 413 כדורים של 0.22 מ"מ ארוך; 117 כדורים של 0.22 קצר; גלילי חומר הודף במטען הודף 155 מ"מ המכיל אבק שריפה ללא עשן שיכול להיות חלק מתחמושת.</w:t>
      </w:r>
    </w:p>
    <w:p w14:paraId="1A4FEA95" w14:textId="77777777" w:rsidR="001748F5" w:rsidRPr="0089315C" w:rsidRDefault="001748F5" w:rsidP="001748F5">
      <w:pPr>
        <w:pStyle w:val="a9"/>
        <w:spacing w:line="360" w:lineRule="auto"/>
        <w:ind w:left="0"/>
        <w:jc w:val="both"/>
      </w:pPr>
    </w:p>
    <w:p w14:paraId="06E72375" w14:textId="77777777" w:rsidR="001748F5" w:rsidRDefault="000C7938" w:rsidP="001748F5">
      <w:pPr>
        <w:spacing w:line="360" w:lineRule="auto"/>
        <w:jc w:val="both"/>
        <w:rPr>
          <w:rFonts w:ascii="David" w:hAnsi="David"/>
          <w:rtl/>
        </w:rPr>
      </w:pPr>
      <w:hyperlink r:id="rId36" w:history="1">
        <w:r w:rsidRPr="000C7938">
          <w:rPr>
            <w:rFonts w:ascii="David" w:hAnsi="David"/>
            <w:color w:val="0000FF"/>
            <w:u w:val="single"/>
            <w:rtl/>
          </w:rPr>
          <w:t>ת"פ (כ"ס) 16868-06-11</w:t>
        </w:r>
      </w:hyperlink>
      <w:r w:rsidR="001748F5">
        <w:rPr>
          <w:rFonts w:ascii="David" w:hAnsi="David" w:hint="cs"/>
          <w:rtl/>
        </w:rPr>
        <w:t xml:space="preserve"> </w:t>
      </w:r>
      <w:r w:rsidR="001748F5" w:rsidRPr="00902F60">
        <w:rPr>
          <w:rFonts w:ascii="David" w:hAnsi="David" w:hint="cs"/>
          <w:b/>
          <w:bCs/>
          <w:rtl/>
        </w:rPr>
        <w:t>מדינת ישראל נ' מסארווה</w:t>
      </w:r>
      <w:r w:rsidR="001748F5">
        <w:rPr>
          <w:rFonts w:ascii="David" w:hAnsi="David" w:hint="cs"/>
          <w:rtl/>
        </w:rPr>
        <w:t xml:space="preserve">, הנאשם נדון ל </w:t>
      </w:r>
      <w:r w:rsidR="001748F5">
        <w:rPr>
          <w:rFonts w:ascii="David" w:hAnsi="David"/>
          <w:rtl/>
        </w:rPr>
        <w:t>–</w:t>
      </w:r>
      <w:r w:rsidR="001748F5">
        <w:rPr>
          <w:rFonts w:ascii="David" w:hAnsi="David" w:hint="cs"/>
          <w:rtl/>
        </w:rPr>
        <w:t xml:space="preserve"> 3 חודשים מאסר בעבודות שירות וזאת בגין הרשעתו בעברה של החזקת תחמושת </w:t>
      </w:r>
      <w:r w:rsidR="001748F5">
        <w:rPr>
          <w:rFonts w:ascii="David" w:hAnsi="David"/>
          <w:rtl/>
        </w:rPr>
        <w:t>–</w:t>
      </w:r>
      <w:r w:rsidR="001748F5">
        <w:rPr>
          <w:rFonts w:ascii="David" w:hAnsi="David" w:hint="cs"/>
          <w:rtl/>
        </w:rPr>
        <w:t xml:space="preserve"> 109 כדורי 5.56 מ"מ.</w:t>
      </w:r>
    </w:p>
    <w:p w14:paraId="6C48045C" w14:textId="77777777" w:rsidR="001748F5" w:rsidRDefault="000C7938" w:rsidP="001748F5">
      <w:pPr>
        <w:spacing w:line="360" w:lineRule="auto"/>
        <w:jc w:val="both"/>
        <w:rPr>
          <w:rFonts w:ascii="David" w:hAnsi="David"/>
          <w:rtl/>
        </w:rPr>
      </w:pPr>
      <w:hyperlink r:id="rId37" w:history="1">
        <w:r w:rsidRPr="000C7938">
          <w:rPr>
            <w:rFonts w:ascii="David" w:hAnsi="David"/>
            <w:color w:val="0000FF"/>
            <w:u w:val="single"/>
            <w:rtl/>
          </w:rPr>
          <w:t>ת"פ 18228-09-22</w:t>
        </w:r>
      </w:hyperlink>
      <w:r w:rsidR="001748F5">
        <w:rPr>
          <w:rFonts w:ascii="David" w:hAnsi="David" w:hint="cs"/>
          <w:rtl/>
        </w:rPr>
        <w:t xml:space="preserve"> </w:t>
      </w:r>
      <w:r w:rsidR="001748F5" w:rsidRPr="00902F60">
        <w:rPr>
          <w:rFonts w:ascii="David" w:hAnsi="David" w:hint="cs"/>
          <w:b/>
          <w:bCs/>
          <w:rtl/>
        </w:rPr>
        <w:t>מדינת ישראל נ' זיד עמריה</w:t>
      </w:r>
      <w:r w:rsidR="001748F5">
        <w:rPr>
          <w:rFonts w:ascii="David" w:hAnsi="David" w:hint="cs"/>
          <w:rtl/>
        </w:rPr>
        <w:t xml:space="preserve">, הנאשם הורשע במסגרת הסדר טיעון בהחזקת תחמושת צה"לית  - 720 כדורים מסוג 5.56 מ"מ ב </w:t>
      </w:r>
      <w:r w:rsidR="001748F5">
        <w:rPr>
          <w:rFonts w:ascii="David" w:hAnsi="David"/>
          <w:rtl/>
        </w:rPr>
        <w:t>–</w:t>
      </w:r>
      <w:r w:rsidR="001748F5">
        <w:rPr>
          <w:rFonts w:ascii="David" w:hAnsi="David" w:hint="cs"/>
          <w:rtl/>
        </w:rPr>
        <w:t xml:space="preserve"> 24 אריזות. המאשימה עתרה להטת מאסר למשך 6 חודשים בעבודות שירות. בית המשפט הטיל ענישה הזהה לעמדתה העונשית של המאשימה וזאת לאחר שקבע כי מתחם העונש ההולם נע בין מאסר קצר ועד 15 חודשי מאסר,(ראו הפנייה למתחמי ענישה בגזר דין זה).</w:t>
      </w:r>
    </w:p>
    <w:p w14:paraId="21DC3ADB" w14:textId="77777777" w:rsidR="001748F5" w:rsidRDefault="001748F5" w:rsidP="001748F5">
      <w:pPr>
        <w:spacing w:line="360" w:lineRule="auto"/>
        <w:jc w:val="both"/>
        <w:rPr>
          <w:rFonts w:ascii="David" w:hAnsi="David"/>
          <w:rtl/>
        </w:rPr>
      </w:pPr>
    </w:p>
    <w:p w14:paraId="18CA99BC" w14:textId="77777777" w:rsidR="001748F5" w:rsidRDefault="000C7938" w:rsidP="001748F5">
      <w:pPr>
        <w:spacing w:line="360" w:lineRule="auto"/>
        <w:jc w:val="both"/>
        <w:rPr>
          <w:rFonts w:ascii="David" w:hAnsi="David"/>
          <w:rtl/>
        </w:rPr>
      </w:pPr>
      <w:hyperlink r:id="rId38" w:history="1">
        <w:r w:rsidRPr="000C7938">
          <w:rPr>
            <w:rFonts w:ascii="David" w:hAnsi="David"/>
            <w:color w:val="0000FF"/>
            <w:u w:val="single"/>
            <w:rtl/>
          </w:rPr>
          <w:t>ת"פ 65412-06-23</w:t>
        </w:r>
      </w:hyperlink>
      <w:r w:rsidR="001748F5">
        <w:rPr>
          <w:rFonts w:ascii="David" w:hAnsi="David" w:hint="cs"/>
          <w:rtl/>
        </w:rPr>
        <w:t xml:space="preserve"> </w:t>
      </w:r>
      <w:r w:rsidR="001748F5" w:rsidRPr="00902F60">
        <w:rPr>
          <w:rFonts w:ascii="David" w:hAnsi="David" w:hint="cs"/>
          <w:b/>
          <w:bCs/>
          <w:rtl/>
        </w:rPr>
        <w:t>מדינת ישראל נ' איאד מחאמיד</w:t>
      </w:r>
      <w:r w:rsidR="001748F5">
        <w:rPr>
          <w:rFonts w:ascii="David" w:hAnsi="David" w:hint="cs"/>
          <w:rtl/>
        </w:rPr>
        <w:t>, הנאשם הורשע בהחזקת תחמושת בכמות רבה (600 כדורים לערך), נקבע מתחם ענישה שנע בין 6 חודשי מאסר שיכול וירוצה בעבודות שירות ועד 12 חודשי מאסר בפועל.</w:t>
      </w:r>
    </w:p>
    <w:p w14:paraId="2F788149" w14:textId="77777777" w:rsidR="001748F5" w:rsidRDefault="001748F5" w:rsidP="001748F5">
      <w:pPr>
        <w:spacing w:line="360" w:lineRule="auto"/>
        <w:jc w:val="both"/>
        <w:rPr>
          <w:rFonts w:ascii="David" w:hAnsi="David"/>
          <w:rtl/>
        </w:rPr>
      </w:pPr>
    </w:p>
    <w:p w14:paraId="3D04AC01" w14:textId="77777777" w:rsidR="001748F5" w:rsidRDefault="001748F5" w:rsidP="001748F5">
      <w:pPr>
        <w:spacing w:line="360" w:lineRule="auto"/>
        <w:jc w:val="both"/>
        <w:rPr>
          <w:rFonts w:ascii="David" w:hAnsi="David"/>
          <w:rtl/>
        </w:rPr>
      </w:pPr>
      <w:r>
        <w:rPr>
          <w:rFonts w:ascii="David" w:hAnsi="David" w:hint="cs"/>
          <w:rtl/>
        </w:rPr>
        <w:t xml:space="preserve">כאמור, לצד עבירת החזקת התחמושת, הורשע הנאשם בעבירה כנגד </w:t>
      </w:r>
      <w:hyperlink r:id="rId39" w:history="1">
        <w:r w:rsidR="000C7938" w:rsidRPr="000C7938">
          <w:rPr>
            <w:rFonts w:ascii="David" w:hAnsi="David"/>
            <w:color w:val="0000FF"/>
            <w:u w:val="single"/>
            <w:rtl/>
          </w:rPr>
          <w:t>פקודת הסמים המסוכנים</w:t>
        </w:r>
      </w:hyperlink>
      <w:r>
        <w:rPr>
          <w:rFonts w:ascii="David" w:hAnsi="David" w:hint="cs"/>
          <w:rtl/>
        </w:rPr>
        <w:t xml:space="preserve">. רבות נכתב ביחס עבירה זו ובמיוחד לגבי סוג הסם </w:t>
      </w:r>
      <w:r>
        <w:rPr>
          <w:rFonts w:ascii="David" w:hAnsi="David"/>
          <w:rtl/>
        </w:rPr>
        <w:t>–</w:t>
      </w:r>
      <w:r>
        <w:rPr>
          <w:rFonts w:ascii="David" w:hAnsi="David" w:hint="cs"/>
          <w:rtl/>
        </w:rPr>
        <w:t xml:space="preserve"> קוקאין, שהינו סם מסוכן בעל פוטנציאל התמכרותי מובהק אשר יוצר תלות ומצריך מקורות מימון משמעותיים.</w:t>
      </w:r>
    </w:p>
    <w:p w14:paraId="77477E13" w14:textId="77777777" w:rsidR="001748F5" w:rsidRDefault="001748F5" w:rsidP="001748F5">
      <w:pPr>
        <w:spacing w:line="360" w:lineRule="auto"/>
        <w:jc w:val="both"/>
        <w:rPr>
          <w:rFonts w:ascii="David" w:hAnsi="David"/>
          <w:rtl/>
        </w:rPr>
      </w:pPr>
    </w:p>
    <w:p w14:paraId="0CBC8555" w14:textId="77777777" w:rsidR="001748F5" w:rsidRDefault="001748F5" w:rsidP="001748F5">
      <w:pPr>
        <w:spacing w:line="360" w:lineRule="auto"/>
        <w:jc w:val="both"/>
        <w:rPr>
          <w:rFonts w:ascii="David" w:hAnsi="David"/>
          <w:rtl/>
        </w:rPr>
      </w:pPr>
      <w:r>
        <w:rPr>
          <w:rFonts w:ascii="David" w:hAnsi="David" w:hint="cs"/>
          <w:rtl/>
        </w:rPr>
        <w:t xml:space="preserve">בנסיבות אל אני קובע כי מתחם העונש ההולם ביחס לעבירות בהן הורשע הנאשם נע בין 12 </w:t>
      </w:r>
      <w:r>
        <w:rPr>
          <w:rFonts w:ascii="David" w:hAnsi="David"/>
          <w:rtl/>
        </w:rPr>
        <w:t>–</w:t>
      </w:r>
      <w:r>
        <w:rPr>
          <w:rFonts w:ascii="David" w:hAnsi="David" w:hint="cs"/>
          <w:rtl/>
        </w:rPr>
        <w:t xml:space="preserve"> 28 חודשי מאסר, לצד ענישה הצופה פני עתיד, פיסלה בפועל, פסילה על תנאי וקנס וזאת במיוחד לאור עבירת הסמים, סוג הסם והכמות.</w:t>
      </w:r>
    </w:p>
    <w:p w14:paraId="3753CD0B" w14:textId="77777777" w:rsidR="001748F5" w:rsidRDefault="001748F5" w:rsidP="001748F5">
      <w:pPr>
        <w:spacing w:line="360" w:lineRule="auto"/>
        <w:jc w:val="both"/>
        <w:rPr>
          <w:rFonts w:ascii="David" w:hAnsi="David"/>
          <w:rtl/>
        </w:rPr>
      </w:pPr>
    </w:p>
    <w:p w14:paraId="24EDFD8F" w14:textId="77777777" w:rsidR="001748F5" w:rsidRPr="001871C5" w:rsidRDefault="001748F5" w:rsidP="001748F5">
      <w:pPr>
        <w:spacing w:line="360" w:lineRule="auto"/>
        <w:jc w:val="both"/>
        <w:rPr>
          <w:rFonts w:ascii="David" w:hAnsi="David"/>
          <w:b/>
          <w:bCs/>
          <w:u w:val="single"/>
          <w:rtl/>
        </w:rPr>
      </w:pPr>
      <w:r w:rsidRPr="001871C5">
        <w:rPr>
          <w:rFonts w:ascii="David" w:hAnsi="David" w:hint="cs"/>
          <w:b/>
          <w:bCs/>
          <w:u w:val="single"/>
          <w:rtl/>
        </w:rPr>
        <w:t>נשאלת עתה השאלה האם יש לחרוג ממתחם העונש הנ"ל בשל שיקולי שיקום כהמלצת שירות המבחן או שמא יש להטיל על הנאשם מאסר ראוי, הולם ומרתיע?</w:t>
      </w:r>
    </w:p>
    <w:p w14:paraId="59251344" w14:textId="77777777" w:rsidR="001748F5" w:rsidRDefault="001748F5" w:rsidP="001748F5">
      <w:pPr>
        <w:spacing w:line="360" w:lineRule="auto"/>
        <w:jc w:val="both"/>
        <w:rPr>
          <w:rFonts w:ascii="David" w:hAnsi="David"/>
          <w:rtl/>
        </w:rPr>
      </w:pPr>
    </w:p>
    <w:p w14:paraId="7E60FA01" w14:textId="77777777" w:rsidR="001748F5" w:rsidRDefault="00937B12" w:rsidP="001748F5">
      <w:pPr>
        <w:spacing w:line="360" w:lineRule="auto"/>
        <w:jc w:val="both"/>
        <w:rPr>
          <w:rFonts w:ascii="David" w:hAnsi="David"/>
        </w:rPr>
      </w:pPr>
      <w:hyperlink r:id="rId40" w:history="1">
        <w:r w:rsidRPr="00937B12">
          <w:rPr>
            <w:rStyle w:val="Hyperlink"/>
            <w:rFonts w:ascii="David" w:hAnsi="David"/>
            <w:color w:val="0000FF"/>
            <w:rtl/>
          </w:rPr>
          <w:t>סעיף 40ד</w:t>
        </w:r>
      </w:hyperlink>
      <w:r w:rsidR="001748F5">
        <w:rPr>
          <w:rFonts w:ascii="David" w:hAnsi="David"/>
          <w:rtl/>
        </w:rPr>
        <w:t xml:space="preserve"> ל</w:t>
      </w:r>
      <w:hyperlink r:id="rId41" w:history="1">
        <w:r w:rsidR="000C7938" w:rsidRPr="000C7938">
          <w:rPr>
            <w:rFonts w:ascii="David" w:hAnsi="David"/>
            <w:color w:val="0000FF"/>
            <w:u w:val="single"/>
            <w:rtl/>
          </w:rPr>
          <w:t>חוק העונשין</w:t>
        </w:r>
      </w:hyperlink>
      <w:r w:rsidR="001748F5">
        <w:rPr>
          <w:rFonts w:ascii="David" w:hAnsi="David"/>
          <w:rtl/>
        </w:rPr>
        <w:t xml:space="preserve"> מקנה לבית המשפט את הסמכות להורות על החרגת העונש  ממתחם העונש ההולם וזאת מקום בו נמצא שהנאשם השתקם או כי יש סיכוי של ממש לשיקומו. </w:t>
      </w:r>
    </w:p>
    <w:p w14:paraId="6964048D" w14:textId="77777777" w:rsidR="001748F5" w:rsidRDefault="001748F5" w:rsidP="001748F5">
      <w:pPr>
        <w:spacing w:line="360" w:lineRule="auto"/>
        <w:jc w:val="both"/>
        <w:rPr>
          <w:rFonts w:ascii="David" w:hAnsi="David"/>
          <w:rtl/>
        </w:rPr>
      </w:pPr>
    </w:p>
    <w:p w14:paraId="3D0F8FBB" w14:textId="77777777" w:rsidR="001748F5" w:rsidRDefault="001748F5" w:rsidP="001748F5">
      <w:pPr>
        <w:spacing w:line="360" w:lineRule="auto"/>
        <w:jc w:val="both"/>
        <w:rPr>
          <w:rFonts w:ascii="David" w:hAnsi="David"/>
          <w:rtl/>
        </w:rPr>
      </w:pPr>
      <w:r>
        <w:rPr>
          <w:rFonts w:ascii="David" w:hAnsi="David"/>
          <w:rtl/>
        </w:rPr>
        <w:t xml:space="preserve">סוגיה זו נדונה בפסיקה  לא אחת ונקבע כי על מנת שבית המשפט יסטה ממתחם הענישה בשל שיקולי שיקום, על הנאשם לשכנע כי בעניינו קיים פוטנציאל שיקומי גבוה, (ראו </w:t>
      </w:r>
      <w:hyperlink r:id="rId42" w:history="1">
        <w:r w:rsidR="000C7938" w:rsidRPr="000C7938">
          <w:rPr>
            <w:rFonts w:ascii="David" w:hAnsi="David"/>
            <w:color w:val="0000FF"/>
            <w:u w:val="single"/>
            <w:rtl/>
          </w:rPr>
          <w:t>ע"פ 1903/13</w:t>
        </w:r>
      </w:hyperlink>
      <w:r>
        <w:rPr>
          <w:rFonts w:ascii="David" w:hAnsi="David"/>
          <w:rtl/>
        </w:rPr>
        <w:t xml:space="preserve"> עיאשה נ' מ"י). </w:t>
      </w:r>
    </w:p>
    <w:p w14:paraId="1909D21A" w14:textId="77777777" w:rsidR="001748F5" w:rsidRDefault="001748F5" w:rsidP="001748F5">
      <w:pPr>
        <w:spacing w:line="360" w:lineRule="auto"/>
        <w:jc w:val="both"/>
        <w:rPr>
          <w:rFonts w:ascii="David" w:hAnsi="David"/>
          <w:rtl/>
        </w:rPr>
      </w:pPr>
    </w:p>
    <w:p w14:paraId="28CDE8C4" w14:textId="77777777" w:rsidR="001748F5" w:rsidRDefault="001748F5" w:rsidP="001748F5">
      <w:pPr>
        <w:spacing w:line="360" w:lineRule="auto"/>
        <w:jc w:val="both"/>
        <w:rPr>
          <w:rFonts w:ascii="David" w:hAnsi="David"/>
          <w:rtl/>
        </w:rPr>
      </w:pPr>
      <w:r>
        <w:rPr>
          <w:rFonts w:ascii="David" w:hAnsi="David"/>
          <w:rtl/>
        </w:rPr>
        <w:t xml:space="preserve">בנוסף נקבע כי במידה ובית המשפט יגיע למסקנה כי שליחת הנאשם לריצוי עונש מאסר בפועל מאחורי סורג ובריח תוביל לאיון הליך השיקום או פגיעה ניכרת בו, הרי שיש במצב דברים זה להעדיף את שיקול השיקום, (ראו </w:t>
      </w:r>
      <w:hyperlink r:id="rId43" w:history="1">
        <w:r w:rsidR="000C7938" w:rsidRPr="000C7938">
          <w:rPr>
            <w:rFonts w:ascii="David" w:hAnsi="David"/>
            <w:color w:val="0000FF"/>
            <w:u w:val="single"/>
            <w:rtl/>
          </w:rPr>
          <w:t>ע"פ 262/14</w:t>
        </w:r>
      </w:hyperlink>
      <w:r>
        <w:rPr>
          <w:rFonts w:ascii="David" w:hAnsi="David"/>
          <w:rtl/>
        </w:rPr>
        <w:t xml:space="preserve"> נאשף נ' מ"י). </w:t>
      </w:r>
    </w:p>
    <w:p w14:paraId="7E677F51" w14:textId="77777777" w:rsidR="001748F5" w:rsidRDefault="001748F5" w:rsidP="001748F5">
      <w:pPr>
        <w:spacing w:line="360" w:lineRule="auto"/>
        <w:jc w:val="both"/>
        <w:rPr>
          <w:rFonts w:ascii="David" w:hAnsi="David"/>
          <w:rtl/>
        </w:rPr>
      </w:pPr>
    </w:p>
    <w:p w14:paraId="638C37A4" w14:textId="77777777" w:rsidR="001748F5" w:rsidRDefault="001748F5" w:rsidP="001748F5">
      <w:pPr>
        <w:spacing w:line="360" w:lineRule="auto"/>
        <w:jc w:val="both"/>
        <w:rPr>
          <w:rFonts w:ascii="David" w:hAnsi="David"/>
          <w:rtl/>
        </w:rPr>
      </w:pPr>
      <w:r>
        <w:rPr>
          <w:rFonts w:ascii="David" w:hAnsi="David"/>
          <w:rtl/>
        </w:rPr>
        <w:t xml:space="preserve">באשר לגדיעת הליך השיקום, ושליחת הנאשם לריצוי עונש מאסר מאחורי סורג ובריח ראו </w:t>
      </w:r>
      <w:hyperlink r:id="rId44" w:history="1">
        <w:r w:rsidR="000C7938" w:rsidRPr="000C7938">
          <w:rPr>
            <w:rFonts w:ascii="David" w:hAnsi="David"/>
            <w:color w:val="0000FF"/>
            <w:u w:val="single"/>
            <w:rtl/>
          </w:rPr>
          <w:t>ע"פ 2125/18</w:t>
        </w:r>
      </w:hyperlink>
      <w:r>
        <w:rPr>
          <w:rFonts w:ascii="David" w:hAnsi="David"/>
          <w:rtl/>
        </w:rPr>
        <w:t xml:space="preserve"> </w:t>
      </w:r>
      <w:r>
        <w:rPr>
          <w:rFonts w:ascii="David" w:hAnsi="David"/>
          <w:b/>
          <w:bCs/>
          <w:rtl/>
        </w:rPr>
        <w:t>דוד נ' מדינת ישראל</w:t>
      </w:r>
      <w:r>
        <w:rPr>
          <w:rFonts w:ascii="David" w:hAnsi="David"/>
          <w:rtl/>
        </w:rPr>
        <w:t xml:space="preserve"> שם נקבע בין ה יתר כדלהלן:</w:t>
      </w:r>
      <w:r>
        <w:rPr>
          <w:rFonts w:ascii="David" w:hAnsi="David"/>
        </w:rPr>
        <w:t xml:space="preserve"> </w:t>
      </w:r>
      <w:r>
        <w:rPr>
          <w:rFonts w:ascii="David" w:hAnsi="David"/>
          <w:b/>
          <w:bCs/>
          <w:rtl/>
        </w:rPr>
        <w:t xml:space="preserve">"דומני כי השמתו של המערער כיום מאחורי סורג ובריח עלולה לכרסם באופן ניכר בהליך השיקומי המשמעותי שהוא נרתם לו, וכי בנסיבות המקרה יש ליתן את הבכורה, לשיקול השיקום". </w:t>
      </w:r>
    </w:p>
    <w:p w14:paraId="153F7A1A" w14:textId="77777777" w:rsidR="001748F5" w:rsidRDefault="001748F5" w:rsidP="001748F5">
      <w:pPr>
        <w:spacing w:line="360" w:lineRule="auto"/>
        <w:jc w:val="both"/>
        <w:rPr>
          <w:rFonts w:ascii="David" w:hAnsi="David"/>
          <w:rtl/>
        </w:rPr>
      </w:pPr>
    </w:p>
    <w:p w14:paraId="3F3C0406" w14:textId="77777777" w:rsidR="001748F5" w:rsidRDefault="001748F5" w:rsidP="001748F5">
      <w:pPr>
        <w:spacing w:line="360" w:lineRule="auto"/>
        <w:jc w:val="both"/>
        <w:rPr>
          <w:rFonts w:ascii="David" w:hAnsi="David"/>
          <w:rtl/>
        </w:rPr>
      </w:pPr>
      <w:r>
        <w:rPr>
          <w:rFonts w:ascii="David" w:hAnsi="David"/>
          <w:rtl/>
        </w:rPr>
        <w:t>כך גם נאמר ב</w:t>
      </w:r>
      <w:hyperlink r:id="rId45" w:history="1">
        <w:r w:rsidR="000C7938" w:rsidRPr="000C7938">
          <w:rPr>
            <w:rFonts w:ascii="David" w:hAnsi="David"/>
            <w:color w:val="0000FF"/>
            <w:u w:val="single"/>
            <w:rtl/>
          </w:rPr>
          <w:t>ע"פ 4802/18</w:t>
        </w:r>
      </w:hyperlink>
      <w:r>
        <w:rPr>
          <w:rFonts w:ascii="David" w:hAnsi="David"/>
          <w:rtl/>
        </w:rPr>
        <w:t xml:space="preserve"> </w:t>
      </w:r>
      <w:r>
        <w:rPr>
          <w:rFonts w:ascii="David" w:hAnsi="David"/>
          <w:b/>
          <w:bCs/>
          <w:rtl/>
        </w:rPr>
        <w:t>פלוני נ' מדינת ישראל</w:t>
      </w:r>
      <w:r>
        <w:rPr>
          <w:rFonts w:ascii="David" w:hAnsi="David"/>
          <w:rtl/>
        </w:rPr>
        <w:t>, הליך שיקומי אשר מסייע לנאשם לצאת מהמעגל העברייני ולהשתלב באורח חיים נורמטיבי יביא בסופו של דבר גם לקידום האינטרס הציבורי וההגנה על קורבנות פוטנציאליים וזאת כדלהלן:</w:t>
      </w:r>
      <w:r>
        <w:rPr>
          <w:rFonts w:ascii="David" w:hAnsi="David"/>
        </w:rPr>
        <w:t xml:space="preserve"> </w:t>
      </w:r>
      <w:r>
        <w:rPr>
          <w:rFonts w:ascii="David" w:hAnsi="David"/>
          <w:b/>
          <w:bCs/>
          <w:rtl/>
        </w:rPr>
        <w:t xml:space="preserve">"חשיבותו של ההליך השיקומי, המסייע לנאשם לצאת ממעגל העבריינות ולהשתלב באורח חיים יציב וקונסטרוקטיבי, אינה נעוצה אך בטובתו של הנאשם, וההתחשבות בשיקולי שיקום אינה בבחינת הפעלת "מידת הרחמים" או התנהלות של לפנים משורת הדין. אדרבה, יש בשיקולים אלה כדי לקדם את האינטרס של כלל הציבור, ואף להגן על קורבנות פוטנציאליים – לא פחות, ולעיתים אף יותר, משיקולי הרתעה. הדברים האמורים נכונים ביתר שאת עת עסקינן בעבירות מין, שכן ממחקרים שנערכו בתחום עולה כי שיעור הישנות העבירות בקרב עברייני מין אשר לא עברו הליך שיקומי – גבוה, וכי לאורך זמן אף גוברות תדירות העבירות וחומרתן". </w:t>
      </w:r>
    </w:p>
    <w:p w14:paraId="7C732614" w14:textId="77777777" w:rsidR="001748F5" w:rsidRDefault="001748F5" w:rsidP="001748F5">
      <w:pPr>
        <w:spacing w:line="360" w:lineRule="auto"/>
        <w:jc w:val="both"/>
        <w:rPr>
          <w:rFonts w:ascii="David" w:hAnsi="David"/>
          <w:rtl/>
        </w:rPr>
      </w:pPr>
    </w:p>
    <w:p w14:paraId="6888CD8A" w14:textId="77777777" w:rsidR="001748F5" w:rsidRDefault="001748F5" w:rsidP="001748F5">
      <w:pPr>
        <w:spacing w:line="360" w:lineRule="auto"/>
        <w:jc w:val="both"/>
        <w:rPr>
          <w:rFonts w:ascii="David" w:hAnsi="David"/>
          <w:b/>
          <w:bCs/>
          <w:rtl/>
        </w:rPr>
      </w:pPr>
      <w:r>
        <w:rPr>
          <w:rFonts w:ascii="David" w:hAnsi="David"/>
          <w:rtl/>
        </w:rPr>
        <w:t>על שיקולי ענישה, עמד בהרחבה כב' בית המשפט העליון ב</w:t>
      </w:r>
      <w:hyperlink r:id="rId46" w:history="1">
        <w:r w:rsidR="000C7938" w:rsidRPr="000C7938">
          <w:rPr>
            <w:rFonts w:ascii="David" w:hAnsi="David"/>
            <w:color w:val="0000FF"/>
            <w:u w:val="single"/>
            <w:rtl/>
          </w:rPr>
          <w:t>ע"פ 11699/05</w:t>
        </w:r>
      </w:hyperlink>
      <w:r>
        <w:rPr>
          <w:rFonts w:ascii="David" w:hAnsi="David"/>
          <w:rtl/>
        </w:rPr>
        <w:t xml:space="preserve"> </w:t>
      </w:r>
      <w:r>
        <w:rPr>
          <w:rFonts w:ascii="David" w:hAnsi="David"/>
          <w:b/>
          <w:bCs/>
          <w:rtl/>
        </w:rPr>
        <w:t>סרפו נ' מ"י</w:t>
      </w:r>
      <w:r>
        <w:rPr>
          <w:rFonts w:ascii="David" w:hAnsi="David"/>
          <w:rtl/>
        </w:rPr>
        <w:t xml:space="preserve"> (23/6/08):</w:t>
      </w:r>
    </w:p>
    <w:p w14:paraId="63422622" w14:textId="77777777" w:rsidR="001748F5" w:rsidRDefault="001748F5" w:rsidP="001748F5">
      <w:pPr>
        <w:spacing w:line="360" w:lineRule="auto"/>
        <w:jc w:val="both"/>
        <w:rPr>
          <w:rFonts w:ascii="David" w:hAnsi="David"/>
          <w:b/>
          <w:bCs/>
          <w:rtl/>
        </w:rPr>
      </w:pPr>
      <w:r>
        <w:rPr>
          <w:rFonts w:ascii="David" w:hAnsi="David"/>
          <w:b/>
          <w:bCs/>
          <w:rtl/>
        </w:rPr>
        <w:t xml:space="preserve">"מלאכת גזירת הדין קשה ומורכבת היא. היא מצריכה עריכת איזון עדין ורגיש בין שיקולי הענישה השונים, ובין נתוניו של הנאשם הקונקרטי והנסיבות שבהן נעברה העבירה, לבין שיקולי מדיניות מגוונים והצורך בהתוויית מדיניות עונשית ברורה שיש בה כדי לקדם ערכים חברתיים. מטבע הדברים, זהו אינו מדע מדויק, שהרי אין מקרה אחד זהה למשנהו, אין נאשם דומה לחברו וגם אם ניתן לעיתים להצביע על דמיון או קרבת-מה בין נסיבותיו של מקרה פלוני למקרה אלמוני, הרי שתמיד יימצא ייחוד ושוני בנסיבותיו של כל מקרה ומקרה ובאופן שבו ראוי ליישם את השיקולים השונים על עניינו של אותו נאשם העומד בפני בית המשפט. בסופו של יום, וזאת אין לשכוח, גזירת העונש נעשית למידותיו של הנאשם הספציפי. עמד על הדברים בבהירות רבה, כדרכו, השופט (כתוארו אז) א' ברק בפרשה קודמת: </w:t>
      </w:r>
    </w:p>
    <w:p w14:paraId="7BBDE1FB" w14:textId="77777777" w:rsidR="001748F5" w:rsidRDefault="001748F5" w:rsidP="001748F5">
      <w:pPr>
        <w:spacing w:line="360" w:lineRule="auto"/>
        <w:jc w:val="both"/>
        <w:rPr>
          <w:rFonts w:ascii="David" w:hAnsi="David"/>
          <w:b/>
          <w:bCs/>
          <w:rtl/>
        </w:rPr>
      </w:pPr>
    </w:p>
    <w:p w14:paraId="3E934F26" w14:textId="77777777" w:rsidR="001748F5" w:rsidRDefault="001748F5" w:rsidP="001748F5">
      <w:pPr>
        <w:spacing w:line="360" w:lineRule="auto"/>
        <w:jc w:val="both"/>
        <w:rPr>
          <w:rFonts w:ascii="David" w:hAnsi="David"/>
          <w:rtl/>
        </w:rPr>
      </w:pPr>
      <w:r>
        <w:rPr>
          <w:rFonts w:ascii="David" w:hAnsi="David"/>
          <w:b/>
          <w:bCs/>
          <w:rtl/>
        </w:rPr>
        <w:t>"ביסוד הענישה אינו עומד שיקול אחד ויחיד, אלא מכלול של שיקולים. במלאכת הענישה בכל מקרה ומקרה חייב השופט למצוא את המשקל הראוי שיש להעניק לכל אחד מהשיקולים הנזכרים, תוך שהוא מודע לכך כי לעיתים קרובות שיקול אחד בא על חשבונו של שיקול אחר. מכאן, שהעונש אשר מוטל בסופו של דבר על הנאשם, אינו אלא תוצאה "משוקללת" – אם תרצה פשרה – של השיקולים השונים שיש להביאם בחשבון. מלאכת "שקלול" זו אינה מלאכה מדעית, אך היא אף אינה מלאכה שרירותית. היא ענין שבשיקול דעת, הנעשה על הרקע הכללי והאינדיבידואלי, במסגרת המדיניות העונשית הכללית כפי שהיא מתבצעת על-ידי בתי-המשפט" (</w:t>
      </w:r>
      <w:hyperlink r:id="rId47" w:history="1">
        <w:r w:rsidR="000C7938" w:rsidRPr="000C7938">
          <w:rPr>
            <w:rFonts w:ascii="David" w:hAnsi="David"/>
            <w:b/>
            <w:bCs/>
            <w:color w:val="0000FF"/>
            <w:u w:val="single"/>
            <w:rtl/>
          </w:rPr>
          <w:t>ע"פ 212/79</w:t>
        </w:r>
      </w:hyperlink>
      <w:r>
        <w:rPr>
          <w:rFonts w:ascii="David" w:hAnsi="David"/>
          <w:b/>
          <w:bCs/>
          <w:rtl/>
        </w:rPr>
        <w:t xml:space="preserve"> פלוני נ' מדינת ישראל, פ"ד לד(2) 421, 434 (1979))....".</w:t>
      </w:r>
    </w:p>
    <w:p w14:paraId="34502D1D" w14:textId="77777777" w:rsidR="001748F5" w:rsidRDefault="001748F5" w:rsidP="001748F5">
      <w:pPr>
        <w:spacing w:line="360" w:lineRule="atLeast"/>
        <w:jc w:val="both"/>
        <w:rPr>
          <w:rFonts w:ascii="David" w:hAnsi="David"/>
          <w:color w:val="000000"/>
          <w:rtl/>
        </w:rPr>
      </w:pPr>
    </w:p>
    <w:p w14:paraId="02DF6FE1" w14:textId="77777777" w:rsidR="001748F5" w:rsidRDefault="001748F5" w:rsidP="001748F5">
      <w:pPr>
        <w:spacing w:line="360" w:lineRule="atLeast"/>
        <w:jc w:val="both"/>
        <w:rPr>
          <w:rFonts w:ascii="David" w:hAnsi="David"/>
          <w:color w:val="000000"/>
          <w:rtl/>
        </w:rPr>
      </w:pPr>
      <w:r>
        <w:rPr>
          <w:rFonts w:ascii="David" w:hAnsi="David"/>
          <w:color w:val="000000"/>
          <w:rtl/>
        </w:rPr>
        <w:t>לצד האינטרס הציבורי הדורש ענישה מוחשית ומרתיעה, עדיין יש לזכור כי הענישה היא תמיד אינדיבידואלית. כפי שציין בית משפט העליון:</w:t>
      </w:r>
    </w:p>
    <w:p w14:paraId="50D3C302" w14:textId="77777777" w:rsidR="001748F5" w:rsidRDefault="001748F5" w:rsidP="001748F5">
      <w:pPr>
        <w:spacing w:line="360" w:lineRule="atLeast"/>
        <w:jc w:val="both"/>
        <w:rPr>
          <w:rFonts w:ascii="Arial" w:hAnsi="Arial" w:cs="Arial"/>
          <w:color w:val="000000"/>
          <w:rtl/>
        </w:rPr>
      </w:pPr>
      <w:r>
        <w:rPr>
          <w:rFonts w:ascii="David" w:hAnsi="David"/>
          <w:color w:val="000000"/>
          <w:rtl/>
        </w:rPr>
        <w:t>"</w:t>
      </w:r>
      <w:r>
        <w:rPr>
          <w:rFonts w:ascii="David" w:hAnsi="David"/>
          <w:b/>
          <w:bCs/>
          <w:color w:val="000000"/>
          <w:rtl/>
        </w:rPr>
        <w:t>זאת תורת הגישה האינדיבידואלית בתורת הענישה המקובלת עלינו כקו מנחה בסוגיה קשה וסבוכה זו של הענישה ומטרותיה, ואין אנו רשאים "להקל" על עצמנו ולהחמיר עם הנאשם, מתוך הסתמכות על הנימוק והחשש שמא הקלה במקרה מסוים הראוי לכך ישמש תקדים למקרים אחרים שאינם ראויים לכך. חזקה על בית המשפט שידע להבחין בין מקרה למקרה לגופן של נסיבות ולעיצומם של דברים"</w:t>
      </w:r>
      <w:r w:rsidR="000C7938">
        <w:rPr>
          <w:rFonts w:ascii="David" w:hAnsi="David"/>
          <w:b/>
          <w:bCs/>
          <w:color w:val="000000"/>
          <w:rtl/>
        </w:rPr>
        <w:t xml:space="preserve"> </w:t>
      </w:r>
      <w:r>
        <w:rPr>
          <w:rFonts w:ascii="David" w:hAnsi="David"/>
          <w:b/>
          <w:bCs/>
          <w:color w:val="000000"/>
          <w:rtl/>
        </w:rPr>
        <w:t>(</w:t>
      </w:r>
      <w:hyperlink r:id="rId48" w:history="1">
        <w:r w:rsidR="000C7938" w:rsidRPr="000C7938">
          <w:rPr>
            <w:rFonts w:ascii="David" w:hAnsi="David"/>
            <w:b/>
            <w:bCs/>
            <w:color w:val="0000FF"/>
            <w:u w:val="single"/>
            <w:rtl/>
          </w:rPr>
          <w:t>ע"פ 433/89</w:t>
        </w:r>
      </w:hyperlink>
      <w:r>
        <w:rPr>
          <w:rFonts w:ascii="David" w:hAnsi="David"/>
          <w:b/>
          <w:bCs/>
          <w:rtl/>
        </w:rPr>
        <w:t xml:space="preserve"> אטיאס נ' מדינת ישראל, פ"ד מג</w:t>
      </w:r>
      <w:r>
        <w:rPr>
          <w:rFonts w:ascii="David" w:hAnsi="David"/>
          <w:b/>
          <w:bCs/>
          <w:color w:val="000000"/>
          <w:rtl/>
        </w:rPr>
        <w:t>(4) 170, 174-175(1989);</w:t>
      </w:r>
      <w:r w:rsidR="000C7938">
        <w:rPr>
          <w:rFonts w:ascii="David" w:hAnsi="David"/>
          <w:b/>
          <w:bCs/>
          <w:color w:val="000000"/>
          <w:rtl/>
        </w:rPr>
        <w:t xml:space="preserve"> </w:t>
      </w:r>
      <w:hyperlink r:id="rId49" w:history="1">
        <w:r w:rsidR="000C7938" w:rsidRPr="000C7938">
          <w:rPr>
            <w:rFonts w:ascii="David" w:hAnsi="David"/>
            <w:b/>
            <w:bCs/>
            <w:color w:val="0000FF"/>
            <w:u w:val="single"/>
            <w:rtl/>
          </w:rPr>
          <w:t>רע"פ 3173/09</w:t>
        </w:r>
      </w:hyperlink>
      <w:r w:rsidR="000C7938">
        <w:rPr>
          <w:rFonts w:ascii="David" w:hAnsi="David"/>
          <w:b/>
          <w:bCs/>
          <w:color w:val="000000"/>
          <w:rtl/>
        </w:rPr>
        <w:t xml:space="preserve"> </w:t>
      </w:r>
      <w:r>
        <w:rPr>
          <w:rFonts w:ascii="David" w:hAnsi="David"/>
          <w:b/>
          <w:bCs/>
          <w:color w:val="000000"/>
          <w:rtl/>
        </w:rPr>
        <w:t>פראגין נ' מדינת ישראל ([פורסם בנבו], 5.5.2009</w:t>
      </w:r>
      <w:r>
        <w:rPr>
          <w:rFonts w:ascii="David" w:hAnsi="David"/>
          <w:color w:val="000000"/>
          <w:rtl/>
        </w:rPr>
        <w:t>)."</w:t>
      </w:r>
    </w:p>
    <w:p w14:paraId="66ED0D60" w14:textId="77777777" w:rsidR="001748F5" w:rsidRDefault="001748F5" w:rsidP="001748F5">
      <w:pPr>
        <w:spacing w:line="360" w:lineRule="atLeast"/>
        <w:jc w:val="both"/>
        <w:rPr>
          <w:rFonts w:ascii="David" w:hAnsi="David"/>
          <w:color w:val="000000"/>
        </w:rPr>
      </w:pPr>
    </w:p>
    <w:p w14:paraId="2F271110" w14:textId="77777777" w:rsidR="001748F5" w:rsidRDefault="001748F5" w:rsidP="001748F5">
      <w:pPr>
        <w:spacing w:line="360" w:lineRule="atLeast"/>
        <w:jc w:val="both"/>
        <w:rPr>
          <w:rFonts w:ascii="David" w:hAnsi="David"/>
          <w:color w:val="000000"/>
        </w:rPr>
      </w:pPr>
      <w:r>
        <w:rPr>
          <w:rFonts w:ascii="David" w:hAnsi="David"/>
          <w:color w:val="000000"/>
          <w:rtl/>
        </w:rPr>
        <w:t>אדגיש כי בעת קביעת העונש המתאים, בתוך מתחם הענישה, בהתאם לתיקון 113 ל</w:t>
      </w:r>
      <w:hyperlink r:id="rId50" w:history="1">
        <w:r w:rsidR="000C7938" w:rsidRPr="000C7938">
          <w:rPr>
            <w:rFonts w:ascii="David" w:hAnsi="David"/>
            <w:color w:val="0000FF"/>
            <w:u w:val="single"/>
            <w:rtl/>
          </w:rPr>
          <w:t>חוק העונשין</w:t>
        </w:r>
      </w:hyperlink>
      <w:r w:rsidR="000C7938">
        <w:rPr>
          <w:rFonts w:ascii="David" w:hAnsi="David"/>
          <w:color w:val="000000"/>
          <w:rtl/>
        </w:rPr>
        <w:t xml:space="preserve"> </w:t>
      </w:r>
      <w:r>
        <w:rPr>
          <w:rFonts w:ascii="David" w:hAnsi="David"/>
          <w:color w:val="000000"/>
          <w:rtl/>
        </w:rPr>
        <w:t>אשר ביקש להבנות את שיקול הדעת השיפוטי, נקבע כי יש לקחת בחשבון ולבדוק האם במקרה הקונקרטי הטלת מאסר בפועל מאחורי סורג ובריח, גם אם מדובר בתקופה קצרה, יהיה בה כדי לקבוע שהנזק עולה על התועלת</w:t>
      </w:r>
      <w:r>
        <w:rPr>
          <w:rFonts w:ascii="David" w:hAnsi="David" w:hint="cs"/>
          <w:color w:val="000000"/>
          <w:rtl/>
        </w:rPr>
        <w:t xml:space="preserve"> ו</w:t>
      </w:r>
      <w:r>
        <w:rPr>
          <w:rFonts w:ascii="David" w:hAnsi="David"/>
          <w:color w:val="000000"/>
          <w:rtl/>
        </w:rPr>
        <w:t>הרתעת הציבור אינה חזות הכול</w:t>
      </w:r>
      <w:r>
        <w:rPr>
          <w:rFonts w:ascii="David" w:hAnsi="David" w:hint="cs"/>
          <w:color w:val="000000"/>
          <w:rtl/>
        </w:rPr>
        <w:t xml:space="preserve"> - </w:t>
      </w:r>
      <w:r>
        <w:rPr>
          <w:rFonts w:ascii="David" w:hAnsi="David"/>
          <w:color w:val="000000"/>
          <w:rtl/>
        </w:rPr>
        <w:t>"</w:t>
      </w:r>
      <w:r>
        <w:rPr>
          <w:rFonts w:ascii="David" w:hAnsi="David"/>
          <w:b/>
          <w:bCs/>
          <w:color w:val="000000"/>
          <w:rtl/>
        </w:rPr>
        <w:t>יש לשקול כל מקרה על פי נסיבותיו המיוחדות ונסיבותיו האישיות של הנאשם כאינדיבידואל ולאזן בצורה ראויה ביניהן לבין מדיניות הענישה האמורה</w:t>
      </w:r>
      <w:r>
        <w:rPr>
          <w:rFonts w:ascii="David" w:hAnsi="David"/>
          <w:color w:val="000000"/>
          <w:rtl/>
        </w:rPr>
        <w:t>" (</w:t>
      </w:r>
      <w:hyperlink r:id="rId51" w:history="1">
        <w:r w:rsidR="000C7938" w:rsidRPr="000C7938">
          <w:rPr>
            <w:rFonts w:ascii="David" w:hAnsi="David"/>
            <w:color w:val="0000FF"/>
            <w:u w:val="single"/>
            <w:rtl/>
          </w:rPr>
          <w:t>עפ"ת 1267-05-16</w:t>
        </w:r>
      </w:hyperlink>
      <w:r w:rsidR="000C7938">
        <w:rPr>
          <w:rFonts w:ascii="David" w:hAnsi="David"/>
          <w:color w:val="000000"/>
          <w:rtl/>
        </w:rPr>
        <w:t xml:space="preserve"> </w:t>
      </w:r>
      <w:r>
        <w:rPr>
          <w:rFonts w:ascii="David" w:hAnsi="David"/>
          <w:b/>
          <w:bCs/>
          <w:color w:val="000000"/>
          <w:rtl/>
        </w:rPr>
        <w:t>חיזגילוב נ' מ"י</w:t>
      </w:r>
      <w:r>
        <w:rPr>
          <w:rFonts w:ascii="David" w:hAnsi="David"/>
          <w:color w:val="000000"/>
          <w:rtl/>
        </w:rPr>
        <w:t>)</w:t>
      </w:r>
      <w:r w:rsidR="000C7938">
        <w:rPr>
          <w:rFonts w:ascii="David" w:hAnsi="David"/>
          <w:color w:val="000000"/>
          <w:rtl/>
        </w:rPr>
        <w:t xml:space="preserve"> </w:t>
      </w:r>
      <w:r>
        <w:rPr>
          <w:rFonts w:ascii="David" w:hAnsi="David"/>
          <w:color w:val="000000"/>
          <w:rtl/>
        </w:rPr>
        <w:t>[פורסם בנבו].</w:t>
      </w:r>
    </w:p>
    <w:p w14:paraId="08C66FF4" w14:textId="77777777" w:rsidR="001748F5" w:rsidRDefault="001748F5" w:rsidP="001748F5">
      <w:pPr>
        <w:spacing w:line="360" w:lineRule="auto"/>
        <w:jc w:val="both"/>
        <w:rPr>
          <w:rFonts w:ascii="David" w:hAnsi="David"/>
          <w:rtl/>
        </w:rPr>
      </w:pPr>
    </w:p>
    <w:p w14:paraId="3FC18EA6" w14:textId="77777777" w:rsidR="001748F5" w:rsidRDefault="001748F5" w:rsidP="001748F5">
      <w:pPr>
        <w:spacing w:line="360" w:lineRule="auto"/>
        <w:jc w:val="both"/>
        <w:rPr>
          <w:rFonts w:ascii="David" w:hAnsi="David"/>
          <w:rtl/>
        </w:rPr>
      </w:pPr>
      <w:r>
        <w:rPr>
          <w:rFonts w:ascii="David" w:hAnsi="David" w:hint="cs"/>
          <w:rtl/>
        </w:rPr>
        <w:t xml:space="preserve">בענייננו, הנאשם לא נמצא כשיר לריצוי עונש המאסר בעבודות שירות בשל מניעה משטרתית, מנגד הוגשו בעניינו 3 תסקירים חיוביים מטעם שירות המבחן ובצדם המלצה להטלת צו מבחן וצו של"צ וזאת נוכח סיכויי השיקום והטיפול הקונקרטיים. </w:t>
      </w:r>
    </w:p>
    <w:p w14:paraId="7F8A5A2E" w14:textId="77777777" w:rsidR="001748F5" w:rsidRDefault="001748F5" w:rsidP="001748F5">
      <w:pPr>
        <w:spacing w:line="360" w:lineRule="auto"/>
        <w:jc w:val="both"/>
        <w:rPr>
          <w:rFonts w:ascii="David" w:hAnsi="David"/>
          <w:rtl/>
        </w:rPr>
      </w:pPr>
    </w:p>
    <w:p w14:paraId="79B29BC8" w14:textId="77777777" w:rsidR="001748F5" w:rsidRDefault="001748F5" w:rsidP="001748F5">
      <w:pPr>
        <w:spacing w:line="360" w:lineRule="auto"/>
        <w:jc w:val="both"/>
        <w:rPr>
          <w:rFonts w:ascii="David" w:hAnsi="David"/>
          <w:rtl/>
        </w:rPr>
      </w:pPr>
      <w:r>
        <w:rPr>
          <w:rFonts w:ascii="David" w:hAnsi="David" w:hint="cs"/>
          <w:rtl/>
        </w:rPr>
        <w:t xml:space="preserve">לאחר ששקלתי בדבר, מצאתי כי שליחת הנאשם לריצוי עונש מאסר בפועל בעת הנוכחית, לא תואמת את רציונל השיקום ותחטיא את מהות הליך השיקום והטיפול בו. כמובן ובמידה והנאשם לא ישכיל לנצל את הליך השיקום, ניתן יהיה להפקיע את צו המבחן ו/או צו השל"צ ולדון בעניינו בהתאם, (למען הסר ספק אציין כי הייתי מגיע למסקנה זהה גם אם הנאשם היה כשיר לריצוי עונש המאסר בעבודות שירות). הענישה תאוזן ברכיבים עונשים משמעותיים כגון </w:t>
      </w:r>
      <w:r>
        <w:rPr>
          <w:rFonts w:ascii="David" w:hAnsi="David"/>
          <w:rtl/>
        </w:rPr>
        <w:t>–</w:t>
      </w:r>
      <w:r>
        <w:rPr>
          <w:rFonts w:ascii="David" w:hAnsi="David" w:hint="cs"/>
          <w:rtl/>
        </w:rPr>
        <w:t xml:space="preserve"> פסילה, פסילה על תנאי וקנס משמעותי.</w:t>
      </w:r>
    </w:p>
    <w:p w14:paraId="540F3846" w14:textId="77777777" w:rsidR="001748F5" w:rsidRDefault="001748F5" w:rsidP="001748F5">
      <w:pPr>
        <w:spacing w:line="360" w:lineRule="auto"/>
        <w:jc w:val="both"/>
        <w:rPr>
          <w:rFonts w:ascii="David" w:hAnsi="David"/>
          <w:rtl/>
        </w:rPr>
      </w:pPr>
    </w:p>
    <w:p w14:paraId="66EEAF91" w14:textId="77777777" w:rsidR="001748F5" w:rsidRPr="00425CF7" w:rsidRDefault="001748F5" w:rsidP="001748F5">
      <w:pPr>
        <w:spacing w:line="360" w:lineRule="auto"/>
        <w:jc w:val="both"/>
        <w:rPr>
          <w:rFonts w:ascii="David" w:hAnsi="David"/>
          <w:u w:val="single"/>
          <w:rtl/>
        </w:rPr>
      </w:pPr>
      <w:r>
        <w:rPr>
          <w:rFonts w:ascii="David" w:hAnsi="David" w:hint="cs"/>
          <w:rtl/>
        </w:rPr>
        <w:t xml:space="preserve">משכך ולאור כל האמור לעיל, אני מוצא לנכון לאמץ את המלצת שירות המבחן ולבכר את הליך הטיפול והשיקום על פני המאסר ובהתאם לכך </w:t>
      </w:r>
      <w:r w:rsidRPr="00425CF7">
        <w:rPr>
          <w:rFonts w:ascii="David" w:hAnsi="David" w:hint="cs"/>
          <w:u w:val="single"/>
          <w:rtl/>
        </w:rPr>
        <w:t>אני מטיל בזאת על הנאשם את העונשים הבאים:</w:t>
      </w:r>
    </w:p>
    <w:p w14:paraId="6DD23B38" w14:textId="77777777" w:rsidR="001748F5" w:rsidRDefault="001748F5" w:rsidP="001748F5">
      <w:pPr>
        <w:spacing w:line="360" w:lineRule="auto"/>
        <w:jc w:val="both"/>
        <w:rPr>
          <w:rFonts w:ascii="David" w:hAnsi="David"/>
          <w:rtl/>
        </w:rPr>
      </w:pPr>
    </w:p>
    <w:p w14:paraId="3536C29D" w14:textId="77777777" w:rsidR="001748F5" w:rsidRDefault="001748F5" w:rsidP="001748F5">
      <w:pPr>
        <w:pStyle w:val="a9"/>
        <w:numPr>
          <w:ilvl w:val="0"/>
          <w:numId w:val="1"/>
        </w:numPr>
        <w:spacing w:line="360" w:lineRule="auto"/>
        <w:jc w:val="both"/>
        <w:rPr>
          <w:rFonts w:ascii="David" w:hAnsi="David"/>
        </w:rPr>
      </w:pPr>
      <w:r>
        <w:rPr>
          <w:rFonts w:ascii="David" w:hAnsi="David" w:hint="cs"/>
          <w:rtl/>
        </w:rPr>
        <w:t>צו מבחן למשך 12 חודשים.</w:t>
      </w:r>
    </w:p>
    <w:p w14:paraId="10D4D0D6" w14:textId="77777777" w:rsidR="001748F5" w:rsidRDefault="001748F5" w:rsidP="001748F5">
      <w:pPr>
        <w:pStyle w:val="a9"/>
        <w:spacing w:line="360" w:lineRule="auto"/>
        <w:jc w:val="both"/>
        <w:rPr>
          <w:rFonts w:ascii="David" w:hAnsi="David"/>
        </w:rPr>
      </w:pPr>
    </w:p>
    <w:p w14:paraId="4F5C6660" w14:textId="77777777" w:rsidR="001748F5" w:rsidRDefault="001748F5" w:rsidP="001748F5">
      <w:pPr>
        <w:pStyle w:val="a9"/>
        <w:numPr>
          <w:ilvl w:val="0"/>
          <w:numId w:val="1"/>
        </w:numPr>
        <w:spacing w:line="360" w:lineRule="auto"/>
        <w:jc w:val="both"/>
        <w:rPr>
          <w:rFonts w:ascii="David" w:hAnsi="David"/>
        </w:rPr>
      </w:pPr>
      <w:r>
        <w:rPr>
          <w:rFonts w:ascii="David" w:hAnsi="David" w:hint="cs"/>
          <w:rtl/>
        </w:rPr>
        <w:t xml:space="preserve">צו של"צ בהיקף של 340 שעות. שירות המבחן יגיש לתיק בית המשפט תוך 45 ימים מהיום תוכנית של"צ לאישור בית המשפט. </w:t>
      </w:r>
    </w:p>
    <w:p w14:paraId="26D05967" w14:textId="77777777" w:rsidR="001748F5" w:rsidRDefault="001748F5" w:rsidP="001748F5">
      <w:pPr>
        <w:pStyle w:val="a9"/>
        <w:spacing w:line="360" w:lineRule="auto"/>
        <w:jc w:val="both"/>
        <w:rPr>
          <w:rFonts w:ascii="David" w:hAnsi="David"/>
        </w:rPr>
      </w:pPr>
      <w:r>
        <w:rPr>
          <w:rFonts w:ascii="David" w:hAnsi="David" w:hint="cs"/>
          <w:rtl/>
        </w:rPr>
        <w:t xml:space="preserve">למען הסר ספק מובהר לנאשם כבר עתה כי במידה ולא יקיים את צו המבחן ו/או צו השל"צ ניתן יהיה להגיש בקשה להפקעתם ובמקרה שכזה עניינו יוחזר לבית המשפט לצורך מתן גזר דין חדש. </w:t>
      </w:r>
    </w:p>
    <w:p w14:paraId="220286CE" w14:textId="77777777" w:rsidR="001748F5" w:rsidRPr="00425CF7" w:rsidRDefault="001748F5" w:rsidP="001748F5">
      <w:pPr>
        <w:spacing w:line="360" w:lineRule="auto"/>
        <w:jc w:val="both"/>
        <w:rPr>
          <w:rFonts w:ascii="David" w:hAnsi="David"/>
        </w:rPr>
      </w:pPr>
    </w:p>
    <w:p w14:paraId="55FA6420" w14:textId="77777777" w:rsidR="001748F5" w:rsidRDefault="001748F5" w:rsidP="001748F5">
      <w:pPr>
        <w:pStyle w:val="a9"/>
        <w:numPr>
          <w:ilvl w:val="0"/>
          <w:numId w:val="1"/>
        </w:numPr>
        <w:spacing w:line="360" w:lineRule="auto"/>
        <w:jc w:val="both"/>
        <w:rPr>
          <w:rFonts w:ascii="David" w:hAnsi="David"/>
        </w:rPr>
      </w:pPr>
      <w:r>
        <w:rPr>
          <w:rFonts w:ascii="David" w:hAnsi="David" w:hint="cs"/>
          <w:rtl/>
        </w:rPr>
        <w:t xml:space="preserve">מאסר על תנאי של 6 חודשים למשך 3 שנים והתנאי הוא שהנאשם לא יעבור בפרק זמן זה על כל עבירה הכרוכה בנשק מסוג עוון ו/או על כל עבירה לפי </w:t>
      </w:r>
      <w:hyperlink r:id="rId52" w:history="1">
        <w:r w:rsidR="000C7938" w:rsidRPr="000C7938">
          <w:rPr>
            <w:rFonts w:ascii="David" w:hAnsi="David"/>
            <w:color w:val="0000FF"/>
            <w:u w:val="single"/>
            <w:rtl/>
          </w:rPr>
          <w:t>פקודת הסמים המסוכנים</w:t>
        </w:r>
      </w:hyperlink>
      <w:r>
        <w:rPr>
          <w:rFonts w:ascii="David" w:hAnsi="David" w:hint="cs"/>
          <w:rtl/>
        </w:rPr>
        <w:t xml:space="preserve"> למעט על עבירה של החזקת סם לצריכה עצמית.</w:t>
      </w:r>
    </w:p>
    <w:p w14:paraId="01E010EC" w14:textId="77777777" w:rsidR="001748F5" w:rsidRPr="00425CF7" w:rsidRDefault="001748F5" w:rsidP="001748F5">
      <w:pPr>
        <w:spacing w:line="360" w:lineRule="auto"/>
        <w:jc w:val="both"/>
        <w:rPr>
          <w:rFonts w:ascii="David" w:hAnsi="David"/>
        </w:rPr>
      </w:pPr>
    </w:p>
    <w:p w14:paraId="0BF5D36D" w14:textId="77777777" w:rsidR="001748F5" w:rsidRPr="00425CF7" w:rsidRDefault="001748F5" w:rsidP="001748F5">
      <w:pPr>
        <w:pStyle w:val="a9"/>
        <w:numPr>
          <w:ilvl w:val="0"/>
          <w:numId w:val="1"/>
        </w:numPr>
        <w:spacing w:line="360" w:lineRule="auto"/>
        <w:jc w:val="both"/>
      </w:pPr>
      <w:r w:rsidRPr="00425CF7">
        <w:rPr>
          <w:rFonts w:ascii="David" w:hAnsi="David" w:hint="cs"/>
          <w:rtl/>
        </w:rPr>
        <w:t>פסילה</w:t>
      </w:r>
      <w:r>
        <w:rPr>
          <w:rFonts w:ascii="David" w:hAnsi="David" w:hint="cs"/>
          <w:rtl/>
        </w:rPr>
        <w:t xml:space="preserve"> בפועל למשך</w:t>
      </w:r>
      <w:r w:rsidRPr="00425CF7">
        <w:rPr>
          <w:rFonts w:ascii="David" w:hAnsi="David" w:hint="cs"/>
          <w:rtl/>
        </w:rPr>
        <w:t xml:space="preserve"> 12 חודשים</w:t>
      </w:r>
      <w:r>
        <w:rPr>
          <w:rFonts w:ascii="David" w:hAnsi="David" w:hint="cs"/>
          <w:rtl/>
        </w:rPr>
        <w:t xml:space="preserve">. הנאשם יפקיד את רישיון הנהיגה במזכירות בית המשפט עד ולא יאוחר מיום 29/4/25 ויקבל אישור הפקדה מתאים. פסילה זו תחושב במצטבר לכל פסילה אחרת ככל שקיימת. </w:t>
      </w:r>
    </w:p>
    <w:p w14:paraId="70BCBE16" w14:textId="77777777" w:rsidR="001748F5" w:rsidRDefault="001748F5" w:rsidP="001748F5">
      <w:pPr>
        <w:pStyle w:val="a9"/>
        <w:spacing w:line="360" w:lineRule="auto"/>
        <w:jc w:val="both"/>
      </w:pPr>
    </w:p>
    <w:p w14:paraId="13D53963" w14:textId="77777777" w:rsidR="001748F5" w:rsidRDefault="001748F5" w:rsidP="001748F5">
      <w:pPr>
        <w:pStyle w:val="a9"/>
        <w:numPr>
          <w:ilvl w:val="0"/>
          <w:numId w:val="1"/>
        </w:numPr>
        <w:spacing w:line="360" w:lineRule="auto"/>
        <w:jc w:val="both"/>
      </w:pPr>
      <w:r>
        <w:rPr>
          <w:rFonts w:hint="cs"/>
          <w:rtl/>
        </w:rPr>
        <w:t>אני פוסל את הנאשם מלקבל או מלהחזיק רישיון נהיגה לתקופה של 4 חודשים על תנאי למשך</w:t>
      </w:r>
      <w:r w:rsidR="000C7938">
        <w:rPr>
          <w:rFonts w:hint="cs"/>
          <w:rtl/>
        </w:rPr>
        <w:t xml:space="preserve"> </w:t>
      </w:r>
      <w:r>
        <w:rPr>
          <w:rFonts w:hint="cs"/>
          <w:rtl/>
        </w:rPr>
        <w:t>3 שנים והתנאי הוא שהנאשם לא יעבור אותן עבירות שעליהן הורשע או אחת העבירות המפורטות בתוספת הראשונה או בתוספת השנייה ל</w:t>
      </w:r>
      <w:hyperlink r:id="rId53" w:history="1">
        <w:r w:rsidR="000C7938" w:rsidRPr="000C7938">
          <w:rPr>
            <w:color w:val="0000FF"/>
            <w:u w:val="single"/>
            <w:rtl/>
          </w:rPr>
          <w:t>פקודת התעבורה</w:t>
        </w:r>
      </w:hyperlink>
      <w:r>
        <w:rPr>
          <w:rFonts w:hint="cs"/>
          <w:rtl/>
        </w:rPr>
        <w:t xml:space="preserve"> [נוסח חדש], תשכ"א - 1961 ויורשע בגינה.</w:t>
      </w:r>
    </w:p>
    <w:p w14:paraId="760748C7" w14:textId="77777777" w:rsidR="001748F5" w:rsidRDefault="001748F5" w:rsidP="001748F5">
      <w:pPr>
        <w:pStyle w:val="a9"/>
        <w:spacing w:line="360" w:lineRule="auto"/>
        <w:jc w:val="both"/>
        <w:rPr>
          <w:rFonts w:ascii="David" w:hAnsi="David"/>
        </w:rPr>
      </w:pPr>
    </w:p>
    <w:p w14:paraId="107FF4E1" w14:textId="77777777" w:rsidR="001748F5" w:rsidRPr="004E7ADE" w:rsidRDefault="001748F5" w:rsidP="001748F5">
      <w:pPr>
        <w:pStyle w:val="a9"/>
        <w:numPr>
          <w:ilvl w:val="0"/>
          <w:numId w:val="1"/>
        </w:numPr>
        <w:spacing w:line="360" w:lineRule="auto"/>
        <w:jc w:val="both"/>
        <w:rPr>
          <w:rFonts w:ascii="David" w:hAnsi="David"/>
          <w:rtl/>
        </w:rPr>
      </w:pPr>
      <w:r w:rsidRPr="004E7ADE">
        <w:rPr>
          <w:rFonts w:ascii="David" w:hAnsi="David" w:hint="cs"/>
          <w:rtl/>
        </w:rPr>
        <w:t xml:space="preserve">קנס בסך של 15,000 ₪. אני מורה על קיזוז סכום הפיקדון שהופקד בתיק </w:t>
      </w:r>
      <w:hyperlink r:id="rId54" w:history="1">
        <w:r w:rsidR="000C7938" w:rsidRPr="000C7938">
          <w:rPr>
            <w:rFonts w:ascii="David" w:hAnsi="David"/>
            <w:color w:val="0000FF"/>
            <w:u w:val="single"/>
            <w:rtl/>
          </w:rPr>
          <w:t>מ"ת 6851-04-23</w:t>
        </w:r>
      </w:hyperlink>
      <w:r w:rsidRPr="004E7ADE">
        <w:rPr>
          <w:rFonts w:ascii="David" w:hAnsi="David" w:hint="cs"/>
          <w:rtl/>
        </w:rPr>
        <w:t xml:space="preserve"> וזאת לטובת סכום הקנס ואת היתרה </w:t>
      </w:r>
      <w:r w:rsidRPr="004E7ADE">
        <w:rPr>
          <w:rFonts w:ascii="David" w:hAnsi="David"/>
          <w:rtl/>
        </w:rPr>
        <w:t>יש לשלם לחשבון המרכז לגביית קנסות, אגרות והוצאות ברשות האכיפה והגבייה, החל מחלוף 3 ימים מרגע מתן גזר הדין ועד ליום</w:t>
      </w:r>
      <w:r w:rsidRPr="004E7ADE">
        <w:rPr>
          <w:rFonts w:ascii="David" w:hAnsi="David" w:hint="cs"/>
          <w:rtl/>
        </w:rPr>
        <w:t xml:space="preserve"> </w:t>
      </w:r>
      <w:r>
        <w:rPr>
          <w:rFonts w:ascii="David" w:hAnsi="David" w:hint="cs"/>
          <w:rtl/>
        </w:rPr>
        <w:t>20/5/25</w:t>
      </w:r>
      <w:r w:rsidRPr="004E7ADE">
        <w:rPr>
          <w:rFonts w:ascii="David" w:hAnsi="David"/>
          <w:rtl/>
        </w:rPr>
        <w:t xml:space="preserve"> וזאת באחת מהדרכים הבאות:</w:t>
      </w:r>
    </w:p>
    <w:p w14:paraId="17E21583" w14:textId="77777777" w:rsidR="001748F5" w:rsidRDefault="001748F5" w:rsidP="001748F5">
      <w:pPr>
        <w:pStyle w:val="a9"/>
        <w:numPr>
          <w:ilvl w:val="0"/>
          <w:numId w:val="2"/>
        </w:numPr>
        <w:spacing w:line="360" w:lineRule="auto"/>
        <w:contextualSpacing w:val="0"/>
        <w:rPr>
          <w:rFonts w:ascii="David" w:hAnsi="David"/>
        </w:rPr>
      </w:pPr>
      <w:r>
        <w:rPr>
          <w:rFonts w:ascii="David" w:hAnsi="David"/>
          <w:b/>
          <w:bCs/>
          <w:rtl/>
        </w:rPr>
        <w:t>בכרטיס אשראי</w:t>
      </w:r>
      <w:r>
        <w:rPr>
          <w:rFonts w:ascii="David" w:hAnsi="David"/>
          <w:rtl/>
        </w:rPr>
        <w:t xml:space="preserve"> – באתר המקוון של רשות האכיפה והגבייה, </w:t>
      </w:r>
      <w:hyperlink r:id="rId55" w:history="1">
        <w:r>
          <w:rPr>
            <w:rStyle w:val="Hyperlink"/>
            <w:rFonts w:ascii="Arial" w:hAnsi="Arial" w:cs="Arial"/>
          </w:rPr>
          <w:t>www.eca.gov.il</w:t>
        </w:r>
      </w:hyperlink>
      <w:r>
        <w:rPr>
          <w:rFonts w:ascii="Arial" w:hAnsi="Arial" w:cs="Arial"/>
        </w:rPr>
        <w:t xml:space="preserve"> </w:t>
      </w:r>
      <w:r w:rsidR="000C7938">
        <w:rPr>
          <w:rFonts w:ascii="David" w:hAnsi="David"/>
          <w:rtl/>
        </w:rPr>
        <w:t xml:space="preserve"> </w:t>
      </w:r>
      <w:r>
        <w:rPr>
          <w:rFonts w:ascii="David" w:hAnsi="David"/>
          <w:rtl/>
        </w:rPr>
        <w:t>(ניתן לשלם בפריסה של עד 18 תשלומים בהסדר קרדיט) או חפש בגוגל " תשלום גביית קנסות".</w:t>
      </w:r>
    </w:p>
    <w:p w14:paraId="575FF7CA" w14:textId="77777777" w:rsidR="001748F5" w:rsidRDefault="001748F5" w:rsidP="001748F5">
      <w:pPr>
        <w:pStyle w:val="a9"/>
        <w:numPr>
          <w:ilvl w:val="0"/>
          <w:numId w:val="2"/>
        </w:numPr>
        <w:spacing w:line="360" w:lineRule="auto"/>
        <w:contextualSpacing w:val="0"/>
        <w:rPr>
          <w:rFonts w:ascii="Arial" w:hAnsi="Arial" w:cs="Arial"/>
          <w:b/>
          <w:bCs/>
          <w:rtl/>
        </w:rPr>
      </w:pPr>
      <w:r>
        <w:rPr>
          <w:rFonts w:ascii="David" w:hAnsi="David"/>
          <w:b/>
          <w:bCs/>
          <w:rtl/>
        </w:rPr>
        <w:t>מוקד שירות טלפוני בשרות עצמי (מרכז גבייה)</w:t>
      </w:r>
      <w:r w:rsidR="000C7938">
        <w:rPr>
          <w:rFonts w:ascii="David" w:hAnsi="David"/>
          <w:b/>
          <w:bCs/>
          <w:rtl/>
        </w:rPr>
        <w:t xml:space="preserve"> </w:t>
      </w:r>
      <w:r>
        <w:rPr>
          <w:rFonts w:ascii="David" w:hAnsi="David"/>
          <w:b/>
          <w:bCs/>
          <w:rtl/>
        </w:rPr>
        <w:t xml:space="preserve"> – בטלפון 35592* או בטלפון 073-2055000 (ניתן לפנות לנציגים לקבלת מידע במספרים הללו).</w:t>
      </w:r>
    </w:p>
    <w:p w14:paraId="17B1D8E0" w14:textId="77777777" w:rsidR="001748F5" w:rsidRDefault="001748F5" w:rsidP="001748F5">
      <w:pPr>
        <w:pStyle w:val="a9"/>
        <w:numPr>
          <w:ilvl w:val="0"/>
          <w:numId w:val="2"/>
        </w:numPr>
        <w:spacing w:line="360" w:lineRule="auto"/>
        <w:contextualSpacing w:val="0"/>
        <w:rPr>
          <w:rFonts w:ascii="David" w:hAnsi="David"/>
          <w:b/>
          <w:bCs/>
          <w:rtl/>
        </w:rPr>
      </w:pPr>
      <w:r>
        <w:rPr>
          <w:rFonts w:ascii="David" w:hAnsi="David"/>
          <w:b/>
          <w:bCs/>
          <w:rtl/>
        </w:rPr>
        <w:t>במזומן בכל סניף של בנק הדואר</w:t>
      </w:r>
      <w:r>
        <w:rPr>
          <w:rFonts w:ascii="David" w:hAnsi="David"/>
          <w:rtl/>
        </w:rPr>
        <w:t xml:space="preserve"> – בהצגת תעודת זהות בלבד (אין צורך בשוברי תשלום).</w:t>
      </w:r>
    </w:p>
    <w:p w14:paraId="1CD9D0B6" w14:textId="77777777" w:rsidR="001748F5" w:rsidRDefault="001748F5" w:rsidP="001748F5">
      <w:pPr>
        <w:spacing w:line="360" w:lineRule="auto"/>
        <w:rPr>
          <w:rFonts w:ascii="David" w:hAnsi="David"/>
          <w:b/>
          <w:bCs/>
          <w:rtl/>
        </w:rPr>
      </w:pPr>
    </w:p>
    <w:p w14:paraId="6B288698" w14:textId="77777777" w:rsidR="001748F5" w:rsidRDefault="001748F5" w:rsidP="001748F5">
      <w:pPr>
        <w:spacing w:line="360" w:lineRule="auto"/>
        <w:rPr>
          <w:rFonts w:ascii="David" w:hAnsi="David"/>
          <w:b/>
          <w:bCs/>
          <w:rtl/>
        </w:rPr>
      </w:pPr>
      <w:r>
        <w:rPr>
          <w:rFonts w:ascii="David" w:hAnsi="David" w:hint="cs"/>
          <w:b/>
          <w:bCs/>
          <w:rtl/>
        </w:rPr>
        <w:t xml:space="preserve">ניתן בזאת צו להשמדת מוצגים </w:t>
      </w:r>
      <w:r>
        <w:rPr>
          <w:rFonts w:ascii="David" w:hAnsi="David"/>
          <w:b/>
          <w:bCs/>
          <w:rtl/>
        </w:rPr>
        <w:t>–</w:t>
      </w:r>
      <w:r>
        <w:rPr>
          <w:rFonts w:ascii="David" w:hAnsi="David" w:hint="cs"/>
          <w:b/>
          <w:bCs/>
          <w:rtl/>
        </w:rPr>
        <w:t xml:space="preserve"> תחמושת וסמים. </w:t>
      </w:r>
    </w:p>
    <w:p w14:paraId="0CC06311" w14:textId="77777777" w:rsidR="001748F5" w:rsidRDefault="001748F5" w:rsidP="001748F5">
      <w:pPr>
        <w:spacing w:line="360" w:lineRule="auto"/>
        <w:rPr>
          <w:rFonts w:ascii="David" w:hAnsi="David"/>
          <w:b/>
          <w:bCs/>
          <w:rtl/>
        </w:rPr>
      </w:pPr>
    </w:p>
    <w:p w14:paraId="4BA541BE" w14:textId="77777777" w:rsidR="001748F5" w:rsidRDefault="001748F5" w:rsidP="001748F5">
      <w:pPr>
        <w:spacing w:line="360" w:lineRule="auto"/>
        <w:rPr>
          <w:rFonts w:ascii="David" w:hAnsi="David"/>
          <w:b/>
          <w:bCs/>
          <w:rtl/>
        </w:rPr>
      </w:pPr>
    </w:p>
    <w:p w14:paraId="1DD7E334" w14:textId="77777777" w:rsidR="001748F5" w:rsidRDefault="001748F5" w:rsidP="001748F5">
      <w:pPr>
        <w:spacing w:line="360" w:lineRule="auto"/>
        <w:rPr>
          <w:rFonts w:ascii="David" w:hAnsi="David"/>
          <w:b/>
          <w:bCs/>
          <w:rtl/>
        </w:rPr>
      </w:pPr>
    </w:p>
    <w:p w14:paraId="7E33F8CF" w14:textId="77777777" w:rsidR="001748F5" w:rsidRDefault="001748F5" w:rsidP="001748F5">
      <w:pPr>
        <w:spacing w:line="360" w:lineRule="auto"/>
        <w:rPr>
          <w:rFonts w:ascii="David" w:hAnsi="David"/>
          <w:b/>
          <w:bCs/>
          <w:rtl/>
        </w:rPr>
      </w:pPr>
    </w:p>
    <w:p w14:paraId="2ADD22DF" w14:textId="77777777" w:rsidR="001748F5" w:rsidRDefault="001748F5" w:rsidP="001748F5">
      <w:pPr>
        <w:spacing w:line="360" w:lineRule="auto"/>
        <w:rPr>
          <w:rFonts w:ascii="David" w:hAnsi="David"/>
          <w:b/>
          <w:bCs/>
          <w:rtl/>
        </w:rPr>
      </w:pPr>
    </w:p>
    <w:p w14:paraId="008FA0A7" w14:textId="77777777" w:rsidR="001748F5" w:rsidRDefault="001748F5" w:rsidP="001748F5">
      <w:pPr>
        <w:spacing w:line="360" w:lineRule="auto"/>
        <w:rPr>
          <w:rFonts w:ascii="David" w:hAnsi="David"/>
          <w:b/>
          <w:bCs/>
          <w:rtl/>
        </w:rPr>
      </w:pPr>
    </w:p>
    <w:p w14:paraId="2112DFC4" w14:textId="77777777" w:rsidR="001748F5" w:rsidRPr="000C7938" w:rsidRDefault="000C7938" w:rsidP="001748F5">
      <w:pPr>
        <w:spacing w:line="360" w:lineRule="auto"/>
        <w:rPr>
          <w:rFonts w:ascii="David" w:hAnsi="David"/>
          <w:b/>
          <w:bCs/>
          <w:color w:val="FFFFFF"/>
          <w:sz w:val="2"/>
          <w:szCs w:val="2"/>
        </w:rPr>
      </w:pPr>
      <w:r w:rsidRPr="000C7938">
        <w:rPr>
          <w:rFonts w:ascii="David" w:hAnsi="David"/>
          <w:b/>
          <w:bCs/>
          <w:color w:val="FFFFFF"/>
          <w:sz w:val="2"/>
          <w:szCs w:val="2"/>
          <w:rtl/>
        </w:rPr>
        <w:t>5129371</w:t>
      </w:r>
    </w:p>
    <w:p w14:paraId="6C1F256A" w14:textId="77777777" w:rsidR="001748F5" w:rsidRDefault="000C7938" w:rsidP="001748F5">
      <w:pPr>
        <w:spacing w:line="360" w:lineRule="auto"/>
        <w:jc w:val="both"/>
      </w:pPr>
      <w:r w:rsidRPr="000C7938">
        <w:rPr>
          <w:b/>
          <w:bCs/>
          <w:color w:val="FFFFFF"/>
          <w:sz w:val="2"/>
          <w:szCs w:val="2"/>
          <w:rtl/>
        </w:rPr>
        <w:t>54678313</w:t>
      </w:r>
      <w:r w:rsidR="001748F5">
        <w:rPr>
          <w:rFonts w:hint="cs"/>
          <w:b/>
          <w:bCs/>
          <w:rtl/>
        </w:rPr>
        <w:t xml:space="preserve">זכות ערעור לבית המשפט המחוזי בחיפה  תוך 45 ימים מהיום. </w:t>
      </w:r>
    </w:p>
    <w:p w14:paraId="01EB363B" w14:textId="77777777" w:rsidR="001748F5" w:rsidRPr="008B2656" w:rsidRDefault="001748F5" w:rsidP="001748F5">
      <w:pPr>
        <w:spacing w:line="360" w:lineRule="auto"/>
        <w:jc w:val="both"/>
        <w:rPr>
          <w:rFonts w:ascii="David" w:hAnsi="David"/>
          <w:rtl/>
        </w:rPr>
      </w:pPr>
    </w:p>
    <w:p w14:paraId="378C21B8" w14:textId="77777777" w:rsidR="001748F5" w:rsidRPr="000F2247" w:rsidRDefault="000C7938" w:rsidP="001748F5">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י"ז אדר תשפ"ה, 17 מרץ 2025, בהעדר הצדדים. </w:t>
      </w:r>
      <w:bookmarkEnd w:id="8"/>
      <w:r w:rsidR="001748F5">
        <w:rPr>
          <w:rFonts w:ascii="Arial" w:hAnsi="Arial"/>
          <w:b/>
          <w:bCs/>
          <w:sz w:val="26"/>
          <w:szCs w:val="26"/>
          <w:rtl/>
        </w:rPr>
        <w:tab/>
      </w:r>
      <w:r w:rsidR="001748F5">
        <w:rPr>
          <w:rFonts w:ascii="Arial" w:hAnsi="Arial"/>
          <w:b/>
          <w:bCs/>
          <w:sz w:val="26"/>
          <w:szCs w:val="26"/>
          <w:rtl/>
        </w:rPr>
        <w:tab/>
      </w:r>
      <w:r w:rsidR="001748F5">
        <w:rPr>
          <w:rFonts w:ascii="Arial" w:hAnsi="Arial"/>
          <w:b/>
          <w:bCs/>
          <w:sz w:val="26"/>
          <w:szCs w:val="26"/>
          <w:rtl/>
        </w:rPr>
        <w:tab/>
      </w:r>
      <w:r w:rsidR="001748F5">
        <w:rPr>
          <w:rFonts w:ascii="Arial" w:hAnsi="Arial"/>
          <w:b/>
          <w:bCs/>
          <w:sz w:val="26"/>
          <w:szCs w:val="26"/>
          <w:rtl/>
        </w:rPr>
        <w:tab/>
      </w:r>
      <w:r w:rsidR="001748F5">
        <w:rPr>
          <w:rFonts w:ascii="Arial" w:hAnsi="Arial"/>
          <w:b/>
          <w:bCs/>
          <w:sz w:val="26"/>
          <w:szCs w:val="26"/>
          <w:rtl/>
        </w:rPr>
        <w:tab/>
      </w:r>
      <w:r w:rsidR="001748F5">
        <w:rPr>
          <w:rFonts w:ascii="Arial" w:hAnsi="Arial"/>
          <w:b/>
          <w:bCs/>
          <w:sz w:val="26"/>
          <w:szCs w:val="26"/>
          <w:rtl/>
        </w:rPr>
        <w:tab/>
      </w:r>
      <w:r w:rsidR="001748F5">
        <w:rPr>
          <w:rFonts w:ascii="Arial" w:hAnsi="Arial"/>
          <w:b/>
          <w:bCs/>
          <w:sz w:val="26"/>
          <w:szCs w:val="26"/>
          <w:rtl/>
        </w:rPr>
        <w:tab/>
      </w:r>
      <w:r w:rsidR="001748F5">
        <w:rPr>
          <w:rFonts w:ascii="Arial" w:hAnsi="Arial" w:hint="cs"/>
          <w:b/>
          <w:bCs/>
          <w:sz w:val="26"/>
          <w:szCs w:val="26"/>
          <w:rtl/>
        </w:rPr>
        <w:t xml:space="preserve">         </w:t>
      </w:r>
    </w:p>
    <w:p w14:paraId="15F650BD" w14:textId="77777777" w:rsidR="000C7938" w:rsidRDefault="000C7938" w:rsidP="000C7938">
      <w:pPr>
        <w:rPr>
          <w:rtl/>
        </w:rPr>
      </w:pPr>
    </w:p>
    <w:p w14:paraId="25841251" w14:textId="77777777" w:rsidR="000C7938" w:rsidRDefault="000C7938" w:rsidP="000C7938">
      <w:pPr>
        <w:jc w:val="center"/>
        <w:rPr>
          <w:color w:val="0000FF"/>
          <w:u w:val="single"/>
        </w:rPr>
      </w:pPr>
      <w:hyperlink r:id="rId56" w:history="1">
        <w:r>
          <w:rPr>
            <w:color w:val="0000FF"/>
            <w:u w:val="single"/>
            <w:rtl/>
          </w:rPr>
          <w:t>בעניין עריכה ושינויים במסמכי פסיקה, חקיקה ועוד באתר נבו – הקש כאן</w:t>
        </w:r>
      </w:hyperlink>
    </w:p>
    <w:p w14:paraId="56BF74FB" w14:textId="77777777" w:rsidR="00937B12" w:rsidRPr="00937B12" w:rsidRDefault="00937B12" w:rsidP="00937B12">
      <w:pPr>
        <w:keepNext/>
        <w:rPr>
          <w:rFonts w:ascii="David" w:hAnsi="David"/>
          <w:color w:val="000000"/>
          <w:sz w:val="22"/>
          <w:szCs w:val="22"/>
          <w:rtl/>
        </w:rPr>
      </w:pPr>
    </w:p>
    <w:p w14:paraId="09F7ACEF" w14:textId="77777777" w:rsidR="00937B12" w:rsidRPr="00937B12" w:rsidRDefault="00937B12" w:rsidP="00937B12">
      <w:pPr>
        <w:keepNext/>
        <w:rPr>
          <w:rFonts w:ascii="David" w:hAnsi="David"/>
          <w:color w:val="000000"/>
          <w:sz w:val="22"/>
          <w:szCs w:val="22"/>
          <w:rtl/>
        </w:rPr>
      </w:pPr>
      <w:r w:rsidRPr="00937B12">
        <w:rPr>
          <w:rFonts w:ascii="David" w:hAnsi="David"/>
          <w:color w:val="000000"/>
          <w:sz w:val="22"/>
          <w:szCs w:val="22"/>
          <w:rtl/>
        </w:rPr>
        <w:t>אלכס אחטר 54678313-/</w:t>
      </w:r>
    </w:p>
    <w:p w14:paraId="7DB207F0" w14:textId="77777777" w:rsidR="000C7938" w:rsidRPr="000C7938" w:rsidRDefault="00937B12" w:rsidP="00937B12">
      <w:pPr>
        <w:rPr>
          <w:color w:val="0000FF"/>
          <w:u w:val="single"/>
        </w:rPr>
      </w:pPr>
      <w:r w:rsidRPr="00937B12">
        <w:rPr>
          <w:color w:val="000000"/>
          <w:u w:val="single"/>
          <w:rtl/>
        </w:rPr>
        <w:t>נוסח מסמך זה כפוף לשינויי ניסוח ועריכה</w:t>
      </w:r>
    </w:p>
    <w:sectPr w:rsidR="000C7938" w:rsidRPr="000C7938" w:rsidSect="00937B12">
      <w:headerReference w:type="even" r:id="rId57"/>
      <w:headerReference w:type="default" r:id="rId58"/>
      <w:footerReference w:type="even" r:id="rId59"/>
      <w:footerReference w:type="default" r:id="rId6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B92F86" w14:textId="77777777" w:rsidR="0007500E" w:rsidRDefault="0007500E" w:rsidP="004B3E37">
      <w:r>
        <w:separator/>
      </w:r>
    </w:p>
  </w:endnote>
  <w:endnote w:type="continuationSeparator" w:id="0">
    <w:p w14:paraId="4E067C3A" w14:textId="77777777" w:rsidR="0007500E" w:rsidRDefault="0007500E" w:rsidP="004B3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524BD3" w14:textId="77777777" w:rsidR="00937B12" w:rsidRDefault="00937B12" w:rsidP="00937B1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7333BE15" w14:textId="77777777" w:rsidR="008054F7" w:rsidRPr="00937B12" w:rsidRDefault="00937B12" w:rsidP="00937B12">
    <w:pPr>
      <w:pStyle w:val="a5"/>
      <w:pBdr>
        <w:top w:val="single" w:sz="4" w:space="1" w:color="auto"/>
        <w:between w:val="single" w:sz="4" w:space="0" w:color="auto"/>
      </w:pBdr>
      <w:spacing w:after="60"/>
      <w:jc w:val="center"/>
      <w:rPr>
        <w:rFonts w:ascii="FrankRuehl" w:hAnsi="FrankRuehl" w:cs="FrankRuehl"/>
        <w:color w:val="000000"/>
      </w:rPr>
    </w:pPr>
    <w:r w:rsidRPr="00937B1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1E0B55" w14:textId="77777777" w:rsidR="00937B12" w:rsidRDefault="00937B12" w:rsidP="00937B1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43723">
      <w:rPr>
        <w:rFonts w:ascii="FrankRuehl" w:hAnsi="FrankRuehl" w:cs="FrankRuehl"/>
        <w:noProof/>
        <w:rtl/>
      </w:rPr>
      <w:t>1</w:t>
    </w:r>
    <w:r>
      <w:rPr>
        <w:rFonts w:ascii="FrankRuehl" w:hAnsi="FrankRuehl" w:cs="FrankRuehl"/>
        <w:rtl/>
      </w:rPr>
      <w:fldChar w:fldCharType="end"/>
    </w:r>
  </w:p>
  <w:p w14:paraId="44A592A5" w14:textId="77777777" w:rsidR="008054F7" w:rsidRPr="00937B12" w:rsidRDefault="00937B12" w:rsidP="00937B12">
    <w:pPr>
      <w:pStyle w:val="a5"/>
      <w:pBdr>
        <w:top w:val="single" w:sz="4" w:space="1" w:color="auto"/>
        <w:between w:val="single" w:sz="4" w:space="0" w:color="auto"/>
      </w:pBdr>
      <w:spacing w:after="60"/>
      <w:jc w:val="center"/>
      <w:rPr>
        <w:rFonts w:ascii="FrankRuehl" w:hAnsi="FrankRuehl" w:cs="FrankRuehl"/>
        <w:color w:val="000000"/>
      </w:rPr>
    </w:pPr>
    <w:r w:rsidRPr="00937B12">
      <w:rPr>
        <w:rFonts w:ascii="FrankRuehl" w:hAnsi="FrankRuehl" w:cs="FrankRuehl"/>
        <w:color w:val="000000"/>
      </w:rPr>
      <w:pict w14:anchorId="09D00F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50D32E" w14:textId="77777777" w:rsidR="0007500E" w:rsidRDefault="0007500E" w:rsidP="004B3E37">
      <w:r>
        <w:separator/>
      </w:r>
    </w:p>
  </w:footnote>
  <w:footnote w:type="continuationSeparator" w:id="0">
    <w:p w14:paraId="68FB5832" w14:textId="77777777" w:rsidR="0007500E" w:rsidRDefault="0007500E" w:rsidP="004B3E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1ED7EB" w14:textId="77777777" w:rsidR="000C7938" w:rsidRPr="00937B12" w:rsidRDefault="00937B12" w:rsidP="00937B1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(חד') 6793-04-23</w:t>
    </w:r>
    <w:r>
      <w:rPr>
        <w:rFonts w:ascii="David" w:hAnsi="David"/>
        <w:color w:val="000000"/>
        <w:sz w:val="22"/>
        <w:szCs w:val="22"/>
        <w:rtl/>
      </w:rPr>
      <w:tab/>
      <w:t xml:space="preserve"> מדינת ישראל נ' אחמד מחאג'נה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A48C16" w14:textId="77777777" w:rsidR="000C7938" w:rsidRPr="00937B12" w:rsidRDefault="00937B12" w:rsidP="00937B1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(חד') 6793-04-23</w:t>
    </w:r>
    <w:r>
      <w:rPr>
        <w:rFonts w:ascii="David" w:hAnsi="David"/>
        <w:color w:val="000000"/>
        <w:sz w:val="22"/>
        <w:szCs w:val="22"/>
        <w:rtl/>
      </w:rPr>
      <w:tab/>
      <w:t xml:space="preserve"> מדינת ישראל נ' אחמד מחאג'נה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720" w:hanging="360"/>
      </w:pPr>
      <w:rPr>
        <w:rFonts w:ascii="Symbol" w:hAnsi="Symbol" w:hint="default"/>
      </w:rPr>
    </w:lvl>
    <w:lvl w:ilvl="1" w:tplc="D0AE272C">
      <w:start w:val="1"/>
      <w:numFmt w:val="bullet"/>
      <w:lvlText w:val="o"/>
      <w:lvlJc w:val="left"/>
      <w:pPr>
        <w:ind w:left="1440" w:hanging="360"/>
      </w:pPr>
      <w:rPr>
        <w:rFonts w:ascii="Courier New" w:hAnsi="Courier New" w:cs="Courier New" w:hint="default"/>
      </w:rPr>
    </w:lvl>
    <w:lvl w:ilvl="2" w:tplc="4CE8AFEC">
      <w:start w:val="1"/>
      <w:numFmt w:val="bullet"/>
      <w:lvlText w:val=""/>
      <w:lvlJc w:val="left"/>
      <w:pPr>
        <w:ind w:left="2160" w:hanging="360"/>
      </w:pPr>
      <w:rPr>
        <w:rFonts w:ascii="Wingdings" w:hAnsi="Wingdings" w:hint="default"/>
      </w:rPr>
    </w:lvl>
    <w:lvl w:ilvl="3" w:tplc="66DC63D4">
      <w:start w:val="1"/>
      <w:numFmt w:val="bullet"/>
      <w:lvlText w:val=""/>
      <w:lvlJc w:val="left"/>
      <w:pPr>
        <w:ind w:left="2880" w:hanging="360"/>
      </w:pPr>
      <w:rPr>
        <w:rFonts w:ascii="Symbol" w:hAnsi="Symbol" w:hint="default"/>
      </w:rPr>
    </w:lvl>
    <w:lvl w:ilvl="4" w:tplc="39E8D01E">
      <w:start w:val="1"/>
      <w:numFmt w:val="bullet"/>
      <w:lvlText w:val="o"/>
      <w:lvlJc w:val="left"/>
      <w:pPr>
        <w:ind w:left="3600" w:hanging="360"/>
      </w:pPr>
      <w:rPr>
        <w:rFonts w:ascii="Courier New" w:hAnsi="Courier New" w:cs="Courier New" w:hint="default"/>
      </w:rPr>
    </w:lvl>
    <w:lvl w:ilvl="5" w:tplc="A17A33F8">
      <w:start w:val="1"/>
      <w:numFmt w:val="bullet"/>
      <w:lvlText w:val=""/>
      <w:lvlJc w:val="left"/>
      <w:pPr>
        <w:ind w:left="4320" w:hanging="360"/>
      </w:pPr>
      <w:rPr>
        <w:rFonts w:ascii="Wingdings" w:hAnsi="Wingdings" w:hint="default"/>
      </w:rPr>
    </w:lvl>
    <w:lvl w:ilvl="6" w:tplc="32B25C30">
      <w:start w:val="1"/>
      <w:numFmt w:val="bullet"/>
      <w:lvlText w:val=""/>
      <w:lvlJc w:val="left"/>
      <w:pPr>
        <w:ind w:left="5040" w:hanging="360"/>
      </w:pPr>
      <w:rPr>
        <w:rFonts w:ascii="Symbol" w:hAnsi="Symbol" w:hint="default"/>
      </w:rPr>
    </w:lvl>
    <w:lvl w:ilvl="7" w:tplc="117C14FE">
      <w:start w:val="1"/>
      <w:numFmt w:val="bullet"/>
      <w:lvlText w:val="o"/>
      <w:lvlJc w:val="left"/>
      <w:pPr>
        <w:ind w:left="5760" w:hanging="360"/>
      </w:pPr>
      <w:rPr>
        <w:rFonts w:ascii="Courier New" w:hAnsi="Courier New" w:cs="Courier New" w:hint="default"/>
      </w:rPr>
    </w:lvl>
    <w:lvl w:ilvl="8" w:tplc="A12A52C8">
      <w:start w:val="1"/>
      <w:numFmt w:val="bullet"/>
      <w:lvlText w:val=""/>
      <w:lvlJc w:val="left"/>
      <w:pPr>
        <w:ind w:left="6480" w:hanging="360"/>
      </w:pPr>
      <w:rPr>
        <w:rFonts w:ascii="Wingdings" w:hAnsi="Wingdings" w:hint="default"/>
      </w:rPr>
    </w:lvl>
  </w:abstractNum>
  <w:abstractNum w:abstractNumId="1" w15:restartNumberingAfterBreak="0">
    <w:nsid w:val="6B3101E2"/>
    <w:multiLevelType w:val="hybridMultilevel"/>
    <w:tmpl w:val="AF968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6539248">
    <w:abstractNumId w:val="1"/>
  </w:num>
  <w:num w:numId="2" w16cid:durableId="888541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748F5"/>
    <w:rsid w:val="00043723"/>
    <w:rsid w:val="0007500E"/>
    <w:rsid w:val="000C7938"/>
    <w:rsid w:val="001748F5"/>
    <w:rsid w:val="004B3E37"/>
    <w:rsid w:val="006C4D6A"/>
    <w:rsid w:val="008054F7"/>
    <w:rsid w:val="00937B12"/>
    <w:rsid w:val="00B92735"/>
    <w:rsid w:val="00E4438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749F92F"/>
  <w15:chartTrackingRefBased/>
  <w15:docId w15:val="{D0302B04-2679-4CC0-85FE-896A15FD4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748F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748F5"/>
    <w:pPr>
      <w:tabs>
        <w:tab w:val="center" w:pos="4153"/>
        <w:tab w:val="right" w:pos="8306"/>
      </w:tabs>
    </w:pPr>
  </w:style>
  <w:style w:type="character" w:customStyle="1" w:styleId="a4">
    <w:name w:val="כותרת עליונה תו"/>
    <w:link w:val="a3"/>
    <w:rsid w:val="001748F5"/>
    <w:rPr>
      <w:rFonts w:ascii="Times New Roman" w:eastAsia="Times New Roman" w:hAnsi="Times New Roman" w:cs="David"/>
      <w:sz w:val="24"/>
      <w:szCs w:val="24"/>
    </w:rPr>
  </w:style>
  <w:style w:type="paragraph" w:styleId="a5">
    <w:name w:val="footer"/>
    <w:basedOn w:val="a"/>
    <w:link w:val="a6"/>
    <w:rsid w:val="001748F5"/>
    <w:pPr>
      <w:tabs>
        <w:tab w:val="center" w:pos="4153"/>
        <w:tab w:val="right" w:pos="8306"/>
      </w:tabs>
    </w:pPr>
  </w:style>
  <w:style w:type="character" w:customStyle="1" w:styleId="a6">
    <w:name w:val="כותרת תחתונה תו"/>
    <w:link w:val="a5"/>
    <w:rsid w:val="001748F5"/>
    <w:rPr>
      <w:rFonts w:ascii="Times New Roman" w:eastAsia="Times New Roman" w:hAnsi="Times New Roman" w:cs="David"/>
      <w:sz w:val="24"/>
      <w:szCs w:val="24"/>
    </w:rPr>
  </w:style>
  <w:style w:type="table" w:styleId="a7">
    <w:name w:val="Table Grid"/>
    <w:basedOn w:val="a1"/>
    <w:rsid w:val="001748F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748F5"/>
  </w:style>
  <w:style w:type="character" w:styleId="Hyperlink">
    <w:name w:val="Hyperlink"/>
    <w:rsid w:val="001748F5"/>
    <w:rPr>
      <w:color w:val="0563C1"/>
      <w:u w:val="single"/>
    </w:rPr>
  </w:style>
  <w:style w:type="paragraph" w:styleId="a9">
    <w:name w:val="List Paragraph"/>
    <w:basedOn w:val="a"/>
    <w:qFormat/>
    <w:rsid w:val="001748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law/70301" TargetMode="External"/><Relationship Id="rId26" Type="http://schemas.openxmlformats.org/officeDocument/2006/relationships/hyperlink" Target="http://www.nevo.co.il/law/70301/40e" TargetMode="External"/><Relationship Id="rId39" Type="http://schemas.openxmlformats.org/officeDocument/2006/relationships/hyperlink" Target="http://www.nevo.co.il/law/4216"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33108126" TargetMode="External"/><Relationship Id="rId42" Type="http://schemas.openxmlformats.org/officeDocument/2006/relationships/hyperlink" Target="http://www.nevo.co.il/case/6824952" TargetMode="External"/><Relationship Id="rId47" Type="http://schemas.openxmlformats.org/officeDocument/2006/relationships/hyperlink" Target="http://www.nevo.co.il/case/17914714" TargetMode="External"/><Relationship Id="rId50" Type="http://schemas.openxmlformats.org/officeDocument/2006/relationships/hyperlink" Target="http://www.nevo.co.il/law/70301" TargetMode="External"/><Relationship Id="rId55" Type="http://schemas.openxmlformats.org/officeDocument/2006/relationships/hyperlink" Target="http://www.eca.gov.il" TargetMode="Externa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5227"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0301/144.b" TargetMode="External"/><Relationship Id="rId24" Type="http://schemas.openxmlformats.org/officeDocument/2006/relationships/hyperlink" Target="http://www.nevo.co.il/law/70301/40ja" TargetMode="External"/><Relationship Id="rId32" Type="http://schemas.openxmlformats.org/officeDocument/2006/relationships/hyperlink" Target="http://www.nevo.co.il/case/22006503" TargetMode="External"/><Relationship Id="rId37" Type="http://schemas.openxmlformats.org/officeDocument/2006/relationships/hyperlink" Target="http://www.nevo.co.il/case/28927710" TargetMode="External"/><Relationship Id="rId40" Type="http://schemas.openxmlformats.org/officeDocument/2006/relationships/hyperlink" Target="http://www.nevo.co.il/law/70301/40d" TargetMode="External"/><Relationship Id="rId45" Type="http://schemas.openxmlformats.org/officeDocument/2006/relationships/hyperlink" Target="http://www.nevo.co.il/case/24323669" TargetMode="External"/><Relationship Id="rId53" Type="http://schemas.openxmlformats.org/officeDocument/2006/relationships/hyperlink" Target="http://www.nevo.co.il/law/5227" TargetMode="External"/><Relationship Id="rId58"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hyperlink" Target="http://www.nevo.co.il/law/4216/7.a.;7.c" TargetMode="External"/><Relationship Id="rId14" Type="http://schemas.openxmlformats.org/officeDocument/2006/relationships/hyperlink" Target="http://www.nevo.co.il/law/4216/7.a." TargetMode="External"/><Relationship Id="rId22" Type="http://schemas.openxmlformats.org/officeDocument/2006/relationships/hyperlink" Target="http://www.nevo.co.il/law/70301/40i" TargetMode="External"/><Relationship Id="rId27" Type="http://schemas.openxmlformats.org/officeDocument/2006/relationships/hyperlink" Target="http://www.nevo.co.il/case/6124633" TargetMode="External"/><Relationship Id="rId30" Type="http://schemas.openxmlformats.org/officeDocument/2006/relationships/hyperlink" Target="http://www.nevo.co.il/case/28513828" TargetMode="External"/><Relationship Id="rId35" Type="http://schemas.openxmlformats.org/officeDocument/2006/relationships/hyperlink" Target="http://www.nevo.co.il/case/18099950" TargetMode="External"/><Relationship Id="rId43" Type="http://schemas.openxmlformats.org/officeDocument/2006/relationships/hyperlink" Target="http://www.nevo.co.il/case/25383015" TargetMode="External"/><Relationship Id="rId48" Type="http://schemas.openxmlformats.org/officeDocument/2006/relationships/hyperlink" Target="http://www.nevo.co.il/case/17941073" TargetMode="External"/><Relationship Id="rId56" Type="http://schemas.openxmlformats.org/officeDocument/2006/relationships/hyperlink" Target="http://www.nevo.co.il/advertisements/nevo-100.doc" TargetMode="External"/><Relationship Id="rId8" Type="http://schemas.openxmlformats.org/officeDocument/2006/relationships/hyperlink" Target="http://www.nevo.co.il/law/70301/40d" TargetMode="External"/><Relationship Id="rId51" Type="http://schemas.openxmlformats.org/officeDocument/2006/relationships/hyperlink" Target="http://www.nevo.co.il/case/21664036" TargetMode="External"/><Relationship Id="rId3" Type="http://schemas.openxmlformats.org/officeDocument/2006/relationships/settings" Target="settings.xml"/><Relationship Id="rId12" Type="http://schemas.openxmlformats.org/officeDocument/2006/relationships/hyperlink" Target="http://www.nevo.co.il/law/70301/40ja" TargetMode="External"/><Relationship Id="rId17" Type="http://schemas.openxmlformats.org/officeDocument/2006/relationships/hyperlink" Target="http://www.nevo.co.il/law/70301/144.b" TargetMode="External"/><Relationship Id="rId25" Type="http://schemas.openxmlformats.org/officeDocument/2006/relationships/hyperlink" Target="http://www.nevo.co.il/law/70301/40d" TargetMode="External"/><Relationship Id="rId33" Type="http://schemas.openxmlformats.org/officeDocument/2006/relationships/hyperlink" Target="http://www.nevo.co.il/case/25940943" TargetMode="External"/><Relationship Id="rId38" Type="http://schemas.openxmlformats.org/officeDocument/2006/relationships/hyperlink" Target="http://www.nevo.co.il/case/29787249" TargetMode="External"/><Relationship Id="rId46" Type="http://schemas.openxmlformats.org/officeDocument/2006/relationships/hyperlink" Target="http://www.nevo.co.il/case/5764903" TargetMode="External"/><Relationship Id="rId59" Type="http://schemas.openxmlformats.org/officeDocument/2006/relationships/footer" Target="footer1.xml"/><Relationship Id="rId20" Type="http://schemas.openxmlformats.org/officeDocument/2006/relationships/hyperlink" Target="http://www.nevo.co.il/law/4216" TargetMode="External"/><Relationship Id="rId41" Type="http://schemas.openxmlformats.org/officeDocument/2006/relationships/hyperlink" Target="http://www.nevo.co.il/law/70301" TargetMode="External"/><Relationship Id="rId54" Type="http://schemas.openxmlformats.org/officeDocument/2006/relationships/hyperlink" Target="http://www.nevo.co.il/case/29521497"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7.c"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6151556" TargetMode="External"/><Relationship Id="rId36" Type="http://schemas.openxmlformats.org/officeDocument/2006/relationships/hyperlink" Target="http://www.nevo.co.il/case/3571201" TargetMode="External"/><Relationship Id="rId49" Type="http://schemas.openxmlformats.org/officeDocument/2006/relationships/hyperlink" Target="http://www.nevo.co.il/case/5880417" TargetMode="External"/><Relationship Id="rId57" Type="http://schemas.openxmlformats.org/officeDocument/2006/relationships/header" Target="header1.xml"/><Relationship Id="rId10" Type="http://schemas.openxmlformats.org/officeDocument/2006/relationships/hyperlink" Target="http://www.nevo.co.il/law/70301/40i" TargetMode="External"/><Relationship Id="rId31" Type="http://schemas.openxmlformats.org/officeDocument/2006/relationships/hyperlink" Target="http://www.nevo.co.il/case/13093744" TargetMode="External"/><Relationship Id="rId44" Type="http://schemas.openxmlformats.org/officeDocument/2006/relationships/hyperlink" Target="http://www.nevo.co.il/case/23785604" TargetMode="External"/><Relationship Id="rId52" Type="http://schemas.openxmlformats.org/officeDocument/2006/relationships/hyperlink" Target="http://www.nevo.co.il/law/4216" TargetMode="External"/><Relationship Id="rId6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40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3669</Words>
  <Characters>18350</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21976</CharactersWithSpaces>
  <SharedDoc>false</SharedDoc>
  <HLinks>
    <vt:vector size="300" baseType="variant">
      <vt:variant>
        <vt:i4>393283</vt:i4>
      </vt:variant>
      <vt:variant>
        <vt:i4>147</vt:i4>
      </vt:variant>
      <vt:variant>
        <vt:i4>0</vt:i4>
      </vt:variant>
      <vt:variant>
        <vt:i4>5</vt:i4>
      </vt:variant>
      <vt:variant>
        <vt:lpwstr>http://www.nevo.co.il/advertisements/nevo-100.doc</vt:lpwstr>
      </vt:variant>
      <vt:variant>
        <vt:lpwstr/>
      </vt:variant>
      <vt:variant>
        <vt:i4>7864368</vt:i4>
      </vt:variant>
      <vt:variant>
        <vt:i4>144</vt:i4>
      </vt:variant>
      <vt:variant>
        <vt:i4>0</vt:i4>
      </vt:variant>
      <vt:variant>
        <vt:i4>5</vt:i4>
      </vt:variant>
      <vt:variant>
        <vt:lpwstr>http://www.eca.gov.il/</vt:lpwstr>
      </vt:variant>
      <vt:variant>
        <vt:lpwstr/>
      </vt:variant>
      <vt:variant>
        <vt:i4>4128891</vt:i4>
      </vt:variant>
      <vt:variant>
        <vt:i4>141</vt:i4>
      </vt:variant>
      <vt:variant>
        <vt:i4>0</vt:i4>
      </vt:variant>
      <vt:variant>
        <vt:i4>5</vt:i4>
      </vt:variant>
      <vt:variant>
        <vt:lpwstr>http://www.nevo.co.il/case/29521497</vt:lpwstr>
      </vt:variant>
      <vt:variant>
        <vt:lpwstr/>
      </vt:variant>
      <vt:variant>
        <vt:i4>8323175</vt:i4>
      </vt:variant>
      <vt:variant>
        <vt:i4>138</vt:i4>
      </vt:variant>
      <vt:variant>
        <vt:i4>0</vt:i4>
      </vt:variant>
      <vt:variant>
        <vt:i4>5</vt:i4>
      </vt:variant>
      <vt:variant>
        <vt:lpwstr>http://www.nevo.co.il/law/5227</vt:lpwstr>
      </vt:variant>
      <vt:variant>
        <vt:lpwstr/>
      </vt:variant>
      <vt:variant>
        <vt:i4>8257637</vt:i4>
      </vt:variant>
      <vt:variant>
        <vt:i4>135</vt:i4>
      </vt:variant>
      <vt:variant>
        <vt:i4>0</vt:i4>
      </vt:variant>
      <vt:variant>
        <vt:i4>5</vt:i4>
      </vt:variant>
      <vt:variant>
        <vt:lpwstr>http://www.nevo.co.il/law/4216</vt:lpwstr>
      </vt:variant>
      <vt:variant>
        <vt:lpwstr/>
      </vt:variant>
      <vt:variant>
        <vt:i4>3342451</vt:i4>
      </vt:variant>
      <vt:variant>
        <vt:i4>132</vt:i4>
      </vt:variant>
      <vt:variant>
        <vt:i4>0</vt:i4>
      </vt:variant>
      <vt:variant>
        <vt:i4>5</vt:i4>
      </vt:variant>
      <vt:variant>
        <vt:lpwstr>http://www.nevo.co.il/case/21664036</vt:lpwstr>
      </vt:variant>
      <vt:variant>
        <vt:lpwstr/>
      </vt:variant>
      <vt:variant>
        <vt:i4>7995492</vt:i4>
      </vt:variant>
      <vt:variant>
        <vt:i4>129</vt:i4>
      </vt:variant>
      <vt:variant>
        <vt:i4>0</vt:i4>
      </vt:variant>
      <vt:variant>
        <vt:i4>5</vt:i4>
      </vt:variant>
      <vt:variant>
        <vt:lpwstr>http://www.nevo.co.il/law/70301</vt:lpwstr>
      </vt:variant>
      <vt:variant>
        <vt:lpwstr/>
      </vt:variant>
      <vt:variant>
        <vt:i4>4063357</vt:i4>
      </vt:variant>
      <vt:variant>
        <vt:i4>126</vt:i4>
      </vt:variant>
      <vt:variant>
        <vt:i4>0</vt:i4>
      </vt:variant>
      <vt:variant>
        <vt:i4>5</vt:i4>
      </vt:variant>
      <vt:variant>
        <vt:lpwstr>http://www.nevo.co.il/case/5880417</vt:lpwstr>
      </vt:variant>
      <vt:variant>
        <vt:lpwstr/>
      </vt:variant>
      <vt:variant>
        <vt:i4>4063351</vt:i4>
      </vt:variant>
      <vt:variant>
        <vt:i4>123</vt:i4>
      </vt:variant>
      <vt:variant>
        <vt:i4>0</vt:i4>
      </vt:variant>
      <vt:variant>
        <vt:i4>5</vt:i4>
      </vt:variant>
      <vt:variant>
        <vt:lpwstr>http://www.nevo.co.il/case/17941073</vt:lpwstr>
      </vt:variant>
      <vt:variant>
        <vt:lpwstr/>
      </vt:variant>
      <vt:variant>
        <vt:i4>3997813</vt:i4>
      </vt:variant>
      <vt:variant>
        <vt:i4>120</vt:i4>
      </vt:variant>
      <vt:variant>
        <vt:i4>0</vt:i4>
      </vt:variant>
      <vt:variant>
        <vt:i4>5</vt:i4>
      </vt:variant>
      <vt:variant>
        <vt:lpwstr>http://www.nevo.co.il/case/17914714</vt:lpwstr>
      </vt:variant>
      <vt:variant>
        <vt:lpwstr/>
      </vt:variant>
      <vt:variant>
        <vt:i4>3735671</vt:i4>
      </vt:variant>
      <vt:variant>
        <vt:i4>117</vt:i4>
      </vt:variant>
      <vt:variant>
        <vt:i4>0</vt:i4>
      </vt:variant>
      <vt:variant>
        <vt:i4>5</vt:i4>
      </vt:variant>
      <vt:variant>
        <vt:lpwstr>http://www.nevo.co.il/case/5764903</vt:lpwstr>
      </vt:variant>
      <vt:variant>
        <vt:lpwstr/>
      </vt:variant>
      <vt:variant>
        <vt:i4>3407988</vt:i4>
      </vt:variant>
      <vt:variant>
        <vt:i4>114</vt:i4>
      </vt:variant>
      <vt:variant>
        <vt:i4>0</vt:i4>
      </vt:variant>
      <vt:variant>
        <vt:i4>5</vt:i4>
      </vt:variant>
      <vt:variant>
        <vt:lpwstr>http://www.nevo.co.il/case/24323669</vt:lpwstr>
      </vt:variant>
      <vt:variant>
        <vt:lpwstr/>
      </vt:variant>
      <vt:variant>
        <vt:i4>3145849</vt:i4>
      </vt:variant>
      <vt:variant>
        <vt:i4>111</vt:i4>
      </vt:variant>
      <vt:variant>
        <vt:i4>0</vt:i4>
      </vt:variant>
      <vt:variant>
        <vt:i4>5</vt:i4>
      </vt:variant>
      <vt:variant>
        <vt:lpwstr>http://www.nevo.co.il/case/23785604</vt:lpwstr>
      </vt:variant>
      <vt:variant>
        <vt:lpwstr/>
      </vt:variant>
      <vt:variant>
        <vt:i4>3342457</vt:i4>
      </vt:variant>
      <vt:variant>
        <vt:i4>108</vt:i4>
      </vt:variant>
      <vt:variant>
        <vt:i4>0</vt:i4>
      </vt:variant>
      <vt:variant>
        <vt:i4>5</vt:i4>
      </vt:variant>
      <vt:variant>
        <vt:lpwstr>http://www.nevo.co.il/case/25383015</vt:lpwstr>
      </vt:variant>
      <vt:variant>
        <vt:lpwstr/>
      </vt:variant>
      <vt:variant>
        <vt:i4>4128893</vt:i4>
      </vt:variant>
      <vt:variant>
        <vt:i4>105</vt:i4>
      </vt:variant>
      <vt:variant>
        <vt:i4>0</vt:i4>
      </vt:variant>
      <vt:variant>
        <vt:i4>5</vt:i4>
      </vt:variant>
      <vt:variant>
        <vt:lpwstr>http://www.nevo.co.il/case/6824952</vt:lpwstr>
      </vt:variant>
      <vt:variant>
        <vt:lpwstr/>
      </vt:variant>
      <vt:variant>
        <vt:i4>7995492</vt:i4>
      </vt:variant>
      <vt:variant>
        <vt:i4>102</vt:i4>
      </vt:variant>
      <vt:variant>
        <vt:i4>0</vt:i4>
      </vt:variant>
      <vt:variant>
        <vt:i4>5</vt:i4>
      </vt:variant>
      <vt:variant>
        <vt:lpwstr>http://www.nevo.co.il/law/70301</vt:lpwstr>
      </vt:variant>
      <vt:variant>
        <vt:lpwstr/>
      </vt:variant>
      <vt:variant>
        <vt:i4>6619233</vt:i4>
      </vt:variant>
      <vt:variant>
        <vt:i4>99</vt:i4>
      </vt:variant>
      <vt:variant>
        <vt:i4>0</vt:i4>
      </vt:variant>
      <vt:variant>
        <vt:i4>5</vt:i4>
      </vt:variant>
      <vt:variant>
        <vt:lpwstr>http://www.nevo.co.il/law/70301/40d</vt:lpwstr>
      </vt:variant>
      <vt:variant>
        <vt:lpwstr/>
      </vt:variant>
      <vt:variant>
        <vt:i4>8257637</vt:i4>
      </vt:variant>
      <vt:variant>
        <vt:i4>96</vt:i4>
      </vt:variant>
      <vt:variant>
        <vt:i4>0</vt:i4>
      </vt:variant>
      <vt:variant>
        <vt:i4>5</vt:i4>
      </vt:variant>
      <vt:variant>
        <vt:lpwstr>http://www.nevo.co.il/law/4216</vt:lpwstr>
      </vt:variant>
      <vt:variant>
        <vt:lpwstr/>
      </vt:variant>
      <vt:variant>
        <vt:i4>3539063</vt:i4>
      </vt:variant>
      <vt:variant>
        <vt:i4>93</vt:i4>
      </vt:variant>
      <vt:variant>
        <vt:i4>0</vt:i4>
      </vt:variant>
      <vt:variant>
        <vt:i4>5</vt:i4>
      </vt:variant>
      <vt:variant>
        <vt:lpwstr>http://www.nevo.co.il/case/29787249</vt:lpwstr>
      </vt:variant>
      <vt:variant>
        <vt:lpwstr/>
      </vt:variant>
      <vt:variant>
        <vt:i4>3997817</vt:i4>
      </vt:variant>
      <vt:variant>
        <vt:i4>90</vt:i4>
      </vt:variant>
      <vt:variant>
        <vt:i4>0</vt:i4>
      </vt:variant>
      <vt:variant>
        <vt:i4>5</vt:i4>
      </vt:variant>
      <vt:variant>
        <vt:lpwstr>http://www.nevo.co.il/case/28927710</vt:lpwstr>
      </vt:variant>
      <vt:variant>
        <vt:lpwstr/>
      </vt:variant>
      <vt:variant>
        <vt:i4>3604592</vt:i4>
      </vt:variant>
      <vt:variant>
        <vt:i4>87</vt:i4>
      </vt:variant>
      <vt:variant>
        <vt:i4>0</vt:i4>
      </vt:variant>
      <vt:variant>
        <vt:i4>5</vt:i4>
      </vt:variant>
      <vt:variant>
        <vt:lpwstr>http://www.nevo.co.il/case/3571201</vt:lpwstr>
      </vt:variant>
      <vt:variant>
        <vt:lpwstr/>
      </vt:variant>
      <vt:variant>
        <vt:i4>3997820</vt:i4>
      </vt:variant>
      <vt:variant>
        <vt:i4>84</vt:i4>
      </vt:variant>
      <vt:variant>
        <vt:i4>0</vt:i4>
      </vt:variant>
      <vt:variant>
        <vt:i4>5</vt:i4>
      </vt:variant>
      <vt:variant>
        <vt:lpwstr>http://www.nevo.co.il/case/18099950</vt:lpwstr>
      </vt:variant>
      <vt:variant>
        <vt:lpwstr/>
      </vt:variant>
      <vt:variant>
        <vt:i4>3670134</vt:i4>
      </vt:variant>
      <vt:variant>
        <vt:i4>81</vt:i4>
      </vt:variant>
      <vt:variant>
        <vt:i4>0</vt:i4>
      </vt:variant>
      <vt:variant>
        <vt:i4>5</vt:i4>
      </vt:variant>
      <vt:variant>
        <vt:lpwstr>http://www.nevo.co.il/case/33108126</vt:lpwstr>
      </vt:variant>
      <vt:variant>
        <vt:lpwstr/>
      </vt:variant>
      <vt:variant>
        <vt:i4>4128892</vt:i4>
      </vt:variant>
      <vt:variant>
        <vt:i4>78</vt:i4>
      </vt:variant>
      <vt:variant>
        <vt:i4>0</vt:i4>
      </vt:variant>
      <vt:variant>
        <vt:i4>5</vt:i4>
      </vt:variant>
      <vt:variant>
        <vt:lpwstr>http://www.nevo.co.il/case/25940943</vt:lpwstr>
      </vt:variant>
      <vt:variant>
        <vt:lpwstr/>
      </vt:variant>
      <vt:variant>
        <vt:i4>3407987</vt:i4>
      </vt:variant>
      <vt:variant>
        <vt:i4>75</vt:i4>
      </vt:variant>
      <vt:variant>
        <vt:i4>0</vt:i4>
      </vt:variant>
      <vt:variant>
        <vt:i4>5</vt:i4>
      </vt:variant>
      <vt:variant>
        <vt:lpwstr>http://www.nevo.co.il/case/22006503</vt:lpwstr>
      </vt:variant>
      <vt:variant>
        <vt:lpwstr/>
      </vt:variant>
      <vt:variant>
        <vt:i4>3539065</vt:i4>
      </vt:variant>
      <vt:variant>
        <vt:i4>72</vt:i4>
      </vt:variant>
      <vt:variant>
        <vt:i4>0</vt:i4>
      </vt:variant>
      <vt:variant>
        <vt:i4>5</vt:i4>
      </vt:variant>
      <vt:variant>
        <vt:lpwstr>http://www.nevo.co.il/case/13093744</vt:lpwstr>
      </vt:variant>
      <vt:variant>
        <vt:lpwstr/>
      </vt:variant>
      <vt:variant>
        <vt:i4>3539061</vt:i4>
      </vt:variant>
      <vt:variant>
        <vt:i4>69</vt:i4>
      </vt:variant>
      <vt:variant>
        <vt:i4>0</vt:i4>
      </vt:variant>
      <vt:variant>
        <vt:i4>5</vt:i4>
      </vt:variant>
      <vt:variant>
        <vt:lpwstr>http://www.nevo.co.il/case/28513828</vt:lpwstr>
      </vt:variant>
      <vt:variant>
        <vt:lpwstr/>
      </vt:variant>
      <vt:variant>
        <vt:i4>7995492</vt:i4>
      </vt:variant>
      <vt:variant>
        <vt:i4>66</vt:i4>
      </vt:variant>
      <vt:variant>
        <vt:i4>0</vt:i4>
      </vt:variant>
      <vt:variant>
        <vt:i4>5</vt:i4>
      </vt:variant>
      <vt:variant>
        <vt:lpwstr>http://www.nevo.co.il/law/70301</vt:lpwstr>
      </vt:variant>
      <vt:variant>
        <vt:lpwstr/>
      </vt:variant>
      <vt:variant>
        <vt:i4>3145841</vt:i4>
      </vt:variant>
      <vt:variant>
        <vt:i4>63</vt:i4>
      </vt:variant>
      <vt:variant>
        <vt:i4>0</vt:i4>
      </vt:variant>
      <vt:variant>
        <vt:i4>5</vt:i4>
      </vt:variant>
      <vt:variant>
        <vt:lpwstr>http://www.nevo.co.il/case/6151556</vt:lpwstr>
      </vt:variant>
      <vt:variant>
        <vt:lpwstr/>
      </vt:variant>
      <vt:variant>
        <vt:i4>3211378</vt:i4>
      </vt:variant>
      <vt:variant>
        <vt:i4>60</vt:i4>
      </vt:variant>
      <vt:variant>
        <vt:i4>0</vt:i4>
      </vt:variant>
      <vt:variant>
        <vt:i4>5</vt:i4>
      </vt:variant>
      <vt:variant>
        <vt:lpwstr>http://www.nevo.co.il/case/6124633</vt:lpwstr>
      </vt:variant>
      <vt:variant>
        <vt:lpwstr/>
      </vt:variant>
      <vt:variant>
        <vt:i4>6619233</vt:i4>
      </vt:variant>
      <vt:variant>
        <vt:i4>57</vt:i4>
      </vt:variant>
      <vt:variant>
        <vt:i4>0</vt:i4>
      </vt:variant>
      <vt:variant>
        <vt:i4>5</vt:i4>
      </vt:variant>
      <vt:variant>
        <vt:lpwstr>http://www.nevo.co.il/law/70301/40e</vt:lpwstr>
      </vt:variant>
      <vt:variant>
        <vt:lpwstr/>
      </vt:variant>
      <vt:variant>
        <vt:i4>6619233</vt:i4>
      </vt:variant>
      <vt:variant>
        <vt:i4>54</vt:i4>
      </vt:variant>
      <vt:variant>
        <vt:i4>0</vt:i4>
      </vt:variant>
      <vt:variant>
        <vt:i4>5</vt:i4>
      </vt:variant>
      <vt:variant>
        <vt:lpwstr>http://www.nevo.co.il/law/70301/40d</vt:lpwstr>
      </vt:variant>
      <vt:variant>
        <vt:lpwstr/>
      </vt:variant>
      <vt:variant>
        <vt:i4>262155</vt:i4>
      </vt:variant>
      <vt:variant>
        <vt:i4>51</vt:i4>
      </vt:variant>
      <vt:variant>
        <vt:i4>0</vt:i4>
      </vt:variant>
      <vt:variant>
        <vt:i4>5</vt:i4>
      </vt:variant>
      <vt:variant>
        <vt:lpwstr>http://www.nevo.co.il/law/70301/40ja</vt:lpwstr>
      </vt:variant>
      <vt:variant>
        <vt:lpwstr/>
      </vt:variant>
      <vt:variant>
        <vt:i4>7995492</vt:i4>
      </vt:variant>
      <vt:variant>
        <vt:i4>48</vt:i4>
      </vt:variant>
      <vt:variant>
        <vt:i4>0</vt:i4>
      </vt:variant>
      <vt:variant>
        <vt:i4>5</vt:i4>
      </vt:variant>
      <vt:variant>
        <vt:lpwstr>http://www.nevo.co.il/law/70301</vt:lpwstr>
      </vt:variant>
      <vt:variant>
        <vt:lpwstr/>
      </vt:variant>
      <vt:variant>
        <vt:i4>6619233</vt:i4>
      </vt:variant>
      <vt:variant>
        <vt:i4>45</vt:i4>
      </vt:variant>
      <vt:variant>
        <vt:i4>0</vt:i4>
      </vt:variant>
      <vt:variant>
        <vt:i4>5</vt:i4>
      </vt:variant>
      <vt:variant>
        <vt:lpwstr>http://www.nevo.co.il/law/70301/40i</vt:lpwstr>
      </vt:variant>
      <vt:variant>
        <vt:lpwstr/>
      </vt:variant>
      <vt:variant>
        <vt:i4>7995492</vt:i4>
      </vt:variant>
      <vt:variant>
        <vt:i4>42</vt:i4>
      </vt:variant>
      <vt:variant>
        <vt:i4>0</vt:i4>
      </vt:variant>
      <vt:variant>
        <vt:i4>5</vt:i4>
      </vt:variant>
      <vt:variant>
        <vt:lpwstr>http://www.nevo.co.il/law/70301</vt:lpwstr>
      </vt:variant>
      <vt:variant>
        <vt:lpwstr/>
      </vt:variant>
      <vt:variant>
        <vt:i4>8257637</vt:i4>
      </vt:variant>
      <vt:variant>
        <vt:i4>39</vt:i4>
      </vt:variant>
      <vt:variant>
        <vt:i4>0</vt:i4>
      </vt:variant>
      <vt:variant>
        <vt:i4>5</vt:i4>
      </vt:variant>
      <vt:variant>
        <vt:lpwstr>http://www.nevo.co.il/law/4216</vt:lpwstr>
      </vt:variant>
      <vt:variant>
        <vt:lpwstr/>
      </vt:variant>
      <vt:variant>
        <vt:i4>3997821</vt:i4>
      </vt:variant>
      <vt:variant>
        <vt:i4>36</vt:i4>
      </vt:variant>
      <vt:variant>
        <vt:i4>0</vt:i4>
      </vt:variant>
      <vt:variant>
        <vt:i4>5</vt:i4>
      </vt:variant>
      <vt:variant>
        <vt:lpwstr>http://www.nevo.co.il/law/4216/7.a.;7.c</vt:lpwstr>
      </vt:variant>
      <vt:variant>
        <vt:lpwstr/>
      </vt:variant>
      <vt:variant>
        <vt:i4>7995492</vt:i4>
      </vt:variant>
      <vt:variant>
        <vt:i4>33</vt:i4>
      </vt:variant>
      <vt:variant>
        <vt:i4>0</vt:i4>
      </vt:variant>
      <vt:variant>
        <vt:i4>5</vt:i4>
      </vt:variant>
      <vt:variant>
        <vt:lpwstr>http://www.nevo.co.il/law/70301</vt:lpwstr>
      </vt:variant>
      <vt:variant>
        <vt:lpwstr/>
      </vt:variant>
      <vt:variant>
        <vt:i4>5177424</vt:i4>
      </vt:variant>
      <vt:variant>
        <vt:i4>30</vt:i4>
      </vt:variant>
      <vt:variant>
        <vt:i4>0</vt:i4>
      </vt:variant>
      <vt:variant>
        <vt:i4>5</vt:i4>
      </vt:variant>
      <vt:variant>
        <vt:lpwstr>http://www.nevo.co.il/law/70301/144.b</vt:lpwstr>
      </vt:variant>
      <vt:variant>
        <vt:lpwstr/>
      </vt:variant>
      <vt:variant>
        <vt:i4>8323175</vt:i4>
      </vt:variant>
      <vt:variant>
        <vt:i4>27</vt:i4>
      </vt:variant>
      <vt:variant>
        <vt:i4>0</vt:i4>
      </vt:variant>
      <vt:variant>
        <vt:i4>5</vt:i4>
      </vt:variant>
      <vt:variant>
        <vt:lpwstr>http://www.nevo.co.il/law/5227</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8257637</vt:i4>
      </vt:variant>
      <vt:variant>
        <vt:i4>18</vt:i4>
      </vt:variant>
      <vt:variant>
        <vt:i4>0</vt:i4>
      </vt:variant>
      <vt:variant>
        <vt:i4>5</vt:i4>
      </vt:variant>
      <vt:variant>
        <vt:lpwstr>http://www.nevo.co.il/law/4216</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6619233</vt:i4>
      </vt:variant>
      <vt:variant>
        <vt:i4>9</vt:i4>
      </vt:variant>
      <vt:variant>
        <vt:i4>0</vt:i4>
      </vt:variant>
      <vt:variant>
        <vt:i4>5</vt:i4>
      </vt:variant>
      <vt:variant>
        <vt:lpwstr>http://www.nevo.co.il/law/70301/40i</vt:lpwstr>
      </vt:variant>
      <vt:variant>
        <vt:lpwstr/>
      </vt:variant>
      <vt:variant>
        <vt:i4>6619233</vt:i4>
      </vt:variant>
      <vt:variant>
        <vt:i4>6</vt:i4>
      </vt:variant>
      <vt:variant>
        <vt:i4>0</vt:i4>
      </vt:variant>
      <vt:variant>
        <vt:i4>5</vt:i4>
      </vt:variant>
      <vt:variant>
        <vt:lpwstr>http://www.nevo.co.il/law/70301/40e</vt:lpwstr>
      </vt:variant>
      <vt:variant>
        <vt:lpwstr/>
      </vt:variant>
      <vt:variant>
        <vt:i4>6619233</vt:i4>
      </vt:variant>
      <vt:variant>
        <vt:i4>3</vt:i4>
      </vt:variant>
      <vt:variant>
        <vt:i4>0</vt:i4>
      </vt:variant>
      <vt:variant>
        <vt:i4>5</vt:i4>
      </vt:variant>
      <vt:variant>
        <vt:lpwstr>http://www.nevo.co.il/law/70301/40d</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2025-04-23T01:46:00Z</dcterms:created>
  <dcterms:modified xsi:type="dcterms:W3CDTF">2025-04-23T01:46:00Z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6793</vt:lpwstr>
  </property>
  <property fmtid="{D5CDD505-2E9C-101B-9397-08002B2CF9AE}" pid="6" name="NEWPARTB">
    <vt:lpwstr>04</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אחמד מחאג'נה</vt:lpwstr>
  </property>
  <property fmtid="{D5CDD505-2E9C-101B-9397-08002B2CF9AE}" pid="10" name="LAWYER">
    <vt:lpwstr>לינוי ברזני;עאדל בויראת</vt:lpwstr>
  </property>
  <property fmtid="{D5CDD505-2E9C-101B-9397-08002B2CF9AE}" pid="11" name="JUDGE">
    <vt:lpwstr>אלכס אחטר</vt:lpwstr>
  </property>
  <property fmtid="{D5CDD505-2E9C-101B-9397-08002B2CF9AE}" pid="12" name="CITY">
    <vt:lpwstr>חד'</vt:lpwstr>
  </property>
  <property fmtid="{D5CDD505-2E9C-101B-9397-08002B2CF9AE}" pid="13" name="DATE">
    <vt:lpwstr>20250317</vt:lpwstr>
  </property>
  <property fmtid="{D5CDD505-2E9C-101B-9397-08002B2CF9AE}" pid="14" name="TYPE_N_DATE">
    <vt:lpwstr>38020250317</vt:lpwstr>
  </property>
  <property fmtid="{D5CDD505-2E9C-101B-9397-08002B2CF9AE}" pid="15" name="CASESLISTTMP1">
    <vt:lpwstr>6124633;6151556;28513828;13093744;22006503;25940943;33108126;18099950;3571201;28927710;29787249;6824952;25383015;23785604;24323669;5764903;17914714;17941073;5880417;21664036;29521497</vt:lpwstr>
  </property>
  <property fmtid="{D5CDD505-2E9C-101B-9397-08002B2CF9AE}" pid="16" name="WORDNUMPAGES">
    <vt:lpwstr>11</vt:lpwstr>
  </property>
  <property fmtid="{D5CDD505-2E9C-101B-9397-08002B2CF9AE}" pid="17" name="TYPE_ABS_DATE">
    <vt:lpwstr>380020250317</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70301/144.b;040i;40ja;040d:2;040e</vt:lpwstr>
  </property>
  <property fmtid="{D5CDD505-2E9C-101B-9397-08002B2CF9AE}" pid="36" name="LAWLISTTMP2">
    <vt:lpwstr>4216/007.a;007.c</vt:lpwstr>
  </property>
  <property fmtid="{D5CDD505-2E9C-101B-9397-08002B2CF9AE}" pid="37" name="LAWLISTTMP3">
    <vt:lpwstr>5227</vt:lpwstr>
  </property>
  <property fmtid="{D5CDD505-2E9C-101B-9397-08002B2CF9AE}" pid="38" name="ISABSTRACT">
    <vt:lpwstr>Y</vt:lpwstr>
  </property>
</Properties>
</file>