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22239" w:rsidRPr="00877ABA" w14:paraId="3A1205B4" w14:textId="77777777" w:rsidTr="00A81126">
        <w:trPr>
          <w:trHeight w:hRule="exact" w:val="418"/>
          <w:jc w:val="center"/>
        </w:trPr>
        <w:tc>
          <w:tcPr>
            <w:tcW w:w="8721" w:type="dxa"/>
            <w:gridSpan w:val="2"/>
          </w:tcPr>
          <w:p w14:paraId="0133C4D0" w14:textId="77777777" w:rsidR="00722239" w:rsidRPr="00877ABA" w:rsidRDefault="00722239" w:rsidP="00FB6597">
            <w:pPr>
              <w:pStyle w:val="a3"/>
              <w:jc w:val="center"/>
              <w:rPr>
                <w:rFonts w:ascii="Tahoma" w:hAnsi="Tahoma" w:cs="Tahoma"/>
                <w:color w:val="000080"/>
                <w:rtl/>
              </w:rPr>
            </w:pPr>
            <w:bookmarkStart w:id="0" w:name="LastJudge"/>
            <w:r w:rsidRPr="00877ABA">
              <w:rPr>
                <w:rFonts w:ascii="Tahoma" w:hAnsi="Tahoma" w:cs="Tahoma"/>
                <w:b/>
                <w:bCs/>
                <w:color w:val="000080"/>
                <w:rtl/>
              </w:rPr>
              <w:t>בית משפט השלום בירושלים</w:t>
            </w:r>
          </w:p>
        </w:tc>
      </w:tr>
      <w:tr w:rsidR="00722239" w:rsidRPr="00877ABA" w14:paraId="713E6986" w14:textId="77777777" w:rsidTr="00A81126">
        <w:trPr>
          <w:trHeight w:val="337"/>
          <w:jc w:val="center"/>
        </w:trPr>
        <w:tc>
          <w:tcPr>
            <w:tcW w:w="5054" w:type="dxa"/>
          </w:tcPr>
          <w:p w14:paraId="60718F53" w14:textId="77777777" w:rsidR="00722239" w:rsidRPr="00877ABA" w:rsidRDefault="00722239" w:rsidP="00FB6597">
            <w:pPr>
              <w:rPr>
                <w:rFonts w:ascii="David" w:hAnsi="David"/>
                <w:b/>
                <w:bCs/>
                <w:sz w:val="26"/>
                <w:szCs w:val="26"/>
                <w:rtl/>
              </w:rPr>
            </w:pPr>
            <w:r w:rsidRPr="00877ABA">
              <w:rPr>
                <w:rFonts w:ascii="David" w:hAnsi="David"/>
                <w:b/>
                <w:bCs/>
                <w:sz w:val="26"/>
                <w:szCs w:val="26"/>
                <w:rtl/>
              </w:rPr>
              <w:t>ת"פ 9373-04-23 מדינת ישראל נ' ביטון</w:t>
            </w:r>
            <w:r w:rsidRPr="00877ABA">
              <w:rPr>
                <w:rFonts w:ascii="David" w:hAnsi="David"/>
                <w:b/>
                <w:bCs/>
                <w:sz w:val="26"/>
                <w:szCs w:val="26"/>
                <w:rtl/>
              </w:rPr>
              <w:br/>
            </w:r>
            <w:r w:rsidRPr="00877ABA">
              <w:rPr>
                <w:rFonts w:ascii="David" w:hAnsi="David" w:hint="cs"/>
                <w:b/>
                <w:bCs/>
                <w:sz w:val="26"/>
                <w:szCs w:val="26"/>
                <w:rtl/>
              </w:rPr>
              <w:t>ת"פ 22506-10-22</w:t>
            </w:r>
          </w:p>
          <w:p w14:paraId="7F944CA6" w14:textId="77777777" w:rsidR="00722239" w:rsidRPr="00877ABA" w:rsidRDefault="00722239" w:rsidP="00FB6597">
            <w:pPr>
              <w:pStyle w:val="a3"/>
              <w:rPr>
                <w:rFonts w:cs="FrankRuehl"/>
                <w:sz w:val="28"/>
                <w:szCs w:val="28"/>
                <w:rtl/>
              </w:rPr>
            </w:pPr>
          </w:p>
        </w:tc>
        <w:tc>
          <w:tcPr>
            <w:tcW w:w="3667" w:type="dxa"/>
          </w:tcPr>
          <w:p w14:paraId="774D72EA" w14:textId="77777777" w:rsidR="00722239" w:rsidRPr="00877ABA" w:rsidRDefault="00722239" w:rsidP="00FB6597">
            <w:pPr>
              <w:pStyle w:val="a3"/>
              <w:jc w:val="right"/>
              <w:rPr>
                <w:rFonts w:cs="FrankRuehl"/>
                <w:sz w:val="28"/>
                <w:szCs w:val="28"/>
                <w:rtl/>
              </w:rPr>
            </w:pPr>
          </w:p>
        </w:tc>
      </w:tr>
    </w:tbl>
    <w:p w14:paraId="026336E4" w14:textId="77777777" w:rsidR="00722239" w:rsidRPr="00877ABA" w:rsidRDefault="00722239" w:rsidP="00A81126">
      <w:pPr>
        <w:pStyle w:val="a3"/>
        <w:rPr>
          <w:rtl/>
        </w:rPr>
      </w:pPr>
      <w:r w:rsidRPr="00877AB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22239" w:rsidRPr="00877ABA" w14:paraId="206DE2C7" w14:textId="77777777" w:rsidTr="00722239">
        <w:trPr>
          <w:trHeight w:val="295"/>
          <w:jc w:val="center"/>
        </w:trPr>
        <w:tc>
          <w:tcPr>
            <w:tcW w:w="923" w:type="dxa"/>
            <w:tcBorders>
              <w:top w:val="nil"/>
              <w:left w:val="nil"/>
              <w:bottom w:val="nil"/>
              <w:right w:val="nil"/>
            </w:tcBorders>
            <w:shd w:val="clear" w:color="auto" w:fill="auto"/>
          </w:tcPr>
          <w:p w14:paraId="333D6A06" w14:textId="77777777" w:rsidR="00722239" w:rsidRPr="00877ABA" w:rsidRDefault="00722239" w:rsidP="00722239">
            <w:pPr>
              <w:jc w:val="both"/>
              <w:rPr>
                <w:rFonts w:ascii="David" w:hAnsi="David"/>
                <w:b/>
                <w:bCs/>
                <w:sz w:val="26"/>
                <w:szCs w:val="26"/>
              </w:rPr>
            </w:pPr>
            <w:r w:rsidRPr="00877ABA">
              <w:rPr>
                <w:rFonts w:ascii="David" w:hAnsi="David" w:hint="cs"/>
                <w:b/>
                <w:bCs/>
                <w:sz w:val="26"/>
                <w:szCs w:val="26"/>
                <w:rtl/>
              </w:rPr>
              <w:t>ל</w:t>
            </w:r>
            <w:r w:rsidRPr="00877ABA">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56192D91" w14:textId="77777777" w:rsidR="00722239" w:rsidRPr="00877ABA" w:rsidRDefault="00722239" w:rsidP="00FB6597">
            <w:pPr>
              <w:rPr>
                <w:rFonts w:ascii="David" w:hAnsi="David"/>
                <w:b/>
                <w:bCs/>
                <w:sz w:val="26"/>
                <w:szCs w:val="26"/>
                <w:rtl/>
              </w:rPr>
            </w:pPr>
            <w:r w:rsidRPr="00877ABA">
              <w:rPr>
                <w:rFonts w:ascii="David" w:hAnsi="David"/>
                <w:b/>
                <w:bCs/>
                <w:sz w:val="26"/>
                <w:szCs w:val="26"/>
                <w:rtl/>
              </w:rPr>
              <w:t>כבוד השופט  דוד שאול גבאי ריכטר</w:t>
            </w:r>
          </w:p>
          <w:p w14:paraId="1EF5E5CD" w14:textId="77777777" w:rsidR="00722239" w:rsidRPr="00877ABA" w:rsidRDefault="00722239" w:rsidP="00FB6597">
            <w:pPr>
              <w:rPr>
                <w:rFonts w:ascii="David" w:hAnsi="David"/>
                <w:b/>
                <w:bCs/>
                <w:sz w:val="26"/>
                <w:szCs w:val="26"/>
                <w:rtl/>
              </w:rPr>
            </w:pPr>
          </w:p>
          <w:p w14:paraId="5A7D9FF2" w14:textId="77777777" w:rsidR="00722239" w:rsidRPr="00877ABA" w:rsidRDefault="00722239" w:rsidP="00722239">
            <w:pPr>
              <w:jc w:val="both"/>
              <w:rPr>
                <w:rFonts w:ascii="David" w:hAnsi="David"/>
                <w:b/>
                <w:bCs/>
                <w:sz w:val="26"/>
                <w:szCs w:val="26"/>
              </w:rPr>
            </w:pPr>
          </w:p>
        </w:tc>
      </w:tr>
      <w:tr w:rsidR="00722239" w:rsidRPr="00877ABA" w14:paraId="14BF9E82" w14:textId="77777777" w:rsidTr="00722239">
        <w:trPr>
          <w:trHeight w:val="355"/>
          <w:jc w:val="center"/>
        </w:trPr>
        <w:tc>
          <w:tcPr>
            <w:tcW w:w="923" w:type="dxa"/>
            <w:tcBorders>
              <w:top w:val="nil"/>
              <w:left w:val="nil"/>
              <w:bottom w:val="nil"/>
              <w:right w:val="nil"/>
            </w:tcBorders>
            <w:shd w:val="clear" w:color="auto" w:fill="auto"/>
          </w:tcPr>
          <w:p w14:paraId="32A1BA4B" w14:textId="77777777" w:rsidR="00722239" w:rsidRPr="00877ABA" w:rsidRDefault="00722239" w:rsidP="00722239">
            <w:pPr>
              <w:jc w:val="both"/>
              <w:rPr>
                <w:rFonts w:ascii="David" w:hAnsi="David"/>
                <w:b/>
                <w:bCs/>
                <w:sz w:val="26"/>
                <w:szCs w:val="26"/>
              </w:rPr>
            </w:pPr>
            <w:bookmarkStart w:id="1" w:name="FirstAppellant"/>
            <w:bookmarkStart w:id="2" w:name="FirstLawyer"/>
            <w:r w:rsidRPr="00877ABA">
              <w:rPr>
                <w:rFonts w:ascii="David" w:hAnsi="David"/>
                <w:b/>
                <w:bCs/>
                <w:sz w:val="26"/>
                <w:szCs w:val="26"/>
                <w:rtl/>
              </w:rPr>
              <w:t>בעניין:</w:t>
            </w:r>
          </w:p>
        </w:tc>
        <w:tc>
          <w:tcPr>
            <w:tcW w:w="3219" w:type="dxa"/>
            <w:tcBorders>
              <w:top w:val="nil"/>
              <w:left w:val="nil"/>
              <w:bottom w:val="nil"/>
              <w:right w:val="nil"/>
            </w:tcBorders>
            <w:shd w:val="clear" w:color="auto" w:fill="auto"/>
          </w:tcPr>
          <w:p w14:paraId="0174AC76" w14:textId="77777777" w:rsidR="00722239" w:rsidRPr="00877ABA" w:rsidRDefault="00722239" w:rsidP="00722239">
            <w:pPr>
              <w:suppressLineNumbers/>
              <w:rPr>
                <w:b/>
                <w:bCs/>
                <w:sz w:val="26"/>
                <w:szCs w:val="26"/>
              </w:rPr>
            </w:pPr>
            <w:r w:rsidRPr="00877ABA">
              <w:rPr>
                <w:rFonts w:ascii="Arial" w:hAnsi="Arial" w:hint="cs"/>
                <w:b/>
                <w:bCs/>
                <w:sz w:val="26"/>
                <w:szCs w:val="26"/>
                <w:rtl/>
              </w:rPr>
              <w:t>ה</w:t>
            </w:r>
            <w:r w:rsidRPr="00877ABA">
              <w:rPr>
                <w:rFonts w:ascii="Arial" w:hAnsi="Arial"/>
                <w:b/>
                <w:bCs/>
                <w:sz w:val="26"/>
                <w:szCs w:val="26"/>
                <w:rtl/>
              </w:rPr>
              <w:t>מאשימה</w:t>
            </w:r>
          </w:p>
          <w:p w14:paraId="7408DCD7" w14:textId="77777777" w:rsidR="00722239" w:rsidRPr="00877ABA" w:rsidRDefault="00722239" w:rsidP="00FB6597">
            <w:pPr>
              <w:rPr>
                <w:rFonts w:ascii="David" w:hAnsi="David"/>
                <w:b/>
                <w:bCs/>
                <w:sz w:val="26"/>
                <w:szCs w:val="26"/>
              </w:rPr>
            </w:pPr>
          </w:p>
        </w:tc>
        <w:tc>
          <w:tcPr>
            <w:tcW w:w="4678" w:type="dxa"/>
            <w:tcBorders>
              <w:top w:val="nil"/>
              <w:left w:val="nil"/>
              <w:bottom w:val="nil"/>
              <w:right w:val="nil"/>
            </w:tcBorders>
            <w:shd w:val="clear" w:color="auto" w:fill="auto"/>
            <w:vAlign w:val="center"/>
          </w:tcPr>
          <w:p w14:paraId="130D2A3B" w14:textId="77777777" w:rsidR="00722239" w:rsidRPr="00877ABA" w:rsidRDefault="00722239" w:rsidP="00722239">
            <w:pPr>
              <w:suppressLineNumbers/>
              <w:rPr>
                <w:rFonts w:ascii="Arial" w:hAnsi="Arial"/>
                <w:b/>
                <w:bCs/>
                <w:sz w:val="26"/>
                <w:szCs w:val="26"/>
                <w:rtl/>
              </w:rPr>
            </w:pPr>
            <w:r w:rsidRPr="00877ABA">
              <w:rPr>
                <w:rFonts w:ascii="Arial" w:hAnsi="Arial"/>
                <w:b/>
                <w:bCs/>
                <w:sz w:val="26"/>
                <w:szCs w:val="26"/>
                <w:rtl/>
              </w:rPr>
              <w:t>מדינת ישראל</w:t>
            </w:r>
            <w:r w:rsidRPr="00877ABA">
              <w:rPr>
                <w:rFonts w:ascii="Arial" w:hAnsi="Arial" w:hint="cs"/>
                <w:b/>
                <w:bCs/>
                <w:sz w:val="26"/>
                <w:szCs w:val="26"/>
                <w:rtl/>
              </w:rPr>
              <w:t xml:space="preserve"> </w:t>
            </w:r>
          </w:p>
          <w:p w14:paraId="7B19DDB1" w14:textId="77777777" w:rsidR="00722239" w:rsidRPr="00877ABA" w:rsidRDefault="00722239" w:rsidP="00722239">
            <w:pPr>
              <w:suppressLineNumbers/>
              <w:rPr>
                <w:rFonts w:ascii="Arial" w:hAnsi="Arial"/>
                <w:b/>
                <w:bCs/>
                <w:sz w:val="26"/>
                <w:szCs w:val="26"/>
                <w:rtl/>
              </w:rPr>
            </w:pPr>
            <w:r w:rsidRPr="00877ABA">
              <w:rPr>
                <w:rFonts w:ascii="Arial" w:hAnsi="Arial"/>
                <w:b/>
                <w:bCs/>
                <w:sz w:val="26"/>
                <w:szCs w:val="26"/>
                <w:rtl/>
              </w:rPr>
              <w:t xml:space="preserve">ע"י ב"כ </w:t>
            </w:r>
            <w:r w:rsidRPr="00877ABA">
              <w:rPr>
                <w:rFonts w:ascii="Arial" w:hAnsi="Arial" w:hint="cs"/>
                <w:b/>
                <w:bCs/>
                <w:sz w:val="26"/>
                <w:szCs w:val="26"/>
                <w:rtl/>
              </w:rPr>
              <w:t xml:space="preserve">רפ"ק פיני ספיר, מתמחה </w:t>
            </w:r>
          </w:p>
          <w:p w14:paraId="2A5ABB59" w14:textId="77777777" w:rsidR="00722239" w:rsidRPr="00877ABA" w:rsidRDefault="00722239" w:rsidP="00722239">
            <w:pPr>
              <w:suppressLineNumbers/>
              <w:rPr>
                <w:rFonts w:ascii="Arial" w:hAnsi="Arial"/>
                <w:b/>
                <w:bCs/>
                <w:sz w:val="26"/>
                <w:szCs w:val="26"/>
                <w:rtl/>
              </w:rPr>
            </w:pPr>
            <w:r w:rsidRPr="00877ABA">
              <w:rPr>
                <w:rFonts w:ascii="Arial" w:hAnsi="Arial" w:hint="cs"/>
                <w:b/>
                <w:bCs/>
                <w:sz w:val="26"/>
                <w:szCs w:val="26"/>
                <w:rtl/>
              </w:rPr>
              <w:t>וגב' איה הלסי, מתמחה</w:t>
            </w:r>
          </w:p>
          <w:p w14:paraId="75D21C78" w14:textId="77777777" w:rsidR="00722239" w:rsidRPr="00877ABA" w:rsidRDefault="00722239" w:rsidP="00722239">
            <w:pPr>
              <w:suppressLineNumbers/>
              <w:rPr>
                <w:b/>
                <w:bCs/>
                <w:sz w:val="26"/>
                <w:szCs w:val="26"/>
              </w:rPr>
            </w:pPr>
            <w:r w:rsidRPr="00877ABA">
              <w:rPr>
                <w:rFonts w:hint="cs"/>
                <w:b/>
                <w:bCs/>
                <w:sz w:val="26"/>
                <w:szCs w:val="26"/>
                <w:rtl/>
              </w:rPr>
              <w:t>מטעם תביעות ירושלים</w:t>
            </w:r>
          </w:p>
          <w:p w14:paraId="189B3151" w14:textId="77777777" w:rsidR="00722239" w:rsidRPr="00877ABA" w:rsidRDefault="00722239" w:rsidP="00FB6597">
            <w:pPr>
              <w:rPr>
                <w:rFonts w:ascii="David" w:hAnsi="David"/>
                <w:b/>
                <w:bCs/>
                <w:sz w:val="26"/>
                <w:szCs w:val="26"/>
              </w:rPr>
            </w:pPr>
          </w:p>
        </w:tc>
      </w:tr>
      <w:bookmarkEnd w:id="1"/>
      <w:bookmarkEnd w:id="2"/>
      <w:tr w:rsidR="00722239" w:rsidRPr="00877ABA" w14:paraId="006384AD" w14:textId="77777777" w:rsidTr="00722239">
        <w:trPr>
          <w:trHeight w:val="355"/>
          <w:jc w:val="center"/>
        </w:trPr>
        <w:tc>
          <w:tcPr>
            <w:tcW w:w="923" w:type="dxa"/>
            <w:tcBorders>
              <w:top w:val="nil"/>
              <w:left w:val="nil"/>
              <w:bottom w:val="nil"/>
              <w:right w:val="nil"/>
            </w:tcBorders>
            <w:shd w:val="clear" w:color="auto" w:fill="auto"/>
          </w:tcPr>
          <w:p w14:paraId="1630AFE7" w14:textId="77777777" w:rsidR="00722239" w:rsidRPr="00877ABA" w:rsidRDefault="00722239" w:rsidP="00722239">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4D9001E" w14:textId="77777777" w:rsidR="00722239" w:rsidRPr="00877ABA" w:rsidRDefault="00722239" w:rsidP="00722239">
            <w:pPr>
              <w:jc w:val="center"/>
              <w:rPr>
                <w:rFonts w:ascii="David" w:hAnsi="David"/>
                <w:b/>
                <w:bCs/>
                <w:sz w:val="26"/>
                <w:szCs w:val="26"/>
                <w:rtl/>
              </w:rPr>
            </w:pPr>
          </w:p>
          <w:p w14:paraId="73E65883" w14:textId="77777777" w:rsidR="00722239" w:rsidRPr="00877ABA" w:rsidRDefault="00722239" w:rsidP="00722239">
            <w:pPr>
              <w:jc w:val="center"/>
              <w:rPr>
                <w:rFonts w:ascii="David" w:hAnsi="David"/>
                <w:b/>
                <w:bCs/>
                <w:sz w:val="26"/>
                <w:szCs w:val="26"/>
                <w:rtl/>
              </w:rPr>
            </w:pPr>
            <w:r w:rsidRPr="00877ABA">
              <w:rPr>
                <w:rFonts w:ascii="David" w:hAnsi="David"/>
                <w:b/>
                <w:bCs/>
                <w:sz w:val="26"/>
                <w:szCs w:val="26"/>
                <w:rtl/>
              </w:rPr>
              <w:t>נגד</w:t>
            </w:r>
          </w:p>
          <w:p w14:paraId="66DE7CB8" w14:textId="77777777" w:rsidR="00722239" w:rsidRPr="00877ABA" w:rsidRDefault="00722239" w:rsidP="00722239">
            <w:pPr>
              <w:jc w:val="both"/>
              <w:rPr>
                <w:rFonts w:ascii="David" w:hAnsi="David"/>
                <w:b/>
                <w:bCs/>
                <w:sz w:val="26"/>
                <w:szCs w:val="26"/>
              </w:rPr>
            </w:pPr>
          </w:p>
        </w:tc>
      </w:tr>
      <w:tr w:rsidR="00722239" w:rsidRPr="00877ABA" w14:paraId="20C9F9F5" w14:textId="77777777" w:rsidTr="00722239">
        <w:trPr>
          <w:trHeight w:val="355"/>
          <w:jc w:val="center"/>
        </w:trPr>
        <w:tc>
          <w:tcPr>
            <w:tcW w:w="923" w:type="dxa"/>
            <w:tcBorders>
              <w:top w:val="nil"/>
              <w:left w:val="nil"/>
              <w:bottom w:val="nil"/>
              <w:right w:val="nil"/>
            </w:tcBorders>
            <w:shd w:val="clear" w:color="auto" w:fill="auto"/>
          </w:tcPr>
          <w:p w14:paraId="04E58E8F" w14:textId="77777777" w:rsidR="00722239" w:rsidRPr="00877ABA" w:rsidRDefault="00722239" w:rsidP="00FB6597">
            <w:pPr>
              <w:rPr>
                <w:rFonts w:ascii="David" w:hAnsi="David"/>
                <w:b/>
                <w:bCs/>
                <w:sz w:val="26"/>
                <w:szCs w:val="26"/>
                <w:rtl/>
              </w:rPr>
            </w:pPr>
          </w:p>
        </w:tc>
        <w:tc>
          <w:tcPr>
            <w:tcW w:w="3219" w:type="dxa"/>
            <w:tcBorders>
              <w:top w:val="nil"/>
              <w:left w:val="nil"/>
              <w:bottom w:val="nil"/>
              <w:right w:val="nil"/>
            </w:tcBorders>
            <w:shd w:val="clear" w:color="auto" w:fill="auto"/>
          </w:tcPr>
          <w:p w14:paraId="759AAFC8" w14:textId="77777777" w:rsidR="00722239" w:rsidRPr="00877ABA" w:rsidRDefault="00722239" w:rsidP="00FB6597">
            <w:pPr>
              <w:rPr>
                <w:rFonts w:ascii="Arial" w:hAnsi="Arial"/>
                <w:b/>
                <w:bCs/>
                <w:sz w:val="26"/>
                <w:szCs w:val="26"/>
                <w:rtl/>
              </w:rPr>
            </w:pPr>
            <w:r w:rsidRPr="00877AB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A567DD5" w14:textId="77777777" w:rsidR="00722239" w:rsidRPr="00877ABA" w:rsidRDefault="00722239" w:rsidP="00722239">
            <w:pPr>
              <w:suppressLineNumbers/>
              <w:rPr>
                <w:rFonts w:ascii="Arial" w:hAnsi="Arial"/>
                <w:b/>
                <w:bCs/>
                <w:sz w:val="26"/>
                <w:szCs w:val="26"/>
                <w:rtl/>
              </w:rPr>
            </w:pPr>
            <w:r w:rsidRPr="00877ABA">
              <w:rPr>
                <w:rFonts w:ascii="Arial" w:hAnsi="Arial"/>
                <w:b/>
                <w:bCs/>
                <w:sz w:val="26"/>
                <w:szCs w:val="26"/>
                <w:rtl/>
              </w:rPr>
              <w:t>עדן ביטון (אחר/נוסף)</w:t>
            </w:r>
            <w:r w:rsidRPr="00877ABA">
              <w:rPr>
                <w:rFonts w:ascii="Arial" w:hAnsi="Arial" w:hint="cs"/>
                <w:b/>
                <w:bCs/>
                <w:sz w:val="26"/>
                <w:szCs w:val="26"/>
                <w:rtl/>
              </w:rPr>
              <w:t xml:space="preserve"> </w:t>
            </w:r>
          </w:p>
          <w:p w14:paraId="732636E8" w14:textId="77777777" w:rsidR="00722239" w:rsidRPr="00877ABA" w:rsidRDefault="00722239" w:rsidP="00722239">
            <w:pPr>
              <w:suppressLineNumbers/>
              <w:rPr>
                <w:rFonts w:ascii="Arial" w:hAnsi="Arial"/>
                <w:b/>
                <w:bCs/>
                <w:sz w:val="26"/>
                <w:szCs w:val="26"/>
                <w:rtl/>
              </w:rPr>
            </w:pPr>
            <w:r w:rsidRPr="00877ABA">
              <w:rPr>
                <w:rFonts w:ascii="Arial" w:hAnsi="Arial"/>
                <w:b/>
                <w:bCs/>
                <w:sz w:val="26"/>
                <w:szCs w:val="26"/>
                <w:rtl/>
              </w:rPr>
              <w:t>ע"י ב"כ עוה"ד</w:t>
            </w:r>
            <w:r w:rsidRPr="00877ABA">
              <w:rPr>
                <w:rFonts w:ascii="Arial" w:hAnsi="Arial" w:hint="cs"/>
                <w:b/>
                <w:bCs/>
                <w:sz w:val="26"/>
                <w:szCs w:val="26"/>
                <w:rtl/>
              </w:rPr>
              <w:t xml:space="preserve"> גבי טרונשווילי </w:t>
            </w:r>
          </w:p>
          <w:p w14:paraId="1C155D04" w14:textId="77777777" w:rsidR="00722239" w:rsidRPr="00877ABA" w:rsidRDefault="00722239" w:rsidP="00722239">
            <w:pPr>
              <w:suppressLineNumbers/>
              <w:rPr>
                <w:b/>
                <w:bCs/>
                <w:sz w:val="26"/>
                <w:szCs w:val="26"/>
              </w:rPr>
            </w:pPr>
            <w:r w:rsidRPr="00877ABA">
              <w:rPr>
                <w:rFonts w:hint="cs"/>
                <w:b/>
                <w:bCs/>
                <w:sz w:val="26"/>
                <w:szCs w:val="26"/>
                <w:rtl/>
              </w:rPr>
              <w:t>מטעם הסניגוריה הציבורית</w:t>
            </w:r>
          </w:p>
          <w:p w14:paraId="7A9E2A4E" w14:textId="77777777" w:rsidR="00722239" w:rsidRPr="00877ABA" w:rsidRDefault="00722239" w:rsidP="00FB6597">
            <w:pPr>
              <w:rPr>
                <w:rFonts w:ascii="David" w:hAnsi="David"/>
                <w:b/>
                <w:bCs/>
                <w:sz w:val="26"/>
                <w:szCs w:val="26"/>
              </w:rPr>
            </w:pPr>
          </w:p>
        </w:tc>
      </w:tr>
    </w:tbl>
    <w:p w14:paraId="7F86FD26" w14:textId="77777777" w:rsidR="00877ABA" w:rsidRPr="00877ABA" w:rsidRDefault="00877ABA" w:rsidP="00877ABA">
      <w:pPr>
        <w:spacing w:before="120" w:after="120" w:line="240" w:lineRule="exact"/>
        <w:ind w:left="283" w:hanging="283"/>
        <w:jc w:val="both"/>
        <w:rPr>
          <w:rFonts w:ascii="FrankRuehl" w:hAnsi="FrankRuehl" w:cs="FrankRuehl"/>
          <w:rtl/>
        </w:rPr>
      </w:pPr>
    </w:p>
    <w:p w14:paraId="78AA9024" w14:textId="77777777" w:rsidR="00877ABA" w:rsidRPr="00877ABA" w:rsidRDefault="00877ABA" w:rsidP="00877ABA">
      <w:pPr>
        <w:rPr>
          <w:sz w:val="26"/>
          <w:szCs w:val="26"/>
          <w:rtl/>
        </w:rPr>
      </w:pPr>
    </w:p>
    <w:p w14:paraId="4268A04D" w14:textId="77777777" w:rsidR="00A81126" w:rsidRPr="00A81126" w:rsidRDefault="00A81126" w:rsidP="00A81126">
      <w:pPr>
        <w:spacing w:before="120" w:after="120" w:line="240" w:lineRule="exact"/>
        <w:ind w:left="283" w:hanging="283"/>
        <w:jc w:val="both"/>
        <w:rPr>
          <w:rFonts w:ascii="FrankRuehl" w:hAnsi="FrankRuehl" w:cs="FrankRuehl"/>
          <w:rtl/>
        </w:rPr>
      </w:pPr>
    </w:p>
    <w:p w14:paraId="42DA811D" w14:textId="77777777" w:rsidR="006D120F" w:rsidRPr="006D120F" w:rsidRDefault="006D120F" w:rsidP="006D120F">
      <w:pPr>
        <w:spacing w:before="120" w:after="120" w:line="240" w:lineRule="exact"/>
        <w:ind w:left="283" w:hanging="283"/>
        <w:jc w:val="both"/>
        <w:rPr>
          <w:rFonts w:ascii="FrankRuehl" w:hAnsi="FrankRuehl" w:cs="FrankRuehl"/>
          <w:rtl/>
        </w:rPr>
      </w:pPr>
    </w:p>
    <w:p w14:paraId="539818E4" w14:textId="77777777" w:rsidR="007C13DA" w:rsidRDefault="007C13DA" w:rsidP="007C13DA">
      <w:pPr>
        <w:rPr>
          <w:sz w:val="26"/>
          <w:szCs w:val="26"/>
          <w:rtl/>
        </w:rPr>
      </w:pPr>
      <w:bookmarkStart w:id="3" w:name="LawTable"/>
      <w:bookmarkEnd w:id="3"/>
    </w:p>
    <w:p w14:paraId="0CFFB720" w14:textId="77777777" w:rsidR="007C13DA" w:rsidRPr="007C13DA" w:rsidRDefault="007C13DA" w:rsidP="007C13DA">
      <w:pPr>
        <w:spacing w:before="120" w:after="120" w:line="240" w:lineRule="exact"/>
        <w:ind w:left="283" w:hanging="283"/>
        <w:jc w:val="both"/>
        <w:rPr>
          <w:rFonts w:ascii="FrankRuehl" w:hAnsi="FrankRuehl" w:cs="FrankRuehl"/>
          <w:rtl/>
        </w:rPr>
      </w:pPr>
    </w:p>
    <w:p w14:paraId="4921075D" w14:textId="77777777" w:rsidR="007C13DA" w:rsidRPr="007C13DA" w:rsidRDefault="007C13DA" w:rsidP="007C13DA">
      <w:pPr>
        <w:spacing w:before="120" w:after="120" w:line="240" w:lineRule="exact"/>
        <w:ind w:left="283" w:hanging="283"/>
        <w:jc w:val="both"/>
        <w:rPr>
          <w:rFonts w:ascii="FrankRuehl" w:hAnsi="FrankRuehl" w:cs="FrankRuehl"/>
          <w:rtl/>
        </w:rPr>
      </w:pPr>
    </w:p>
    <w:p w14:paraId="1324523B" w14:textId="77777777" w:rsidR="007C13DA" w:rsidRPr="007C13DA" w:rsidRDefault="007C13DA" w:rsidP="007C13DA">
      <w:pPr>
        <w:spacing w:before="120" w:after="120" w:line="240" w:lineRule="exact"/>
        <w:ind w:left="283" w:hanging="283"/>
        <w:jc w:val="both"/>
        <w:rPr>
          <w:rFonts w:ascii="FrankRuehl" w:hAnsi="FrankRuehl" w:cs="FrankRuehl"/>
          <w:rtl/>
        </w:rPr>
      </w:pPr>
      <w:r w:rsidRPr="007C13DA">
        <w:rPr>
          <w:rFonts w:ascii="FrankRuehl" w:hAnsi="FrankRuehl" w:cs="FrankRuehl"/>
          <w:rtl/>
        </w:rPr>
        <w:t xml:space="preserve">חקיקה שאוזכרה: </w:t>
      </w:r>
    </w:p>
    <w:p w14:paraId="737353EF" w14:textId="77777777" w:rsidR="007C13DA" w:rsidRPr="007C13DA" w:rsidRDefault="007C13DA" w:rsidP="007C13DA">
      <w:pPr>
        <w:spacing w:before="120" w:after="120" w:line="240" w:lineRule="exact"/>
        <w:ind w:left="283" w:hanging="283"/>
        <w:jc w:val="both"/>
        <w:rPr>
          <w:rFonts w:ascii="FrankRuehl" w:hAnsi="FrankRuehl" w:cs="FrankRuehl"/>
          <w:rtl/>
        </w:rPr>
      </w:pPr>
      <w:hyperlink r:id="rId7" w:history="1">
        <w:r w:rsidRPr="007C13DA">
          <w:rPr>
            <w:rFonts w:ascii="FrankRuehl" w:hAnsi="FrankRuehl" w:cs="FrankRuehl"/>
            <w:color w:val="0000FF"/>
            <w:rtl/>
          </w:rPr>
          <w:t>פקודת הסמים המסוכנים [נוסח חדש], תשל"ג-1973</w:t>
        </w:r>
      </w:hyperlink>
      <w:r w:rsidRPr="007C13DA">
        <w:rPr>
          <w:rFonts w:ascii="FrankRuehl" w:hAnsi="FrankRuehl" w:cs="FrankRuehl"/>
          <w:rtl/>
        </w:rPr>
        <w:t xml:space="preserve">: סע'  </w:t>
      </w:r>
      <w:hyperlink r:id="rId8" w:history="1">
        <w:r w:rsidRPr="007C13DA">
          <w:rPr>
            <w:rFonts w:ascii="FrankRuehl" w:hAnsi="FrankRuehl" w:cs="FrankRuehl"/>
            <w:color w:val="0000FF"/>
            <w:rtl/>
          </w:rPr>
          <w:t>7.א.</w:t>
        </w:r>
      </w:hyperlink>
      <w:r w:rsidRPr="007C13DA">
        <w:rPr>
          <w:rFonts w:ascii="FrankRuehl" w:hAnsi="FrankRuehl" w:cs="FrankRuehl"/>
          <w:rtl/>
        </w:rPr>
        <w:t xml:space="preserve">, </w:t>
      </w:r>
      <w:hyperlink r:id="rId9" w:history="1">
        <w:r w:rsidRPr="007C13DA">
          <w:rPr>
            <w:rFonts w:ascii="FrankRuehl" w:hAnsi="FrankRuehl" w:cs="FrankRuehl"/>
            <w:color w:val="0000FF"/>
            <w:rtl/>
          </w:rPr>
          <w:t>7.ג</w:t>
        </w:r>
      </w:hyperlink>
      <w:r w:rsidRPr="007C13DA">
        <w:rPr>
          <w:rFonts w:ascii="FrankRuehl" w:hAnsi="FrankRuehl" w:cs="FrankRuehl"/>
          <w:rtl/>
        </w:rPr>
        <w:t xml:space="preserve">, </w:t>
      </w:r>
      <w:hyperlink r:id="rId10" w:history="1">
        <w:r w:rsidRPr="007C13DA">
          <w:rPr>
            <w:rFonts w:ascii="FrankRuehl" w:hAnsi="FrankRuehl" w:cs="FrankRuehl"/>
            <w:color w:val="0000FF"/>
            <w:rtl/>
          </w:rPr>
          <w:t>13</w:t>
        </w:r>
      </w:hyperlink>
      <w:r w:rsidRPr="007C13DA">
        <w:rPr>
          <w:rFonts w:ascii="FrankRuehl" w:hAnsi="FrankRuehl" w:cs="FrankRuehl"/>
          <w:rtl/>
        </w:rPr>
        <w:t xml:space="preserve">, </w:t>
      </w:r>
      <w:hyperlink r:id="rId11" w:history="1">
        <w:r w:rsidRPr="007C13DA">
          <w:rPr>
            <w:rFonts w:ascii="FrankRuehl" w:hAnsi="FrankRuehl" w:cs="FrankRuehl"/>
            <w:color w:val="0000FF"/>
            <w:rtl/>
          </w:rPr>
          <w:t>19א</w:t>
        </w:r>
      </w:hyperlink>
    </w:p>
    <w:p w14:paraId="2A67E200" w14:textId="77777777" w:rsidR="007C13DA" w:rsidRPr="007C13DA" w:rsidRDefault="007C13DA" w:rsidP="007C13DA">
      <w:pPr>
        <w:spacing w:before="120" w:after="120" w:line="240" w:lineRule="exact"/>
        <w:ind w:left="283" w:hanging="283"/>
        <w:jc w:val="both"/>
        <w:rPr>
          <w:rFonts w:ascii="FrankRuehl" w:hAnsi="FrankRuehl" w:cs="FrankRuehl"/>
          <w:rtl/>
        </w:rPr>
      </w:pPr>
      <w:hyperlink r:id="rId12" w:history="1">
        <w:r w:rsidRPr="007C13DA">
          <w:rPr>
            <w:rFonts w:ascii="FrankRuehl" w:hAnsi="FrankRuehl" w:cs="FrankRuehl"/>
            <w:color w:val="0000FF"/>
            <w:rtl/>
          </w:rPr>
          <w:t>חוק העונשין, תשל"ז-1977</w:t>
        </w:r>
      </w:hyperlink>
      <w:r w:rsidRPr="007C13DA">
        <w:rPr>
          <w:rFonts w:ascii="FrankRuehl" w:hAnsi="FrankRuehl" w:cs="FrankRuehl"/>
          <w:rtl/>
        </w:rPr>
        <w:t xml:space="preserve">: סע'  </w:t>
      </w:r>
      <w:hyperlink r:id="rId13" w:history="1">
        <w:r w:rsidRPr="007C13DA">
          <w:rPr>
            <w:rFonts w:ascii="FrankRuehl" w:hAnsi="FrankRuehl" w:cs="FrankRuehl"/>
            <w:color w:val="0000FF"/>
            <w:rtl/>
          </w:rPr>
          <w:t>25</w:t>
        </w:r>
      </w:hyperlink>
      <w:r w:rsidRPr="007C13DA">
        <w:rPr>
          <w:rFonts w:ascii="FrankRuehl" w:hAnsi="FrankRuehl" w:cs="FrankRuehl"/>
          <w:rtl/>
        </w:rPr>
        <w:t xml:space="preserve">, </w:t>
      </w:r>
      <w:hyperlink r:id="rId14" w:history="1">
        <w:r w:rsidRPr="007C13DA">
          <w:rPr>
            <w:rFonts w:ascii="FrankRuehl" w:hAnsi="FrankRuehl" w:cs="FrankRuehl"/>
            <w:color w:val="0000FF"/>
            <w:rtl/>
          </w:rPr>
          <w:t>29(א)</w:t>
        </w:r>
      </w:hyperlink>
      <w:r w:rsidRPr="007C13DA">
        <w:rPr>
          <w:rFonts w:ascii="FrankRuehl" w:hAnsi="FrankRuehl" w:cs="FrankRuehl"/>
          <w:rtl/>
        </w:rPr>
        <w:t xml:space="preserve">, </w:t>
      </w:r>
      <w:hyperlink r:id="rId15" w:history="1">
        <w:r w:rsidRPr="007C13DA">
          <w:rPr>
            <w:rFonts w:ascii="FrankRuehl" w:hAnsi="FrankRuehl" w:cs="FrankRuehl"/>
            <w:color w:val="0000FF"/>
            <w:rtl/>
          </w:rPr>
          <w:t>382(ב)</w:t>
        </w:r>
      </w:hyperlink>
    </w:p>
    <w:p w14:paraId="6E55DC4F" w14:textId="77777777" w:rsidR="007C13DA" w:rsidRPr="007C13DA" w:rsidRDefault="007C13DA" w:rsidP="007C13DA">
      <w:pPr>
        <w:spacing w:before="120" w:after="120" w:line="240" w:lineRule="exact"/>
        <w:ind w:left="283" w:hanging="283"/>
        <w:jc w:val="both"/>
        <w:rPr>
          <w:rFonts w:ascii="FrankRuehl" w:hAnsi="FrankRuehl" w:cs="FrankRuehl"/>
          <w:rtl/>
        </w:rPr>
      </w:pPr>
      <w:hyperlink r:id="rId16" w:history="1">
        <w:r w:rsidRPr="007C13DA">
          <w:rPr>
            <w:rFonts w:ascii="FrankRuehl" w:hAnsi="FrankRuehl" w:cs="FrankRuehl"/>
            <w:color w:val="0000FF"/>
            <w:rtl/>
          </w:rPr>
          <w:t>חוק לשכת עורכי הדין, תשכ"א-1961</w:t>
        </w:r>
      </w:hyperlink>
      <w:r w:rsidRPr="007C13DA">
        <w:rPr>
          <w:rFonts w:ascii="FrankRuehl" w:hAnsi="FrankRuehl" w:cs="FrankRuehl"/>
          <w:rtl/>
        </w:rPr>
        <w:t xml:space="preserve">: סע'  </w:t>
      </w:r>
      <w:hyperlink r:id="rId17" w:history="1">
        <w:r w:rsidRPr="007C13DA">
          <w:rPr>
            <w:rFonts w:ascii="FrankRuehl" w:hAnsi="FrankRuehl" w:cs="FrankRuehl"/>
            <w:color w:val="0000FF"/>
            <w:rtl/>
          </w:rPr>
          <w:t>44</w:t>
        </w:r>
      </w:hyperlink>
    </w:p>
    <w:p w14:paraId="6EF1B962" w14:textId="77777777" w:rsidR="007C13DA" w:rsidRPr="007C13DA" w:rsidRDefault="007C13DA" w:rsidP="007C13DA">
      <w:pPr>
        <w:rPr>
          <w:sz w:val="26"/>
          <w:szCs w:val="26"/>
          <w:rtl/>
        </w:rPr>
      </w:pPr>
      <w:bookmarkStart w:id="4" w:name="LawTable_End"/>
      <w:bookmarkEnd w:id="4"/>
    </w:p>
    <w:p w14:paraId="4A61DA04" w14:textId="77777777" w:rsidR="00A81126" w:rsidRPr="006D120F" w:rsidRDefault="00A81126" w:rsidP="006D120F">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22239" w14:paraId="15FAF052" w14:textId="77777777" w:rsidTr="00722239">
        <w:trPr>
          <w:trHeight w:val="355"/>
          <w:jc w:val="center"/>
        </w:trPr>
        <w:tc>
          <w:tcPr>
            <w:tcW w:w="8820" w:type="dxa"/>
            <w:tcBorders>
              <w:top w:val="nil"/>
              <w:left w:val="nil"/>
              <w:bottom w:val="nil"/>
              <w:right w:val="nil"/>
            </w:tcBorders>
            <w:shd w:val="clear" w:color="auto" w:fill="auto"/>
          </w:tcPr>
          <w:p w14:paraId="26F59735" w14:textId="77777777" w:rsidR="00877ABA" w:rsidRPr="00877ABA" w:rsidRDefault="00877ABA" w:rsidP="00877ABA">
            <w:pPr>
              <w:jc w:val="center"/>
              <w:rPr>
                <w:rFonts w:ascii="David" w:hAnsi="David"/>
                <w:b/>
                <w:bCs/>
                <w:sz w:val="32"/>
                <w:szCs w:val="32"/>
                <w:u w:val="single"/>
                <w:rtl/>
              </w:rPr>
            </w:pPr>
            <w:bookmarkStart w:id="5" w:name="PsakDin" w:colFirst="0" w:colLast="0"/>
            <w:bookmarkEnd w:id="0"/>
            <w:r w:rsidRPr="00877ABA">
              <w:rPr>
                <w:rFonts w:ascii="David" w:hAnsi="David"/>
                <w:b/>
                <w:bCs/>
                <w:sz w:val="32"/>
                <w:szCs w:val="32"/>
                <w:u w:val="single"/>
                <w:rtl/>
              </w:rPr>
              <w:t>גזר דין   תוך ביטול הרשעה</w:t>
            </w:r>
          </w:p>
          <w:p w14:paraId="36B6983B" w14:textId="77777777" w:rsidR="00722239" w:rsidRPr="00877ABA" w:rsidRDefault="00722239" w:rsidP="00877ABA">
            <w:pPr>
              <w:jc w:val="center"/>
              <w:rPr>
                <w:rFonts w:ascii="David" w:hAnsi="David"/>
                <w:b/>
                <w:bCs/>
                <w:sz w:val="32"/>
                <w:szCs w:val="32"/>
                <w:u w:val="single"/>
                <w:rtl/>
              </w:rPr>
            </w:pPr>
          </w:p>
        </w:tc>
      </w:tr>
      <w:bookmarkEnd w:id="5"/>
    </w:tbl>
    <w:p w14:paraId="56E227F2" w14:textId="77777777" w:rsidR="00722239" w:rsidRPr="000F2247" w:rsidRDefault="00722239" w:rsidP="00722239">
      <w:pPr>
        <w:rPr>
          <w:rFonts w:ascii="Arial" w:hAnsi="Arial"/>
          <w:b/>
          <w:bCs/>
          <w:sz w:val="26"/>
          <w:szCs w:val="26"/>
          <w:rtl/>
        </w:rPr>
      </w:pPr>
    </w:p>
    <w:p w14:paraId="3D23448F" w14:textId="77777777" w:rsidR="00722239" w:rsidRPr="00CA0ABF" w:rsidRDefault="00722239" w:rsidP="00722239">
      <w:pPr>
        <w:spacing w:line="360" w:lineRule="auto"/>
        <w:rPr>
          <w:rFonts w:ascii="Arial" w:hAnsi="Arial"/>
          <w:b/>
          <w:bCs/>
          <w:sz w:val="26"/>
          <w:szCs w:val="26"/>
          <w:u w:val="single"/>
          <w:rtl/>
        </w:rPr>
      </w:pPr>
      <w:r w:rsidRPr="00CA0ABF">
        <w:rPr>
          <w:rFonts w:ascii="Arial" w:hAnsi="Arial" w:hint="cs"/>
          <w:b/>
          <w:bCs/>
          <w:sz w:val="26"/>
          <w:szCs w:val="26"/>
          <w:u w:val="single"/>
          <w:rtl/>
        </w:rPr>
        <w:t>כתבי האישום בהם הודה הנאשם</w:t>
      </w:r>
    </w:p>
    <w:p w14:paraId="0D09ED08" w14:textId="77777777" w:rsidR="00722239" w:rsidRPr="00E976A4" w:rsidRDefault="00722239" w:rsidP="00722239">
      <w:pPr>
        <w:pStyle w:val="a9"/>
        <w:numPr>
          <w:ilvl w:val="0"/>
          <w:numId w:val="2"/>
        </w:numPr>
        <w:spacing w:line="360" w:lineRule="auto"/>
        <w:jc w:val="both"/>
        <w:rPr>
          <w:rFonts w:ascii="Arial" w:hAnsi="Arial"/>
          <w:sz w:val="26"/>
          <w:szCs w:val="26"/>
          <w:rtl/>
        </w:rPr>
      </w:pPr>
      <w:bookmarkStart w:id="6" w:name="ABSTRACT_START"/>
      <w:bookmarkEnd w:id="6"/>
      <w:r w:rsidRPr="00E976A4">
        <w:rPr>
          <w:rFonts w:ascii="Arial" w:hAnsi="Arial" w:hint="cs"/>
          <w:sz w:val="26"/>
          <w:szCs w:val="26"/>
          <w:rtl/>
        </w:rPr>
        <w:t>הנאשם שלפניי הורשע על-פי הודאתו בשני כתבי אישום כמפורט להלן:</w:t>
      </w:r>
    </w:p>
    <w:p w14:paraId="50D6FF88" w14:textId="77777777" w:rsidR="00722239" w:rsidRDefault="00877ABA" w:rsidP="00722239">
      <w:pPr>
        <w:pStyle w:val="a9"/>
        <w:numPr>
          <w:ilvl w:val="0"/>
          <w:numId w:val="1"/>
        </w:numPr>
        <w:spacing w:line="360" w:lineRule="auto"/>
        <w:jc w:val="both"/>
        <w:rPr>
          <w:rFonts w:ascii="Arial" w:hAnsi="Arial"/>
          <w:sz w:val="26"/>
          <w:szCs w:val="26"/>
        </w:rPr>
      </w:pPr>
      <w:hyperlink r:id="rId18" w:history="1">
        <w:r w:rsidRPr="00877ABA">
          <w:rPr>
            <w:rFonts w:ascii="Arial" w:hAnsi="Arial"/>
            <w:b/>
            <w:bCs/>
            <w:color w:val="0000FF"/>
            <w:sz w:val="26"/>
            <w:szCs w:val="26"/>
            <w:u w:val="single"/>
            <w:rtl/>
          </w:rPr>
          <w:t>ת"פ 9373-04-23</w:t>
        </w:r>
      </w:hyperlink>
      <w:r w:rsidR="00722239" w:rsidRPr="004942E7">
        <w:rPr>
          <w:rFonts w:ascii="Arial" w:hAnsi="Arial" w:hint="cs"/>
          <w:b/>
          <w:bCs/>
          <w:sz w:val="26"/>
          <w:szCs w:val="26"/>
          <w:rtl/>
        </w:rPr>
        <w:t xml:space="preserve"> (התיק הראשון)</w:t>
      </w:r>
      <w:r w:rsidR="00722239">
        <w:rPr>
          <w:rFonts w:ascii="Arial" w:hAnsi="Arial" w:hint="cs"/>
          <w:sz w:val="26"/>
          <w:szCs w:val="26"/>
          <w:rtl/>
        </w:rPr>
        <w:t xml:space="preserve"> </w:t>
      </w:r>
      <w:r w:rsidR="00722239">
        <w:rPr>
          <w:rFonts w:ascii="Arial" w:hAnsi="Arial"/>
          <w:sz w:val="26"/>
          <w:szCs w:val="26"/>
          <w:rtl/>
        </w:rPr>
        <w:t>–</w:t>
      </w:r>
      <w:r w:rsidR="00722239">
        <w:rPr>
          <w:rFonts w:ascii="Arial" w:hAnsi="Arial" w:hint="cs"/>
          <w:sz w:val="26"/>
          <w:szCs w:val="26"/>
          <w:rtl/>
        </w:rPr>
        <w:t xml:space="preserve"> בתיק זה הורשע הנאשם בעבירה של </w:t>
      </w:r>
      <w:r w:rsidR="00722239" w:rsidRPr="004942E7">
        <w:rPr>
          <w:rFonts w:ascii="Arial" w:hAnsi="Arial" w:hint="cs"/>
          <w:b/>
          <w:bCs/>
          <w:sz w:val="26"/>
          <w:szCs w:val="26"/>
          <w:rtl/>
        </w:rPr>
        <w:t>החזקת סמים לצריכה עצמית</w:t>
      </w:r>
      <w:r w:rsidR="00722239">
        <w:rPr>
          <w:rFonts w:ascii="Arial" w:hAnsi="Arial" w:hint="cs"/>
          <w:sz w:val="26"/>
          <w:szCs w:val="26"/>
          <w:rtl/>
        </w:rPr>
        <w:t xml:space="preserve">, לפי סעיפים </w:t>
      </w:r>
      <w:hyperlink r:id="rId19" w:history="1">
        <w:r w:rsidR="00A81126" w:rsidRPr="00A81126">
          <w:rPr>
            <w:rStyle w:val="Hyperlink"/>
            <w:rFonts w:ascii="Arial" w:hAnsi="Arial"/>
            <w:sz w:val="26"/>
            <w:szCs w:val="26"/>
            <w:rtl/>
          </w:rPr>
          <w:t>7(א)(ג)</w:t>
        </w:r>
      </w:hyperlink>
      <w:r w:rsidR="00722239">
        <w:rPr>
          <w:rFonts w:ascii="Arial" w:hAnsi="Arial" w:hint="cs"/>
          <w:sz w:val="26"/>
          <w:szCs w:val="26"/>
          <w:rtl/>
        </w:rPr>
        <w:t xml:space="preserve"> סיפא לפקודת הסמים; </w:t>
      </w:r>
      <w:r w:rsidR="00722239" w:rsidRPr="004942E7">
        <w:rPr>
          <w:rFonts w:ascii="Arial" w:hAnsi="Arial" w:hint="cs"/>
          <w:b/>
          <w:bCs/>
          <w:sz w:val="26"/>
          <w:szCs w:val="26"/>
          <w:rtl/>
        </w:rPr>
        <w:t xml:space="preserve">בהחזקת סמים </w:t>
      </w:r>
      <w:r w:rsidR="00722239" w:rsidRPr="004942E7">
        <w:rPr>
          <w:rFonts w:ascii="Arial" w:hAnsi="Arial" w:hint="cs"/>
          <w:b/>
          <w:bCs/>
          <w:sz w:val="26"/>
          <w:szCs w:val="26"/>
          <w:rtl/>
        </w:rPr>
        <w:lastRenderedPageBreak/>
        <w:t>שלא לצריכה עצמית</w:t>
      </w:r>
      <w:r w:rsidR="00722239">
        <w:rPr>
          <w:rFonts w:ascii="Arial" w:hAnsi="Arial" w:hint="cs"/>
          <w:sz w:val="26"/>
          <w:szCs w:val="26"/>
          <w:rtl/>
        </w:rPr>
        <w:t xml:space="preserve">, לפי </w:t>
      </w:r>
      <w:hyperlink r:id="rId20" w:history="1">
        <w:r w:rsidR="00A81126" w:rsidRPr="00A81126">
          <w:rPr>
            <w:rStyle w:val="Hyperlink"/>
            <w:rFonts w:ascii="Arial" w:hAnsi="Arial" w:hint="eastAsia"/>
            <w:sz w:val="26"/>
            <w:szCs w:val="26"/>
            <w:rtl/>
          </w:rPr>
          <w:t>סעיפים</w:t>
        </w:r>
        <w:r w:rsidR="00A81126" w:rsidRPr="00A81126">
          <w:rPr>
            <w:rStyle w:val="Hyperlink"/>
            <w:rFonts w:ascii="Arial" w:hAnsi="Arial"/>
            <w:sz w:val="26"/>
            <w:szCs w:val="26"/>
            <w:rtl/>
          </w:rPr>
          <w:t xml:space="preserve"> 7(א)(ג)</w:t>
        </w:r>
      </w:hyperlink>
      <w:r w:rsidR="00722239">
        <w:rPr>
          <w:rFonts w:ascii="Arial" w:hAnsi="Arial" w:hint="cs"/>
          <w:sz w:val="26"/>
          <w:szCs w:val="26"/>
          <w:rtl/>
        </w:rPr>
        <w:t xml:space="preserve"> רישא לפקודה</w:t>
      </w:r>
      <w:bookmarkStart w:id="7" w:name="ABSTRACT_END"/>
      <w:bookmarkEnd w:id="7"/>
      <w:r w:rsidR="00722239">
        <w:rPr>
          <w:rFonts w:ascii="Arial" w:hAnsi="Arial" w:hint="cs"/>
          <w:sz w:val="26"/>
          <w:szCs w:val="26"/>
          <w:rtl/>
        </w:rPr>
        <w:t>, וב-</w:t>
      </w:r>
      <w:r w:rsidR="00722239" w:rsidRPr="004942E7">
        <w:rPr>
          <w:rFonts w:ascii="Arial" w:hAnsi="Arial" w:hint="cs"/>
          <w:b/>
          <w:bCs/>
          <w:sz w:val="26"/>
          <w:szCs w:val="26"/>
          <w:rtl/>
        </w:rPr>
        <w:t>3 עבירות של ניסיון סחר בסמים בצוותא</w:t>
      </w:r>
      <w:r w:rsidR="00722239">
        <w:rPr>
          <w:rFonts w:ascii="Arial" w:hAnsi="Arial" w:hint="cs"/>
          <w:sz w:val="26"/>
          <w:szCs w:val="26"/>
          <w:rtl/>
        </w:rPr>
        <w:t xml:space="preserve">, לפי </w:t>
      </w:r>
      <w:hyperlink r:id="rId21" w:history="1">
        <w:r w:rsidR="00A81126" w:rsidRPr="00A81126">
          <w:rPr>
            <w:rStyle w:val="Hyperlink"/>
            <w:rFonts w:ascii="Arial" w:hAnsi="Arial" w:hint="eastAsia"/>
            <w:sz w:val="26"/>
            <w:szCs w:val="26"/>
            <w:rtl/>
          </w:rPr>
          <w:t>סעיפים</w:t>
        </w:r>
        <w:r w:rsidR="00A81126" w:rsidRPr="00A81126">
          <w:rPr>
            <w:rStyle w:val="Hyperlink"/>
            <w:rFonts w:ascii="Arial" w:hAnsi="Arial"/>
            <w:sz w:val="26"/>
            <w:szCs w:val="26"/>
            <w:rtl/>
          </w:rPr>
          <w:t xml:space="preserve"> 13</w:t>
        </w:r>
      </w:hyperlink>
      <w:r w:rsidR="00722239">
        <w:rPr>
          <w:rFonts w:ascii="Arial" w:hAnsi="Arial" w:hint="cs"/>
          <w:sz w:val="26"/>
          <w:szCs w:val="26"/>
          <w:rtl/>
        </w:rPr>
        <w:t xml:space="preserve"> ו-</w:t>
      </w:r>
      <w:hyperlink r:id="rId22" w:history="1">
        <w:r w:rsidR="00A81126" w:rsidRPr="00A81126">
          <w:rPr>
            <w:rStyle w:val="Hyperlink"/>
            <w:rFonts w:ascii="Arial" w:hAnsi="Arial"/>
            <w:sz w:val="26"/>
            <w:szCs w:val="26"/>
            <w:rtl/>
          </w:rPr>
          <w:t>19א</w:t>
        </w:r>
      </w:hyperlink>
      <w:r w:rsidR="00722239">
        <w:rPr>
          <w:rFonts w:ascii="Arial" w:hAnsi="Arial" w:hint="cs"/>
          <w:sz w:val="26"/>
          <w:szCs w:val="26"/>
          <w:rtl/>
        </w:rPr>
        <w:t xml:space="preserve"> לפקודת הסמים </w:t>
      </w:r>
      <w:hyperlink r:id="rId23" w:history="1">
        <w:r w:rsidR="00A81126" w:rsidRPr="00A81126">
          <w:rPr>
            <w:rStyle w:val="Hyperlink"/>
            <w:rFonts w:ascii="Arial" w:hAnsi="Arial" w:hint="eastAsia"/>
            <w:sz w:val="26"/>
            <w:szCs w:val="26"/>
            <w:rtl/>
          </w:rPr>
          <w:t>וסעיפים</w:t>
        </w:r>
        <w:r w:rsidR="00A81126" w:rsidRPr="00A81126">
          <w:rPr>
            <w:rStyle w:val="Hyperlink"/>
            <w:rFonts w:ascii="Arial" w:hAnsi="Arial"/>
            <w:sz w:val="26"/>
            <w:szCs w:val="26"/>
            <w:rtl/>
          </w:rPr>
          <w:t xml:space="preserve"> 25</w:t>
        </w:r>
      </w:hyperlink>
      <w:r w:rsidR="00722239">
        <w:rPr>
          <w:rFonts w:ascii="Arial" w:hAnsi="Arial" w:hint="cs"/>
          <w:sz w:val="26"/>
          <w:szCs w:val="26"/>
          <w:rtl/>
        </w:rPr>
        <w:t xml:space="preserve"> ו-</w:t>
      </w:r>
      <w:hyperlink r:id="rId24" w:history="1">
        <w:r w:rsidR="00A81126" w:rsidRPr="00A81126">
          <w:rPr>
            <w:rStyle w:val="Hyperlink"/>
            <w:rFonts w:ascii="Arial" w:hAnsi="Arial"/>
            <w:sz w:val="26"/>
            <w:szCs w:val="26"/>
            <w:rtl/>
          </w:rPr>
          <w:t>29(א)</w:t>
        </w:r>
      </w:hyperlink>
      <w:r w:rsidR="00722239">
        <w:rPr>
          <w:rFonts w:ascii="Arial" w:hAnsi="Arial" w:hint="cs"/>
          <w:sz w:val="26"/>
          <w:szCs w:val="26"/>
          <w:rtl/>
        </w:rPr>
        <w:t xml:space="preserve"> ל</w:t>
      </w:r>
      <w:hyperlink r:id="rId25" w:history="1">
        <w:r w:rsidRPr="00877ABA">
          <w:rPr>
            <w:rFonts w:ascii="Arial" w:hAnsi="Arial"/>
            <w:color w:val="0000FF"/>
            <w:sz w:val="26"/>
            <w:szCs w:val="26"/>
            <w:u w:val="single"/>
            <w:rtl/>
          </w:rPr>
          <w:t>חוק העונשין</w:t>
        </w:r>
      </w:hyperlink>
      <w:r w:rsidR="00722239">
        <w:rPr>
          <w:rFonts w:ascii="Arial" w:hAnsi="Arial" w:hint="cs"/>
          <w:sz w:val="26"/>
          <w:szCs w:val="26"/>
          <w:rtl/>
        </w:rPr>
        <w:t xml:space="preserve">, התשל"ז-1977. </w:t>
      </w:r>
      <w:r w:rsidR="00722239" w:rsidRPr="004942E7">
        <w:rPr>
          <w:rFonts w:ascii="Arial" w:hAnsi="Arial" w:hint="cs"/>
          <w:b/>
          <w:bCs/>
          <w:sz w:val="26"/>
          <w:szCs w:val="26"/>
          <w:rtl/>
        </w:rPr>
        <w:t>מהחלק הכללי</w:t>
      </w:r>
      <w:r w:rsidR="00722239">
        <w:rPr>
          <w:rFonts w:ascii="Arial" w:hAnsi="Arial" w:hint="cs"/>
          <w:sz w:val="26"/>
          <w:szCs w:val="26"/>
          <w:rtl/>
        </w:rPr>
        <w:t xml:space="preserve"> עולה, כי המשטרה הפעילה שוטרת כסוכנת סמויה שביקשה לשמש שליחה בעסקאות סם. באותו מועד קיים הנאשם מערכת יחסים עם הגב' חן. </w:t>
      </w:r>
      <w:r w:rsidR="00722239" w:rsidRPr="004942E7">
        <w:rPr>
          <w:rFonts w:ascii="Arial" w:hAnsi="Arial" w:hint="cs"/>
          <w:b/>
          <w:bCs/>
          <w:sz w:val="26"/>
          <w:szCs w:val="26"/>
          <w:rtl/>
        </w:rPr>
        <w:t>מהאישום הראשון</w:t>
      </w:r>
      <w:r w:rsidR="00722239">
        <w:rPr>
          <w:rFonts w:ascii="Arial" w:hAnsi="Arial" w:hint="cs"/>
          <w:sz w:val="26"/>
          <w:szCs w:val="26"/>
          <w:rtl/>
        </w:rPr>
        <w:t xml:space="preserve"> עולה, כי ביום 15.1.20223 אמור היה הנאשם להטמין סמים מסוג קנביס לצורך עסקה, וזאת בתיאום עם חן. </w:t>
      </w:r>
      <w:r w:rsidR="00722239" w:rsidRPr="00CD0066">
        <w:rPr>
          <w:rFonts w:ascii="Arial" w:hAnsi="Arial" w:hint="cs"/>
          <w:b/>
          <w:bCs/>
          <w:sz w:val="26"/>
          <w:szCs w:val="26"/>
          <w:rtl/>
        </w:rPr>
        <w:t>מהאישום השני</w:t>
      </w:r>
      <w:r w:rsidR="00722239">
        <w:rPr>
          <w:rFonts w:ascii="Arial" w:hAnsi="Arial" w:hint="cs"/>
          <w:sz w:val="26"/>
          <w:szCs w:val="26"/>
          <w:rtl/>
        </w:rPr>
        <w:t xml:space="preserve"> עולה, כי ביום 5.3.2023 חן הנחתה את השוטרת באמצעות יישומון טלגרם למכור סמים מסוג קנביס וחשיש. לצורך כך העביר הנאשם לחן כ-194 גרם קנביס וכ-25 גרם חשיש, אותם הטמינה חן במקום מוסכם כדי שהשוטרת תוכל לאספו. </w:t>
      </w:r>
      <w:r w:rsidR="00722239" w:rsidRPr="00CD0066">
        <w:rPr>
          <w:rFonts w:ascii="Arial" w:hAnsi="Arial" w:hint="cs"/>
          <w:b/>
          <w:bCs/>
          <w:sz w:val="26"/>
          <w:szCs w:val="26"/>
          <w:rtl/>
        </w:rPr>
        <w:t>מהאישום השלישי</w:t>
      </w:r>
      <w:r w:rsidR="00722239">
        <w:rPr>
          <w:rFonts w:ascii="Arial" w:hAnsi="Arial" w:hint="cs"/>
          <w:sz w:val="26"/>
          <w:szCs w:val="26"/>
          <w:rtl/>
        </w:rPr>
        <w:t xml:space="preserve"> עולה, כי הנאשם וחן תיאמו עסקת סמים שלא יצאה לפועל, וזאת ביום 9.3.2023. </w:t>
      </w:r>
      <w:r w:rsidR="00722239" w:rsidRPr="00CD0066">
        <w:rPr>
          <w:rFonts w:ascii="Arial" w:hAnsi="Arial" w:hint="cs"/>
          <w:b/>
          <w:bCs/>
          <w:sz w:val="26"/>
          <w:szCs w:val="26"/>
          <w:rtl/>
        </w:rPr>
        <w:t>מהאישום הרביעי</w:t>
      </w:r>
      <w:r w:rsidR="00722239">
        <w:rPr>
          <w:rFonts w:ascii="Arial" w:hAnsi="Arial" w:hint="cs"/>
          <w:sz w:val="26"/>
          <w:szCs w:val="26"/>
          <w:rtl/>
        </w:rPr>
        <w:t xml:space="preserve"> עולה, כי באותו יום, הטמינו הנאשם וחן במקום מוסכם שנמסר לסוכנת סם מסוכנת מסוג קנביס במשקל 201 גרם לערך וסם מסוג חשיש במשקל כ-23 גרם, לצורך ביצוע עסקת סמים.</w:t>
      </w:r>
    </w:p>
    <w:p w14:paraId="6315E403" w14:textId="77777777" w:rsidR="00722239" w:rsidRDefault="00877ABA" w:rsidP="00722239">
      <w:pPr>
        <w:pStyle w:val="a9"/>
        <w:numPr>
          <w:ilvl w:val="0"/>
          <w:numId w:val="1"/>
        </w:numPr>
        <w:spacing w:line="360" w:lineRule="auto"/>
        <w:jc w:val="both"/>
        <w:rPr>
          <w:rFonts w:ascii="Arial" w:hAnsi="Arial"/>
          <w:sz w:val="26"/>
          <w:szCs w:val="26"/>
        </w:rPr>
      </w:pPr>
      <w:hyperlink r:id="rId26" w:history="1">
        <w:r w:rsidRPr="00877ABA">
          <w:rPr>
            <w:rFonts w:ascii="Arial" w:hAnsi="Arial"/>
            <w:b/>
            <w:bCs/>
            <w:color w:val="0000FF"/>
            <w:sz w:val="26"/>
            <w:szCs w:val="26"/>
            <w:u w:val="single"/>
            <w:rtl/>
          </w:rPr>
          <w:t>ת"פ 22506-10-22</w:t>
        </w:r>
      </w:hyperlink>
      <w:r w:rsidR="00722239" w:rsidRPr="004942E7">
        <w:rPr>
          <w:rFonts w:ascii="Arial" w:hAnsi="Arial" w:hint="cs"/>
          <w:b/>
          <w:bCs/>
          <w:sz w:val="26"/>
          <w:szCs w:val="26"/>
          <w:rtl/>
        </w:rPr>
        <w:t xml:space="preserve"> (התיק השני)</w:t>
      </w:r>
      <w:r w:rsidR="00722239">
        <w:rPr>
          <w:rFonts w:ascii="Arial" w:hAnsi="Arial" w:hint="cs"/>
          <w:sz w:val="26"/>
          <w:szCs w:val="26"/>
          <w:rtl/>
        </w:rPr>
        <w:t xml:space="preserve"> </w:t>
      </w:r>
      <w:r w:rsidR="00722239">
        <w:rPr>
          <w:rFonts w:ascii="Arial" w:hAnsi="Arial"/>
          <w:sz w:val="26"/>
          <w:szCs w:val="26"/>
          <w:rtl/>
        </w:rPr>
        <w:t>–</w:t>
      </w:r>
      <w:r w:rsidR="00722239">
        <w:rPr>
          <w:rFonts w:ascii="Arial" w:hAnsi="Arial" w:hint="cs"/>
          <w:sz w:val="26"/>
          <w:szCs w:val="26"/>
          <w:rtl/>
        </w:rPr>
        <w:t xml:space="preserve"> בתיק זה הורשע הנאשם בעבירה של </w:t>
      </w:r>
      <w:r w:rsidR="00722239" w:rsidRPr="004942E7">
        <w:rPr>
          <w:rFonts w:ascii="Arial" w:hAnsi="Arial" w:hint="cs"/>
          <w:b/>
          <w:bCs/>
          <w:sz w:val="26"/>
          <w:szCs w:val="26"/>
          <w:rtl/>
        </w:rPr>
        <w:t>תקיפה סתם של בת זוג</w:t>
      </w:r>
      <w:r w:rsidR="00722239">
        <w:rPr>
          <w:rFonts w:ascii="Arial" w:hAnsi="Arial" w:hint="cs"/>
          <w:sz w:val="26"/>
          <w:szCs w:val="26"/>
          <w:rtl/>
        </w:rPr>
        <w:t xml:space="preserve">, לפי </w:t>
      </w:r>
      <w:hyperlink r:id="rId27" w:history="1">
        <w:r w:rsidR="00A81126" w:rsidRPr="00A81126">
          <w:rPr>
            <w:rStyle w:val="Hyperlink"/>
            <w:rFonts w:ascii="Arial" w:hAnsi="Arial" w:hint="eastAsia"/>
            <w:sz w:val="26"/>
            <w:szCs w:val="26"/>
            <w:rtl/>
          </w:rPr>
          <w:t>סעיף</w:t>
        </w:r>
        <w:r w:rsidR="00A81126" w:rsidRPr="00A81126">
          <w:rPr>
            <w:rStyle w:val="Hyperlink"/>
            <w:rFonts w:ascii="Arial" w:hAnsi="Arial"/>
            <w:sz w:val="26"/>
            <w:szCs w:val="26"/>
            <w:rtl/>
          </w:rPr>
          <w:t xml:space="preserve"> 382(ב)</w:t>
        </w:r>
      </w:hyperlink>
      <w:r w:rsidR="00722239">
        <w:rPr>
          <w:rFonts w:ascii="Arial" w:hAnsi="Arial" w:hint="cs"/>
          <w:sz w:val="26"/>
          <w:szCs w:val="26"/>
          <w:rtl/>
        </w:rPr>
        <w:t xml:space="preserve"> ל</w:t>
      </w:r>
      <w:hyperlink r:id="rId28" w:history="1">
        <w:r w:rsidRPr="00877ABA">
          <w:rPr>
            <w:rFonts w:ascii="Arial" w:hAnsi="Arial"/>
            <w:color w:val="0000FF"/>
            <w:sz w:val="26"/>
            <w:szCs w:val="26"/>
            <w:u w:val="single"/>
            <w:rtl/>
          </w:rPr>
          <w:t>חוק העונשין</w:t>
        </w:r>
      </w:hyperlink>
      <w:r w:rsidR="00722239">
        <w:rPr>
          <w:rFonts w:ascii="Arial" w:hAnsi="Arial" w:hint="cs"/>
          <w:sz w:val="26"/>
          <w:szCs w:val="26"/>
          <w:rtl/>
        </w:rPr>
        <w:t>. מכתב האישום עולה, כי בין הנאשם למתלוננת התקיימה מערכת יחסים זוגית כארבע שנים לפני האירוע. ביום 8.4.2022 לפנות בוקר, התקשר הנאשם למתלוננת, ולאחר שזו הבינה שמדובר בנאשם ניתקה את השיחה. הנאשם שלח לה מסרון ובו רשם כי יגיע לביתה. כשעתיים לאחר מכן, בשש בבוקר, הגיעה המתלוננת לביתו של הנאשם והבחינה כי הוא ממתין לה. הנאשם חסם את דרכה ודרש לשוחח עמה. משסירבה, נטל הנאשם מידיה את מכשיר הטלפון שלה, דחף אותה, והכניס את הטלפון לרכב בניגוד לרצון המתלוננת. בתגובה סטרה לו המתלוננת.</w:t>
      </w:r>
    </w:p>
    <w:p w14:paraId="59D93E99" w14:textId="77777777" w:rsidR="00722239" w:rsidRDefault="00722239" w:rsidP="00722239">
      <w:pPr>
        <w:spacing w:line="360" w:lineRule="auto"/>
        <w:jc w:val="both"/>
        <w:rPr>
          <w:rFonts w:ascii="Arial" w:hAnsi="Arial"/>
          <w:b/>
          <w:bCs/>
          <w:sz w:val="26"/>
          <w:szCs w:val="26"/>
          <w:u w:val="single"/>
          <w:rtl/>
        </w:rPr>
      </w:pPr>
    </w:p>
    <w:p w14:paraId="7E4368EB" w14:textId="77777777" w:rsidR="00722239" w:rsidRPr="00CA0ABF" w:rsidRDefault="00722239" w:rsidP="00722239">
      <w:pPr>
        <w:spacing w:line="360" w:lineRule="auto"/>
        <w:jc w:val="both"/>
        <w:rPr>
          <w:rFonts w:ascii="Arial" w:hAnsi="Arial"/>
          <w:b/>
          <w:bCs/>
          <w:sz w:val="26"/>
          <w:szCs w:val="26"/>
          <w:u w:val="single"/>
          <w:rtl/>
        </w:rPr>
      </w:pPr>
      <w:r w:rsidRPr="00CA0ABF">
        <w:rPr>
          <w:rFonts w:ascii="Arial" w:hAnsi="Arial" w:hint="cs"/>
          <w:b/>
          <w:bCs/>
          <w:sz w:val="26"/>
          <w:szCs w:val="26"/>
          <w:u w:val="single"/>
          <w:rtl/>
        </w:rPr>
        <w:t>מהלך הדיון</w:t>
      </w:r>
    </w:p>
    <w:p w14:paraId="7B1CEA71" w14:textId="77777777" w:rsidR="00722239" w:rsidRDefault="00722239" w:rsidP="00722239">
      <w:pPr>
        <w:pStyle w:val="a9"/>
        <w:numPr>
          <w:ilvl w:val="0"/>
          <w:numId w:val="2"/>
        </w:numPr>
        <w:spacing w:line="360" w:lineRule="auto"/>
        <w:jc w:val="both"/>
        <w:rPr>
          <w:rFonts w:ascii="Arial" w:hAnsi="Arial"/>
          <w:sz w:val="26"/>
          <w:szCs w:val="26"/>
        </w:rPr>
      </w:pPr>
      <w:r>
        <w:rPr>
          <w:rFonts w:ascii="Arial" w:hAnsi="Arial" w:hint="cs"/>
          <w:sz w:val="26"/>
          <w:szCs w:val="26"/>
          <w:rtl/>
        </w:rPr>
        <w:t xml:space="preserve">הנאשם נעצר במסגרת התיק הראשון ביום 22.3.2023 ושוחרר לאחר הגשת כתב האישום ובקשה לעצרו עד לתום ההליכים, וזאת ביום 9.4.2023. במהלך חודש יוני 2023 אושר לנאשם לצאת לעבודה בפיקוח. ביום 13.9.2023 הודה הנאשם לפניי בשני כתבי האישום והוסכם על צמצום התנאים המגבילים. הנאשם נשלח לשירות המבחן ולממונה על עבודות השירות. הסניגור ביקש לבחון גם את שאלת ביטול ההרשעה.  </w:t>
      </w:r>
    </w:p>
    <w:p w14:paraId="1F5AE09F" w14:textId="77777777" w:rsidR="00722239" w:rsidRDefault="00722239" w:rsidP="00722239">
      <w:pPr>
        <w:spacing w:line="360" w:lineRule="auto"/>
        <w:jc w:val="both"/>
        <w:rPr>
          <w:rFonts w:ascii="Arial" w:hAnsi="Arial"/>
          <w:sz w:val="26"/>
          <w:szCs w:val="26"/>
          <w:rtl/>
        </w:rPr>
      </w:pPr>
    </w:p>
    <w:p w14:paraId="7C67F911" w14:textId="77777777" w:rsidR="00722239" w:rsidRPr="00F8118E" w:rsidRDefault="00722239" w:rsidP="00722239">
      <w:pPr>
        <w:spacing w:line="360" w:lineRule="auto"/>
        <w:jc w:val="both"/>
        <w:rPr>
          <w:rFonts w:ascii="Arial" w:hAnsi="Arial"/>
          <w:b/>
          <w:bCs/>
          <w:sz w:val="26"/>
          <w:szCs w:val="26"/>
          <w:u w:val="single"/>
        </w:rPr>
      </w:pPr>
      <w:r w:rsidRPr="00F8118E">
        <w:rPr>
          <w:rFonts w:ascii="Arial" w:hAnsi="Arial" w:hint="cs"/>
          <w:b/>
          <w:bCs/>
          <w:sz w:val="26"/>
          <w:szCs w:val="26"/>
          <w:u w:val="single"/>
          <w:rtl/>
        </w:rPr>
        <w:t>תסקיר שירות המבחן</w:t>
      </w:r>
    </w:p>
    <w:p w14:paraId="3BCB020E" w14:textId="77777777" w:rsidR="00722239" w:rsidRDefault="00722239" w:rsidP="00722239">
      <w:pPr>
        <w:pStyle w:val="a9"/>
        <w:numPr>
          <w:ilvl w:val="0"/>
          <w:numId w:val="2"/>
        </w:numPr>
        <w:spacing w:line="360" w:lineRule="auto"/>
        <w:jc w:val="both"/>
        <w:rPr>
          <w:rFonts w:ascii="Arial" w:hAnsi="Arial"/>
          <w:sz w:val="26"/>
          <w:szCs w:val="26"/>
        </w:rPr>
      </w:pPr>
      <w:r>
        <w:rPr>
          <w:rFonts w:ascii="Arial" w:hAnsi="Arial" w:hint="cs"/>
          <w:sz w:val="26"/>
          <w:szCs w:val="26"/>
          <w:rtl/>
        </w:rPr>
        <w:lastRenderedPageBreak/>
        <w:t>מהתסקיר שהוגש עולה, כי הנאשם כבן 29, כיום בזוגיות והתארס לאחרונה, סטודנט בתחילת דרכו בתחום המשפטים. הוא סיים לימודי תיכון באופן מסודר ושירת שירות צבאי קרבי מלא. לאחר שחרורו למד והוסמך כמתווך והקים יחד עם אֵם חברתו דאז משרד תיווך. ואולם הנאשם הסתבך כלכלית ונקלע לחובות בשל ניהול כושל של העסק והיום הוא מתמודד עם החזר חובות בהיקף ניכר. למרבה הצער, הנאשם שהה במסיבת ה"נובה" ביום 7.10.2023 וחווה את האירוע המחריד שבמהלכו נרצח חברו הקרוב מילדות, ובמהלכו נפצע הנאשם מירי בזרועו. הוא נעזר ברשויות לשם הכרה במצבו, שכולל בין היתר הדרדרות במצבו הנפשי וכן מוגבלות פיזית בשל פציעתו והוא מוכר כנפגע פעולת איבה וכנכה (הוצגו מסמכים). כיום הוא מצוי בטיפול ובמעקב. הנאשם צורך קנביס ברישיון (הוצג אישור). שירות המבחן התרשם כי מדובר באדם נורמטיבי, שהעבירות אינן מאפיינות את אורחותיו. הוא קיבל עליהן אחריות, סיפר כי בוצעו בתקופה שבה היה נתון בלחצים קשים, בין היתר על רקע פרידה מהמתלוננת בתיק השני. השירות העריך היא הנאשם נמצא בתהליך שיקומי ובמעקב, ולכן המליץ על הטלת של"ץ בהיקף מצומצם, וכן על הטלת צו מבחן פיקוחי לשם הבטחת המשך הטיפול בו משולב כיום הנאשם, שלא במסגרת שירות המבחן. עוד המליץ השירות על ביטול הרשעת הנאשם נוכח נסיבותיו ולימודיו בתחום המשפטים.</w:t>
      </w:r>
    </w:p>
    <w:p w14:paraId="761A96BE" w14:textId="77777777" w:rsidR="00722239" w:rsidRPr="003330E2" w:rsidRDefault="00722239" w:rsidP="00722239">
      <w:pPr>
        <w:spacing w:line="360" w:lineRule="auto"/>
        <w:jc w:val="both"/>
        <w:rPr>
          <w:rFonts w:ascii="Arial" w:hAnsi="Arial"/>
          <w:sz w:val="26"/>
          <w:szCs w:val="26"/>
          <w:rtl/>
        </w:rPr>
      </w:pPr>
    </w:p>
    <w:p w14:paraId="7515F80C" w14:textId="77777777" w:rsidR="00722239" w:rsidRPr="00CA0ABF" w:rsidRDefault="00722239" w:rsidP="00722239">
      <w:pPr>
        <w:spacing w:line="360" w:lineRule="auto"/>
        <w:jc w:val="both"/>
        <w:rPr>
          <w:rFonts w:ascii="Arial" w:hAnsi="Arial"/>
          <w:b/>
          <w:bCs/>
          <w:sz w:val="26"/>
          <w:szCs w:val="26"/>
          <w:u w:val="single"/>
          <w:rtl/>
        </w:rPr>
      </w:pPr>
      <w:r w:rsidRPr="00CA0ABF">
        <w:rPr>
          <w:rFonts w:ascii="Arial" w:hAnsi="Arial" w:hint="cs"/>
          <w:b/>
          <w:bCs/>
          <w:sz w:val="26"/>
          <w:szCs w:val="26"/>
          <w:u w:val="single"/>
          <w:rtl/>
        </w:rPr>
        <w:t>ראיות וטיעונים לעונש</w:t>
      </w:r>
    </w:p>
    <w:p w14:paraId="66D9DC78" w14:textId="77777777" w:rsidR="00722239" w:rsidRPr="00CA0ABF" w:rsidRDefault="00722239" w:rsidP="00722239">
      <w:pPr>
        <w:pStyle w:val="a9"/>
        <w:numPr>
          <w:ilvl w:val="0"/>
          <w:numId w:val="2"/>
        </w:numPr>
        <w:spacing w:line="360" w:lineRule="auto"/>
        <w:jc w:val="both"/>
        <w:rPr>
          <w:rFonts w:ascii="Arial" w:hAnsi="Arial"/>
          <w:sz w:val="26"/>
          <w:szCs w:val="26"/>
          <w:rtl/>
        </w:rPr>
      </w:pPr>
      <w:r>
        <w:rPr>
          <w:rFonts w:ascii="Arial" w:hAnsi="Arial" w:hint="cs"/>
          <w:sz w:val="26"/>
          <w:szCs w:val="26"/>
          <w:rtl/>
        </w:rPr>
        <w:t xml:space="preserve">הצדדים לא היו חלוקים בשאלת העונש, אלא בשאלת ההרשעה. הוסכם על הטלת של"ץ לשיקול דעת בית המשפט וצו מבחן. כאמור, המאשימה עמדה על כך שאין מתקיימים בעניינו תנאי </w:t>
      </w:r>
      <w:r w:rsidRPr="00D03124">
        <w:rPr>
          <w:rFonts w:ascii="Arial" w:hAnsi="Arial" w:hint="cs"/>
          <w:b/>
          <w:bCs/>
          <w:sz w:val="26"/>
          <w:szCs w:val="26"/>
          <w:rtl/>
        </w:rPr>
        <w:t>הלכת כתב</w:t>
      </w:r>
      <w:r>
        <w:rPr>
          <w:rFonts w:ascii="Arial" w:hAnsi="Arial" w:hint="cs"/>
          <w:sz w:val="26"/>
          <w:szCs w:val="26"/>
          <w:rtl/>
        </w:rPr>
        <w:t xml:space="preserve"> [</w:t>
      </w:r>
      <w:hyperlink r:id="rId29" w:history="1">
        <w:r w:rsidR="00877ABA" w:rsidRPr="00877ABA">
          <w:rPr>
            <w:rFonts w:ascii="Arial" w:hAnsi="Arial"/>
            <w:color w:val="0000FF"/>
            <w:sz w:val="26"/>
            <w:szCs w:val="26"/>
            <w:u w:val="single"/>
            <w:rtl/>
          </w:rPr>
          <w:t>ע"פ 2083/96</w:t>
        </w:r>
      </w:hyperlink>
      <w:r>
        <w:rPr>
          <w:rFonts w:ascii="Arial" w:hAnsi="Arial" w:hint="cs"/>
          <w:sz w:val="26"/>
          <w:szCs w:val="26"/>
          <w:rtl/>
        </w:rPr>
        <w:t xml:space="preserve"> </w:t>
      </w:r>
      <w:r w:rsidRPr="00D03124">
        <w:rPr>
          <w:rFonts w:ascii="Arial" w:hAnsi="Arial" w:hint="cs"/>
          <w:b/>
          <w:bCs/>
          <w:sz w:val="26"/>
          <w:szCs w:val="26"/>
          <w:rtl/>
        </w:rPr>
        <w:t>כתב נ' מ"י</w:t>
      </w:r>
      <w:r>
        <w:rPr>
          <w:rFonts w:ascii="Arial" w:hAnsi="Arial" w:hint="cs"/>
          <w:sz w:val="26"/>
          <w:szCs w:val="26"/>
          <w:rtl/>
        </w:rPr>
        <w:t xml:space="preserve"> (1997)], ולכן עתרה להותיר את ההרשעה על כנה. מנגד, עמד הסניגור על מכלול הנסיבות, על הרקע של הנאשם לאחר ה-7.10.2023 ועל הנזק שייגרם לו אם תיוותר ההרשעה על כנה.</w:t>
      </w:r>
    </w:p>
    <w:p w14:paraId="4EEBC807" w14:textId="77777777" w:rsidR="00722239" w:rsidRPr="00CA0ABF" w:rsidRDefault="00722239" w:rsidP="00722239">
      <w:pPr>
        <w:spacing w:line="360" w:lineRule="auto"/>
        <w:jc w:val="both"/>
        <w:rPr>
          <w:rFonts w:ascii="Arial" w:hAnsi="Arial"/>
          <w:sz w:val="26"/>
          <w:szCs w:val="26"/>
          <w:rtl/>
        </w:rPr>
      </w:pPr>
    </w:p>
    <w:p w14:paraId="4665859E" w14:textId="77777777" w:rsidR="00722239" w:rsidRPr="00CA0ABF" w:rsidRDefault="00722239" w:rsidP="00722239">
      <w:pPr>
        <w:spacing w:line="360" w:lineRule="auto"/>
        <w:jc w:val="both"/>
        <w:rPr>
          <w:rFonts w:ascii="Arial" w:hAnsi="Arial"/>
          <w:b/>
          <w:bCs/>
          <w:sz w:val="26"/>
          <w:szCs w:val="26"/>
          <w:u w:val="single"/>
          <w:rtl/>
        </w:rPr>
      </w:pPr>
      <w:r w:rsidRPr="00CA0ABF">
        <w:rPr>
          <w:rFonts w:ascii="Arial" w:hAnsi="Arial" w:hint="cs"/>
          <w:b/>
          <w:bCs/>
          <w:sz w:val="26"/>
          <w:szCs w:val="26"/>
          <w:u w:val="single"/>
          <w:rtl/>
        </w:rPr>
        <w:t>דיון והכרעה</w:t>
      </w:r>
    </w:p>
    <w:p w14:paraId="3FC3C668" w14:textId="77777777" w:rsidR="00722239" w:rsidRDefault="00722239" w:rsidP="00722239">
      <w:pPr>
        <w:pStyle w:val="a9"/>
        <w:numPr>
          <w:ilvl w:val="0"/>
          <w:numId w:val="2"/>
        </w:numPr>
        <w:spacing w:line="360" w:lineRule="auto"/>
        <w:jc w:val="both"/>
        <w:rPr>
          <w:rFonts w:ascii="Arial" w:hAnsi="Arial"/>
          <w:sz w:val="26"/>
          <w:szCs w:val="26"/>
        </w:rPr>
      </w:pPr>
      <w:r>
        <w:rPr>
          <w:rFonts w:ascii="Arial" w:hAnsi="Arial" w:hint="cs"/>
          <w:sz w:val="26"/>
          <w:szCs w:val="26"/>
          <w:rtl/>
        </w:rPr>
        <w:t>נוכח הסכמת הצדדים לא אתעכב יתר על המידה על שיקולי הענישה מלבד האמירה, כי מבחינת הערכים המוגנים, מידת הפגיעה בערכים המוגנים של שלום הציבור ובריאותו אינה נמוכה ביחס לתיק הראשון (תיק הסמים), כאשר מדובר במעשים שנמשכו תקופה מסוימת, בוצעו בתחכום ובצוותא, וחלקו של הנאשם במעשים משמעותי. ביחס לתיק השני מדובר באירוע מינורי, שבו למתלוננת היתה תרומה משמעותית לקרות האירוע, שכן היא שהגיעה אל הנאשם ובהמשך אף סטרה לו. האירוע מתמצה בלקיחת הטלפון בניגוד לרצונה ובדחיפתה, ומכאן שהוא ברף חומרה נמוך.</w:t>
      </w:r>
    </w:p>
    <w:p w14:paraId="549F4C9C" w14:textId="77777777" w:rsidR="00722239" w:rsidRDefault="00722239" w:rsidP="00722239">
      <w:pPr>
        <w:pStyle w:val="a9"/>
        <w:spacing w:line="360" w:lineRule="auto"/>
        <w:ind w:left="360"/>
        <w:jc w:val="both"/>
        <w:rPr>
          <w:rFonts w:ascii="Arial" w:hAnsi="Arial"/>
          <w:sz w:val="26"/>
          <w:szCs w:val="26"/>
        </w:rPr>
      </w:pPr>
    </w:p>
    <w:p w14:paraId="7E4AEBC9" w14:textId="77777777" w:rsidR="00722239" w:rsidRDefault="00722239" w:rsidP="00722239">
      <w:pPr>
        <w:pStyle w:val="a9"/>
        <w:numPr>
          <w:ilvl w:val="0"/>
          <w:numId w:val="2"/>
        </w:numPr>
        <w:spacing w:line="360" w:lineRule="auto"/>
        <w:jc w:val="both"/>
        <w:rPr>
          <w:rFonts w:ascii="Arial" w:hAnsi="Arial"/>
          <w:sz w:val="26"/>
          <w:szCs w:val="26"/>
        </w:rPr>
      </w:pPr>
      <w:r>
        <w:rPr>
          <w:rFonts w:ascii="Arial" w:hAnsi="Arial" w:hint="cs"/>
          <w:sz w:val="26"/>
          <w:szCs w:val="26"/>
          <w:rtl/>
        </w:rPr>
        <w:t xml:space="preserve">מדיניות הענישה הנוהגת בעבירות סמים כגון אלו שעבר הנאשם מאפשרות סיום הליכים, מטעמי שיקום, בדרך של של"ץ או עבודות שירות. מפנה לדוגמה למקרה חמור ממקרנו בנסיבותיו </w:t>
      </w:r>
      <w:r>
        <w:rPr>
          <w:rFonts w:ascii="Arial" w:hAnsi="Arial"/>
          <w:sz w:val="26"/>
          <w:szCs w:val="26"/>
          <w:rtl/>
        </w:rPr>
        <w:t>–</w:t>
      </w:r>
      <w:r>
        <w:rPr>
          <w:rFonts w:ascii="Arial" w:hAnsi="Arial" w:hint="cs"/>
          <w:sz w:val="26"/>
          <w:szCs w:val="26"/>
          <w:rtl/>
        </w:rPr>
        <w:t xml:space="preserve"> </w:t>
      </w:r>
      <w:hyperlink r:id="rId30" w:history="1">
        <w:r w:rsidR="00877ABA" w:rsidRPr="00877ABA">
          <w:rPr>
            <w:rFonts w:ascii="Arial" w:hAnsi="Arial"/>
            <w:color w:val="0000FF"/>
            <w:sz w:val="26"/>
            <w:szCs w:val="26"/>
            <w:u w:val="single"/>
            <w:rtl/>
          </w:rPr>
          <w:t>רע"פ 5478/19</w:t>
        </w:r>
      </w:hyperlink>
      <w:r>
        <w:rPr>
          <w:rFonts w:ascii="Arial" w:hAnsi="Arial" w:hint="cs"/>
          <w:sz w:val="26"/>
          <w:szCs w:val="26"/>
          <w:rtl/>
        </w:rPr>
        <w:t xml:space="preserve"> </w:t>
      </w:r>
      <w:r w:rsidRPr="00D03124">
        <w:rPr>
          <w:rFonts w:ascii="Arial" w:hAnsi="Arial" w:hint="cs"/>
          <w:b/>
          <w:bCs/>
          <w:sz w:val="26"/>
          <w:szCs w:val="26"/>
          <w:rtl/>
        </w:rPr>
        <w:t>לוין נ' מ"י</w:t>
      </w:r>
      <w:r>
        <w:rPr>
          <w:rFonts w:ascii="Arial" w:hAnsi="Arial" w:hint="cs"/>
          <w:sz w:val="26"/>
          <w:szCs w:val="26"/>
          <w:rtl/>
        </w:rPr>
        <w:t xml:space="preserve"> (מיום 25.8.2019). אשר למדיניות הענישה ביחס לעבירות אלימות כלפי בת זוג בנסיבות מינוריות, אף זו מתמצית במאסר מותנה ושל"ץ ועד חודשי מאסר בודדים.  לדוגמה: </w:t>
      </w:r>
      <w:hyperlink r:id="rId31" w:history="1">
        <w:r w:rsidR="00877ABA" w:rsidRPr="00877ABA">
          <w:rPr>
            <w:rFonts w:ascii="Arial" w:hAnsi="Arial"/>
            <w:color w:val="0000FF"/>
            <w:sz w:val="26"/>
            <w:szCs w:val="26"/>
            <w:u w:val="single"/>
            <w:rtl/>
          </w:rPr>
          <w:t>רע"פ 1454/21</w:t>
        </w:r>
      </w:hyperlink>
      <w:r>
        <w:rPr>
          <w:rFonts w:ascii="Arial" w:hAnsi="Arial" w:hint="cs"/>
          <w:sz w:val="26"/>
          <w:szCs w:val="26"/>
          <w:rtl/>
        </w:rPr>
        <w:t xml:space="preserve"> </w:t>
      </w:r>
      <w:r w:rsidRPr="00D03124">
        <w:rPr>
          <w:rFonts w:ascii="Arial" w:hAnsi="Arial" w:hint="cs"/>
          <w:b/>
          <w:bCs/>
          <w:sz w:val="26"/>
          <w:szCs w:val="26"/>
          <w:rtl/>
        </w:rPr>
        <w:t>פלוני נ' מ"י</w:t>
      </w:r>
      <w:r>
        <w:rPr>
          <w:rFonts w:ascii="Arial" w:hAnsi="Arial" w:hint="cs"/>
          <w:sz w:val="26"/>
          <w:szCs w:val="26"/>
          <w:rtl/>
        </w:rPr>
        <w:t xml:space="preserve"> (מיום 4.3.2021) </w:t>
      </w:r>
      <w:r>
        <w:rPr>
          <w:rFonts w:ascii="Arial" w:hAnsi="Arial"/>
          <w:sz w:val="26"/>
          <w:szCs w:val="26"/>
          <w:rtl/>
        </w:rPr>
        <w:t>–</w:t>
      </w:r>
      <w:r>
        <w:rPr>
          <w:rFonts w:ascii="Arial" w:hAnsi="Arial" w:hint="cs"/>
          <w:sz w:val="26"/>
          <w:szCs w:val="26"/>
          <w:rtl/>
        </w:rPr>
        <w:t xml:space="preserve"> מקרה חמור ממקרנו שהסתיים במאסר מותנה, התחייבות וצו מבחן. </w:t>
      </w:r>
    </w:p>
    <w:p w14:paraId="1B448C89" w14:textId="77777777" w:rsidR="00722239" w:rsidRPr="00D03124" w:rsidRDefault="00722239" w:rsidP="00722239">
      <w:pPr>
        <w:pStyle w:val="a9"/>
        <w:rPr>
          <w:rFonts w:ascii="Arial" w:hAnsi="Arial"/>
          <w:sz w:val="26"/>
          <w:szCs w:val="26"/>
          <w:rtl/>
        </w:rPr>
      </w:pPr>
    </w:p>
    <w:p w14:paraId="2FD029D4" w14:textId="77777777" w:rsidR="00722239" w:rsidRDefault="00722239" w:rsidP="00722239">
      <w:pPr>
        <w:pStyle w:val="a9"/>
        <w:spacing w:line="360" w:lineRule="auto"/>
        <w:ind w:left="360"/>
        <w:jc w:val="both"/>
        <w:rPr>
          <w:rFonts w:ascii="Arial" w:hAnsi="Arial"/>
          <w:sz w:val="26"/>
          <w:szCs w:val="26"/>
        </w:rPr>
      </w:pPr>
    </w:p>
    <w:p w14:paraId="5FE17D7C" w14:textId="77777777" w:rsidR="00722239" w:rsidRDefault="00722239" w:rsidP="00722239">
      <w:pPr>
        <w:pStyle w:val="a9"/>
        <w:numPr>
          <w:ilvl w:val="0"/>
          <w:numId w:val="2"/>
        </w:numPr>
        <w:spacing w:line="360" w:lineRule="auto"/>
        <w:jc w:val="both"/>
        <w:rPr>
          <w:rFonts w:ascii="Arial" w:hAnsi="Arial"/>
          <w:sz w:val="26"/>
          <w:szCs w:val="26"/>
        </w:rPr>
      </w:pPr>
      <w:r>
        <w:rPr>
          <w:rFonts w:ascii="Arial" w:hAnsi="Arial" w:hint="cs"/>
          <w:sz w:val="26"/>
          <w:szCs w:val="26"/>
          <w:rtl/>
        </w:rPr>
        <w:t xml:space="preserve">מכאן, שהסכמת הצדדים לעונש ראויה בנסיבות העניין. </w:t>
      </w:r>
    </w:p>
    <w:p w14:paraId="6897E539" w14:textId="77777777" w:rsidR="00722239" w:rsidRPr="00D03124" w:rsidRDefault="00722239" w:rsidP="00722239">
      <w:pPr>
        <w:spacing w:line="360" w:lineRule="auto"/>
        <w:jc w:val="both"/>
        <w:rPr>
          <w:rFonts w:ascii="Arial" w:hAnsi="Arial"/>
          <w:b/>
          <w:bCs/>
          <w:sz w:val="26"/>
          <w:szCs w:val="26"/>
          <w:u w:val="single"/>
          <w:rtl/>
        </w:rPr>
      </w:pPr>
    </w:p>
    <w:p w14:paraId="26419A1E" w14:textId="77777777" w:rsidR="00722239" w:rsidRPr="00D03124" w:rsidRDefault="00722239" w:rsidP="00722239">
      <w:pPr>
        <w:spacing w:line="360" w:lineRule="auto"/>
        <w:jc w:val="both"/>
        <w:rPr>
          <w:rFonts w:ascii="Arial" w:hAnsi="Arial"/>
          <w:b/>
          <w:bCs/>
          <w:sz w:val="26"/>
          <w:szCs w:val="26"/>
          <w:u w:val="single"/>
        </w:rPr>
      </w:pPr>
      <w:r w:rsidRPr="00D03124">
        <w:rPr>
          <w:rFonts w:ascii="Arial" w:hAnsi="Arial" w:hint="cs"/>
          <w:b/>
          <w:bCs/>
          <w:sz w:val="26"/>
          <w:szCs w:val="26"/>
          <w:u w:val="single"/>
          <w:rtl/>
        </w:rPr>
        <w:t>שאלת ביטול ההרשעה</w:t>
      </w:r>
    </w:p>
    <w:p w14:paraId="3DC245A5" w14:textId="77777777" w:rsidR="00722239" w:rsidRPr="00D03124" w:rsidRDefault="00722239" w:rsidP="00722239">
      <w:pPr>
        <w:pStyle w:val="a9"/>
        <w:numPr>
          <w:ilvl w:val="0"/>
          <w:numId w:val="2"/>
        </w:numPr>
        <w:spacing w:line="360" w:lineRule="auto"/>
        <w:jc w:val="both"/>
        <w:rPr>
          <w:rFonts w:ascii="Arial" w:hAnsi="Arial"/>
          <w:sz w:val="26"/>
          <w:szCs w:val="26"/>
          <w:rtl/>
        </w:rPr>
      </w:pPr>
      <w:r>
        <w:rPr>
          <w:rFonts w:ascii="Arial" w:hAnsi="Arial" w:hint="cs"/>
          <w:sz w:val="26"/>
          <w:szCs w:val="26"/>
          <w:rtl/>
        </w:rPr>
        <w:t xml:space="preserve">כאמור, שני תנאים צריכים להתקיים לשם שקילת ביטול הרשעה: האם נסיבות העבירה ומידת חומרתה מאפשרות לוותר על הרשעה מבלי לפגוע בשיקולי ענישה אחרים, והאם הוכח בעניינו של נאשם נזק קונקרטי וקשה. אשר לשיקול הראשון, הנאשם עומד בתנאי זה, שכן כל אחד מהתיקים בנסיבותיו אינו נמצא במדרג חומרה כזה השולל אפשרות של ביטול הרשעה. מפנה לעפ"ג (מחוזי ירושלים) </w:t>
      </w:r>
      <w:hyperlink r:id="rId32" w:history="1">
        <w:r w:rsidR="006D120F" w:rsidRPr="006D120F">
          <w:rPr>
            <w:rFonts w:ascii="Arial" w:hAnsi="Arial"/>
            <w:color w:val="0000FF"/>
            <w:sz w:val="26"/>
            <w:szCs w:val="26"/>
            <w:u w:val="single"/>
            <w:rtl/>
          </w:rPr>
          <w:t xml:space="preserve">33947-10-17 </w:t>
        </w:r>
      </w:hyperlink>
      <w:r>
        <w:rPr>
          <w:rFonts w:ascii="Arial" w:hAnsi="Arial" w:hint="cs"/>
          <w:sz w:val="26"/>
          <w:szCs w:val="26"/>
          <w:rtl/>
        </w:rPr>
        <w:t xml:space="preserve"> </w:t>
      </w:r>
      <w:r w:rsidRPr="00D03124">
        <w:rPr>
          <w:rFonts w:ascii="Arial" w:hAnsi="Arial" w:hint="cs"/>
          <w:b/>
          <w:bCs/>
          <w:sz w:val="26"/>
          <w:szCs w:val="26"/>
          <w:rtl/>
        </w:rPr>
        <w:t>מ"י נ' קרוקוצקי</w:t>
      </w:r>
      <w:r>
        <w:rPr>
          <w:rFonts w:ascii="Arial" w:hAnsi="Arial" w:hint="cs"/>
          <w:sz w:val="26"/>
          <w:szCs w:val="26"/>
          <w:rtl/>
        </w:rPr>
        <w:t xml:space="preserve"> (מיום 20.3.2018) שם אושר ביטול הרשעתו של מי שסחר שש פעמים בסמים בנסיבות חמורות ממקרנו. כך גם עפ"ג (מחוזי ירושלים) </w:t>
      </w:r>
      <w:hyperlink r:id="rId33" w:history="1">
        <w:r w:rsidR="006D120F" w:rsidRPr="006D120F">
          <w:rPr>
            <w:rFonts w:ascii="Arial" w:hAnsi="Arial"/>
            <w:color w:val="0000FF"/>
            <w:sz w:val="26"/>
            <w:szCs w:val="26"/>
            <w:u w:val="single"/>
            <w:rtl/>
          </w:rPr>
          <w:t xml:space="preserve">11045-09-18 </w:t>
        </w:r>
      </w:hyperlink>
      <w:r>
        <w:rPr>
          <w:rFonts w:ascii="Arial" w:hAnsi="Arial" w:hint="cs"/>
          <w:sz w:val="26"/>
          <w:szCs w:val="26"/>
          <w:rtl/>
        </w:rPr>
        <w:t xml:space="preserve"> </w:t>
      </w:r>
      <w:r w:rsidRPr="00D03124">
        <w:rPr>
          <w:rFonts w:ascii="Arial" w:hAnsi="Arial" w:hint="cs"/>
          <w:b/>
          <w:bCs/>
          <w:sz w:val="26"/>
          <w:szCs w:val="26"/>
          <w:rtl/>
        </w:rPr>
        <w:t>פלוני נ' מ"י</w:t>
      </w:r>
      <w:r>
        <w:rPr>
          <w:rFonts w:ascii="Arial" w:hAnsi="Arial" w:hint="cs"/>
          <w:sz w:val="26"/>
          <w:szCs w:val="26"/>
          <w:rtl/>
        </w:rPr>
        <w:t xml:space="preserve"> (מיום 3.3.2019) שם ביטל בית המשפט המחוזי את הרשעת מי שתיאם עסקת סמים בהיקף נרחב וביצע שתי עבירות סחר. אשר לתנאי השני, נדמה כי גם על תנאי זה עונה הנאשם. ראשית, כפי שציין הסניגור, לימודי המשפטים אינם תיאורטיים, ואף הנאשם עמד על כך בדבריו לפניי לפני מתן גזר הדין. הנאשם סיים מכינה בציון גבוה וסיפר כי הלימודים מקנים לו תחושה של תקווה ועתיד, אמירה משמעותית במיוחד נוכח מצבו הנפשי הקשה, שהוכח במסמכים ממטפליו. שנית, בידוע, שמתן הרשאה לעסוק בעריכת דין ואף בהתמחות מחייב הצהרה על היעדר עבר פלילי או רישום המאפשר זאת. מכאן שהותרת ההרשעה על כנה תסכן באופן משמעותי את האפשרות של הנאשם לעסוק במקצוע עריכת הדין [ראו: </w:t>
      </w:r>
      <w:hyperlink r:id="rId34" w:history="1">
        <w:r w:rsidR="00A81126" w:rsidRPr="00A81126">
          <w:rPr>
            <w:rStyle w:val="Hyperlink"/>
            <w:rFonts w:ascii="Arial" w:hAnsi="Arial"/>
            <w:sz w:val="26"/>
            <w:szCs w:val="26"/>
            <w:rtl/>
          </w:rPr>
          <w:t>סעיף 44</w:t>
        </w:r>
      </w:hyperlink>
      <w:r>
        <w:rPr>
          <w:rFonts w:ascii="Arial" w:hAnsi="Arial" w:hint="cs"/>
          <w:sz w:val="26"/>
          <w:szCs w:val="26"/>
          <w:rtl/>
        </w:rPr>
        <w:t xml:space="preserve"> ל</w:t>
      </w:r>
      <w:hyperlink r:id="rId35" w:history="1">
        <w:r w:rsidR="00877ABA" w:rsidRPr="00877ABA">
          <w:rPr>
            <w:rFonts w:ascii="Arial" w:hAnsi="Arial"/>
            <w:color w:val="0000FF"/>
            <w:sz w:val="26"/>
            <w:szCs w:val="26"/>
            <w:u w:val="single"/>
            <w:rtl/>
          </w:rPr>
          <w:t>חוק לשכת עורכי הדין</w:t>
        </w:r>
      </w:hyperlink>
      <w:r>
        <w:rPr>
          <w:rFonts w:ascii="Arial" w:hAnsi="Arial" w:hint="cs"/>
          <w:sz w:val="26"/>
          <w:szCs w:val="26"/>
          <w:rtl/>
        </w:rPr>
        <w:t xml:space="preserve">, התשכ"א-1961)]. משכך, ונוכח הנסיבות הייחודיות של הנאשם בעקבות אירועי ה-7.10.2023, </w:t>
      </w:r>
      <w:r w:rsidRPr="00D03124">
        <w:rPr>
          <w:rFonts w:ascii="Arial" w:hAnsi="Arial" w:hint="cs"/>
          <w:b/>
          <w:bCs/>
          <w:sz w:val="26"/>
          <w:szCs w:val="26"/>
          <w:rtl/>
        </w:rPr>
        <w:t>מורה על ביטול הרשעתו</w:t>
      </w:r>
      <w:r>
        <w:rPr>
          <w:rFonts w:ascii="Arial" w:hAnsi="Arial" w:hint="cs"/>
          <w:b/>
          <w:bCs/>
          <w:sz w:val="26"/>
          <w:szCs w:val="26"/>
          <w:rtl/>
        </w:rPr>
        <w:t>, תוך הותרת הקביעה כי הנאשם ביצע את העבירות בהן הודה על כנה</w:t>
      </w:r>
      <w:r w:rsidRPr="00D03124">
        <w:rPr>
          <w:rFonts w:ascii="Arial" w:hAnsi="Arial" w:hint="cs"/>
          <w:b/>
          <w:bCs/>
          <w:sz w:val="26"/>
          <w:szCs w:val="26"/>
          <w:rtl/>
        </w:rPr>
        <w:t>.</w:t>
      </w:r>
      <w:r>
        <w:rPr>
          <w:rFonts w:ascii="Arial" w:hAnsi="Arial" w:hint="cs"/>
          <w:sz w:val="26"/>
          <w:szCs w:val="26"/>
          <w:rtl/>
        </w:rPr>
        <w:t xml:space="preserve"> </w:t>
      </w:r>
    </w:p>
    <w:p w14:paraId="60F68F20" w14:textId="77777777" w:rsidR="00722239" w:rsidRDefault="00722239" w:rsidP="00722239">
      <w:pPr>
        <w:spacing w:line="360" w:lineRule="auto"/>
        <w:jc w:val="both"/>
        <w:rPr>
          <w:rFonts w:ascii="Arial" w:hAnsi="Arial"/>
          <w:sz w:val="26"/>
          <w:szCs w:val="26"/>
          <w:rtl/>
        </w:rPr>
      </w:pPr>
    </w:p>
    <w:p w14:paraId="6DDDA3B3" w14:textId="77777777" w:rsidR="00722239" w:rsidRPr="00D03124" w:rsidRDefault="00722239" w:rsidP="00722239">
      <w:pPr>
        <w:spacing w:line="360" w:lineRule="auto"/>
        <w:jc w:val="both"/>
        <w:rPr>
          <w:rFonts w:ascii="Arial" w:hAnsi="Arial"/>
          <w:b/>
          <w:bCs/>
          <w:sz w:val="26"/>
          <w:szCs w:val="26"/>
          <w:u w:val="single"/>
          <w:rtl/>
        </w:rPr>
      </w:pPr>
      <w:r w:rsidRPr="00D03124">
        <w:rPr>
          <w:rFonts w:ascii="Arial" w:hAnsi="Arial" w:hint="cs"/>
          <w:b/>
          <w:bCs/>
          <w:sz w:val="26"/>
          <w:szCs w:val="26"/>
          <w:u w:val="single"/>
          <w:rtl/>
        </w:rPr>
        <w:t>גזירת הדין</w:t>
      </w:r>
    </w:p>
    <w:p w14:paraId="6ADE0B80" w14:textId="77777777" w:rsidR="00722239" w:rsidRDefault="00722239" w:rsidP="00722239">
      <w:pPr>
        <w:pStyle w:val="a9"/>
        <w:numPr>
          <w:ilvl w:val="0"/>
          <w:numId w:val="2"/>
        </w:numPr>
        <w:spacing w:line="360" w:lineRule="auto"/>
        <w:jc w:val="both"/>
        <w:rPr>
          <w:rFonts w:ascii="Arial" w:hAnsi="Arial"/>
          <w:sz w:val="26"/>
          <w:szCs w:val="26"/>
        </w:rPr>
      </w:pPr>
      <w:r>
        <w:rPr>
          <w:rFonts w:ascii="Arial" w:hAnsi="Arial" w:hint="cs"/>
          <w:sz w:val="26"/>
          <w:szCs w:val="26"/>
          <w:rtl/>
        </w:rPr>
        <w:t>נוכח מכלול הדברים, גוזר על הנאשם את העונשים הבאים:</w:t>
      </w:r>
    </w:p>
    <w:p w14:paraId="636C28E8" w14:textId="77777777" w:rsidR="00722239" w:rsidRDefault="00722239" w:rsidP="00722239">
      <w:pPr>
        <w:pStyle w:val="a9"/>
        <w:numPr>
          <w:ilvl w:val="0"/>
          <w:numId w:val="3"/>
        </w:numPr>
        <w:spacing w:line="360" w:lineRule="auto"/>
        <w:jc w:val="both"/>
        <w:rPr>
          <w:rFonts w:ascii="Arial" w:hAnsi="Arial"/>
          <w:sz w:val="26"/>
          <w:szCs w:val="26"/>
        </w:rPr>
      </w:pPr>
      <w:r>
        <w:rPr>
          <w:rFonts w:ascii="Arial" w:hAnsi="Arial" w:hint="cs"/>
          <w:sz w:val="26"/>
          <w:szCs w:val="26"/>
          <w:rtl/>
        </w:rPr>
        <w:t xml:space="preserve">100 שעות של"ץ </w:t>
      </w:r>
      <w:r>
        <w:rPr>
          <w:rFonts w:ascii="Arial" w:hAnsi="Arial"/>
          <w:sz w:val="26"/>
          <w:szCs w:val="26"/>
          <w:rtl/>
        </w:rPr>
        <w:t>–</w:t>
      </w:r>
      <w:r>
        <w:rPr>
          <w:rFonts w:ascii="Arial" w:hAnsi="Arial" w:hint="cs"/>
          <w:sz w:val="26"/>
          <w:szCs w:val="26"/>
          <w:rtl/>
        </w:rPr>
        <w:t xml:space="preserve"> היקף השעות נמוך נוכח המלצת שירות המבחן והמסמכים שהוגשו לי ביחס ליכולת התפקוד של הנאשם. שירות המבחן יגיש תוכנית עד ליום 1.1.2025;</w:t>
      </w:r>
    </w:p>
    <w:p w14:paraId="476A2C6A" w14:textId="77777777" w:rsidR="00722239" w:rsidRDefault="00722239" w:rsidP="00722239">
      <w:pPr>
        <w:pStyle w:val="a9"/>
        <w:numPr>
          <w:ilvl w:val="0"/>
          <w:numId w:val="3"/>
        </w:numPr>
        <w:spacing w:line="360" w:lineRule="auto"/>
        <w:jc w:val="both"/>
        <w:rPr>
          <w:rFonts w:ascii="Arial" w:hAnsi="Arial"/>
          <w:sz w:val="26"/>
          <w:szCs w:val="26"/>
        </w:rPr>
      </w:pPr>
      <w:r>
        <w:rPr>
          <w:rFonts w:ascii="Arial" w:hAnsi="Arial" w:hint="cs"/>
          <w:sz w:val="26"/>
          <w:szCs w:val="26"/>
          <w:rtl/>
        </w:rPr>
        <w:t>פיצוי לעמותת אל-סם, בסך 2,000 ₪, לתשלום עד ליום 1.12.2025;</w:t>
      </w:r>
    </w:p>
    <w:p w14:paraId="4F36BA12" w14:textId="77777777" w:rsidR="00722239" w:rsidRDefault="00722239" w:rsidP="00722239">
      <w:pPr>
        <w:pStyle w:val="a9"/>
        <w:numPr>
          <w:ilvl w:val="0"/>
          <w:numId w:val="3"/>
        </w:numPr>
        <w:spacing w:line="360" w:lineRule="auto"/>
        <w:jc w:val="both"/>
        <w:rPr>
          <w:rFonts w:ascii="Arial" w:hAnsi="Arial"/>
          <w:sz w:val="26"/>
          <w:szCs w:val="26"/>
        </w:rPr>
      </w:pPr>
      <w:r>
        <w:rPr>
          <w:rFonts w:ascii="Arial" w:hAnsi="Arial" w:hint="cs"/>
          <w:sz w:val="26"/>
          <w:szCs w:val="26"/>
          <w:rtl/>
        </w:rPr>
        <w:t>התחייבות בסך 5,000 ₪ שלא לבצע בתוך שנה מהיום כל עבירת פשע לפי פקודת הסמים וכן כל עבירת אלימות לרבות איומים;</w:t>
      </w:r>
    </w:p>
    <w:p w14:paraId="018D1D09" w14:textId="77777777" w:rsidR="00722239" w:rsidRDefault="00722239" w:rsidP="00722239">
      <w:pPr>
        <w:pStyle w:val="a9"/>
        <w:numPr>
          <w:ilvl w:val="0"/>
          <w:numId w:val="3"/>
        </w:numPr>
        <w:spacing w:line="360" w:lineRule="auto"/>
        <w:jc w:val="both"/>
        <w:rPr>
          <w:rFonts w:ascii="Arial" w:hAnsi="Arial"/>
          <w:sz w:val="26"/>
          <w:szCs w:val="26"/>
        </w:rPr>
      </w:pPr>
      <w:r>
        <w:rPr>
          <w:rFonts w:ascii="Arial" w:hAnsi="Arial" w:hint="cs"/>
          <w:sz w:val="26"/>
          <w:szCs w:val="26"/>
          <w:rtl/>
        </w:rPr>
        <w:t>צו מבחן למשך שנה מהיום;</w:t>
      </w:r>
    </w:p>
    <w:p w14:paraId="1D9F833E" w14:textId="77777777" w:rsidR="00722239" w:rsidRDefault="00722239" w:rsidP="00722239">
      <w:pPr>
        <w:pStyle w:val="a9"/>
        <w:numPr>
          <w:ilvl w:val="0"/>
          <w:numId w:val="3"/>
        </w:numPr>
        <w:spacing w:line="360" w:lineRule="auto"/>
        <w:jc w:val="both"/>
        <w:rPr>
          <w:rFonts w:ascii="Arial" w:hAnsi="Arial"/>
          <w:sz w:val="26"/>
          <w:szCs w:val="26"/>
        </w:rPr>
      </w:pPr>
      <w:r>
        <w:rPr>
          <w:rFonts w:ascii="Arial" w:hAnsi="Arial" w:hint="cs"/>
          <w:sz w:val="26"/>
          <w:szCs w:val="26"/>
          <w:rtl/>
        </w:rPr>
        <w:t>מורה על השמדת הסמים.</w:t>
      </w:r>
    </w:p>
    <w:p w14:paraId="0B7A9202" w14:textId="77777777" w:rsidR="00722239" w:rsidRDefault="00722239" w:rsidP="00722239">
      <w:pPr>
        <w:spacing w:line="360" w:lineRule="auto"/>
        <w:jc w:val="both"/>
        <w:rPr>
          <w:rFonts w:ascii="Arial" w:hAnsi="Arial"/>
          <w:sz w:val="26"/>
          <w:szCs w:val="26"/>
          <w:rtl/>
        </w:rPr>
      </w:pPr>
    </w:p>
    <w:p w14:paraId="78400358" w14:textId="77777777" w:rsidR="00722239" w:rsidRPr="00D03124" w:rsidRDefault="00722239" w:rsidP="00722239">
      <w:pPr>
        <w:spacing w:line="360" w:lineRule="auto"/>
        <w:jc w:val="both"/>
        <w:rPr>
          <w:rFonts w:ascii="Arial" w:hAnsi="Arial"/>
          <w:b/>
          <w:bCs/>
          <w:sz w:val="26"/>
          <w:szCs w:val="26"/>
          <w:rtl/>
        </w:rPr>
      </w:pPr>
      <w:r w:rsidRPr="00D03124">
        <w:rPr>
          <w:rFonts w:ascii="Arial" w:hAnsi="Arial" w:hint="cs"/>
          <w:b/>
          <w:bCs/>
          <w:sz w:val="26"/>
          <w:szCs w:val="26"/>
          <w:rtl/>
        </w:rPr>
        <w:t xml:space="preserve">הנאשם הוזהר כי אי ביצוע השל"ץ או צו המבחן כראוי עלול להוביל להרשעתו ולגזירת עונשו מחדש לרבות למאסר. </w:t>
      </w:r>
    </w:p>
    <w:p w14:paraId="4ACD3A65" w14:textId="77777777" w:rsidR="00722239" w:rsidRDefault="00722239" w:rsidP="00722239">
      <w:pPr>
        <w:spacing w:line="360" w:lineRule="auto"/>
        <w:jc w:val="both"/>
        <w:rPr>
          <w:rFonts w:ascii="Arial" w:hAnsi="Arial"/>
          <w:sz w:val="26"/>
          <w:szCs w:val="26"/>
          <w:rtl/>
        </w:rPr>
      </w:pPr>
    </w:p>
    <w:p w14:paraId="3E461AD2" w14:textId="77777777" w:rsidR="00722239" w:rsidRDefault="00722239" w:rsidP="00722239">
      <w:pPr>
        <w:spacing w:line="360" w:lineRule="auto"/>
        <w:jc w:val="both"/>
        <w:rPr>
          <w:rFonts w:ascii="Arial" w:hAnsi="Arial"/>
          <w:sz w:val="26"/>
          <w:szCs w:val="26"/>
          <w:rtl/>
        </w:rPr>
      </w:pPr>
    </w:p>
    <w:p w14:paraId="227FB3DF" w14:textId="77777777" w:rsidR="00722239" w:rsidRDefault="00722239" w:rsidP="00722239">
      <w:pPr>
        <w:spacing w:line="360" w:lineRule="auto"/>
        <w:jc w:val="both"/>
        <w:rPr>
          <w:rFonts w:ascii="David" w:hAnsi="David"/>
          <w:b/>
          <w:bCs/>
        </w:rPr>
      </w:pPr>
      <w:r>
        <w:rPr>
          <w:rFonts w:ascii="David" w:hAnsi="David"/>
          <w:b/>
          <w:bCs/>
          <w:rtl/>
        </w:rPr>
        <w:t>קנסות ופיצויים ניתן לשלם כעבור 3 ימים מיום מתן גזר הדין בחשבון המרכז לגביית קנסות בדרכים הבאות:</w:t>
      </w:r>
    </w:p>
    <w:p w14:paraId="182433BA" w14:textId="77777777" w:rsidR="00722239" w:rsidRDefault="00722239" w:rsidP="00722239">
      <w:pPr>
        <w:pStyle w:val="a9"/>
        <w:numPr>
          <w:ilvl w:val="0"/>
          <w:numId w:val="4"/>
        </w:numPr>
        <w:spacing w:line="360" w:lineRule="auto"/>
        <w:jc w:val="both"/>
        <w:rPr>
          <w:rFonts w:ascii="David" w:hAnsi="David"/>
          <w:b/>
          <w:bCs/>
          <w:lang w:bidi="ar-JO"/>
        </w:rPr>
      </w:pPr>
      <w:r>
        <w:rPr>
          <w:rFonts w:ascii="David" w:hAnsi="David"/>
          <w:b/>
          <w:bCs/>
          <w:rtl/>
        </w:rPr>
        <w:t xml:space="preserve">בכרטיס אשראי באתר </w:t>
      </w:r>
      <w:hyperlink r:id="rId36" w:history="1">
        <w:r>
          <w:rPr>
            <w:rStyle w:val="Hyperlink"/>
            <w:rFonts w:ascii="David" w:hAnsi="David"/>
            <w:b/>
            <w:bCs/>
            <w:lang w:bidi="ar-JO"/>
          </w:rPr>
          <w:t>www.eca.gov.il</w:t>
        </w:r>
      </w:hyperlink>
      <w:r>
        <w:rPr>
          <w:rFonts w:ascii="David" w:hAnsi="David"/>
          <w:b/>
          <w:bCs/>
          <w:lang w:bidi="ar-JO"/>
        </w:rPr>
        <w:t xml:space="preserve"> </w:t>
      </w:r>
    </w:p>
    <w:p w14:paraId="3FE12583" w14:textId="77777777" w:rsidR="00722239" w:rsidRDefault="00722239" w:rsidP="00722239">
      <w:pPr>
        <w:pStyle w:val="a9"/>
        <w:numPr>
          <w:ilvl w:val="0"/>
          <w:numId w:val="4"/>
        </w:numPr>
        <w:spacing w:line="360" w:lineRule="auto"/>
        <w:jc w:val="both"/>
        <w:rPr>
          <w:rFonts w:ascii="David" w:hAnsi="David"/>
          <w:b/>
          <w:bCs/>
        </w:rPr>
      </w:pPr>
      <w:r>
        <w:rPr>
          <w:rFonts w:ascii="David" w:hAnsi="David"/>
          <w:b/>
          <w:bCs/>
          <w:rtl/>
        </w:rPr>
        <w:t>בטלפון: 35592* או 073-2055000</w:t>
      </w:r>
    </w:p>
    <w:p w14:paraId="3B68DC3F" w14:textId="77777777" w:rsidR="00722239" w:rsidRDefault="00722239" w:rsidP="00722239">
      <w:pPr>
        <w:pStyle w:val="a9"/>
        <w:numPr>
          <w:ilvl w:val="0"/>
          <w:numId w:val="4"/>
        </w:numPr>
        <w:spacing w:line="360" w:lineRule="auto"/>
        <w:jc w:val="both"/>
        <w:rPr>
          <w:rFonts w:ascii="David" w:hAnsi="David"/>
          <w:b/>
          <w:bCs/>
        </w:rPr>
      </w:pPr>
      <w:r>
        <w:rPr>
          <w:rFonts w:ascii="David" w:hAnsi="David"/>
          <w:b/>
          <w:bCs/>
          <w:rtl/>
        </w:rPr>
        <w:t>במזומן בכל סניף של בנק הדואר בהצגת תעודת זהות בלבד</w:t>
      </w:r>
    </w:p>
    <w:p w14:paraId="40D62591" w14:textId="77777777" w:rsidR="00722239" w:rsidRDefault="00722239" w:rsidP="00722239">
      <w:pPr>
        <w:spacing w:line="360" w:lineRule="auto"/>
        <w:jc w:val="both"/>
        <w:rPr>
          <w:rFonts w:ascii="David" w:hAnsi="David"/>
          <w:b/>
          <w:bCs/>
        </w:rPr>
      </w:pPr>
      <w:r>
        <w:rPr>
          <w:rFonts w:ascii="David" w:hAnsi="David"/>
          <w:b/>
          <w:bCs/>
          <w:rtl/>
        </w:rPr>
        <w:t>לא יונפקו שוברי תשלום.</w:t>
      </w:r>
    </w:p>
    <w:p w14:paraId="726C0CDB" w14:textId="77777777" w:rsidR="00722239" w:rsidRDefault="00722239" w:rsidP="00722239">
      <w:pPr>
        <w:spacing w:line="360" w:lineRule="auto"/>
        <w:rPr>
          <w:b/>
          <w:bCs/>
          <w:rtl/>
        </w:rPr>
      </w:pPr>
      <w:r>
        <w:rPr>
          <w:b/>
          <w:bCs/>
          <w:rtl/>
        </w:rPr>
        <w:t>ניתן לקזז מכל הפקדה שבתיק או בתיק קשור על אף הודעת עיקול. ככל שקיימות יתרות זכות ואין עיקולים ניתן להשיב למפקיד</w:t>
      </w:r>
      <w:r>
        <w:rPr>
          <w:rFonts w:hint="cs"/>
          <w:b/>
          <w:bCs/>
          <w:rtl/>
        </w:rPr>
        <w:t xml:space="preserve"> ובלבד שלא בוצע חילוט</w:t>
      </w:r>
      <w:r>
        <w:rPr>
          <w:b/>
          <w:bCs/>
          <w:rtl/>
        </w:rPr>
        <w:t>.</w:t>
      </w:r>
    </w:p>
    <w:p w14:paraId="36361DF4" w14:textId="77777777" w:rsidR="00722239" w:rsidRDefault="00722239" w:rsidP="00722239">
      <w:pPr>
        <w:spacing w:line="360" w:lineRule="auto"/>
        <w:rPr>
          <w:b/>
          <w:bCs/>
          <w:rtl/>
        </w:rPr>
      </w:pPr>
    </w:p>
    <w:p w14:paraId="5527DECC" w14:textId="77777777" w:rsidR="00722239" w:rsidRDefault="00722239" w:rsidP="00722239">
      <w:pPr>
        <w:spacing w:line="360" w:lineRule="auto"/>
        <w:rPr>
          <w:b/>
          <w:bCs/>
          <w:rtl/>
        </w:rPr>
      </w:pPr>
      <w:r>
        <w:rPr>
          <w:rFonts w:hint="cs"/>
          <w:b/>
          <w:bCs/>
          <w:rtl/>
        </w:rPr>
        <w:t>יש לשלוח לשירות המבחן ולממונה על עבודות השירות.</w:t>
      </w:r>
    </w:p>
    <w:p w14:paraId="759B2B0C" w14:textId="77777777" w:rsidR="00722239" w:rsidRPr="00877ABA" w:rsidRDefault="00877ABA" w:rsidP="00722239">
      <w:pPr>
        <w:spacing w:line="360" w:lineRule="auto"/>
        <w:rPr>
          <w:b/>
          <w:bCs/>
          <w:color w:val="FFFFFF"/>
          <w:sz w:val="2"/>
          <w:szCs w:val="2"/>
          <w:rtl/>
        </w:rPr>
      </w:pPr>
      <w:r w:rsidRPr="00877ABA">
        <w:rPr>
          <w:b/>
          <w:bCs/>
          <w:color w:val="FFFFFF"/>
          <w:sz w:val="2"/>
          <w:szCs w:val="2"/>
          <w:rtl/>
        </w:rPr>
        <w:t>5129371</w:t>
      </w:r>
    </w:p>
    <w:p w14:paraId="5CCF5DA0" w14:textId="77777777" w:rsidR="00722239" w:rsidRDefault="00877ABA" w:rsidP="00722239">
      <w:pPr>
        <w:spacing w:line="360" w:lineRule="auto"/>
        <w:rPr>
          <w:b/>
          <w:bCs/>
          <w:rtl/>
        </w:rPr>
      </w:pPr>
      <w:r w:rsidRPr="00877ABA">
        <w:rPr>
          <w:b/>
          <w:bCs/>
          <w:color w:val="FFFFFF"/>
          <w:sz w:val="2"/>
          <w:szCs w:val="2"/>
          <w:rtl/>
        </w:rPr>
        <w:t>54678313</w:t>
      </w:r>
      <w:r w:rsidR="00722239">
        <w:rPr>
          <w:rFonts w:hint="cs"/>
          <w:b/>
          <w:bCs/>
          <w:rtl/>
        </w:rPr>
        <w:t>זכות ערעור כחוק.</w:t>
      </w:r>
    </w:p>
    <w:p w14:paraId="1A479D1E" w14:textId="77777777" w:rsidR="00722239" w:rsidRPr="00C167B5" w:rsidRDefault="00722239" w:rsidP="00722239"/>
    <w:p w14:paraId="48634125" w14:textId="77777777" w:rsidR="00722239" w:rsidRPr="000F2247" w:rsidRDefault="00877ABA" w:rsidP="0072223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תשרי תשפ"ה, 13 אוקטובר 2024, במעמד הצדדים. </w:t>
      </w:r>
      <w:bookmarkEnd w:id="8"/>
      <w:r w:rsidR="00722239">
        <w:rPr>
          <w:rFonts w:ascii="Arial" w:hAnsi="Arial"/>
          <w:b/>
          <w:bCs/>
          <w:sz w:val="26"/>
          <w:szCs w:val="26"/>
          <w:rtl/>
        </w:rPr>
        <w:tab/>
      </w:r>
      <w:r w:rsidR="00722239">
        <w:rPr>
          <w:rFonts w:ascii="Arial" w:hAnsi="Arial"/>
          <w:b/>
          <w:bCs/>
          <w:sz w:val="26"/>
          <w:szCs w:val="26"/>
          <w:rtl/>
        </w:rPr>
        <w:tab/>
      </w:r>
      <w:r w:rsidR="00722239">
        <w:rPr>
          <w:rFonts w:ascii="Arial" w:hAnsi="Arial"/>
          <w:b/>
          <w:bCs/>
          <w:sz w:val="26"/>
          <w:szCs w:val="26"/>
          <w:rtl/>
        </w:rPr>
        <w:tab/>
      </w:r>
      <w:r w:rsidR="00722239">
        <w:rPr>
          <w:rFonts w:ascii="Arial" w:hAnsi="Arial"/>
          <w:b/>
          <w:bCs/>
          <w:sz w:val="26"/>
          <w:szCs w:val="26"/>
          <w:rtl/>
        </w:rPr>
        <w:tab/>
      </w:r>
      <w:r w:rsidR="00722239">
        <w:rPr>
          <w:rFonts w:ascii="Arial" w:hAnsi="Arial"/>
          <w:b/>
          <w:bCs/>
          <w:sz w:val="26"/>
          <w:szCs w:val="26"/>
          <w:rtl/>
        </w:rPr>
        <w:tab/>
      </w:r>
      <w:r w:rsidR="00722239">
        <w:rPr>
          <w:rFonts w:ascii="Arial" w:hAnsi="Arial"/>
          <w:b/>
          <w:bCs/>
          <w:sz w:val="26"/>
          <w:szCs w:val="26"/>
          <w:rtl/>
        </w:rPr>
        <w:tab/>
      </w:r>
      <w:r w:rsidR="00722239">
        <w:rPr>
          <w:rFonts w:ascii="Arial" w:hAnsi="Arial"/>
          <w:b/>
          <w:bCs/>
          <w:sz w:val="26"/>
          <w:szCs w:val="26"/>
          <w:rtl/>
        </w:rPr>
        <w:tab/>
      </w:r>
      <w:r w:rsidR="00722239">
        <w:rPr>
          <w:rFonts w:ascii="Arial" w:hAnsi="Arial" w:hint="cs"/>
          <w:b/>
          <w:bCs/>
          <w:sz w:val="26"/>
          <w:szCs w:val="26"/>
          <w:rtl/>
        </w:rPr>
        <w:t xml:space="preserve">         </w:t>
      </w:r>
    </w:p>
    <w:p w14:paraId="22C6F997" w14:textId="77777777" w:rsidR="00877ABA" w:rsidRDefault="00877ABA" w:rsidP="00877ABA">
      <w:pPr>
        <w:rPr>
          <w:rtl/>
        </w:rPr>
      </w:pPr>
    </w:p>
    <w:p w14:paraId="4661E4D4" w14:textId="77777777" w:rsidR="00877ABA" w:rsidRDefault="00877ABA" w:rsidP="00877ABA">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34948417" w14:textId="77777777" w:rsidR="00A81126" w:rsidRPr="00A81126" w:rsidRDefault="00A81126" w:rsidP="00A81126">
      <w:pPr>
        <w:keepNext/>
        <w:rPr>
          <w:rFonts w:ascii="David" w:hAnsi="David"/>
          <w:color w:val="000000"/>
          <w:sz w:val="22"/>
          <w:szCs w:val="22"/>
          <w:rtl/>
        </w:rPr>
      </w:pPr>
    </w:p>
    <w:p w14:paraId="409C2F7C" w14:textId="77777777" w:rsidR="00A81126" w:rsidRPr="00A81126" w:rsidRDefault="00A81126" w:rsidP="00A81126">
      <w:pPr>
        <w:keepNext/>
        <w:rPr>
          <w:rFonts w:ascii="David" w:hAnsi="David"/>
          <w:color w:val="000000"/>
          <w:sz w:val="22"/>
          <w:szCs w:val="22"/>
          <w:rtl/>
        </w:rPr>
      </w:pPr>
      <w:r w:rsidRPr="00A81126">
        <w:rPr>
          <w:rFonts w:ascii="David" w:hAnsi="David"/>
          <w:color w:val="000000"/>
          <w:sz w:val="22"/>
          <w:szCs w:val="22"/>
          <w:rtl/>
        </w:rPr>
        <w:t>דוד שאול גבאי ריכטר 54678313-/</w:t>
      </w:r>
    </w:p>
    <w:p w14:paraId="42D68CAD" w14:textId="77777777" w:rsidR="00877ABA" w:rsidRPr="00877ABA" w:rsidRDefault="00A81126" w:rsidP="00A81126">
      <w:pPr>
        <w:rPr>
          <w:color w:val="0000FF"/>
          <w:u w:val="single"/>
        </w:rPr>
      </w:pPr>
      <w:r w:rsidRPr="00A81126">
        <w:rPr>
          <w:color w:val="000000"/>
          <w:u w:val="single"/>
          <w:rtl/>
        </w:rPr>
        <w:t>נוסח מסמך זה כפוף לשינויי ניסוח ועריכה</w:t>
      </w:r>
    </w:p>
    <w:sectPr w:rsidR="00877ABA" w:rsidRPr="00877ABA" w:rsidSect="00A81126">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93DA8" w14:textId="77777777" w:rsidR="00960AA2" w:rsidRDefault="00960AA2" w:rsidP="008D053B">
      <w:r>
        <w:separator/>
      </w:r>
    </w:p>
  </w:endnote>
  <w:endnote w:type="continuationSeparator" w:id="0">
    <w:p w14:paraId="4DB63F13" w14:textId="77777777" w:rsidR="00960AA2" w:rsidRDefault="00960AA2" w:rsidP="008D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B89FF" w14:textId="77777777" w:rsidR="00A81126" w:rsidRDefault="00A81126" w:rsidP="00A811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39F579" w14:textId="77777777" w:rsidR="00FB6597" w:rsidRPr="00A81126" w:rsidRDefault="00A81126" w:rsidP="00A81126">
    <w:pPr>
      <w:pStyle w:val="a5"/>
      <w:pBdr>
        <w:top w:val="single" w:sz="4" w:space="1" w:color="auto"/>
        <w:between w:val="single" w:sz="4" w:space="0" w:color="auto"/>
      </w:pBdr>
      <w:spacing w:after="60"/>
      <w:jc w:val="center"/>
      <w:rPr>
        <w:rFonts w:ascii="FrankRuehl" w:hAnsi="FrankRuehl" w:cs="FrankRuehl"/>
        <w:color w:val="000000"/>
      </w:rPr>
    </w:pPr>
    <w:r w:rsidRPr="00A811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69AB7" w14:textId="77777777" w:rsidR="00A81126" w:rsidRDefault="00A81126" w:rsidP="00A811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6C7F">
      <w:rPr>
        <w:rFonts w:ascii="FrankRuehl" w:hAnsi="FrankRuehl" w:cs="FrankRuehl"/>
        <w:noProof/>
        <w:rtl/>
      </w:rPr>
      <w:t>1</w:t>
    </w:r>
    <w:r>
      <w:rPr>
        <w:rFonts w:ascii="FrankRuehl" w:hAnsi="FrankRuehl" w:cs="FrankRuehl"/>
        <w:rtl/>
      </w:rPr>
      <w:fldChar w:fldCharType="end"/>
    </w:r>
  </w:p>
  <w:p w14:paraId="0D7A5159" w14:textId="77777777" w:rsidR="00FB6597" w:rsidRPr="00A81126" w:rsidRDefault="00A81126" w:rsidP="00A81126">
    <w:pPr>
      <w:pStyle w:val="a5"/>
      <w:pBdr>
        <w:top w:val="single" w:sz="4" w:space="1" w:color="auto"/>
        <w:between w:val="single" w:sz="4" w:space="0" w:color="auto"/>
      </w:pBdr>
      <w:spacing w:after="60"/>
      <w:jc w:val="center"/>
      <w:rPr>
        <w:rFonts w:ascii="FrankRuehl" w:hAnsi="FrankRuehl" w:cs="FrankRuehl"/>
        <w:color w:val="000000"/>
      </w:rPr>
    </w:pPr>
    <w:r w:rsidRPr="00A81126">
      <w:rPr>
        <w:rFonts w:ascii="FrankRuehl" w:hAnsi="FrankRuehl" w:cs="FrankRuehl"/>
        <w:color w:val="000000"/>
      </w:rPr>
      <w:pict w14:anchorId="26B70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DAF5D" w14:textId="77777777" w:rsidR="00960AA2" w:rsidRDefault="00960AA2" w:rsidP="008D053B">
      <w:r>
        <w:separator/>
      </w:r>
    </w:p>
  </w:footnote>
  <w:footnote w:type="continuationSeparator" w:id="0">
    <w:p w14:paraId="300FD329" w14:textId="77777777" w:rsidR="00960AA2" w:rsidRDefault="00960AA2" w:rsidP="008D0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31AD3" w14:textId="77777777" w:rsidR="00877ABA" w:rsidRPr="00A81126" w:rsidRDefault="00A81126" w:rsidP="00A8112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9373-04-23</w:t>
    </w:r>
    <w:r>
      <w:rPr>
        <w:rFonts w:ascii="David" w:hAnsi="David"/>
        <w:color w:val="000000"/>
        <w:sz w:val="22"/>
        <w:szCs w:val="22"/>
        <w:rtl/>
      </w:rPr>
      <w:tab/>
      <w:t xml:space="preserve"> מדינת ישראל נ' עדן ביטון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BF095" w14:textId="77777777" w:rsidR="00877ABA" w:rsidRPr="00A81126" w:rsidRDefault="00A81126" w:rsidP="00A8112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9373-04-23</w:t>
    </w:r>
    <w:r>
      <w:rPr>
        <w:rFonts w:ascii="David" w:hAnsi="David"/>
        <w:color w:val="000000"/>
        <w:sz w:val="22"/>
        <w:szCs w:val="22"/>
        <w:rtl/>
      </w:rPr>
      <w:tab/>
      <w:t xml:space="preserve"> מדינת ישראל נ' עדן ביטון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319B1"/>
    <w:multiLevelType w:val="hybridMultilevel"/>
    <w:tmpl w:val="8FA2B852"/>
    <w:lvl w:ilvl="0" w:tplc="8B3ADB3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A2387"/>
    <w:multiLevelType w:val="hybridMultilevel"/>
    <w:tmpl w:val="BA32A3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348540D"/>
    <w:multiLevelType w:val="hybridMultilevel"/>
    <w:tmpl w:val="D3F4AF6A"/>
    <w:lvl w:ilvl="0" w:tplc="8E7A5B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849698">
    <w:abstractNumId w:val="3"/>
  </w:num>
  <w:num w:numId="2" w16cid:durableId="436801348">
    <w:abstractNumId w:val="1"/>
  </w:num>
  <w:num w:numId="3" w16cid:durableId="1301419081">
    <w:abstractNumId w:val="0"/>
  </w:num>
  <w:num w:numId="4" w16cid:durableId="1903834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2239"/>
    <w:rsid w:val="000A0DE5"/>
    <w:rsid w:val="001A76B1"/>
    <w:rsid w:val="00322869"/>
    <w:rsid w:val="00530292"/>
    <w:rsid w:val="00676C7F"/>
    <w:rsid w:val="006D120F"/>
    <w:rsid w:val="00722239"/>
    <w:rsid w:val="007C13DA"/>
    <w:rsid w:val="00877ABA"/>
    <w:rsid w:val="008D053B"/>
    <w:rsid w:val="00960AA2"/>
    <w:rsid w:val="00A81126"/>
    <w:rsid w:val="00B650A3"/>
    <w:rsid w:val="00FA3681"/>
    <w:rsid w:val="00FB6597"/>
    <w:rsid w:val="00FD61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059BAC"/>
  <w15:chartTrackingRefBased/>
  <w15:docId w15:val="{53A396D7-A7EE-412B-97E7-9ECDB276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223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2239"/>
    <w:pPr>
      <w:tabs>
        <w:tab w:val="center" w:pos="4153"/>
        <w:tab w:val="right" w:pos="8306"/>
      </w:tabs>
    </w:pPr>
  </w:style>
  <w:style w:type="character" w:customStyle="1" w:styleId="a4">
    <w:name w:val="כותרת עליונה תו"/>
    <w:link w:val="a3"/>
    <w:rsid w:val="00722239"/>
    <w:rPr>
      <w:rFonts w:ascii="Times New Roman" w:eastAsia="Times New Roman" w:hAnsi="Times New Roman" w:cs="David"/>
      <w:sz w:val="24"/>
      <w:szCs w:val="24"/>
    </w:rPr>
  </w:style>
  <w:style w:type="paragraph" w:styleId="a5">
    <w:name w:val="footer"/>
    <w:basedOn w:val="a"/>
    <w:link w:val="a6"/>
    <w:rsid w:val="00722239"/>
    <w:pPr>
      <w:tabs>
        <w:tab w:val="center" w:pos="4153"/>
        <w:tab w:val="right" w:pos="8306"/>
      </w:tabs>
    </w:pPr>
  </w:style>
  <w:style w:type="character" w:customStyle="1" w:styleId="a6">
    <w:name w:val="כותרת תחתונה תו"/>
    <w:link w:val="a5"/>
    <w:rsid w:val="00722239"/>
    <w:rPr>
      <w:rFonts w:ascii="Times New Roman" w:eastAsia="Times New Roman" w:hAnsi="Times New Roman" w:cs="David"/>
      <w:sz w:val="24"/>
      <w:szCs w:val="24"/>
    </w:rPr>
  </w:style>
  <w:style w:type="table" w:styleId="a7">
    <w:name w:val="Table Grid"/>
    <w:basedOn w:val="a1"/>
    <w:rsid w:val="0072223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22239"/>
  </w:style>
  <w:style w:type="paragraph" w:styleId="a9">
    <w:name w:val="List Paragraph"/>
    <w:basedOn w:val="a"/>
    <w:qFormat/>
    <w:rsid w:val="00722239"/>
    <w:pPr>
      <w:ind w:left="720"/>
      <w:contextualSpacing/>
    </w:pPr>
  </w:style>
  <w:style w:type="character" w:styleId="Hyperlink">
    <w:name w:val="Hyperlink"/>
    <w:rsid w:val="007222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case/29524365" TargetMode="External"/><Relationship Id="rId26" Type="http://schemas.openxmlformats.org/officeDocument/2006/relationships/hyperlink" Target="http://www.nevo.co.il/case/29056069" TargetMode="External"/><Relationship Id="rId39" Type="http://schemas.openxmlformats.org/officeDocument/2006/relationships/header" Target="header2.xml"/><Relationship Id="rId21" Type="http://schemas.openxmlformats.org/officeDocument/2006/relationships/hyperlink" Target="http://www.nevo.co.il/law/4216/13" TargetMode="External"/><Relationship Id="rId34" Type="http://schemas.openxmlformats.org/officeDocument/2006/relationships/hyperlink" Target="http://www.nevo.co.il/law/4393/44"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393" TargetMode="External"/><Relationship Id="rId20" Type="http://schemas.openxmlformats.org/officeDocument/2006/relationships/hyperlink" Target="http://www.nevo.co.il/law/4216/7.a.;7.c" TargetMode="External"/><Relationship Id="rId29" Type="http://schemas.openxmlformats.org/officeDocument/2006/relationships/hyperlink" Target="http://www.nevo.co.il/case/581078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29.a" TargetMode="External"/><Relationship Id="rId32" Type="http://schemas.openxmlformats.org/officeDocument/2006/relationships/hyperlink" Target="http://www.nevo.co.il/case/23158178"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82.b"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70301" TargetMode="External"/><Relationship Id="rId36" Type="http://schemas.openxmlformats.org/officeDocument/2006/relationships/hyperlink" Target="http://www.eca.gov.il"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2743661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9.a"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0301/382.b" TargetMode="External"/><Relationship Id="rId30" Type="http://schemas.openxmlformats.org/officeDocument/2006/relationships/hyperlink" Target="http://www.nevo.co.il/case/25975844" TargetMode="External"/><Relationship Id="rId35" Type="http://schemas.openxmlformats.org/officeDocument/2006/relationships/hyperlink" Target="http://www.nevo.co.il/law/4393"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393/44"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497123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1535</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9197</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7864368</vt:i4>
      </vt:variant>
      <vt:variant>
        <vt:i4>87</vt:i4>
      </vt:variant>
      <vt:variant>
        <vt:i4>0</vt:i4>
      </vt:variant>
      <vt:variant>
        <vt:i4>5</vt:i4>
      </vt:variant>
      <vt:variant>
        <vt:lpwstr>http://www.eca.gov.il/</vt:lpwstr>
      </vt:variant>
      <vt:variant>
        <vt:lpwstr/>
      </vt:variant>
      <vt:variant>
        <vt:i4>7995501</vt:i4>
      </vt:variant>
      <vt:variant>
        <vt:i4>84</vt:i4>
      </vt:variant>
      <vt:variant>
        <vt:i4>0</vt:i4>
      </vt:variant>
      <vt:variant>
        <vt:i4>5</vt:i4>
      </vt:variant>
      <vt:variant>
        <vt:lpwstr>http://www.nevo.co.il/law/4393</vt:lpwstr>
      </vt:variant>
      <vt:variant>
        <vt:lpwstr/>
      </vt:variant>
      <vt:variant>
        <vt:i4>5111874</vt:i4>
      </vt:variant>
      <vt:variant>
        <vt:i4>81</vt:i4>
      </vt:variant>
      <vt:variant>
        <vt:i4>0</vt:i4>
      </vt:variant>
      <vt:variant>
        <vt:i4>5</vt:i4>
      </vt:variant>
      <vt:variant>
        <vt:lpwstr>http://www.nevo.co.il/law/4393/44</vt:lpwstr>
      </vt:variant>
      <vt:variant>
        <vt:lpwstr/>
      </vt:variant>
      <vt:variant>
        <vt:i4>3735669</vt:i4>
      </vt:variant>
      <vt:variant>
        <vt:i4>78</vt:i4>
      </vt:variant>
      <vt:variant>
        <vt:i4>0</vt:i4>
      </vt:variant>
      <vt:variant>
        <vt:i4>5</vt:i4>
      </vt:variant>
      <vt:variant>
        <vt:lpwstr>http://www.nevo.co.il/case/24971234</vt:lpwstr>
      </vt:variant>
      <vt:variant>
        <vt:lpwstr/>
      </vt:variant>
      <vt:variant>
        <vt:i4>3932275</vt:i4>
      </vt:variant>
      <vt:variant>
        <vt:i4>75</vt:i4>
      </vt:variant>
      <vt:variant>
        <vt:i4>0</vt:i4>
      </vt:variant>
      <vt:variant>
        <vt:i4>5</vt:i4>
      </vt:variant>
      <vt:variant>
        <vt:lpwstr>http://www.nevo.co.il/case/23158178</vt:lpwstr>
      </vt:variant>
      <vt:variant>
        <vt:lpwstr/>
      </vt:variant>
      <vt:variant>
        <vt:i4>3211382</vt:i4>
      </vt:variant>
      <vt:variant>
        <vt:i4>72</vt:i4>
      </vt:variant>
      <vt:variant>
        <vt:i4>0</vt:i4>
      </vt:variant>
      <vt:variant>
        <vt:i4>5</vt:i4>
      </vt:variant>
      <vt:variant>
        <vt:lpwstr>http://www.nevo.co.il/case/27436610</vt:lpwstr>
      </vt:variant>
      <vt:variant>
        <vt:lpwstr/>
      </vt:variant>
      <vt:variant>
        <vt:i4>3801214</vt:i4>
      </vt:variant>
      <vt:variant>
        <vt:i4>69</vt:i4>
      </vt:variant>
      <vt:variant>
        <vt:i4>0</vt:i4>
      </vt:variant>
      <vt:variant>
        <vt:i4>5</vt:i4>
      </vt:variant>
      <vt:variant>
        <vt:lpwstr>http://www.nevo.co.il/case/25975844</vt:lpwstr>
      </vt:variant>
      <vt:variant>
        <vt:lpwstr/>
      </vt:variant>
      <vt:variant>
        <vt:i4>3276916</vt:i4>
      </vt:variant>
      <vt:variant>
        <vt:i4>66</vt:i4>
      </vt:variant>
      <vt:variant>
        <vt:i4>0</vt:i4>
      </vt:variant>
      <vt:variant>
        <vt:i4>5</vt:i4>
      </vt:variant>
      <vt:variant>
        <vt:lpwstr>http://www.nevo.co.il/case/5810781</vt:lpwstr>
      </vt:variant>
      <vt:variant>
        <vt:lpwstr/>
      </vt:variant>
      <vt:variant>
        <vt:i4>7995492</vt:i4>
      </vt:variant>
      <vt:variant>
        <vt:i4>63</vt:i4>
      </vt:variant>
      <vt:variant>
        <vt:i4>0</vt:i4>
      </vt:variant>
      <vt:variant>
        <vt:i4>5</vt:i4>
      </vt:variant>
      <vt:variant>
        <vt:lpwstr>http://www.nevo.co.il/law/70301</vt:lpwstr>
      </vt:variant>
      <vt:variant>
        <vt:lpwstr/>
      </vt:variant>
      <vt:variant>
        <vt:i4>4390996</vt:i4>
      </vt:variant>
      <vt:variant>
        <vt:i4>60</vt:i4>
      </vt:variant>
      <vt:variant>
        <vt:i4>0</vt:i4>
      </vt:variant>
      <vt:variant>
        <vt:i4>5</vt:i4>
      </vt:variant>
      <vt:variant>
        <vt:lpwstr>http://www.nevo.co.il/law/70301/382.b</vt:lpwstr>
      </vt:variant>
      <vt:variant>
        <vt:lpwstr/>
      </vt:variant>
      <vt:variant>
        <vt:i4>3276920</vt:i4>
      </vt:variant>
      <vt:variant>
        <vt:i4>57</vt:i4>
      </vt:variant>
      <vt:variant>
        <vt:i4>0</vt:i4>
      </vt:variant>
      <vt:variant>
        <vt:i4>5</vt:i4>
      </vt:variant>
      <vt:variant>
        <vt:lpwstr>http://www.nevo.co.il/case/29056069</vt:lpwstr>
      </vt:variant>
      <vt:variant>
        <vt:lpwstr/>
      </vt:variant>
      <vt:variant>
        <vt:i4>7995492</vt:i4>
      </vt:variant>
      <vt:variant>
        <vt:i4>54</vt:i4>
      </vt:variant>
      <vt:variant>
        <vt:i4>0</vt:i4>
      </vt:variant>
      <vt:variant>
        <vt:i4>5</vt:i4>
      </vt:variant>
      <vt:variant>
        <vt:lpwstr>http://www.nevo.co.il/law/70301</vt:lpwstr>
      </vt:variant>
      <vt:variant>
        <vt:lpwstr/>
      </vt:variant>
      <vt:variant>
        <vt:i4>852041</vt:i4>
      </vt:variant>
      <vt:variant>
        <vt:i4>51</vt:i4>
      </vt:variant>
      <vt:variant>
        <vt:i4>0</vt:i4>
      </vt:variant>
      <vt:variant>
        <vt:i4>5</vt:i4>
      </vt:variant>
      <vt:variant>
        <vt:lpwstr>http://www.nevo.co.il/law/70301/29.a</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3473532</vt:i4>
      </vt:variant>
      <vt:variant>
        <vt:i4>33</vt:i4>
      </vt:variant>
      <vt:variant>
        <vt:i4>0</vt:i4>
      </vt:variant>
      <vt:variant>
        <vt:i4>5</vt:i4>
      </vt:variant>
      <vt:variant>
        <vt:lpwstr>http://www.nevo.co.il/case/29524365</vt:lpwstr>
      </vt:variant>
      <vt:variant>
        <vt:lpwstr/>
      </vt:variant>
      <vt:variant>
        <vt:i4>5111874</vt:i4>
      </vt:variant>
      <vt:variant>
        <vt:i4>30</vt:i4>
      </vt:variant>
      <vt:variant>
        <vt:i4>0</vt:i4>
      </vt:variant>
      <vt:variant>
        <vt:i4>5</vt:i4>
      </vt:variant>
      <vt:variant>
        <vt:lpwstr>http://www.nevo.co.il/law/4393/44</vt:lpwstr>
      </vt:variant>
      <vt:variant>
        <vt:lpwstr/>
      </vt:variant>
      <vt:variant>
        <vt:i4>7995501</vt:i4>
      </vt:variant>
      <vt:variant>
        <vt:i4>27</vt:i4>
      </vt:variant>
      <vt:variant>
        <vt:i4>0</vt:i4>
      </vt:variant>
      <vt:variant>
        <vt:i4>5</vt:i4>
      </vt:variant>
      <vt:variant>
        <vt:lpwstr>http://www.nevo.co.il/law/4393</vt:lpwstr>
      </vt:variant>
      <vt:variant>
        <vt:lpwstr/>
      </vt:variant>
      <vt:variant>
        <vt:i4>4390996</vt:i4>
      </vt:variant>
      <vt:variant>
        <vt:i4>24</vt:i4>
      </vt:variant>
      <vt:variant>
        <vt:i4>0</vt:i4>
      </vt:variant>
      <vt:variant>
        <vt:i4>5</vt:i4>
      </vt:variant>
      <vt:variant>
        <vt:lpwstr>http://www.nevo.co.il/law/70301/382.b</vt:lpwstr>
      </vt:variant>
      <vt:variant>
        <vt:lpwstr/>
      </vt:variant>
      <vt:variant>
        <vt:i4>852041</vt:i4>
      </vt:variant>
      <vt:variant>
        <vt:i4>21</vt:i4>
      </vt:variant>
      <vt:variant>
        <vt:i4>0</vt:i4>
      </vt:variant>
      <vt:variant>
        <vt:i4>5</vt:i4>
      </vt:variant>
      <vt:variant>
        <vt:lpwstr>http://www.nevo.co.il/law/70301/29.a</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2025-04-23T01:46:00Z</dcterms:created>
  <dcterms:modified xsi:type="dcterms:W3CDTF">2025-04-23T01:46:00Z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9373;22506</vt:lpwstr>
  </property>
  <property fmtid="{D5CDD505-2E9C-101B-9397-08002B2CF9AE}" pid="6" name="NEWPARTB">
    <vt:lpwstr>04;10</vt:lpwstr>
  </property>
  <property fmtid="{D5CDD505-2E9C-101B-9397-08002B2CF9AE}" pid="7" name="NEWPARTC">
    <vt:lpwstr>23;22</vt:lpwstr>
  </property>
  <property fmtid="{D5CDD505-2E9C-101B-9397-08002B2CF9AE}" pid="8" name="APPELLANT">
    <vt:lpwstr>מדינת ישראל</vt:lpwstr>
  </property>
  <property fmtid="{D5CDD505-2E9C-101B-9397-08002B2CF9AE}" pid="9" name="APPELLEE">
    <vt:lpwstr>עדן ביטון</vt:lpwstr>
  </property>
  <property fmtid="{D5CDD505-2E9C-101B-9397-08002B2CF9AE}" pid="10" name="LAWYER">
    <vt:lpwstr>גבי טרונשווילי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20241013</vt:lpwstr>
  </property>
  <property fmtid="{D5CDD505-2E9C-101B-9397-08002B2CF9AE}" pid="14" name="TYPE_N_DATE">
    <vt:lpwstr>38020241013</vt:lpwstr>
  </property>
  <property fmtid="{D5CDD505-2E9C-101B-9397-08002B2CF9AE}" pid="15" name="WORDNUMPAGES">
    <vt:lpwstr>5</vt:lpwstr>
  </property>
  <property fmtid="{D5CDD505-2E9C-101B-9397-08002B2CF9AE}" pid="16" name="TYPE_ABS_DATE">
    <vt:lpwstr>380020241013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29524365;29056069;5810781;25975844;27436610;23158178;24971234</vt:lpwstr>
  </property>
  <property fmtid="{D5CDD505-2E9C-101B-9397-08002B2CF9AE}" pid="36" name="LAWLISTTMP1">
    <vt:lpwstr>4216/007.a:2;007.c:2;013;019a</vt:lpwstr>
  </property>
  <property fmtid="{D5CDD505-2E9C-101B-9397-08002B2CF9AE}" pid="37" name="LAWLISTTMP2">
    <vt:lpwstr>70301/025;029.a;382.b</vt:lpwstr>
  </property>
  <property fmtid="{D5CDD505-2E9C-101B-9397-08002B2CF9AE}" pid="38" name="LAWLISTTMP3">
    <vt:lpwstr>4393/044</vt:lpwstr>
  </property>
</Properties>
</file>