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B67CC4" w:rsidRPr="000F6C27" w14:paraId="07762CB3" w14:textId="77777777" w:rsidTr="00824125">
        <w:trPr>
          <w:gridAfter w:val="1"/>
          <w:wAfter w:w="99" w:type="dxa"/>
          <w:trHeight w:hRule="exact" w:val="418"/>
          <w:jc w:val="center"/>
        </w:trPr>
        <w:tc>
          <w:tcPr>
            <w:tcW w:w="8721" w:type="dxa"/>
            <w:gridSpan w:val="4"/>
          </w:tcPr>
          <w:p w14:paraId="73C92AA7" w14:textId="77777777" w:rsidR="00B67CC4" w:rsidRPr="000F6C27" w:rsidRDefault="00B67CC4" w:rsidP="00646D86">
            <w:pPr>
              <w:pStyle w:val="a3"/>
              <w:jc w:val="center"/>
              <w:rPr>
                <w:rFonts w:ascii="Tahoma" w:hAnsi="Tahoma" w:cs="Tahoma"/>
                <w:color w:val="000080"/>
                <w:rtl/>
              </w:rPr>
            </w:pPr>
            <w:bookmarkStart w:id="0" w:name="LastJudge"/>
            <w:r w:rsidRPr="000F6C27">
              <w:rPr>
                <w:rFonts w:ascii="Tahoma" w:hAnsi="Tahoma" w:cs="Tahoma"/>
                <w:b/>
                <w:bCs/>
                <w:color w:val="000080"/>
                <w:rtl/>
              </w:rPr>
              <w:t>בית משפט השלום בבאר שבע</w:t>
            </w:r>
          </w:p>
        </w:tc>
      </w:tr>
      <w:tr w:rsidR="00B67CC4" w:rsidRPr="000F6C27" w14:paraId="09A78338" w14:textId="77777777" w:rsidTr="00824125">
        <w:trPr>
          <w:gridAfter w:val="1"/>
          <w:wAfter w:w="99" w:type="dxa"/>
          <w:trHeight w:val="337"/>
          <w:jc w:val="center"/>
        </w:trPr>
        <w:tc>
          <w:tcPr>
            <w:tcW w:w="5054" w:type="dxa"/>
            <w:gridSpan w:val="3"/>
          </w:tcPr>
          <w:p w14:paraId="5B9D9562" w14:textId="77777777" w:rsidR="00B67CC4" w:rsidRPr="000F6C27" w:rsidRDefault="00B67CC4" w:rsidP="00646D86">
            <w:pPr>
              <w:rPr>
                <w:rFonts w:cs="FrankRuehl"/>
                <w:sz w:val="28"/>
                <w:szCs w:val="28"/>
                <w:rtl/>
              </w:rPr>
            </w:pPr>
            <w:r w:rsidRPr="000F6C27">
              <w:rPr>
                <w:rFonts w:cs="FrankRuehl"/>
                <w:sz w:val="28"/>
                <w:szCs w:val="28"/>
                <w:rtl/>
              </w:rPr>
              <w:t>ת"פ</w:t>
            </w:r>
            <w:r w:rsidRPr="000F6C27">
              <w:rPr>
                <w:rFonts w:cs="FrankRuehl" w:hint="cs"/>
                <w:sz w:val="28"/>
                <w:szCs w:val="28"/>
                <w:rtl/>
              </w:rPr>
              <w:t xml:space="preserve"> </w:t>
            </w:r>
            <w:r w:rsidRPr="000F6C27">
              <w:rPr>
                <w:rFonts w:cs="FrankRuehl"/>
                <w:sz w:val="28"/>
                <w:szCs w:val="28"/>
                <w:rtl/>
              </w:rPr>
              <w:t>4878-05-23</w:t>
            </w:r>
            <w:r w:rsidRPr="000F6C27">
              <w:rPr>
                <w:rFonts w:cs="FrankRuehl" w:hint="cs"/>
                <w:sz w:val="28"/>
                <w:szCs w:val="28"/>
                <w:rtl/>
              </w:rPr>
              <w:t xml:space="preserve"> </w:t>
            </w:r>
            <w:r w:rsidRPr="000F6C27">
              <w:rPr>
                <w:rFonts w:cs="FrankRuehl"/>
                <w:sz w:val="28"/>
                <w:szCs w:val="28"/>
                <w:rtl/>
              </w:rPr>
              <w:t>מדינת ישראל נ' חמי</w:t>
            </w:r>
          </w:p>
          <w:p w14:paraId="4778BFF2" w14:textId="77777777" w:rsidR="00B67CC4" w:rsidRPr="000F6C27" w:rsidRDefault="00B67CC4" w:rsidP="00646D86">
            <w:pPr>
              <w:pStyle w:val="a3"/>
              <w:rPr>
                <w:rFonts w:cs="FrankRuehl"/>
                <w:sz w:val="28"/>
                <w:szCs w:val="28"/>
                <w:rtl/>
              </w:rPr>
            </w:pPr>
          </w:p>
        </w:tc>
        <w:tc>
          <w:tcPr>
            <w:tcW w:w="3667" w:type="dxa"/>
          </w:tcPr>
          <w:p w14:paraId="7E687D9A" w14:textId="77777777" w:rsidR="00B67CC4" w:rsidRPr="000F6C27" w:rsidRDefault="00B67CC4" w:rsidP="00646D86">
            <w:pPr>
              <w:pStyle w:val="a3"/>
              <w:jc w:val="right"/>
              <w:rPr>
                <w:rFonts w:cs="FrankRuehl"/>
                <w:sz w:val="28"/>
                <w:szCs w:val="28"/>
                <w:rtl/>
              </w:rPr>
            </w:pPr>
          </w:p>
        </w:tc>
      </w:tr>
      <w:tr w:rsidR="00B67CC4" w:rsidRPr="000F6C27" w14:paraId="480EB863" w14:textId="77777777" w:rsidTr="008241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A61C1FF" w14:textId="77777777" w:rsidR="00B67CC4" w:rsidRPr="000F6C27" w:rsidRDefault="00B67CC4" w:rsidP="00B67CC4">
            <w:pPr>
              <w:jc w:val="both"/>
              <w:rPr>
                <w:rFonts w:ascii="David" w:hAnsi="David"/>
                <w:sz w:val="26"/>
                <w:szCs w:val="26"/>
              </w:rPr>
            </w:pPr>
            <w:r w:rsidRPr="000F6C27">
              <w:rPr>
                <w:rFonts w:hint="cs"/>
                <w:rtl/>
              </w:rPr>
              <w:t xml:space="preserve"> </w:t>
            </w:r>
            <w:r w:rsidRPr="000F6C27">
              <w:rPr>
                <w:rFonts w:ascii="David" w:hAnsi="David" w:hint="cs"/>
                <w:sz w:val="26"/>
                <w:szCs w:val="26"/>
                <w:rtl/>
              </w:rPr>
              <w:t>ל</w:t>
            </w:r>
            <w:r w:rsidRPr="000F6C27">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135C5EDB" w14:textId="77777777" w:rsidR="00B67CC4" w:rsidRPr="000F6C27" w:rsidRDefault="00B67CC4" w:rsidP="00646D86">
            <w:pPr>
              <w:rPr>
                <w:rFonts w:ascii="David" w:hAnsi="David"/>
                <w:b/>
                <w:bCs/>
                <w:sz w:val="26"/>
                <w:szCs w:val="26"/>
                <w:rtl/>
              </w:rPr>
            </w:pPr>
            <w:r w:rsidRPr="000F6C27">
              <w:rPr>
                <w:rFonts w:ascii="David" w:hAnsi="David"/>
                <w:b/>
                <w:bCs/>
                <w:sz w:val="26"/>
                <w:szCs w:val="26"/>
                <w:rtl/>
              </w:rPr>
              <w:t>כבוד השופטת  אורית קרץ</w:t>
            </w:r>
          </w:p>
          <w:p w14:paraId="59AFBDEA" w14:textId="77777777" w:rsidR="00B67CC4" w:rsidRPr="000F6C27" w:rsidRDefault="00B67CC4" w:rsidP="00646D86">
            <w:pPr>
              <w:rPr>
                <w:rFonts w:ascii="David" w:hAnsi="David"/>
                <w:sz w:val="26"/>
                <w:szCs w:val="26"/>
                <w:rtl/>
              </w:rPr>
            </w:pPr>
          </w:p>
          <w:p w14:paraId="4615A95A" w14:textId="77777777" w:rsidR="00B67CC4" w:rsidRPr="000F6C27" w:rsidRDefault="00B67CC4" w:rsidP="00B67CC4">
            <w:pPr>
              <w:jc w:val="both"/>
              <w:rPr>
                <w:rFonts w:ascii="David" w:hAnsi="David"/>
                <w:sz w:val="26"/>
                <w:szCs w:val="26"/>
              </w:rPr>
            </w:pPr>
          </w:p>
        </w:tc>
      </w:tr>
      <w:tr w:rsidR="00B67CC4" w:rsidRPr="000F6C27" w14:paraId="3A934F3E" w14:textId="77777777" w:rsidTr="008241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7C48DDF" w14:textId="77777777" w:rsidR="00B67CC4" w:rsidRPr="000F6C27" w:rsidRDefault="00B67CC4" w:rsidP="00B67CC4">
            <w:pPr>
              <w:jc w:val="both"/>
              <w:rPr>
                <w:rFonts w:ascii="David" w:hAnsi="David"/>
                <w:sz w:val="26"/>
                <w:szCs w:val="26"/>
              </w:rPr>
            </w:pPr>
            <w:bookmarkStart w:id="1" w:name="FirstAppellant"/>
            <w:r w:rsidRPr="000F6C27">
              <w:rPr>
                <w:rFonts w:ascii="David" w:hAnsi="David"/>
                <w:sz w:val="26"/>
                <w:szCs w:val="26"/>
                <w:rtl/>
              </w:rPr>
              <w:t>בעניין:</w:t>
            </w:r>
          </w:p>
        </w:tc>
        <w:tc>
          <w:tcPr>
            <w:tcW w:w="3219" w:type="dxa"/>
            <w:tcBorders>
              <w:top w:val="nil"/>
              <w:left w:val="nil"/>
              <w:bottom w:val="nil"/>
              <w:right w:val="nil"/>
            </w:tcBorders>
            <w:shd w:val="clear" w:color="auto" w:fill="auto"/>
          </w:tcPr>
          <w:p w14:paraId="4A839108" w14:textId="77777777" w:rsidR="00B67CC4" w:rsidRPr="000F6C27" w:rsidRDefault="00B67CC4" w:rsidP="00B67CC4">
            <w:pPr>
              <w:suppressLineNumbers/>
            </w:pPr>
            <w:r w:rsidRPr="000F6C27">
              <w:rPr>
                <w:rFonts w:ascii="Arial" w:hAnsi="Arial" w:hint="cs"/>
                <w:b/>
                <w:bCs/>
                <w:sz w:val="26"/>
                <w:szCs w:val="26"/>
                <w:rtl/>
              </w:rPr>
              <w:t>ה</w:t>
            </w:r>
            <w:r w:rsidRPr="000F6C27">
              <w:rPr>
                <w:rFonts w:ascii="Arial" w:hAnsi="Arial"/>
                <w:b/>
                <w:bCs/>
                <w:sz w:val="26"/>
                <w:szCs w:val="26"/>
                <w:rtl/>
              </w:rPr>
              <w:t>מאשימה</w:t>
            </w:r>
          </w:p>
          <w:p w14:paraId="345FC4D6" w14:textId="77777777" w:rsidR="00B67CC4" w:rsidRPr="000F6C27" w:rsidRDefault="00B67CC4" w:rsidP="00646D86">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590F12EB" w14:textId="77777777" w:rsidR="00B67CC4" w:rsidRPr="000F6C27" w:rsidRDefault="00B67CC4" w:rsidP="00B67CC4">
            <w:pPr>
              <w:suppressLineNumbers/>
              <w:rPr>
                <w:rFonts w:ascii="Arial" w:hAnsi="Arial"/>
                <w:b/>
                <w:bCs/>
                <w:sz w:val="26"/>
                <w:szCs w:val="26"/>
                <w:rtl/>
              </w:rPr>
            </w:pPr>
            <w:r w:rsidRPr="000F6C27">
              <w:rPr>
                <w:rFonts w:ascii="Arial" w:hAnsi="Arial"/>
                <w:b/>
                <w:bCs/>
                <w:sz w:val="26"/>
                <w:szCs w:val="26"/>
                <w:rtl/>
              </w:rPr>
              <w:t>מדינת ישראל</w:t>
            </w:r>
            <w:r w:rsidRPr="000F6C27">
              <w:rPr>
                <w:rFonts w:ascii="Arial" w:hAnsi="Arial" w:hint="cs"/>
                <w:b/>
                <w:bCs/>
                <w:sz w:val="26"/>
                <w:szCs w:val="26"/>
                <w:rtl/>
              </w:rPr>
              <w:t xml:space="preserve"> </w:t>
            </w:r>
          </w:p>
          <w:p w14:paraId="32559EA8" w14:textId="77777777" w:rsidR="00B67CC4" w:rsidRPr="000F6C27" w:rsidRDefault="00B67CC4" w:rsidP="00B67CC4">
            <w:pPr>
              <w:suppressLineNumbers/>
            </w:pPr>
            <w:r w:rsidRPr="000F6C27">
              <w:rPr>
                <w:rFonts w:ascii="Arial" w:hAnsi="Arial"/>
                <w:b/>
                <w:bCs/>
                <w:sz w:val="26"/>
                <w:szCs w:val="26"/>
                <w:rtl/>
              </w:rPr>
              <w:t xml:space="preserve">ע"י </w:t>
            </w:r>
            <w:r w:rsidRPr="000F6C27">
              <w:rPr>
                <w:rFonts w:ascii="Arial" w:hAnsi="Arial" w:hint="cs"/>
                <w:b/>
                <w:bCs/>
                <w:sz w:val="26"/>
                <w:szCs w:val="26"/>
                <w:rtl/>
              </w:rPr>
              <w:t>משטרת ישראל, לשכת תביעות נגב דרומי</w:t>
            </w:r>
          </w:p>
          <w:p w14:paraId="19B47258" w14:textId="77777777" w:rsidR="00B67CC4" w:rsidRPr="000F6C27" w:rsidRDefault="00B67CC4" w:rsidP="00646D86">
            <w:pPr>
              <w:rPr>
                <w:rFonts w:ascii="David" w:hAnsi="David"/>
                <w:sz w:val="26"/>
                <w:szCs w:val="26"/>
              </w:rPr>
            </w:pPr>
          </w:p>
        </w:tc>
      </w:tr>
      <w:bookmarkEnd w:id="1"/>
      <w:tr w:rsidR="00B67CC4" w:rsidRPr="000F6C27" w14:paraId="23ACA54D" w14:textId="77777777" w:rsidTr="008241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053DCFB" w14:textId="77777777" w:rsidR="00B67CC4" w:rsidRPr="000F6C27" w:rsidRDefault="00B67CC4" w:rsidP="00B67CC4">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6C5172C1" w14:textId="77777777" w:rsidR="00B67CC4" w:rsidRPr="000F6C27" w:rsidRDefault="00B67CC4" w:rsidP="00B67CC4">
            <w:pPr>
              <w:jc w:val="center"/>
              <w:rPr>
                <w:rFonts w:ascii="David" w:hAnsi="David"/>
                <w:b/>
                <w:bCs/>
                <w:sz w:val="26"/>
                <w:szCs w:val="26"/>
                <w:rtl/>
              </w:rPr>
            </w:pPr>
          </w:p>
          <w:p w14:paraId="0BAC53B2" w14:textId="77777777" w:rsidR="00B67CC4" w:rsidRPr="000F6C27" w:rsidRDefault="00B67CC4" w:rsidP="00B67CC4">
            <w:pPr>
              <w:jc w:val="center"/>
              <w:rPr>
                <w:rFonts w:ascii="David" w:hAnsi="David"/>
                <w:b/>
                <w:bCs/>
                <w:sz w:val="26"/>
                <w:szCs w:val="26"/>
                <w:rtl/>
              </w:rPr>
            </w:pPr>
            <w:r w:rsidRPr="000F6C27">
              <w:rPr>
                <w:rFonts w:ascii="David" w:hAnsi="David"/>
                <w:b/>
                <w:bCs/>
                <w:sz w:val="26"/>
                <w:szCs w:val="26"/>
                <w:rtl/>
              </w:rPr>
              <w:t>נגד</w:t>
            </w:r>
          </w:p>
          <w:p w14:paraId="6D13979F" w14:textId="77777777" w:rsidR="00B67CC4" w:rsidRPr="000F6C27" w:rsidRDefault="00B67CC4" w:rsidP="00B67CC4">
            <w:pPr>
              <w:jc w:val="both"/>
              <w:rPr>
                <w:rFonts w:ascii="David" w:hAnsi="David"/>
                <w:sz w:val="26"/>
                <w:szCs w:val="26"/>
              </w:rPr>
            </w:pPr>
          </w:p>
        </w:tc>
      </w:tr>
      <w:tr w:rsidR="00B67CC4" w:rsidRPr="000F6C27" w14:paraId="3B838055" w14:textId="77777777" w:rsidTr="008241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14E3C3D" w14:textId="77777777" w:rsidR="00B67CC4" w:rsidRPr="000F6C27" w:rsidRDefault="00B67CC4" w:rsidP="00646D86">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2169ABA8" w14:textId="77777777" w:rsidR="00B67CC4" w:rsidRPr="000F6C27" w:rsidRDefault="00B67CC4" w:rsidP="00646D86">
            <w:pPr>
              <w:rPr>
                <w:rFonts w:ascii="Arial" w:hAnsi="Arial"/>
                <w:b/>
                <w:bCs/>
                <w:sz w:val="26"/>
                <w:szCs w:val="26"/>
                <w:rtl/>
              </w:rPr>
            </w:pPr>
            <w:r w:rsidRPr="000F6C27">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6DEB080C" w14:textId="77777777" w:rsidR="00B67CC4" w:rsidRPr="000F6C27" w:rsidRDefault="00B67CC4" w:rsidP="00B67CC4">
            <w:pPr>
              <w:suppressLineNumbers/>
              <w:rPr>
                <w:rFonts w:ascii="Arial" w:hAnsi="Arial"/>
                <w:b/>
                <w:bCs/>
                <w:sz w:val="26"/>
                <w:szCs w:val="26"/>
                <w:rtl/>
              </w:rPr>
            </w:pPr>
            <w:r w:rsidRPr="000F6C27">
              <w:rPr>
                <w:rFonts w:ascii="Arial" w:hAnsi="Arial"/>
                <w:b/>
                <w:bCs/>
                <w:sz w:val="26"/>
                <w:szCs w:val="26"/>
                <w:rtl/>
              </w:rPr>
              <w:t>עדי חמי</w:t>
            </w:r>
            <w:r w:rsidRPr="000F6C27">
              <w:rPr>
                <w:rFonts w:ascii="Arial" w:hAnsi="Arial" w:hint="cs"/>
                <w:b/>
                <w:bCs/>
                <w:sz w:val="26"/>
                <w:szCs w:val="26"/>
                <w:rtl/>
              </w:rPr>
              <w:t xml:space="preserve"> </w:t>
            </w:r>
          </w:p>
          <w:p w14:paraId="6CA0A127" w14:textId="77777777" w:rsidR="00B67CC4" w:rsidRPr="000F6C27" w:rsidRDefault="00B67CC4" w:rsidP="00B67CC4">
            <w:pPr>
              <w:suppressLineNumbers/>
            </w:pPr>
            <w:r w:rsidRPr="000F6C27">
              <w:rPr>
                <w:rFonts w:ascii="Arial" w:hAnsi="Arial"/>
                <w:b/>
                <w:bCs/>
                <w:sz w:val="26"/>
                <w:szCs w:val="26"/>
                <w:rtl/>
              </w:rPr>
              <w:t>ע"י ב"כ עו</w:t>
            </w:r>
            <w:r w:rsidRPr="000F6C27">
              <w:rPr>
                <w:rFonts w:ascii="Arial" w:hAnsi="Arial" w:hint="cs"/>
                <w:b/>
                <w:bCs/>
                <w:sz w:val="26"/>
                <w:szCs w:val="26"/>
                <w:rtl/>
              </w:rPr>
              <w:t>"ד עמית ויצמן</w:t>
            </w:r>
          </w:p>
          <w:p w14:paraId="69534B7A" w14:textId="77777777" w:rsidR="00B67CC4" w:rsidRPr="000F6C27" w:rsidRDefault="00B67CC4" w:rsidP="00646D86">
            <w:pPr>
              <w:rPr>
                <w:rFonts w:ascii="David" w:hAnsi="David"/>
                <w:sz w:val="26"/>
                <w:szCs w:val="26"/>
              </w:rPr>
            </w:pPr>
          </w:p>
        </w:tc>
      </w:tr>
      <w:bookmarkEnd w:id="2"/>
    </w:tbl>
    <w:p w14:paraId="3EDEFDC4" w14:textId="77777777" w:rsidR="000F6C27" w:rsidRPr="000F6C27" w:rsidRDefault="000F6C27" w:rsidP="000F6C27">
      <w:pPr>
        <w:spacing w:before="120" w:after="120" w:line="240" w:lineRule="exact"/>
        <w:ind w:left="283" w:hanging="283"/>
        <w:jc w:val="both"/>
        <w:rPr>
          <w:rFonts w:ascii="FrankRuehl" w:hAnsi="FrankRuehl" w:cs="FrankRuehl"/>
          <w:rtl/>
        </w:rPr>
      </w:pPr>
    </w:p>
    <w:p w14:paraId="0BBA2D96" w14:textId="77777777" w:rsidR="000F6C27" w:rsidRPr="000F6C27" w:rsidRDefault="000F6C27" w:rsidP="000F6C27">
      <w:pPr>
        <w:rPr>
          <w:sz w:val="26"/>
          <w:szCs w:val="26"/>
          <w:rtl/>
        </w:rPr>
      </w:pPr>
    </w:p>
    <w:p w14:paraId="00737DC2" w14:textId="77777777" w:rsidR="00824125" w:rsidRPr="00824125" w:rsidRDefault="00824125" w:rsidP="00824125">
      <w:pPr>
        <w:spacing w:before="120" w:after="120" w:line="240" w:lineRule="exact"/>
        <w:ind w:left="283" w:hanging="283"/>
        <w:jc w:val="both"/>
        <w:rPr>
          <w:rFonts w:ascii="FrankRuehl" w:hAnsi="FrankRuehl" w:cs="FrankRuehl"/>
          <w:rtl/>
        </w:rPr>
      </w:pPr>
      <w:bookmarkStart w:id="3" w:name="LawTable"/>
      <w:bookmarkEnd w:id="3"/>
    </w:p>
    <w:p w14:paraId="69AC19AC" w14:textId="77777777" w:rsidR="00824125" w:rsidRPr="00824125" w:rsidRDefault="00824125" w:rsidP="00824125">
      <w:pPr>
        <w:spacing w:before="120" w:after="120" w:line="240" w:lineRule="exact"/>
        <w:ind w:left="283" w:hanging="283"/>
        <w:jc w:val="both"/>
        <w:rPr>
          <w:rFonts w:ascii="FrankRuehl" w:hAnsi="FrankRuehl" w:cs="FrankRuehl"/>
          <w:rtl/>
        </w:rPr>
      </w:pPr>
      <w:r w:rsidRPr="00824125">
        <w:rPr>
          <w:rFonts w:ascii="FrankRuehl" w:hAnsi="FrankRuehl" w:cs="FrankRuehl"/>
          <w:rtl/>
        </w:rPr>
        <w:t xml:space="preserve">חקיקה שאוזכרה: </w:t>
      </w:r>
    </w:p>
    <w:p w14:paraId="0A61BD0C" w14:textId="77777777" w:rsidR="00824125" w:rsidRPr="00824125" w:rsidRDefault="00824125" w:rsidP="00824125">
      <w:pPr>
        <w:spacing w:before="120" w:after="120" w:line="240" w:lineRule="exact"/>
        <w:ind w:left="283" w:hanging="283"/>
        <w:jc w:val="both"/>
        <w:rPr>
          <w:rFonts w:ascii="FrankRuehl" w:hAnsi="FrankRuehl" w:cs="FrankRuehl"/>
          <w:color w:val="0000FF"/>
          <w:rtl/>
        </w:rPr>
      </w:pPr>
      <w:hyperlink r:id="rId7" w:history="1">
        <w:r w:rsidRPr="00824125">
          <w:rPr>
            <w:rStyle w:val="Hyperlink"/>
            <w:rFonts w:ascii="FrankRuehl" w:hAnsi="FrankRuehl" w:cs="FrankRuehl"/>
            <w:u w:val="none"/>
            <w:rtl/>
          </w:rPr>
          <w:t>פקודת הסמים המסוכנים [נוסח חדש], תשל"ג-1973</w:t>
        </w:r>
      </w:hyperlink>
      <w:r w:rsidRPr="00824125">
        <w:rPr>
          <w:rFonts w:ascii="FrankRuehl" w:hAnsi="FrankRuehl" w:cs="FrankRuehl"/>
          <w:color w:val="0000FF"/>
          <w:rtl/>
        </w:rPr>
        <w:t xml:space="preserve">: סע'  </w:t>
      </w:r>
      <w:hyperlink r:id="rId8" w:history="1">
        <w:r w:rsidRPr="00824125">
          <w:rPr>
            <w:rStyle w:val="Hyperlink"/>
            <w:rFonts w:ascii="FrankRuehl" w:hAnsi="FrankRuehl" w:cs="FrankRuehl"/>
            <w:u w:val="none"/>
          </w:rPr>
          <w:t>7.</w:t>
        </w:r>
        <w:r w:rsidRPr="00824125">
          <w:rPr>
            <w:rStyle w:val="Hyperlink"/>
            <w:rFonts w:ascii="FrankRuehl" w:hAnsi="FrankRuehl" w:cs="FrankRuehl"/>
            <w:u w:val="none"/>
            <w:rtl/>
          </w:rPr>
          <w:t>א</w:t>
        </w:r>
        <w:r w:rsidRPr="00824125">
          <w:rPr>
            <w:rStyle w:val="Hyperlink"/>
            <w:rFonts w:ascii="FrankRuehl" w:hAnsi="FrankRuehl" w:cs="FrankRuehl"/>
            <w:u w:val="none"/>
          </w:rPr>
          <w:t>.</w:t>
        </w:r>
      </w:hyperlink>
      <w:r w:rsidRPr="00824125">
        <w:rPr>
          <w:rFonts w:ascii="FrankRuehl" w:hAnsi="FrankRuehl" w:cs="FrankRuehl"/>
          <w:color w:val="0000FF"/>
          <w:rtl/>
        </w:rPr>
        <w:t xml:space="preserve">, </w:t>
      </w:r>
      <w:hyperlink r:id="rId9" w:history="1">
        <w:r w:rsidRPr="00824125">
          <w:rPr>
            <w:rStyle w:val="Hyperlink"/>
            <w:rFonts w:ascii="FrankRuehl" w:hAnsi="FrankRuehl" w:cs="FrankRuehl"/>
            <w:u w:val="none"/>
          </w:rPr>
          <w:t>7.</w:t>
        </w:r>
        <w:r w:rsidRPr="00824125">
          <w:rPr>
            <w:rStyle w:val="Hyperlink"/>
            <w:rFonts w:ascii="FrankRuehl" w:hAnsi="FrankRuehl" w:cs="FrankRuehl"/>
            <w:u w:val="none"/>
            <w:rtl/>
          </w:rPr>
          <w:t>ג</w:t>
        </w:r>
      </w:hyperlink>
    </w:p>
    <w:p w14:paraId="629E20F7" w14:textId="77777777" w:rsidR="00824125" w:rsidRPr="00824125" w:rsidRDefault="00824125" w:rsidP="00824125">
      <w:pPr>
        <w:spacing w:before="120" w:after="120" w:line="240" w:lineRule="exact"/>
        <w:ind w:left="283" w:hanging="283"/>
        <w:jc w:val="both"/>
        <w:rPr>
          <w:rFonts w:ascii="FrankRuehl" w:hAnsi="FrankRuehl" w:cs="FrankRuehl"/>
          <w:color w:val="0000FF"/>
          <w:rtl/>
        </w:rPr>
      </w:pPr>
      <w:hyperlink r:id="rId10" w:history="1">
        <w:r w:rsidRPr="00824125">
          <w:rPr>
            <w:rStyle w:val="Hyperlink"/>
            <w:rFonts w:ascii="FrankRuehl" w:hAnsi="FrankRuehl" w:cs="FrankRuehl"/>
            <w:u w:val="none"/>
            <w:rtl/>
          </w:rPr>
          <w:t>חוק העונשין, תשל"ז-1977</w:t>
        </w:r>
      </w:hyperlink>
      <w:r w:rsidRPr="00824125">
        <w:rPr>
          <w:rFonts w:ascii="FrankRuehl" w:hAnsi="FrankRuehl" w:cs="FrankRuehl"/>
          <w:color w:val="0000FF"/>
          <w:rtl/>
        </w:rPr>
        <w:t xml:space="preserve">: סע'  </w:t>
      </w:r>
      <w:hyperlink r:id="rId11" w:history="1">
        <w:r w:rsidRPr="00824125">
          <w:rPr>
            <w:rStyle w:val="Hyperlink"/>
            <w:rFonts w:ascii="FrankRuehl" w:hAnsi="FrankRuehl" w:cs="FrankRuehl"/>
            <w:u w:val="none"/>
          </w:rPr>
          <w:t>40</w:t>
        </w:r>
        <w:r w:rsidRPr="00824125">
          <w:rPr>
            <w:rStyle w:val="Hyperlink"/>
            <w:rFonts w:ascii="FrankRuehl" w:hAnsi="FrankRuehl" w:cs="FrankRuehl"/>
            <w:u w:val="none"/>
            <w:rtl/>
          </w:rPr>
          <w:t>ב</w:t>
        </w:r>
      </w:hyperlink>
      <w:r w:rsidRPr="00824125">
        <w:rPr>
          <w:rFonts w:ascii="FrankRuehl" w:hAnsi="FrankRuehl" w:cs="FrankRuehl"/>
          <w:color w:val="0000FF"/>
          <w:rtl/>
        </w:rPr>
        <w:t xml:space="preserve">, </w:t>
      </w:r>
      <w:hyperlink r:id="rId12" w:history="1">
        <w:r w:rsidRPr="00824125">
          <w:rPr>
            <w:rStyle w:val="Hyperlink"/>
            <w:rFonts w:ascii="FrankRuehl" w:hAnsi="FrankRuehl" w:cs="FrankRuehl"/>
            <w:u w:val="none"/>
          </w:rPr>
          <w:t>40</w:t>
        </w:r>
        <w:r w:rsidRPr="00824125">
          <w:rPr>
            <w:rStyle w:val="Hyperlink"/>
            <w:rFonts w:ascii="FrankRuehl" w:hAnsi="FrankRuehl" w:cs="FrankRuehl"/>
            <w:u w:val="none"/>
            <w:rtl/>
          </w:rPr>
          <w:t>ג</w:t>
        </w:r>
      </w:hyperlink>
      <w:r w:rsidRPr="00824125">
        <w:rPr>
          <w:rFonts w:ascii="FrankRuehl" w:hAnsi="FrankRuehl" w:cs="FrankRuehl"/>
          <w:color w:val="0000FF"/>
          <w:rtl/>
        </w:rPr>
        <w:t xml:space="preserve">(ב), </w:t>
      </w:r>
      <w:hyperlink r:id="rId13" w:history="1">
        <w:r w:rsidRPr="00824125">
          <w:rPr>
            <w:rStyle w:val="Hyperlink"/>
            <w:rFonts w:ascii="FrankRuehl" w:hAnsi="FrankRuehl" w:cs="FrankRuehl"/>
            <w:u w:val="none"/>
          </w:rPr>
          <w:t>71</w:t>
        </w:r>
      </w:hyperlink>
    </w:p>
    <w:p w14:paraId="676398FE" w14:textId="77777777" w:rsidR="00824125" w:rsidRPr="00824125" w:rsidRDefault="00824125" w:rsidP="00824125">
      <w:pPr>
        <w:spacing w:before="120" w:after="120" w:line="240" w:lineRule="exact"/>
        <w:ind w:left="283" w:hanging="283"/>
        <w:jc w:val="both"/>
        <w:rPr>
          <w:rFonts w:ascii="FrankRuehl" w:hAnsi="FrankRuehl" w:cs="FrankRuehl"/>
          <w:color w:val="0000FF"/>
          <w:rtl/>
        </w:rPr>
      </w:pPr>
      <w:hyperlink r:id="rId14" w:history="1">
        <w:r w:rsidRPr="00824125">
          <w:rPr>
            <w:rStyle w:val="Hyperlink"/>
            <w:rFonts w:ascii="FrankRuehl" w:hAnsi="FrankRuehl" w:cs="FrankRuehl"/>
            <w:u w:val="none"/>
            <w:rtl/>
          </w:rPr>
          <w:t>חוק סדר הדין הפלילי [נוסח משולב], תשמ"ב-1982</w:t>
        </w:r>
      </w:hyperlink>
      <w:r w:rsidRPr="00824125">
        <w:rPr>
          <w:rFonts w:ascii="FrankRuehl" w:hAnsi="FrankRuehl" w:cs="FrankRuehl"/>
          <w:color w:val="0000FF"/>
          <w:rtl/>
        </w:rPr>
        <w:t xml:space="preserve">: סע'  </w:t>
      </w:r>
      <w:hyperlink r:id="rId15" w:history="1">
        <w:r w:rsidRPr="00824125">
          <w:rPr>
            <w:rStyle w:val="Hyperlink"/>
            <w:rFonts w:ascii="FrankRuehl" w:hAnsi="FrankRuehl" w:cs="FrankRuehl"/>
            <w:u w:val="none"/>
          </w:rPr>
          <w:t>182</w:t>
        </w:r>
      </w:hyperlink>
      <w:r w:rsidRPr="00824125">
        <w:rPr>
          <w:rFonts w:ascii="FrankRuehl" w:hAnsi="FrankRuehl" w:cs="FrankRuehl"/>
          <w:color w:val="0000FF"/>
          <w:rtl/>
        </w:rPr>
        <w:t xml:space="preserve">, </w:t>
      </w:r>
      <w:hyperlink r:id="rId16" w:history="1">
        <w:r w:rsidRPr="00824125">
          <w:rPr>
            <w:rStyle w:val="Hyperlink"/>
            <w:rFonts w:ascii="FrankRuehl" w:hAnsi="FrankRuehl" w:cs="FrankRuehl"/>
            <w:u w:val="none"/>
          </w:rPr>
          <w:t>192</w:t>
        </w:r>
        <w:r w:rsidRPr="00824125">
          <w:rPr>
            <w:rStyle w:val="Hyperlink"/>
            <w:rFonts w:ascii="FrankRuehl" w:hAnsi="FrankRuehl" w:cs="FrankRuehl"/>
            <w:u w:val="none"/>
            <w:rtl/>
          </w:rPr>
          <w:t>א</w:t>
        </w:r>
      </w:hyperlink>
    </w:p>
    <w:p w14:paraId="72F12C60" w14:textId="77777777" w:rsidR="00B67CC4" w:rsidRDefault="00B67CC4" w:rsidP="00824125">
      <w:pPr>
        <w:rPr>
          <w:rFonts w:hint="cs"/>
          <w:sz w:val="26"/>
          <w:szCs w:val="26"/>
          <w:rtl/>
        </w:rPr>
      </w:pPr>
      <w:bookmarkStart w:id="4" w:name="LawTable_End"/>
      <w:bookmarkEnd w:id="4"/>
    </w:p>
    <w:p w14:paraId="2940527E" w14:textId="77777777" w:rsidR="00824125" w:rsidRDefault="00824125" w:rsidP="00824125">
      <w:pPr>
        <w:rPr>
          <w:rFonts w:hint="cs"/>
          <w:sz w:val="26"/>
          <w:szCs w:val="26"/>
          <w:rtl/>
        </w:rPr>
      </w:pPr>
    </w:p>
    <w:p w14:paraId="23A969BE" w14:textId="77777777" w:rsidR="00824125" w:rsidRPr="00824125" w:rsidRDefault="00824125" w:rsidP="00824125">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67CC4" w14:paraId="2A61F43D" w14:textId="77777777" w:rsidTr="00B67CC4">
        <w:trPr>
          <w:trHeight w:val="355"/>
          <w:jc w:val="center"/>
        </w:trPr>
        <w:tc>
          <w:tcPr>
            <w:tcW w:w="8820" w:type="dxa"/>
            <w:tcBorders>
              <w:top w:val="nil"/>
              <w:left w:val="nil"/>
              <w:bottom w:val="nil"/>
              <w:right w:val="nil"/>
            </w:tcBorders>
            <w:shd w:val="clear" w:color="auto" w:fill="auto"/>
          </w:tcPr>
          <w:p w14:paraId="354A59D1" w14:textId="77777777" w:rsidR="000F6C27" w:rsidRPr="000F6C27" w:rsidRDefault="000F6C27" w:rsidP="000F6C27">
            <w:pPr>
              <w:jc w:val="center"/>
              <w:rPr>
                <w:rFonts w:ascii="David" w:hAnsi="David"/>
                <w:b/>
                <w:bCs/>
                <w:sz w:val="32"/>
                <w:szCs w:val="32"/>
                <w:u w:val="single"/>
                <w:rtl/>
              </w:rPr>
            </w:pPr>
            <w:bookmarkStart w:id="5" w:name="PsakDin" w:colFirst="0" w:colLast="0"/>
            <w:bookmarkEnd w:id="0"/>
            <w:r w:rsidRPr="000F6C27">
              <w:rPr>
                <w:rFonts w:ascii="David" w:hAnsi="David"/>
                <w:b/>
                <w:bCs/>
                <w:sz w:val="32"/>
                <w:szCs w:val="32"/>
                <w:u w:val="single"/>
                <w:rtl/>
              </w:rPr>
              <w:t>גזר דין (לא הרשעה)</w:t>
            </w:r>
          </w:p>
          <w:p w14:paraId="00647ED2" w14:textId="77777777" w:rsidR="00B67CC4" w:rsidRPr="000F6C27" w:rsidRDefault="00B67CC4" w:rsidP="000F6C27">
            <w:pPr>
              <w:jc w:val="center"/>
              <w:rPr>
                <w:rFonts w:ascii="David" w:hAnsi="David"/>
                <w:b/>
                <w:bCs/>
                <w:sz w:val="32"/>
                <w:szCs w:val="32"/>
                <w:u w:val="single"/>
                <w:rtl/>
              </w:rPr>
            </w:pPr>
          </w:p>
        </w:tc>
      </w:tr>
    </w:tbl>
    <w:p w14:paraId="0AE3999D" w14:textId="77777777" w:rsidR="00B67CC4" w:rsidRPr="000F2247" w:rsidRDefault="00B67CC4" w:rsidP="00B67CC4">
      <w:pPr>
        <w:rPr>
          <w:rFonts w:ascii="Arial" w:hAnsi="Arial"/>
          <w:b/>
          <w:bCs/>
          <w:sz w:val="26"/>
          <w:szCs w:val="26"/>
          <w:rtl/>
        </w:rPr>
      </w:pPr>
      <w:bookmarkStart w:id="6" w:name="ABSTRACT_START"/>
      <w:bookmarkEnd w:id="5"/>
      <w:bookmarkEnd w:id="6"/>
    </w:p>
    <w:p w14:paraId="5888C88B" w14:textId="77777777" w:rsidR="00B67CC4" w:rsidRDefault="00B67CC4" w:rsidP="00B67CC4">
      <w:pPr>
        <w:pStyle w:val="aa"/>
        <w:numPr>
          <w:ilvl w:val="0"/>
          <w:numId w:val="1"/>
        </w:numPr>
        <w:spacing w:before="120" w:after="120" w:line="360" w:lineRule="auto"/>
        <w:ind w:left="283" w:hanging="283"/>
        <w:contextualSpacing w:val="0"/>
        <w:jc w:val="both"/>
        <w:rPr>
          <w:rFonts w:ascii="David" w:hAnsi="David" w:cs="David"/>
          <w:sz w:val="24"/>
          <w:szCs w:val="24"/>
        </w:rPr>
      </w:pPr>
      <w:r>
        <w:rPr>
          <w:rFonts w:ascii="David" w:hAnsi="David" w:cs="David"/>
          <w:sz w:val="24"/>
          <w:szCs w:val="24"/>
          <w:rtl/>
        </w:rPr>
        <w:t xml:space="preserve">הנאשם הורשע בהתאם להודאתו בעובדות כתב האישום המתוקן בעבירת החזקת סמים לצריכה עצמית לפי </w:t>
      </w:r>
      <w:hyperlink r:id="rId17" w:history="1">
        <w:r w:rsidR="00824125" w:rsidRPr="00824125">
          <w:rPr>
            <w:rStyle w:val="Hyperlink"/>
            <w:rFonts w:ascii="David" w:hAnsi="David" w:cs="David"/>
            <w:color w:val="0000FF"/>
            <w:sz w:val="24"/>
            <w:szCs w:val="24"/>
            <w:rtl/>
          </w:rPr>
          <w:t>סעיפים 7(א)+7(ג)</w:t>
        </w:r>
      </w:hyperlink>
      <w:r>
        <w:rPr>
          <w:rFonts w:ascii="David" w:hAnsi="David" w:cs="David"/>
          <w:sz w:val="24"/>
          <w:szCs w:val="24"/>
          <w:rtl/>
        </w:rPr>
        <w:t xml:space="preserve"> סיפא ל</w:t>
      </w:r>
      <w:hyperlink r:id="rId18" w:history="1">
        <w:r w:rsidR="000F6C27" w:rsidRPr="000F6C27">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התשל"ג-1973 (להלן: </w:t>
      </w:r>
      <w:r>
        <w:rPr>
          <w:rFonts w:ascii="David" w:hAnsi="David" w:cs="David"/>
          <w:b/>
          <w:bCs/>
          <w:sz w:val="24"/>
          <w:szCs w:val="24"/>
          <w:rtl/>
        </w:rPr>
        <w:t>פקודת הסמים</w:t>
      </w:r>
      <w:r>
        <w:rPr>
          <w:rFonts w:ascii="David" w:hAnsi="David" w:cs="David"/>
          <w:sz w:val="24"/>
          <w:szCs w:val="24"/>
          <w:rtl/>
        </w:rPr>
        <w:t>).</w:t>
      </w:r>
    </w:p>
    <w:p w14:paraId="1282524B" w14:textId="77777777" w:rsidR="00B67CC4" w:rsidRDefault="00B67CC4" w:rsidP="00B67CC4">
      <w:pPr>
        <w:pStyle w:val="aa"/>
        <w:numPr>
          <w:ilvl w:val="0"/>
          <w:numId w:val="1"/>
        </w:numPr>
        <w:spacing w:before="120" w:after="120" w:line="360" w:lineRule="auto"/>
        <w:ind w:left="283" w:hanging="283"/>
        <w:contextualSpacing w:val="0"/>
        <w:jc w:val="both"/>
        <w:rPr>
          <w:rFonts w:ascii="David" w:hAnsi="David" w:cs="David"/>
          <w:sz w:val="24"/>
          <w:szCs w:val="24"/>
          <w:rtl/>
        </w:rPr>
      </w:pPr>
      <w:bookmarkStart w:id="7" w:name="ABSTRACT_END"/>
      <w:bookmarkEnd w:id="7"/>
      <w:r>
        <w:rPr>
          <w:rFonts w:ascii="David" w:hAnsi="David" w:cs="David"/>
          <w:sz w:val="24"/>
          <w:szCs w:val="24"/>
          <w:rtl/>
        </w:rPr>
        <w:t xml:space="preserve">מעובדות כתב האישום המתוקן עולה כי בתאריך 19.03.2022, במסיבה בכפר הנוקדים, הנאשם החזיק על גופו סם מסוכן מסוג קוקאין במשקל 0.5 גרם נטו, סם מסוכן מסוג </w:t>
      </w:r>
      <w:r>
        <w:rPr>
          <w:rFonts w:ascii="David" w:hAnsi="David" w:cs="David"/>
          <w:sz w:val="24"/>
          <w:szCs w:val="24"/>
        </w:rPr>
        <w:t>MDMA KETAMINE</w:t>
      </w:r>
      <w:r>
        <w:rPr>
          <w:rFonts w:ascii="David" w:hAnsi="David" w:cs="David"/>
          <w:sz w:val="24"/>
          <w:szCs w:val="24"/>
          <w:rtl/>
        </w:rPr>
        <w:t xml:space="preserve"> במשקל 0.3 גרם נטו וסם מסוכן מסוג </w:t>
      </w:r>
      <w:r>
        <w:rPr>
          <w:rFonts w:ascii="David" w:hAnsi="David" w:cs="David"/>
          <w:sz w:val="24"/>
          <w:szCs w:val="24"/>
        </w:rPr>
        <w:t>MDMA</w:t>
      </w:r>
      <w:r>
        <w:rPr>
          <w:rFonts w:ascii="David" w:hAnsi="David" w:cs="David"/>
          <w:sz w:val="24"/>
          <w:szCs w:val="24"/>
          <w:rtl/>
        </w:rPr>
        <w:t xml:space="preserve"> במשקל 0.6 גרם נטו לצריכתו העצמית וללא היתר בפקודה או בתקנות או רישיון מאת המנהל. </w:t>
      </w:r>
    </w:p>
    <w:p w14:paraId="2C9BB9E6" w14:textId="77777777" w:rsidR="00B67CC4" w:rsidRDefault="00B67CC4" w:rsidP="00B67CC4">
      <w:pPr>
        <w:pStyle w:val="aa"/>
        <w:numPr>
          <w:ilvl w:val="0"/>
          <w:numId w:val="1"/>
        </w:numPr>
        <w:spacing w:before="120" w:after="120" w:line="360" w:lineRule="auto"/>
        <w:ind w:left="283" w:hanging="283"/>
        <w:contextualSpacing w:val="0"/>
        <w:jc w:val="both"/>
        <w:rPr>
          <w:rFonts w:ascii="David" w:hAnsi="David" w:cs="David"/>
          <w:sz w:val="24"/>
          <w:szCs w:val="24"/>
        </w:rPr>
      </w:pPr>
      <w:r>
        <w:rPr>
          <w:rFonts w:ascii="David" w:hAnsi="David" w:cs="David"/>
          <w:sz w:val="24"/>
          <w:szCs w:val="24"/>
          <w:rtl/>
        </w:rPr>
        <w:t>ביום 13.05.24 הצדדים הודיעו כי הגיעו להסדר טיעון לפיו הנאשם יודה ויורשע בעובדות כתב האישום המתוקן, יופנה לקבלת תסקיר שירות המבחן, במסגרתו תיבחן לבקשת ב"כ הנאשם אפשרות ביטול ההרשעה, ולאחר קבלת התסקיר הצדדים יטענו לעונש באופן חופשי.</w:t>
      </w:r>
    </w:p>
    <w:p w14:paraId="6D377E4D" w14:textId="77777777" w:rsidR="00B67CC4" w:rsidRDefault="00B67CC4" w:rsidP="00B67CC4">
      <w:pPr>
        <w:spacing w:before="120" w:after="120" w:line="360" w:lineRule="auto"/>
        <w:ind w:left="720" w:hanging="437"/>
        <w:rPr>
          <w:rFonts w:ascii="David" w:hAnsi="David"/>
        </w:rPr>
      </w:pPr>
      <w:r>
        <w:rPr>
          <w:rFonts w:ascii="David" w:hAnsi="David"/>
          <w:b/>
          <w:bCs/>
          <w:u w:val="single"/>
          <w:rtl/>
        </w:rPr>
        <w:lastRenderedPageBreak/>
        <w:t>תסקיר שירות המבחן</w:t>
      </w:r>
    </w:p>
    <w:p w14:paraId="04F53056" w14:textId="77777777" w:rsidR="00B67CC4" w:rsidRDefault="00B67CC4" w:rsidP="00B67CC4">
      <w:pPr>
        <w:pStyle w:val="aa"/>
        <w:numPr>
          <w:ilvl w:val="0"/>
          <w:numId w:val="1"/>
        </w:numPr>
        <w:spacing w:before="120" w:after="120" w:line="360" w:lineRule="auto"/>
        <w:ind w:left="283" w:hanging="283"/>
        <w:contextualSpacing w:val="0"/>
        <w:jc w:val="both"/>
        <w:rPr>
          <w:rFonts w:ascii="David" w:hAnsi="David" w:cs="David"/>
          <w:b/>
          <w:bCs/>
          <w:sz w:val="24"/>
          <w:szCs w:val="24"/>
          <w:rtl/>
        </w:rPr>
      </w:pPr>
      <w:r>
        <w:rPr>
          <w:rFonts w:ascii="David" w:hAnsi="David" w:cs="David"/>
          <w:b/>
          <w:bCs/>
          <w:sz w:val="24"/>
          <w:szCs w:val="24"/>
          <w:rtl/>
        </w:rPr>
        <w:t>בעניינו של הנאשם הוגש תסקיר שירות מבחן ביום  13.10.24, אשר המליץ על ביטול הרשעה והשתת של"צ.</w:t>
      </w:r>
    </w:p>
    <w:p w14:paraId="4D4BF722" w14:textId="77777777" w:rsidR="00B67CC4" w:rsidRDefault="00B67CC4" w:rsidP="00B67CC4">
      <w:pPr>
        <w:pStyle w:val="aa"/>
        <w:numPr>
          <w:ilvl w:val="0"/>
          <w:numId w:val="1"/>
        </w:numPr>
        <w:spacing w:before="120" w:after="120" w:line="360" w:lineRule="auto"/>
        <w:ind w:left="283" w:hanging="283"/>
        <w:contextualSpacing w:val="0"/>
        <w:jc w:val="both"/>
        <w:rPr>
          <w:rFonts w:ascii="David" w:hAnsi="David" w:cs="David"/>
          <w:sz w:val="24"/>
          <w:szCs w:val="24"/>
        </w:rPr>
      </w:pPr>
      <w:r>
        <w:rPr>
          <w:rFonts w:ascii="David" w:hAnsi="David" w:cs="David"/>
          <w:sz w:val="24"/>
          <w:szCs w:val="24"/>
          <w:rtl/>
        </w:rPr>
        <w:t xml:space="preserve">שירות המבחן סקר את קורות חייו של הנאשם  ואת המסגרת המשפחתית בה גדל. מהתסקיר עולה כי הנאשם בן 24, רווק, סיים בהצלחה לימודי תואר ראשון במנהל עסקים ומימון ולאחר לימודיו השתלב בחברת נדל"ן שבבעלות אביו בתפקיד גיוס פרויקטים ותפעול שוטף של העסק. הנאשם  תאר תחושת סיפוק ויציבות תעסוקתית ותאר שאיפות לעתיד להקמת עסק בתחום הנדל"ן. </w:t>
      </w:r>
    </w:p>
    <w:p w14:paraId="7654AD6A" w14:textId="77777777" w:rsidR="00B67CC4" w:rsidRDefault="00B67CC4" w:rsidP="00B67CC4">
      <w:pPr>
        <w:pStyle w:val="aa"/>
        <w:numPr>
          <w:ilvl w:val="0"/>
          <w:numId w:val="1"/>
        </w:numPr>
        <w:spacing w:before="120" w:after="120" w:line="360" w:lineRule="auto"/>
        <w:ind w:left="283" w:hanging="283"/>
        <w:contextualSpacing w:val="0"/>
        <w:jc w:val="both"/>
        <w:rPr>
          <w:rFonts w:ascii="David" w:hAnsi="David" w:cs="David"/>
          <w:sz w:val="24"/>
          <w:szCs w:val="24"/>
        </w:rPr>
      </w:pPr>
      <w:r>
        <w:rPr>
          <w:rFonts w:ascii="David" w:hAnsi="David" w:cs="David"/>
          <w:sz w:val="24"/>
          <w:szCs w:val="24"/>
          <w:rtl/>
        </w:rPr>
        <w:t xml:space="preserve">מסקירת ההיסטוריה העבריינית של הנאשם עולה כי הנאשם נעדר עבר פלילי ולא פתוחים נגדו תיקי מב"ד נוספים. לדבריו, צורך אלכוהול בתדירות נמוכה באירועים חברתיים, התנסה פעמיים בסם מסוג קוקאין – לראשונה כשהיה בן 21 בעת טיול בארה"ב ובפעם השנייה בעת ביצוע העבירה. לדבריו, מאז מעצרו בתיק זה הוא לא צורך סמים מכל סוג. שתי בדיקות שתן שמסר העידו על ניקיונו מסמים. </w:t>
      </w:r>
    </w:p>
    <w:p w14:paraId="298DA216" w14:textId="77777777" w:rsidR="00B67CC4" w:rsidRDefault="00B67CC4" w:rsidP="00B67CC4">
      <w:pPr>
        <w:pStyle w:val="aa"/>
        <w:numPr>
          <w:ilvl w:val="0"/>
          <w:numId w:val="1"/>
        </w:numPr>
        <w:spacing w:before="120" w:after="120" w:line="360" w:lineRule="auto"/>
        <w:ind w:left="283" w:hanging="283"/>
        <w:contextualSpacing w:val="0"/>
        <w:jc w:val="both"/>
        <w:rPr>
          <w:rFonts w:ascii="David" w:hAnsi="David" w:cs="David"/>
          <w:sz w:val="24"/>
          <w:szCs w:val="24"/>
        </w:rPr>
      </w:pPr>
      <w:r>
        <w:rPr>
          <w:rFonts w:ascii="David" w:hAnsi="David" w:cs="David"/>
          <w:sz w:val="24"/>
          <w:szCs w:val="24"/>
          <w:rtl/>
        </w:rPr>
        <w:t xml:space="preserve">בהתייחס לנסיבות ביצוע העבירה, הנאשם הודה בביצוע העבירה ולקח אחריות על ביצועה. לדבריו, הביא עמו סמים מסוג קוקאין למסיבה בה נכח לצריכתו העצמית על רקע השתייכות חברתית והחזיק סמים עבור חבריו, אך לא רכש אותם. </w:t>
      </w:r>
    </w:p>
    <w:p w14:paraId="398FF318" w14:textId="77777777" w:rsidR="00B67CC4" w:rsidRDefault="00B67CC4" w:rsidP="00B67CC4">
      <w:pPr>
        <w:pStyle w:val="aa"/>
        <w:numPr>
          <w:ilvl w:val="0"/>
          <w:numId w:val="1"/>
        </w:numPr>
        <w:spacing w:before="120" w:after="120" w:line="360" w:lineRule="auto"/>
        <w:ind w:left="283" w:hanging="283"/>
        <w:contextualSpacing w:val="0"/>
        <w:jc w:val="both"/>
        <w:rPr>
          <w:rFonts w:ascii="David" w:hAnsi="David" w:cs="David"/>
          <w:sz w:val="24"/>
          <w:szCs w:val="24"/>
        </w:rPr>
      </w:pPr>
      <w:r>
        <w:rPr>
          <w:rFonts w:ascii="David" w:hAnsi="David" w:cs="David"/>
          <w:sz w:val="24"/>
          <w:szCs w:val="24"/>
          <w:rtl/>
        </w:rPr>
        <w:t xml:space="preserve">שירות המבחן התרשם כי הנאשם גילה יציבות במסגרות לאורך חייו, כי אירוע העבירה הינו חריג לאורח חייו וכי ההליך הפלילי מציב לו גבול חיצוני ומרתיע. מנגד, על פי הערכת שירות המבחן, הנאשם צמצם בפניו את מידת חשיפתו לתחום הסמים ויש לו עמדות מקילות ביחס לעבירות סמים ומודעות נמוכה לבעייתיות הכרוכה בכך. </w:t>
      </w:r>
    </w:p>
    <w:p w14:paraId="626DB609" w14:textId="77777777" w:rsidR="00B67CC4" w:rsidRDefault="00B67CC4" w:rsidP="00B67CC4">
      <w:pPr>
        <w:pStyle w:val="aa"/>
        <w:numPr>
          <w:ilvl w:val="0"/>
          <w:numId w:val="1"/>
        </w:numPr>
        <w:spacing w:before="120" w:after="120" w:line="360" w:lineRule="auto"/>
        <w:ind w:left="283" w:hanging="283"/>
        <w:contextualSpacing w:val="0"/>
        <w:jc w:val="both"/>
        <w:rPr>
          <w:rFonts w:ascii="David" w:hAnsi="David" w:cs="David"/>
          <w:sz w:val="24"/>
          <w:szCs w:val="24"/>
        </w:rPr>
      </w:pPr>
      <w:r>
        <w:rPr>
          <w:rFonts w:ascii="David" w:hAnsi="David" w:cs="David"/>
          <w:sz w:val="24"/>
          <w:szCs w:val="24"/>
          <w:rtl/>
        </w:rPr>
        <w:t xml:space="preserve"> </w:t>
      </w:r>
      <w:r>
        <w:rPr>
          <w:rFonts w:ascii="David" w:hAnsi="David" w:cs="David" w:hint="cs"/>
          <w:sz w:val="24"/>
          <w:szCs w:val="24"/>
          <w:rtl/>
        </w:rPr>
        <w:t>לאור היעדר עבר פלילי, בדיקות שתן נקיות, ניהול אורח חיים יציב ומאוזן ושאיפה לחיים נורמטיביים, שירות המבחן המליץ על ביטול הרשעתו בדין של הנאשם והטלת צו של"צ בהיקף של 150 שעות.</w:t>
      </w:r>
    </w:p>
    <w:p w14:paraId="25ED5AB4" w14:textId="77777777" w:rsidR="00B67CC4" w:rsidRPr="00B67CC4" w:rsidRDefault="00B67CC4" w:rsidP="00B67CC4">
      <w:pPr>
        <w:spacing w:before="120" w:after="120" w:line="360" w:lineRule="auto"/>
        <w:ind w:left="720" w:hanging="437"/>
        <w:jc w:val="both"/>
        <w:rPr>
          <w:rFonts w:ascii="Calibri" w:eastAsia="Calibri" w:hAnsi="Calibri"/>
        </w:rPr>
      </w:pPr>
      <w:r>
        <w:rPr>
          <w:b/>
          <w:bCs/>
          <w:u w:val="single"/>
          <w:rtl/>
        </w:rPr>
        <w:t>טענות הצדדים לעניין העונש:</w:t>
      </w:r>
      <w:r>
        <w:rPr>
          <w:rtl/>
        </w:rPr>
        <w:t xml:space="preserve">   </w:t>
      </w:r>
    </w:p>
    <w:p w14:paraId="1DBD604B" w14:textId="77777777" w:rsidR="00B67CC4" w:rsidRDefault="00B67CC4" w:rsidP="00B67CC4">
      <w:pPr>
        <w:pStyle w:val="aa"/>
        <w:numPr>
          <w:ilvl w:val="0"/>
          <w:numId w:val="1"/>
        </w:numPr>
        <w:spacing w:before="120" w:after="120" w:line="360" w:lineRule="auto"/>
        <w:ind w:left="283" w:hanging="283"/>
        <w:contextualSpacing w:val="0"/>
        <w:jc w:val="both"/>
        <w:rPr>
          <w:rFonts w:ascii="David" w:hAnsi="David" w:cs="David"/>
          <w:sz w:val="24"/>
          <w:szCs w:val="24"/>
        </w:rPr>
      </w:pPr>
      <w:r>
        <w:rPr>
          <w:rFonts w:ascii="David" w:hAnsi="David" w:cs="David"/>
          <w:sz w:val="24"/>
          <w:szCs w:val="24"/>
          <w:rtl/>
        </w:rPr>
        <w:t xml:space="preserve">ב"כ המאשימה עתרה למתחם ענישה שתחילתו במאסר מותנה ועד למספר חודשי מאסר בפועל, היא ביקשה לגזור את עונשו של הנאשם בתחתית מתחם הענישה ואף בחריגה ממתחם העונש לאור היעדר עבר פלילי והתסקיר החיובי ולגזור עליו מאסר מותנה לצד צו של"צ, צו מבחן, קנס, התחייבות ופסילת רישיון נהיגה בפועל ועל תנאי ע"פ שיקול דעת ביהמ"ש. </w:t>
      </w:r>
    </w:p>
    <w:p w14:paraId="0523D9DE" w14:textId="77777777" w:rsidR="00B67CC4" w:rsidRPr="00B67CC4" w:rsidRDefault="00B67CC4" w:rsidP="00B67CC4">
      <w:pPr>
        <w:pStyle w:val="aa"/>
        <w:numPr>
          <w:ilvl w:val="0"/>
          <w:numId w:val="1"/>
        </w:numPr>
        <w:spacing w:before="120" w:after="120" w:line="360" w:lineRule="auto"/>
        <w:ind w:left="283" w:hanging="283"/>
        <w:contextualSpacing w:val="0"/>
        <w:jc w:val="both"/>
        <w:rPr>
          <w:rFonts w:cs="David"/>
          <w:sz w:val="24"/>
          <w:szCs w:val="24"/>
        </w:rPr>
      </w:pPr>
      <w:r>
        <w:rPr>
          <w:rFonts w:cs="David"/>
          <w:sz w:val="24"/>
          <w:szCs w:val="24"/>
          <w:rtl/>
        </w:rPr>
        <w:t xml:space="preserve">באשר לבקשת הנאשם לבטל את הרשעתו ב"כ המאשימה טענה כי לא הוכחו התנאים הקבועים בהלכת כתב לסיום הליך ללא הרשעה – נסיבות העבירה הן חמורות ואינן מאפשרות את ביטול ההרשעה לנוכח העובדה שמדובר בסם קשה מסוג קוקאין בכמות העולה על הכמות המוגדרת </w:t>
      </w:r>
      <w:r>
        <w:rPr>
          <w:rFonts w:cs="David"/>
          <w:sz w:val="24"/>
          <w:szCs w:val="24"/>
          <w:rtl/>
        </w:rPr>
        <w:lastRenderedPageBreak/>
        <w:t>בחוק ככמות לצריכה עצמית וכן מכיוון שלא הוכחה פגיעה אפשרית בשיקום ובתעסוקת הנאשם, שכן הנאשם עובד בחברה בבעלות אביו ואין חשש לפיטוריו.</w:t>
      </w:r>
    </w:p>
    <w:p w14:paraId="4B69CB1A" w14:textId="77777777" w:rsidR="00B67CC4" w:rsidRDefault="00B67CC4" w:rsidP="00B67CC4">
      <w:pPr>
        <w:pStyle w:val="aa"/>
        <w:numPr>
          <w:ilvl w:val="0"/>
          <w:numId w:val="1"/>
        </w:numPr>
        <w:spacing w:before="120" w:after="120" w:line="360" w:lineRule="auto"/>
        <w:ind w:left="283" w:hanging="283"/>
        <w:contextualSpacing w:val="0"/>
        <w:jc w:val="both"/>
        <w:rPr>
          <w:rFonts w:ascii="David" w:hAnsi="David" w:cs="David"/>
          <w:b/>
          <w:bCs/>
          <w:sz w:val="24"/>
          <w:szCs w:val="24"/>
          <w:u w:val="single"/>
        </w:rPr>
      </w:pPr>
      <w:r>
        <w:rPr>
          <w:rFonts w:cs="David"/>
          <w:b/>
          <w:bCs/>
          <w:sz w:val="24"/>
          <w:szCs w:val="24"/>
          <w:rtl/>
        </w:rPr>
        <w:t>ב"כ הנאשם</w:t>
      </w:r>
      <w:r>
        <w:rPr>
          <w:rFonts w:cs="David"/>
          <w:sz w:val="24"/>
          <w:szCs w:val="24"/>
          <w:rtl/>
        </w:rPr>
        <w:t xml:space="preserve"> עתר לבטל את הרשעת הנאשם ולהשית עליו של"צ בהתאם להמלצת שירות המבחן. </w:t>
      </w:r>
      <w:r>
        <w:rPr>
          <w:rFonts w:ascii="David" w:hAnsi="David" w:cs="David"/>
          <w:b/>
          <w:bCs/>
          <w:sz w:val="24"/>
          <w:szCs w:val="24"/>
          <w:u w:val="single"/>
          <w:rtl/>
        </w:rPr>
        <w:t xml:space="preserve"> </w:t>
      </w:r>
    </w:p>
    <w:p w14:paraId="34A179CA" w14:textId="77777777" w:rsidR="00B67CC4" w:rsidRDefault="00B67CC4" w:rsidP="00B67CC4">
      <w:pPr>
        <w:pStyle w:val="aa"/>
        <w:numPr>
          <w:ilvl w:val="0"/>
          <w:numId w:val="1"/>
        </w:numPr>
        <w:spacing w:before="120" w:after="120" w:line="360" w:lineRule="auto"/>
        <w:ind w:left="283" w:hanging="283"/>
        <w:contextualSpacing w:val="0"/>
        <w:jc w:val="both"/>
        <w:rPr>
          <w:rFonts w:ascii="David" w:hAnsi="David" w:cs="David"/>
          <w:b/>
          <w:bCs/>
          <w:sz w:val="24"/>
          <w:szCs w:val="24"/>
          <w:u w:val="single"/>
        </w:rPr>
      </w:pPr>
      <w:r>
        <w:rPr>
          <w:rFonts w:ascii="David" w:hAnsi="David" w:cs="David"/>
          <w:sz w:val="24"/>
          <w:szCs w:val="24"/>
          <w:rtl/>
        </w:rPr>
        <w:t xml:space="preserve">לטענת ב"כ הנאשם, מתקיימים בענייננו התנאים שנקבעו בהלכת כתב לאי הרשעה. </w:t>
      </w:r>
    </w:p>
    <w:p w14:paraId="31CA0FF4" w14:textId="77777777" w:rsidR="00B67CC4" w:rsidRDefault="00B67CC4" w:rsidP="00B67CC4">
      <w:pPr>
        <w:pStyle w:val="aa"/>
        <w:spacing w:before="120" w:after="120" w:line="360" w:lineRule="auto"/>
        <w:ind w:left="283"/>
        <w:contextualSpacing w:val="0"/>
        <w:jc w:val="both"/>
        <w:rPr>
          <w:rFonts w:ascii="David" w:hAnsi="David" w:cs="David"/>
          <w:sz w:val="24"/>
          <w:szCs w:val="24"/>
        </w:rPr>
      </w:pPr>
      <w:r>
        <w:rPr>
          <w:rFonts w:ascii="David" w:hAnsi="David" w:cs="David"/>
          <w:sz w:val="24"/>
          <w:szCs w:val="24"/>
          <w:rtl/>
        </w:rPr>
        <w:t xml:space="preserve">באשר לנסיבות ביצוע העבירה נטען כי הנאשם החזיק כמות סמים קטנה לצריכתו העצמית ומאז מעצרו לא משתמש בסמים מכל סוג, אדם נורמטיבי לחלוטין, שמעד מעידה חד פעמית, הודה, לקח אחריות על מעשיו, שיתף פעולה עם שירות המבחן באופן מלא ומסר בדיקות שתן נקיות. </w:t>
      </w:r>
    </w:p>
    <w:p w14:paraId="2FD2C7C0" w14:textId="77777777" w:rsidR="00B67CC4" w:rsidRDefault="00B67CC4" w:rsidP="00B67CC4">
      <w:pPr>
        <w:pStyle w:val="aa"/>
        <w:spacing w:before="120" w:after="120" w:line="360" w:lineRule="auto"/>
        <w:ind w:left="283"/>
        <w:contextualSpacing w:val="0"/>
        <w:jc w:val="both"/>
        <w:rPr>
          <w:rFonts w:ascii="David" w:hAnsi="David" w:cs="David"/>
          <w:sz w:val="24"/>
          <w:szCs w:val="24"/>
          <w:rtl/>
        </w:rPr>
      </w:pPr>
      <w:r>
        <w:rPr>
          <w:rFonts w:ascii="David" w:hAnsi="David" w:cs="David"/>
          <w:sz w:val="24"/>
          <w:szCs w:val="24"/>
          <w:rtl/>
        </w:rPr>
        <w:t xml:space="preserve">באשר לאפשרות פגיעה חמורה בשיקום, </w:t>
      </w:r>
      <w:r>
        <w:rPr>
          <w:rFonts w:cs="David"/>
          <w:sz w:val="24"/>
          <w:szCs w:val="24"/>
          <w:rtl/>
        </w:rPr>
        <w:t xml:space="preserve">נטען כי הרשעה בדין של הנאשם עלולה לפגוע בהמשך עבודתו בחברה של אביו, שלא מעסיקה עובדים בעלי עבר פלילי. </w:t>
      </w:r>
    </w:p>
    <w:p w14:paraId="4445EEDC" w14:textId="77777777" w:rsidR="00B67CC4" w:rsidRDefault="00B67CC4" w:rsidP="00B67CC4">
      <w:pPr>
        <w:pStyle w:val="aa"/>
        <w:numPr>
          <w:ilvl w:val="0"/>
          <w:numId w:val="1"/>
        </w:numPr>
        <w:spacing w:before="120" w:after="120" w:line="360" w:lineRule="auto"/>
        <w:ind w:left="283" w:hanging="425"/>
        <w:contextualSpacing w:val="0"/>
        <w:jc w:val="both"/>
        <w:rPr>
          <w:rFonts w:ascii="David" w:hAnsi="David" w:cs="David"/>
          <w:b/>
          <w:bCs/>
          <w:color w:val="FF0000"/>
          <w:sz w:val="28"/>
          <w:szCs w:val="28"/>
          <w:u w:val="single"/>
        </w:rPr>
      </w:pPr>
      <w:r>
        <w:rPr>
          <w:rFonts w:cs="David"/>
          <w:b/>
          <w:bCs/>
          <w:sz w:val="24"/>
          <w:szCs w:val="24"/>
          <w:rtl/>
        </w:rPr>
        <w:t xml:space="preserve">הנאשם בדברו האחרון </w:t>
      </w:r>
      <w:r>
        <w:rPr>
          <w:rFonts w:cs="David"/>
          <w:sz w:val="24"/>
          <w:szCs w:val="24"/>
          <w:rtl/>
        </w:rPr>
        <w:t xml:space="preserve">הביע חרטה על מעשיו, טען שהעבירה בוצעה בצעירותו ושהוא מבין את הטעות לעומק.  לגבי פגיעה אפשרית בשיקומו ובעתידו הנאשם טען שהוא לומד כיום לימודי תואר שני, מתרכז בלמידה ויש לו שאיפות להתקדם ולהגיע רחוק. הנאשם ביקש להתחשב בו ולמחול לו על העבירה כדי שהוא יוכל להמשיך להגשים את שאיפותיו. </w:t>
      </w:r>
    </w:p>
    <w:p w14:paraId="49E94D28" w14:textId="77777777" w:rsidR="00B67CC4" w:rsidRDefault="00B67CC4" w:rsidP="00B67CC4">
      <w:pPr>
        <w:pStyle w:val="aa"/>
        <w:spacing w:before="120" w:after="120" w:line="360" w:lineRule="auto"/>
        <w:ind w:left="714" w:hanging="431"/>
        <w:contextualSpacing w:val="0"/>
        <w:jc w:val="both"/>
        <w:rPr>
          <w:rFonts w:ascii="David" w:hAnsi="David" w:cs="David"/>
          <w:b/>
          <w:bCs/>
          <w:color w:val="FF0000"/>
          <w:sz w:val="28"/>
          <w:szCs w:val="28"/>
          <w:u w:val="single"/>
        </w:rPr>
      </w:pPr>
      <w:r>
        <w:rPr>
          <w:rFonts w:ascii="David" w:hAnsi="David" w:cs="David"/>
          <w:b/>
          <w:bCs/>
          <w:sz w:val="24"/>
          <w:szCs w:val="24"/>
          <w:u w:val="single"/>
          <w:rtl/>
        </w:rPr>
        <w:t>ראיות לעונש</w:t>
      </w:r>
    </w:p>
    <w:p w14:paraId="1641CC34" w14:textId="77777777" w:rsidR="00B67CC4" w:rsidRDefault="00B67CC4" w:rsidP="00B67CC4">
      <w:pPr>
        <w:pStyle w:val="aa"/>
        <w:numPr>
          <w:ilvl w:val="0"/>
          <w:numId w:val="1"/>
        </w:numPr>
        <w:spacing w:before="120" w:after="120" w:line="360" w:lineRule="auto"/>
        <w:ind w:left="283" w:hanging="425"/>
        <w:contextualSpacing w:val="0"/>
        <w:jc w:val="both"/>
        <w:rPr>
          <w:rFonts w:ascii="David" w:hAnsi="David" w:cs="David"/>
          <w:b/>
          <w:bCs/>
          <w:sz w:val="24"/>
          <w:szCs w:val="24"/>
          <w:u w:val="single"/>
          <w:rtl/>
        </w:rPr>
      </w:pPr>
      <w:r>
        <w:rPr>
          <w:rFonts w:ascii="David" w:hAnsi="David" w:cs="David"/>
          <w:sz w:val="24"/>
          <w:szCs w:val="24"/>
          <w:rtl/>
        </w:rPr>
        <w:t xml:space="preserve">המאשימה לא הגישה ראיות לעונש. </w:t>
      </w:r>
    </w:p>
    <w:p w14:paraId="7543A41B" w14:textId="77777777" w:rsidR="00B67CC4" w:rsidRDefault="00B67CC4" w:rsidP="00B67CC4">
      <w:pPr>
        <w:pStyle w:val="aa"/>
        <w:numPr>
          <w:ilvl w:val="0"/>
          <w:numId w:val="1"/>
        </w:numPr>
        <w:spacing w:before="120" w:after="120" w:line="360" w:lineRule="auto"/>
        <w:ind w:left="283" w:hanging="425"/>
        <w:contextualSpacing w:val="0"/>
        <w:jc w:val="both"/>
        <w:rPr>
          <w:rFonts w:ascii="David" w:hAnsi="David" w:cs="David"/>
          <w:b/>
          <w:bCs/>
          <w:sz w:val="24"/>
          <w:szCs w:val="24"/>
          <w:u w:val="single"/>
        </w:rPr>
      </w:pPr>
      <w:r>
        <w:rPr>
          <w:rFonts w:ascii="David" w:hAnsi="David" w:cs="David"/>
          <w:sz w:val="24"/>
          <w:szCs w:val="24"/>
          <w:rtl/>
        </w:rPr>
        <w:t>הנאשם הגיש מסמכים שנוגעים לעבודתו (מוצג ת/1) והעיד את אביו.</w:t>
      </w:r>
    </w:p>
    <w:p w14:paraId="3EFB8902" w14:textId="77777777" w:rsidR="00B67CC4" w:rsidRDefault="00B67CC4" w:rsidP="00B67CC4">
      <w:pPr>
        <w:pStyle w:val="aa"/>
        <w:numPr>
          <w:ilvl w:val="0"/>
          <w:numId w:val="1"/>
        </w:numPr>
        <w:spacing w:before="120" w:after="120" w:line="360" w:lineRule="auto"/>
        <w:ind w:left="283" w:hanging="425"/>
        <w:contextualSpacing w:val="0"/>
        <w:jc w:val="both"/>
        <w:rPr>
          <w:rFonts w:ascii="David" w:hAnsi="David" w:cs="David"/>
          <w:sz w:val="24"/>
          <w:szCs w:val="24"/>
        </w:rPr>
      </w:pPr>
      <w:r>
        <w:rPr>
          <w:rFonts w:ascii="David" w:hAnsi="David" w:cs="David"/>
          <w:sz w:val="24"/>
          <w:szCs w:val="24"/>
          <w:rtl/>
        </w:rPr>
        <w:t>המסמכים שהוגשו כוללים הצהרה של החברה בה הנאשם עובד, שהיא לא מעסיקה עובדים בעלי עבר פלילי, מכתבי המלצה לנאשם ואישור לימודי תואר שני בקריה האקדמית אונו.</w:t>
      </w:r>
    </w:p>
    <w:p w14:paraId="52C3EC77" w14:textId="77777777" w:rsidR="00B67CC4" w:rsidRDefault="00B67CC4" w:rsidP="00B67CC4">
      <w:pPr>
        <w:pStyle w:val="aa"/>
        <w:numPr>
          <w:ilvl w:val="0"/>
          <w:numId w:val="1"/>
        </w:numPr>
        <w:spacing w:before="120" w:after="120" w:line="360" w:lineRule="auto"/>
        <w:ind w:left="283" w:hanging="425"/>
        <w:contextualSpacing w:val="0"/>
        <w:jc w:val="both"/>
        <w:rPr>
          <w:rFonts w:ascii="David" w:hAnsi="David" w:cs="David"/>
          <w:sz w:val="24"/>
          <w:szCs w:val="24"/>
        </w:rPr>
      </w:pPr>
      <w:r>
        <w:rPr>
          <w:rFonts w:ascii="David" w:hAnsi="David" w:cs="David"/>
          <w:sz w:val="24"/>
          <w:szCs w:val="24"/>
          <w:rtl/>
        </w:rPr>
        <w:t>אביו של הנאשם, מר משה חמי, סיפר בעדותו כי הנאשם הוא ילד ממושמע, לומד לימודי תואר שני, גדל במשפחה נורמטיבית, עובד איתו בחברה ומטפל בפרויקטים בין היתר מול עורכי דין.  לדברי האב, החברה שבבעלותו עומדת לפני הנפקה בבורסה, כאשר תנאי להנפקה הוא שהחברה לא מעסיקה עובדים בעלי עבר פלילי. לדבריו כך הוחלט גם עם השותפים האחרים. בהתייחסותו לעבירה האב סיפר שהמשפחה קיבלה את אירוע העבירה וכתב האישום מאד קשה ואמר שהוא סמוך ובטוח שבנו הפנים את חומרת העבירה. האב ביקש להתחשב בגילו של הנאשם ובעובדה שהוא בתחילת דרכו, נורמטיבי וגדל באזור הכי טוב בארץ.</w:t>
      </w:r>
    </w:p>
    <w:p w14:paraId="415369CC" w14:textId="77777777" w:rsidR="00B67CC4" w:rsidRDefault="00B67CC4" w:rsidP="00B67CC4">
      <w:pPr>
        <w:pStyle w:val="aa"/>
        <w:tabs>
          <w:tab w:val="left" w:pos="3513"/>
        </w:tabs>
        <w:spacing w:before="120" w:after="120" w:line="360" w:lineRule="auto"/>
        <w:ind w:hanging="360"/>
        <w:contextualSpacing w:val="0"/>
        <w:jc w:val="both"/>
        <w:rPr>
          <w:rFonts w:ascii="David" w:hAnsi="David" w:cs="David"/>
          <w:b/>
          <w:bCs/>
          <w:sz w:val="24"/>
          <w:szCs w:val="24"/>
          <w:u w:val="single"/>
        </w:rPr>
      </w:pPr>
      <w:r>
        <w:rPr>
          <w:rFonts w:ascii="David" w:hAnsi="David" w:cs="David"/>
          <w:b/>
          <w:bCs/>
          <w:sz w:val="24"/>
          <w:szCs w:val="24"/>
          <w:u w:val="single"/>
          <w:rtl/>
        </w:rPr>
        <w:t>דיון והכרעה:</w:t>
      </w:r>
    </w:p>
    <w:p w14:paraId="380E8569" w14:textId="77777777" w:rsidR="00B67CC4" w:rsidRPr="00B67CC4" w:rsidRDefault="00B67CC4" w:rsidP="00B67CC4">
      <w:pPr>
        <w:pStyle w:val="aa"/>
        <w:spacing w:before="120" w:after="120" w:line="360" w:lineRule="auto"/>
        <w:ind w:hanging="360"/>
        <w:contextualSpacing w:val="0"/>
        <w:jc w:val="both"/>
        <w:rPr>
          <w:rFonts w:ascii="David" w:hAnsi="David" w:cs="David"/>
          <w:b/>
          <w:bCs/>
          <w:sz w:val="24"/>
          <w:szCs w:val="24"/>
          <w:rtl/>
        </w:rPr>
      </w:pPr>
      <w:r>
        <w:rPr>
          <w:rFonts w:ascii="David" w:hAnsi="David" w:cs="David"/>
          <w:b/>
          <w:bCs/>
          <w:sz w:val="24"/>
          <w:szCs w:val="24"/>
          <w:u w:val="single"/>
          <w:rtl/>
        </w:rPr>
        <w:t>קביעת מתחם העונש ההולם</w:t>
      </w:r>
      <w:r>
        <w:rPr>
          <w:rFonts w:ascii="David" w:hAnsi="David" w:cs="David"/>
          <w:b/>
          <w:bCs/>
          <w:sz w:val="24"/>
          <w:szCs w:val="24"/>
          <w:rtl/>
        </w:rPr>
        <w:t xml:space="preserve"> -</w:t>
      </w:r>
    </w:p>
    <w:p w14:paraId="2020DFDE" w14:textId="77777777" w:rsidR="00B67CC4" w:rsidRDefault="00B67CC4" w:rsidP="00B67CC4">
      <w:pPr>
        <w:pStyle w:val="aa"/>
        <w:numPr>
          <w:ilvl w:val="0"/>
          <w:numId w:val="1"/>
        </w:numPr>
        <w:spacing w:before="120" w:after="120" w:line="360" w:lineRule="auto"/>
        <w:ind w:left="283" w:hanging="425"/>
        <w:contextualSpacing w:val="0"/>
        <w:jc w:val="both"/>
        <w:rPr>
          <w:rFonts w:ascii="David" w:hAnsi="David" w:cs="David"/>
          <w:sz w:val="24"/>
          <w:szCs w:val="24"/>
        </w:rPr>
      </w:pPr>
      <w:r>
        <w:rPr>
          <w:rFonts w:ascii="David" w:hAnsi="David" w:cs="David"/>
          <w:sz w:val="24"/>
          <w:szCs w:val="24"/>
          <w:rtl/>
        </w:rPr>
        <w:t xml:space="preserve">בהתאם להוראת </w:t>
      </w:r>
      <w:hyperlink r:id="rId19" w:history="1">
        <w:r w:rsidR="00824125" w:rsidRPr="00824125">
          <w:rPr>
            <w:rStyle w:val="Hyperlink"/>
            <w:rFonts w:ascii="David" w:hAnsi="David" w:cs="David"/>
            <w:color w:val="0000FF"/>
            <w:sz w:val="24"/>
            <w:szCs w:val="24"/>
            <w:rtl/>
          </w:rPr>
          <w:t>סעיף 40ב</w:t>
        </w:r>
      </w:hyperlink>
      <w:r>
        <w:rPr>
          <w:rFonts w:ascii="David" w:hAnsi="David" w:cs="David"/>
          <w:sz w:val="24"/>
          <w:szCs w:val="24"/>
          <w:rtl/>
        </w:rPr>
        <w:t xml:space="preserve"> ל</w:t>
      </w:r>
      <w:hyperlink r:id="rId20" w:history="1">
        <w:r w:rsidR="000F6C27" w:rsidRPr="000F6C27">
          <w:rPr>
            <w:rFonts w:ascii="David" w:hAnsi="David" w:cs="David"/>
            <w:color w:val="0000FF"/>
            <w:sz w:val="24"/>
            <w:szCs w:val="24"/>
            <w:u w:val="single"/>
            <w:rtl/>
          </w:rPr>
          <w:t>חוק העונשין</w:t>
        </w:r>
      </w:hyperlink>
      <w:r>
        <w:rPr>
          <w:rFonts w:ascii="David" w:hAnsi="David" w:cs="David"/>
          <w:sz w:val="24"/>
          <w:szCs w:val="24"/>
          <w:rtl/>
        </w:rPr>
        <w:t>, העיקרון המנחה את בית המשפט בקביעת מתחם העונש ההולם למעשה עבירה הוא יחס הולם בין חומרת המעשה בנסיבות המקרה ומידת אשמו של הנאשם לבין סוג העונש המוטל עליו ומידתו.</w:t>
      </w:r>
    </w:p>
    <w:p w14:paraId="28390F82" w14:textId="77777777" w:rsidR="00B67CC4" w:rsidRDefault="00B67CC4" w:rsidP="00B67CC4">
      <w:pPr>
        <w:pStyle w:val="aa"/>
        <w:numPr>
          <w:ilvl w:val="0"/>
          <w:numId w:val="1"/>
        </w:numPr>
        <w:spacing w:before="120" w:after="120" w:line="360" w:lineRule="auto"/>
        <w:ind w:left="283" w:hanging="425"/>
        <w:contextualSpacing w:val="0"/>
        <w:jc w:val="both"/>
        <w:rPr>
          <w:rFonts w:ascii="David" w:hAnsi="David" w:cs="David"/>
          <w:sz w:val="24"/>
          <w:szCs w:val="24"/>
        </w:rPr>
      </w:pPr>
      <w:r>
        <w:rPr>
          <w:rFonts w:ascii="David" w:hAnsi="David" w:cs="David"/>
          <w:sz w:val="24"/>
          <w:szCs w:val="24"/>
          <w:rtl/>
        </w:rPr>
        <w:t xml:space="preserve">בהתאם להוראת </w:t>
      </w:r>
      <w:hyperlink r:id="rId21" w:history="1">
        <w:r w:rsidR="00824125" w:rsidRPr="00824125">
          <w:rPr>
            <w:rStyle w:val="Hyperlink"/>
            <w:rFonts w:ascii="David" w:hAnsi="David" w:cs="David"/>
            <w:color w:val="0000FF"/>
            <w:sz w:val="24"/>
            <w:szCs w:val="24"/>
            <w:rtl/>
          </w:rPr>
          <w:t>סעיף 40ג(ב)</w:t>
        </w:r>
      </w:hyperlink>
      <w:r>
        <w:rPr>
          <w:rFonts w:ascii="David" w:hAnsi="David" w:cs="David"/>
          <w:sz w:val="24"/>
          <w:szCs w:val="24"/>
          <w:rtl/>
        </w:rPr>
        <w:t xml:space="preserve"> ל</w:t>
      </w:r>
      <w:hyperlink r:id="rId22" w:history="1">
        <w:r w:rsidR="000F6C27" w:rsidRPr="000F6C27">
          <w:rPr>
            <w:rFonts w:ascii="David" w:hAnsi="David" w:cs="David"/>
            <w:color w:val="0000FF"/>
            <w:sz w:val="24"/>
            <w:szCs w:val="24"/>
            <w:u w:val="single"/>
            <w:rtl/>
          </w:rPr>
          <w:t>חוק העונשין</w:t>
        </w:r>
      </w:hyperlink>
      <w:r>
        <w:rPr>
          <w:rFonts w:ascii="David" w:hAnsi="David" w:cs="David"/>
          <w:sz w:val="24"/>
          <w:szCs w:val="24"/>
          <w:rtl/>
        </w:rPr>
        <w:t xml:space="preserve"> בקביעת מתחם העונש ההולם יתחשב בית המשפט בערכים החברתיים שנפגעו מביצוע העבירה, במידת הפגיעה בהם, במדיניות הענישה הנוהגת ובנסיבות הקשורות בביצוע העבירה.</w:t>
      </w:r>
    </w:p>
    <w:p w14:paraId="3014A91F" w14:textId="77777777" w:rsidR="00B67CC4" w:rsidRDefault="00B67CC4" w:rsidP="00B67CC4">
      <w:pPr>
        <w:pStyle w:val="aa"/>
        <w:numPr>
          <w:ilvl w:val="0"/>
          <w:numId w:val="1"/>
        </w:numPr>
        <w:spacing w:before="120" w:after="120" w:line="360" w:lineRule="auto"/>
        <w:ind w:left="283" w:hanging="425"/>
        <w:contextualSpacing w:val="0"/>
        <w:jc w:val="both"/>
        <w:rPr>
          <w:rFonts w:ascii="David" w:hAnsi="David" w:cs="David"/>
          <w:sz w:val="24"/>
          <w:szCs w:val="24"/>
        </w:rPr>
      </w:pPr>
      <w:r>
        <w:rPr>
          <w:rFonts w:ascii="David" w:hAnsi="David" w:cs="David"/>
          <w:b/>
          <w:bCs/>
          <w:sz w:val="24"/>
          <w:szCs w:val="24"/>
          <w:u w:val="single"/>
          <w:rtl/>
        </w:rPr>
        <w:t xml:space="preserve">הערכים החברתיים שנפגעים מביצוע עבירות על פי </w:t>
      </w:r>
      <w:hyperlink r:id="rId23" w:history="1">
        <w:r w:rsidR="000F6C27" w:rsidRPr="000F6C27">
          <w:rPr>
            <w:rFonts w:ascii="David" w:hAnsi="David" w:cs="David"/>
            <w:b/>
            <w:bCs/>
            <w:color w:val="0000FF"/>
            <w:sz w:val="24"/>
            <w:szCs w:val="24"/>
            <w:u w:val="single"/>
            <w:rtl/>
          </w:rPr>
          <w:t>פקודת הסמים המסוכנים</w:t>
        </w:r>
      </w:hyperlink>
      <w:r>
        <w:rPr>
          <w:rFonts w:ascii="David" w:hAnsi="David" w:cs="David"/>
          <w:sz w:val="24"/>
          <w:szCs w:val="24"/>
          <w:rtl/>
        </w:rPr>
        <w:t xml:space="preserve"> : עבירות על פי פקודת הסמים המסוכנים פוגעות בשלטון החוק; פוגעות בבריאות הציבור בכך שהן עלולות לגרום נזקים גופניים ונפשיים ישירים למשתמשים, אשר יכול ויצריכו טיפול רפואי שעלותו נופלת על החברה; הן עבירות מחוללות פשיעה בהיותן מהוות תמריץ לביצוע עבירות אחרות, כגון עבירות רכוש ואלימות לשם רכישת הסמים והפצתם ויש בהן כדי לפגוע בביטחון הציבור. </w:t>
      </w:r>
    </w:p>
    <w:p w14:paraId="23A8DB43" w14:textId="77777777" w:rsidR="00B67CC4" w:rsidRDefault="00B67CC4" w:rsidP="00B67CC4">
      <w:pPr>
        <w:pStyle w:val="aa"/>
        <w:numPr>
          <w:ilvl w:val="0"/>
          <w:numId w:val="1"/>
        </w:numPr>
        <w:shd w:val="clear" w:color="auto" w:fill="FFFFFF"/>
        <w:spacing w:before="120" w:after="120" w:line="360" w:lineRule="auto"/>
        <w:ind w:left="283" w:hanging="425"/>
        <w:contextualSpacing w:val="0"/>
        <w:jc w:val="both"/>
        <w:rPr>
          <w:rFonts w:ascii="David" w:hAnsi="David" w:cs="David"/>
          <w:b/>
          <w:bCs/>
          <w:color w:val="FF0000"/>
          <w:sz w:val="24"/>
          <w:szCs w:val="24"/>
          <w:u w:val="single"/>
        </w:rPr>
      </w:pPr>
      <w:r>
        <w:rPr>
          <w:rFonts w:ascii="David" w:hAnsi="David" w:cs="David"/>
          <w:b/>
          <w:bCs/>
          <w:sz w:val="24"/>
          <w:szCs w:val="24"/>
          <w:u w:val="single"/>
          <w:rtl/>
        </w:rPr>
        <w:t>מידת הפגיעה בערכים החברתיים המוגנים בענייננו:</w:t>
      </w:r>
      <w:r>
        <w:rPr>
          <w:rFonts w:ascii="David" w:hAnsi="David" w:cs="David"/>
          <w:sz w:val="24"/>
          <w:szCs w:val="24"/>
          <w:rtl/>
        </w:rPr>
        <w:t xml:space="preserve"> מדובר בסמים מסוכנים מסוג קוקאין ו – </w:t>
      </w:r>
      <w:r>
        <w:rPr>
          <w:rFonts w:ascii="David" w:hAnsi="David" w:cs="David"/>
          <w:sz w:val="24"/>
          <w:szCs w:val="24"/>
        </w:rPr>
        <w:t>MDMA</w:t>
      </w:r>
      <w:r>
        <w:rPr>
          <w:rFonts w:ascii="David" w:hAnsi="David" w:cs="David"/>
          <w:sz w:val="24"/>
          <w:szCs w:val="24"/>
          <w:rtl/>
        </w:rPr>
        <w:t>, הנמנים עם "הסמים הקשים" במשקל כולל של מעל גרם, שהיא כמות העולה על הכמות המוגדרת בחוק לצריכה עצמית. יחד עם זאת, על פי כתב האישום הסמים הוחזקו על ידי הנאשם לצריכתו העצמית. בנסיבות אלה, מידת הפגיעה בערכים המוגנים היא במידה קלה - בינונית.</w:t>
      </w:r>
    </w:p>
    <w:p w14:paraId="1FF05A61" w14:textId="77777777" w:rsidR="00B67CC4" w:rsidRPr="00B67CC4" w:rsidRDefault="00B67CC4" w:rsidP="00B67CC4">
      <w:pPr>
        <w:pStyle w:val="aa"/>
        <w:numPr>
          <w:ilvl w:val="0"/>
          <w:numId w:val="1"/>
        </w:numPr>
        <w:spacing w:before="120" w:after="120" w:line="360" w:lineRule="auto"/>
        <w:ind w:left="283" w:hanging="425"/>
        <w:contextualSpacing w:val="0"/>
        <w:jc w:val="both"/>
        <w:rPr>
          <w:rFonts w:ascii="David" w:hAnsi="David" w:cs="David"/>
          <w:color w:val="000000"/>
          <w:sz w:val="24"/>
          <w:szCs w:val="24"/>
        </w:rPr>
      </w:pPr>
      <w:r>
        <w:rPr>
          <w:rFonts w:ascii="David" w:hAnsi="David" w:cs="David"/>
          <w:b/>
          <w:bCs/>
          <w:sz w:val="24"/>
          <w:szCs w:val="24"/>
          <w:u w:val="single"/>
          <w:rtl/>
        </w:rPr>
        <w:t>מדיניות הענישה הנוהגת</w:t>
      </w:r>
      <w:r>
        <w:rPr>
          <w:rFonts w:ascii="David" w:hAnsi="David" w:cs="David"/>
          <w:sz w:val="24"/>
          <w:szCs w:val="24"/>
          <w:rtl/>
        </w:rPr>
        <w:t xml:space="preserve"> - בחינת מדיניות הענישה הנוהגת בעבירות החזקת סמים מהסוג שהחזיק הנאשם לצריכה עצמית מעלה כי מתחם הענישה נע בין מאסר מותנה עד למספר חודשי מאסר בפועל כעמדת המאשימה. לעניין זה מפנה ל</w:t>
      </w:r>
      <w:hyperlink r:id="rId24" w:history="1">
        <w:r w:rsidR="000F6C27" w:rsidRPr="000F6C27">
          <w:rPr>
            <w:rFonts w:ascii="David" w:hAnsi="David" w:cs="David"/>
            <w:color w:val="0000FF"/>
            <w:sz w:val="24"/>
            <w:szCs w:val="24"/>
            <w:u w:val="single"/>
            <w:rtl/>
          </w:rPr>
          <w:t>עפ"ג 38182-03-23</w:t>
        </w:r>
      </w:hyperlink>
      <w:r>
        <w:rPr>
          <w:rFonts w:ascii="David" w:hAnsi="David" w:cs="David"/>
          <w:color w:val="000000"/>
          <w:sz w:val="24"/>
          <w:szCs w:val="24"/>
          <w:rtl/>
        </w:rPr>
        <w:t xml:space="preserve"> </w:t>
      </w:r>
      <w:r>
        <w:rPr>
          <w:rFonts w:ascii="David" w:hAnsi="David" w:cs="David"/>
          <w:b/>
          <w:bCs/>
          <w:color w:val="000000"/>
          <w:sz w:val="24"/>
          <w:szCs w:val="24"/>
          <w:u w:val="single"/>
          <w:rtl/>
        </w:rPr>
        <w:t>אדריאן נ' מדינת ישראל</w:t>
      </w:r>
      <w:r>
        <w:rPr>
          <w:rFonts w:ascii="David" w:hAnsi="David" w:cs="David"/>
          <w:color w:val="000000"/>
          <w:sz w:val="24"/>
          <w:szCs w:val="24"/>
          <w:rtl/>
        </w:rPr>
        <w:t xml:space="preserve"> (12.07.23) (</w:t>
      </w:r>
      <w:hyperlink r:id="rId25" w:history="1">
        <w:r w:rsidR="000F6C27" w:rsidRPr="000F6C27">
          <w:rPr>
            <w:rFonts w:ascii="David" w:hAnsi="David" w:cs="David"/>
            <w:color w:val="0000FF"/>
            <w:sz w:val="24"/>
            <w:szCs w:val="24"/>
            <w:u w:val="single"/>
            <w:rtl/>
          </w:rPr>
          <w:t>ת"פ 21530-01-20</w:t>
        </w:r>
      </w:hyperlink>
      <w:r>
        <w:rPr>
          <w:rFonts w:ascii="David" w:hAnsi="David" w:cs="David"/>
          <w:color w:val="000000"/>
          <w:sz w:val="24"/>
          <w:szCs w:val="24"/>
          <w:rtl/>
        </w:rPr>
        <w:t xml:space="preserve">); </w:t>
      </w:r>
      <w:hyperlink r:id="rId26" w:history="1">
        <w:r w:rsidR="000F6C27" w:rsidRPr="000F6C27">
          <w:rPr>
            <w:rFonts w:ascii="David" w:hAnsi="David" w:cs="David"/>
            <w:color w:val="0000FF"/>
            <w:sz w:val="24"/>
            <w:szCs w:val="24"/>
            <w:u w:val="single"/>
            <w:rtl/>
          </w:rPr>
          <w:t>ת"פ 68386-11-20</w:t>
        </w:r>
      </w:hyperlink>
      <w:r>
        <w:rPr>
          <w:rFonts w:ascii="David" w:hAnsi="David" w:cs="David"/>
          <w:color w:val="000000"/>
          <w:sz w:val="24"/>
          <w:szCs w:val="24"/>
          <w:rtl/>
        </w:rPr>
        <w:t xml:space="preserve"> </w:t>
      </w:r>
      <w:r>
        <w:rPr>
          <w:rFonts w:ascii="David" w:hAnsi="David" w:cs="David"/>
          <w:b/>
          <w:bCs/>
          <w:color w:val="000000"/>
          <w:sz w:val="24"/>
          <w:szCs w:val="24"/>
          <w:u w:val="single"/>
          <w:rtl/>
        </w:rPr>
        <w:t>מדינת ישראל נ' אוואסקר</w:t>
      </w:r>
      <w:r>
        <w:rPr>
          <w:rFonts w:ascii="David" w:hAnsi="David" w:cs="David"/>
          <w:color w:val="000000"/>
          <w:sz w:val="24"/>
          <w:szCs w:val="24"/>
          <w:rtl/>
        </w:rPr>
        <w:t xml:space="preserve"> (19.09.22);</w:t>
      </w:r>
      <w:hyperlink r:id="rId27" w:history="1">
        <w:r w:rsidR="000F6C27" w:rsidRPr="000F6C27">
          <w:rPr>
            <w:rFonts w:ascii="David" w:hAnsi="David" w:cs="David"/>
            <w:color w:val="0000FF"/>
            <w:sz w:val="24"/>
            <w:szCs w:val="24"/>
            <w:u w:val="single"/>
            <w:rtl/>
          </w:rPr>
          <w:t>ת"פ 21616-09-13</w:t>
        </w:r>
      </w:hyperlink>
      <w:r w:rsidR="000F6C27">
        <w:rPr>
          <w:rFonts w:ascii="David" w:hAnsi="David" w:cs="David"/>
          <w:sz w:val="24"/>
          <w:szCs w:val="24"/>
        </w:rPr>
        <w:t xml:space="preserve"> </w:t>
      </w:r>
      <w:r>
        <w:rPr>
          <w:rFonts w:ascii="David" w:hAnsi="David" w:cs="David"/>
          <w:b/>
          <w:bCs/>
          <w:sz w:val="24"/>
          <w:szCs w:val="24"/>
          <w:u w:val="single"/>
          <w:rtl/>
        </w:rPr>
        <w:t>מדינת ישראל נ' שושנה אכלופי</w:t>
      </w:r>
      <w:r>
        <w:rPr>
          <w:rFonts w:ascii="David" w:hAnsi="David" w:cs="David"/>
          <w:sz w:val="24"/>
          <w:szCs w:val="24"/>
          <w:rtl/>
        </w:rPr>
        <w:t xml:space="preserve"> (07.11.16); </w:t>
      </w:r>
      <w:hyperlink r:id="rId28" w:history="1">
        <w:r w:rsidR="000F6C27" w:rsidRPr="000F6C27">
          <w:rPr>
            <w:rFonts w:ascii="David" w:hAnsi="David" w:cs="David"/>
            <w:color w:val="0000FF"/>
            <w:sz w:val="24"/>
            <w:szCs w:val="24"/>
            <w:u w:val="single"/>
            <w:rtl/>
          </w:rPr>
          <w:t>ת"פ 17043-12-21</w:t>
        </w:r>
      </w:hyperlink>
      <w:r>
        <w:rPr>
          <w:rFonts w:ascii="David" w:hAnsi="David" w:cs="David"/>
          <w:color w:val="000000"/>
          <w:sz w:val="24"/>
          <w:szCs w:val="24"/>
          <w:rtl/>
        </w:rPr>
        <w:t xml:space="preserve"> </w:t>
      </w:r>
      <w:r>
        <w:rPr>
          <w:rFonts w:ascii="David" w:hAnsi="David" w:cs="David"/>
          <w:b/>
          <w:bCs/>
          <w:color w:val="000000"/>
          <w:sz w:val="24"/>
          <w:szCs w:val="24"/>
          <w:u w:val="single"/>
          <w:rtl/>
        </w:rPr>
        <w:t>מדינת ישראל נ' חלאיקה ואח'</w:t>
      </w:r>
      <w:r>
        <w:rPr>
          <w:rFonts w:ascii="David" w:hAnsi="David" w:cs="David"/>
          <w:color w:val="000000"/>
          <w:sz w:val="24"/>
          <w:szCs w:val="24"/>
          <w:rtl/>
        </w:rPr>
        <w:t xml:space="preserve"> (30.01.23).</w:t>
      </w:r>
    </w:p>
    <w:p w14:paraId="62C80830" w14:textId="77777777" w:rsidR="00B67CC4" w:rsidRPr="00B67CC4" w:rsidRDefault="00B67CC4" w:rsidP="00B67CC4">
      <w:pPr>
        <w:pStyle w:val="aa"/>
        <w:numPr>
          <w:ilvl w:val="0"/>
          <w:numId w:val="1"/>
        </w:numPr>
        <w:spacing w:before="120" w:after="120" w:line="360" w:lineRule="auto"/>
        <w:ind w:left="283" w:hanging="425"/>
        <w:contextualSpacing w:val="0"/>
        <w:jc w:val="both"/>
      </w:pPr>
      <w:r>
        <w:rPr>
          <w:rFonts w:ascii="David" w:hAnsi="David" w:cs="David"/>
          <w:b/>
          <w:bCs/>
          <w:sz w:val="24"/>
          <w:szCs w:val="24"/>
          <w:u w:val="single"/>
          <w:rtl/>
        </w:rPr>
        <w:t>נסיבות הקשורות בביצוע העבירה</w:t>
      </w:r>
      <w:r>
        <w:rPr>
          <w:rFonts w:ascii="David" w:hAnsi="David" w:cs="David"/>
          <w:sz w:val="24"/>
          <w:szCs w:val="24"/>
          <w:rtl/>
        </w:rPr>
        <w:t xml:space="preserve"> – במסגרת הנסיבות הקשורות בביצוע העבירה יש להתחשב בסוג הסמים, בכמות הסמים ובעובדה שהסמים הוחזקו לצריכה עצמית. </w:t>
      </w:r>
    </w:p>
    <w:p w14:paraId="2EEF082F" w14:textId="77777777" w:rsidR="00B67CC4" w:rsidRDefault="00B67CC4" w:rsidP="00B67CC4">
      <w:pPr>
        <w:pStyle w:val="aa"/>
        <w:numPr>
          <w:ilvl w:val="0"/>
          <w:numId w:val="1"/>
        </w:numPr>
        <w:spacing w:before="120" w:after="120" w:line="360" w:lineRule="auto"/>
        <w:ind w:left="283" w:hanging="425"/>
        <w:contextualSpacing w:val="0"/>
        <w:jc w:val="both"/>
        <w:rPr>
          <w:rFonts w:ascii="David" w:hAnsi="David" w:cs="David"/>
          <w:sz w:val="24"/>
          <w:szCs w:val="24"/>
          <w:rtl/>
        </w:rPr>
      </w:pPr>
      <w:r>
        <w:rPr>
          <w:rFonts w:ascii="David" w:hAnsi="David" w:cs="David"/>
          <w:sz w:val="24"/>
          <w:szCs w:val="24"/>
          <w:rtl/>
        </w:rPr>
        <w:t>בנסיבות העניין, בהתחשב בפגיעה בערכים המוגנים, בהתחשב במדיניות הענישה הנוהגת ובנסיבות הקשורות בביצוע העבירה, מצאתי לקבוע כי מתחם העונש ההולם בעניינו של הנאשם נע בין מאסר מותנה ל – 6 חודשי מאסר בפועל.</w:t>
      </w:r>
    </w:p>
    <w:p w14:paraId="2319B863" w14:textId="77777777" w:rsidR="00B67CC4" w:rsidRDefault="00B67CC4" w:rsidP="00B67CC4">
      <w:pPr>
        <w:pStyle w:val="aa"/>
        <w:spacing w:before="120" w:after="120" w:line="360" w:lineRule="auto"/>
        <w:ind w:hanging="360"/>
        <w:contextualSpacing w:val="0"/>
        <w:jc w:val="both"/>
        <w:rPr>
          <w:rFonts w:ascii="David" w:hAnsi="David" w:cs="David"/>
          <w:b/>
          <w:bCs/>
          <w:sz w:val="24"/>
          <w:szCs w:val="24"/>
          <w:u w:val="single"/>
        </w:rPr>
      </w:pPr>
      <w:r>
        <w:rPr>
          <w:rFonts w:ascii="David" w:hAnsi="David" w:cs="David"/>
          <w:b/>
          <w:bCs/>
          <w:sz w:val="24"/>
          <w:szCs w:val="24"/>
          <w:u w:val="single"/>
          <w:rtl/>
        </w:rPr>
        <w:t>דין הבקשה לביטול הרשעתו של הנאשם – להתקבל:</w:t>
      </w:r>
    </w:p>
    <w:p w14:paraId="2CC3621E" w14:textId="77777777" w:rsidR="00B67CC4" w:rsidRPr="00B67CC4" w:rsidRDefault="00824125" w:rsidP="00B67CC4">
      <w:pPr>
        <w:pStyle w:val="aa"/>
        <w:numPr>
          <w:ilvl w:val="0"/>
          <w:numId w:val="1"/>
        </w:numPr>
        <w:spacing w:before="120" w:after="120" w:line="360" w:lineRule="auto"/>
        <w:ind w:left="283" w:hanging="425"/>
        <w:contextualSpacing w:val="0"/>
        <w:jc w:val="both"/>
        <w:rPr>
          <w:rFonts w:ascii="David" w:hAnsi="David" w:cs="David"/>
          <w:sz w:val="24"/>
          <w:szCs w:val="24"/>
          <w:rtl/>
        </w:rPr>
      </w:pPr>
      <w:hyperlink r:id="rId29" w:history="1">
        <w:r w:rsidRPr="00824125">
          <w:rPr>
            <w:rStyle w:val="Hyperlink"/>
            <w:rFonts w:ascii="David" w:hAnsi="David" w:cs="David"/>
            <w:color w:val="0000FF"/>
            <w:sz w:val="24"/>
            <w:szCs w:val="24"/>
            <w:rtl/>
          </w:rPr>
          <w:t>סעיף 182</w:t>
        </w:r>
      </w:hyperlink>
      <w:r w:rsidR="00B67CC4">
        <w:rPr>
          <w:rFonts w:ascii="David" w:hAnsi="David" w:cs="David"/>
          <w:sz w:val="24"/>
          <w:szCs w:val="24"/>
          <w:rtl/>
        </w:rPr>
        <w:t xml:space="preserve"> ל</w:t>
      </w:r>
      <w:hyperlink r:id="rId30" w:history="1">
        <w:r w:rsidR="000F6C27" w:rsidRPr="000F6C27">
          <w:rPr>
            <w:rFonts w:ascii="David" w:hAnsi="David" w:cs="David"/>
            <w:color w:val="0000FF"/>
            <w:sz w:val="24"/>
            <w:szCs w:val="24"/>
            <w:u w:val="single"/>
            <w:rtl/>
          </w:rPr>
          <w:t>חוק סדר הדין הפלילי</w:t>
        </w:r>
      </w:hyperlink>
      <w:r w:rsidR="00B67CC4">
        <w:rPr>
          <w:rFonts w:ascii="David" w:hAnsi="David" w:cs="David"/>
          <w:sz w:val="24"/>
          <w:szCs w:val="24"/>
          <w:rtl/>
        </w:rPr>
        <w:t xml:space="preserve"> [נוסח משולב], התשמ"ב-1982, קובע כי משהוכחה אשמתו של נאשם בביצוע עבירה פלילית, יש להרשיעו</w:t>
      </w:r>
      <w:r w:rsidR="00B67CC4">
        <w:rPr>
          <w:rFonts w:ascii="David" w:hAnsi="David" w:cs="David"/>
          <w:sz w:val="24"/>
          <w:szCs w:val="24"/>
          <w:rtl/>
          <w:lang w:eastAsia="he-IL"/>
        </w:rPr>
        <w:t xml:space="preserve">. </w:t>
      </w:r>
      <w:hyperlink r:id="rId31" w:history="1">
        <w:r w:rsidRPr="00824125">
          <w:rPr>
            <w:rStyle w:val="Hyperlink"/>
            <w:rFonts w:ascii="David" w:hAnsi="David" w:cs="David"/>
            <w:color w:val="0000FF"/>
            <w:sz w:val="24"/>
            <w:szCs w:val="24"/>
            <w:rtl/>
          </w:rPr>
          <w:t>סעיף 71</w:t>
        </w:r>
      </w:hyperlink>
      <w:r w:rsidR="00B67CC4">
        <w:rPr>
          <w:rFonts w:ascii="David" w:hAnsi="David" w:cs="David"/>
          <w:sz w:val="24"/>
          <w:szCs w:val="24"/>
          <w:rtl/>
        </w:rPr>
        <w:t xml:space="preserve"> ל</w:t>
      </w:r>
      <w:hyperlink r:id="rId32" w:history="1">
        <w:r w:rsidR="000F6C27" w:rsidRPr="000F6C27">
          <w:rPr>
            <w:rFonts w:ascii="David" w:hAnsi="David" w:cs="David"/>
            <w:color w:val="0000FF"/>
            <w:sz w:val="24"/>
            <w:szCs w:val="24"/>
            <w:u w:val="single"/>
            <w:rtl/>
          </w:rPr>
          <w:t>חוק העונשין</w:t>
        </w:r>
      </w:hyperlink>
      <w:r w:rsidR="00B67CC4">
        <w:rPr>
          <w:rFonts w:ascii="David" w:hAnsi="David" w:cs="David"/>
          <w:sz w:val="24"/>
          <w:szCs w:val="24"/>
          <w:rtl/>
        </w:rPr>
        <w:t xml:space="preserve"> התשל"ז-1977 </w:t>
      </w:r>
      <w:hyperlink r:id="rId33" w:history="1">
        <w:r w:rsidRPr="00824125">
          <w:rPr>
            <w:rStyle w:val="Hyperlink"/>
            <w:rFonts w:ascii="David" w:hAnsi="David" w:cs="David"/>
            <w:color w:val="0000FF"/>
            <w:sz w:val="24"/>
            <w:szCs w:val="24"/>
            <w:rtl/>
          </w:rPr>
          <w:t>וסעיף 192א</w:t>
        </w:r>
      </w:hyperlink>
      <w:r w:rsidR="00B67CC4">
        <w:rPr>
          <w:rFonts w:ascii="David" w:hAnsi="David" w:cs="David"/>
          <w:sz w:val="24"/>
          <w:szCs w:val="24"/>
          <w:rtl/>
        </w:rPr>
        <w:t xml:space="preserve"> ל</w:t>
      </w:r>
      <w:hyperlink r:id="rId34" w:history="1">
        <w:r w:rsidR="000F6C27" w:rsidRPr="000F6C27">
          <w:rPr>
            <w:rFonts w:ascii="David" w:hAnsi="David" w:cs="David"/>
            <w:color w:val="0000FF"/>
            <w:sz w:val="24"/>
            <w:szCs w:val="24"/>
            <w:u w:val="single"/>
            <w:rtl/>
          </w:rPr>
          <w:t>חוק סדר הדין הפלילי</w:t>
        </w:r>
      </w:hyperlink>
      <w:r w:rsidR="00B67CC4">
        <w:rPr>
          <w:rFonts w:ascii="David" w:hAnsi="David" w:cs="David"/>
          <w:sz w:val="24"/>
          <w:szCs w:val="24"/>
          <w:rtl/>
        </w:rPr>
        <w:t xml:space="preserve"> התשמ"ב-1982 קובעים את המסגרת הנורמטיבית, המאפשרת לבית המשפט להימנע מהרשעתו של אדם, אף אם נמצא כי הוא עבר עבירה פלילית. </w:t>
      </w:r>
    </w:p>
    <w:p w14:paraId="5E97DC8F" w14:textId="77777777" w:rsidR="00B67CC4" w:rsidRDefault="00B67CC4" w:rsidP="00B67CC4">
      <w:pPr>
        <w:pStyle w:val="aa"/>
        <w:numPr>
          <w:ilvl w:val="0"/>
          <w:numId w:val="1"/>
        </w:numPr>
        <w:spacing w:before="120" w:after="120" w:line="360" w:lineRule="auto"/>
        <w:ind w:left="283" w:hanging="425"/>
        <w:contextualSpacing w:val="0"/>
        <w:jc w:val="both"/>
        <w:rPr>
          <w:rFonts w:ascii="David" w:hAnsi="David" w:cs="David"/>
          <w:sz w:val="24"/>
          <w:szCs w:val="24"/>
        </w:rPr>
      </w:pPr>
      <w:r>
        <w:rPr>
          <w:rFonts w:ascii="David" w:hAnsi="David" w:cs="David"/>
          <w:sz w:val="24"/>
          <w:szCs w:val="24"/>
          <w:rtl/>
        </w:rPr>
        <w:t>ההלכה הפסוקה קבעה כי הימנעות מהרשעה היא החריג שבחריגים. בהתאם לפסיקה, בית המשפט יחרוג מכלל הרשעת נאשמים שנמצאו אשמים רק בנסיבות יוצאות דופן בהן אין יחס סביר בין הנזק הצפוי מן ההרשעה לבין חומרתה של העבירה (</w:t>
      </w:r>
      <w:hyperlink r:id="rId35" w:history="1">
        <w:r w:rsidR="000F6C27" w:rsidRPr="000F6C27">
          <w:rPr>
            <w:rFonts w:ascii="David" w:hAnsi="David" w:cs="David"/>
            <w:color w:val="0000FF"/>
            <w:sz w:val="24"/>
            <w:szCs w:val="24"/>
            <w:u w:val="single"/>
            <w:rtl/>
          </w:rPr>
          <w:t>ר"ע 432/85</w:t>
        </w:r>
      </w:hyperlink>
      <w:r>
        <w:rPr>
          <w:rFonts w:ascii="David" w:hAnsi="David" w:cs="David"/>
          <w:sz w:val="24"/>
          <w:szCs w:val="24"/>
          <w:rtl/>
        </w:rPr>
        <w:t xml:space="preserve"> </w:t>
      </w:r>
      <w:r>
        <w:rPr>
          <w:rFonts w:ascii="David" w:hAnsi="David" w:cs="David"/>
          <w:b/>
          <w:bCs/>
          <w:sz w:val="24"/>
          <w:szCs w:val="24"/>
          <w:rtl/>
        </w:rPr>
        <w:t xml:space="preserve">גדעון רומנו נ' מדינת ישראל </w:t>
      </w:r>
      <w:r>
        <w:rPr>
          <w:rFonts w:ascii="David" w:hAnsi="David" w:cs="David"/>
          <w:sz w:val="24"/>
          <w:szCs w:val="24"/>
          <w:rtl/>
        </w:rPr>
        <w:t xml:space="preserve">(נבו, 21.8.85). </w:t>
      </w:r>
    </w:p>
    <w:p w14:paraId="02F5349E" w14:textId="77777777" w:rsidR="00B67CC4" w:rsidRDefault="00B67CC4" w:rsidP="00B67CC4">
      <w:pPr>
        <w:pStyle w:val="aa"/>
        <w:numPr>
          <w:ilvl w:val="0"/>
          <w:numId w:val="1"/>
        </w:numPr>
        <w:spacing w:before="120" w:after="120" w:line="360" w:lineRule="auto"/>
        <w:ind w:left="283" w:hanging="425"/>
        <w:contextualSpacing w:val="0"/>
        <w:jc w:val="both"/>
        <w:rPr>
          <w:rFonts w:ascii="David" w:hAnsi="David" w:cs="David"/>
          <w:sz w:val="24"/>
          <w:szCs w:val="24"/>
        </w:rPr>
      </w:pPr>
      <w:r>
        <w:rPr>
          <w:rFonts w:ascii="David" w:hAnsi="David" w:cs="David"/>
          <w:sz w:val="24"/>
          <w:szCs w:val="24"/>
          <w:rtl/>
        </w:rPr>
        <w:t>ב</w:t>
      </w:r>
      <w:hyperlink r:id="rId36" w:history="1">
        <w:r w:rsidR="000F6C27" w:rsidRPr="000F6C27">
          <w:rPr>
            <w:rFonts w:ascii="David" w:hAnsi="David" w:cs="David"/>
            <w:color w:val="0000FF"/>
            <w:sz w:val="24"/>
            <w:szCs w:val="24"/>
            <w:u w:val="single"/>
            <w:rtl/>
          </w:rPr>
          <w:t>ע"פ 9893/06</w:t>
        </w:r>
      </w:hyperlink>
      <w:r>
        <w:rPr>
          <w:rFonts w:ascii="David" w:hAnsi="David" w:cs="David"/>
          <w:sz w:val="24"/>
          <w:szCs w:val="24"/>
          <w:rtl/>
        </w:rPr>
        <w:t xml:space="preserve"> </w:t>
      </w:r>
      <w:r>
        <w:rPr>
          <w:rFonts w:ascii="David" w:hAnsi="David" w:cs="David"/>
          <w:b/>
          <w:bCs/>
          <w:sz w:val="24"/>
          <w:szCs w:val="24"/>
          <w:rtl/>
        </w:rPr>
        <w:t>אסנת לאופר נ' מדינת ישראל</w:t>
      </w:r>
      <w:r>
        <w:rPr>
          <w:rFonts w:ascii="David" w:hAnsi="David" w:cs="David"/>
          <w:sz w:val="24"/>
          <w:szCs w:val="24"/>
          <w:rtl/>
        </w:rPr>
        <w:t xml:space="preserve"> (נבו, 31.12.07) בית המשפט הבהיר כי סיום הליך ללא הרשעה פלילית יהיה: "</w:t>
      </w:r>
      <w:r>
        <w:rPr>
          <w:rFonts w:ascii="David" w:hAnsi="David" w:cs="David"/>
          <w:b/>
          <w:bCs/>
          <w:sz w:val="24"/>
          <w:szCs w:val="24"/>
          <w:rtl/>
        </w:rPr>
        <w:t>במצבים חריגים, מיוחדים ויוצאי דופן, כאשר עלול להיווצר פער בלתי נסבל בין עוצמת פגיעתה של ההרשעה הפלילית בנאשם האינדבידואלי לבין תועלתה של ההרשעה לאינטרס הציבורי – חברתי הכללי...</w:t>
      </w:r>
      <w:r>
        <w:rPr>
          <w:rFonts w:ascii="David" w:hAnsi="David" w:cs="David"/>
          <w:sz w:val="24"/>
          <w:szCs w:val="24"/>
          <w:rtl/>
        </w:rPr>
        <w:t xml:space="preserve">". </w:t>
      </w:r>
    </w:p>
    <w:p w14:paraId="13F03CA3" w14:textId="77777777" w:rsidR="00B67CC4" w:rsidRDefault="00B67CC4" w:rsidP="00B67CC4">
      <w:pPr>
        <w:pStyle w:val="aa"/>
        <w:numPr>
          <w:ilvl w:val="0"/>
          <w:numId w:val="1"/>
        </w:numPr>
        <w:spacing w:before="120" w:after="120" w:line="360" w:lineRule="auto"/>
        <w:ind w:left="283" w:hanging="425"/>
        <w:contextualSpacing w:val="0"/>
        <w:jc w:val="both"/>
        <w:rPr>
          <w:rFonts w:ascii="David" w:hAnsi="David" w:cs="David"/>
          <w:sz w:val="24"/>
          <w:szCs w:val="24"/>
        </w:rPr>
      </w:pPr>
      <w:r>
        <w:rPr>
          <w:rFonts w:ascii="David" w:hAnsi="David" w:cs="David"/>
          <w:sz w:val="24"/>
          <w:szCs w:val="24"/>
          <w:rtl/>
        </w:rPr>
        <w:t xml:space="preserve"> </w:t>
      </w:r>
      <w:r>
        <w:rPr>
          <w:rFonts w:ascii="David" w:hAnsi="David" w:cs="David" w:hint="cs"/>
          <w:sz w:val="24"/>
          <w:szCs w:val="24"/>
          <w:rtl/>
        </w:rPr>
        <w:t>ב</w:t>
      </w:r>
      <w:hyperlink r:id="rId37" w:history="1">
        <w:r w:rsidR="000F6C27" w:rsidRPr="000F6C27">
          <w:rPr>
            <w:rFonts w:ascii="David" w:hAnsi="David" w:cs="David"/>
            <w:color w:val="0000FF"/>
            <w:sz w:val="24"/>
            <w:szCs w:val="24"/>
            <w:u w:val="single"/>
            <w:rtl/>
          </w:rPr>
          <w:t>ע"פ 2083/96</w:t>
        </w:r>
      </w:hyperlink>
      <w:r>
        <w:rPr>
          <w:rFonts w:ascii="David" w:hAnsi="David" w:cs="David" w:hint="cs"/>
          <w:sz w:val="24"/>
          <w:szCs w:val="24"/>
          <w:rtl/>
        </w:rPr>
        <w:t xml:space="preserve"> </w:t>
      </w:r>
      <w:r>
        <w:rPr>
          <w:rFonts w:ascii="David" w:hAnsi="David" w:cs="David" w:hint="cs"/>
          <w:b/>
          <w:bCs/>
          <w:sz w:val="24"/>
          <w:szCs w:val="24"/>
          <w:rtl/>
        </w:rPr>
        <w:t>כתב נ' מדינת ישראל</w:t>
      </w:r>
      <w:r>
        <w:rPr>
          <w:rFonts w:ascii="David" w:hAnsi="David" w:cs="David" w:hint="cs"/>
          <w:sz w:val="24"/>
          <w:szCs w:val="24"/>
          <w:rtl/>
        </w:rPr>
        <w:t xml:space="preserve"> פ"ד נב(3) 337, 342 (</w:t>
      </w:r>
      <w:r>
        <w:rPr>
          <w:rFonts w:ascii="David" w:hAnsi="David" w:cs="David" w:hint="cs"/>
          <w:b/>
          <w:bCs/>
          <w:sz w:val="24"/>
          <w:szCs w:val="24"/>
          <w:rtl/>
        </w:rPr>
        <w:t>להלן: הלכת כתב</w:t>
      </w:r>
      <w:r>
        <w:rPr>
          <w:rFonts w:ascii="David" w:hAnsi="David" w:cs="David" w:hint="cs"/>
          <w:sz w:val="24"/>
          <w:szCs w:val="24"/>
          <w:rtl/>
        </w:rPr>
        <w:t xml:space="preserve">) בית המשפט קבע שני תנאים </w:t>
      </w:r>
      <w:r>
        <w:rPr>
          <w:rFonts w:ascii="David" w:hAnsi="David" w:cs="David" w:hint="cs"/>
          <w:sz w:val="24"/>
          <w:szCs w:val="24"/>
          <w:u w:val="single"/>
          <w:rtl/>
        </w:rPr>
        <w:t>מצטברים</w:t>
      </w:r>
      <w:r>
        <w:rPr>
          <w:rFonts w:ascii="David" w:hAnsi="David" w:cs="David" w:hint="cs"/>
          <w:sz w:val="24"/>
          <w:szCs w:val="24"/>
          <w:rtl/>
        </w:rPr>
        <w:t xml:space="preserve"> לסיום הליך ללא הרשעה: "</w:t>
      </w:r>
      <w:r>
        <w:rPr>
          <w:rFonts w:ascii="David" w:hAnsi="David" w:cs="David" w:hint="cs"/>
          <w:b/>
          <w:bCs/>
          <w:sz w:val="24"/>
          <w:szCs w:val="24"/>
          <w:rtl/>
        </w:rPr>
        <w:t>ראשית, על ההרשעה לפגוע פגיעה חמורה בשיקום הנאשם ושנית סוג העבירה מאפשר לוותר בנסיבות המקרה המסוים על ההרשעה בלי לפגוע באופן מהותי בשיקולי הענישה האחרים</w:t>
      </w:r>
      <w:r>
        <w:rPr>
          <w:rFonts w:ascii="David" w:hAnsi="David" w:cs="David" w:hint="cs"/>
          <w:sz w:val="24"/>
          <w:szCs w:val="24"/>
          <w:rtl/>
        </w:rPr>
        <w:t>".</w:t>
      </w:r>
    </w:p>
    <w:p w14:paraId="0252E547" w14:textId="77777777" w:rsidR="00B67CC4" w:rsidRDefault="00B67CC4" w:rsidP="00B67CC4">
      <w:pPr>
        <w:pStyle w:val="aa"/>
        <w:numPr>
          <w:ilvl w:val="0"/>
          <w:numId w:val="1"/>
        </w:numPr>
        <w:spacing w:before="120" w:after="120" w:line="360" w:lineRule="auto"/>
        <w:ind w:left="283" w:hanging="425"/>
        <w:contextualSpacing w:val="0"/>
        <w:jc w:val="both"/>
        <w:rPr>
          <w:rFonts w:ascii="David" w:hAnsi="David" w:cs="David"/>
          <w:sz w:val="24"/>
          <w:szCs w:val="24"/>
        </w:rPr>
      </w:pPr>
      <w:r>
        <w:rPr>
          <w:rFonts w:ascii="David" w:hAnsi="David" w:cs="David"/>
          <w:sz w:val="24"/>
          <w:szCs w:val="24"/>
          <w:rtl/>
        </w:rPr>
        <w:t xml:space="preserve">מלבד התנאים המצטברים השופט לוין פירט בהלכת כתב מספר שיקולים מנחים שיש להביא בחשבון בבחינת אפשרות סיום הליך ללא הרשעה פלילית: </w:t>
      </w:r>
    </w:p>
    <w:p w14:paraId="413297C7" w14:textId="77777777" w:rsidR="00B67CC4" w:rsidRDefault="00B67CC4" w:rsidP="00B67CC4">
      <w:pPr>
        <w:spacing w:before="120" w:after="120" w:line="360" w:lineRule="auto"/>
        <w:ind w:left="708" w:hanging="220"/>
        <w:jc w:val="both"/>
        <w:rPr>
          <w:rFonts w:ascii="David" w:hAnsi="David"/>
          <w:b/>
          <w:bCs/>
        </w:rPr>
      </w:pPr>
      <w:r>
        <w:rPr>
          <w:rFonts w:ascii="David" w:hAnsi="David"/>
          <w:rtl/>
        </w:rPr>
        <w:t xml:space="preserve">" </w:t>
      </w:r>
      <w:r>
        <w:rPr>
          <w:rFonts w:ascii="David" w:hAnsi="David" w:hint="cs"/>
          <w:b/>
          <w:bCs/>
          <w:rtl/>
        </w:rPr>
        <w:t xml:space="preserve"> </w:t>
      </w:r>
      <w:r>
        <w:rPr>
          <w:rFonts w:ascii="David" w:hAnsi="David"/>
          <w:b/>
          <w:bCs/>
          <w:rtl/>
        </w:rPr>
        <w:t xml:space="preserve">א) האם מדובר בעבירה ראשונה או יחידה של הנאשם; ב) מהי חומרת העבירה והנסיבות שבהן בוצעה; ג) מעמדו ותפקידו של הנאשם והקשר בין העבירה למעמד ולתפקיד; ד) מידת הפגיעה של העבירה באחרים; ה) הסבירות שהנאשם יעבור עבירות נוספות; ו) האם ביצוע העבירה על ידי הנאשם משקף דפוס התנהגות כרוני או המדובר בהתנהגות מקרית; ז) יחסו של הנאשם לעבירה, האם הוא נוטל אחריות על ביצועה, האם הוא מתחרט עליה; ח) משמעות ההרשעה על הדימוי העצמי של הנאשם; ט) השפעת ההרשעה על תחומי פעילותו של הנאשם. </w:t>
      </w:r>
    </w:p>
    <w:p w14:paraId="4CF595F8" w14:textId="77777777" w:rsidR="00B67CC4" w:rsidRDefault="00B67CC4" w:rsidP="00B67CC4">
      <w:pPr>
        <w:pStyle w:val="aa"/>
        <w:numPr>
          <w:ilvl w:val="0"/>
          <w:numId w:val="1"/>
        </w:numPr>
        <w:spacing w:before="120" w:after="120" w:line="360" w:lineRule="auto"/>
        <w:ind w:left="283" w:hanging="425"/>
        <w:contextualSpacing w:val="0"/>
        <w:jc w:val="both"/>
        <w:rPr>
          <w:rFonts w:ascii="David" w:hAnsi="David" w:cs="David"/>
          <w:b/>
          <w:bCs/>
          <w:color w:val="FF0000"/>
        </w:rPr>
      </w:pPr>
      <w:r>
        <w:rPr>
          <w:rFonts w:ascii="David" w:hAnsi="David" w:cs="David"/>
          <w:sz w:val="24"/>
          <w:szCs w:val="24"/>
          <w:rtl/>
        </w:rPr>
        <w:t xml:space="preserve">התנאים שנקבעו בהלכת כתב יפים לבגירים וצעירים כאחד ואולם ניתן למצוא גם מקרים שבהם בתי המשפט לרבות בית משפט עליון חרגו בנסיבות של נאשמים צעירים מהכלל המחייב הוכחת קיומה של פגיעה קונקרטית בעתידו או בתעסוקתו של הנאשם. כך, למשל, </w:t>
      </w:r>
      <w:r>
        <w:rPr>
          <w:rFonts w:ascii="David" w:hAnsi="David" w:cs="David"/>
          <w:spacing w:val="10"/>
          <w:sz w:val="24"/>
          <w:szCs w:val="24"/>
          <w:rtl/>
        </w:rPr>
        <w:t>ב</w:t>
      </w:r>
      <w:hyperlink r:id="rId38" w:history="1">
        <w:r w:rsidR="000F6C27" w:rsidRPr="000F6C27">
          <w:rPr>
            <w:rFonts w:ascii="David" w:hAnsi="David" w:cs="David"/>
            <w:color w:val="0000FF"/>
            <w:spacing w:val="10"/>
            <w:sz w:val="24"/>
            <w:szCs w:val="24"/>
            <w:u w:val="single"/>
            <w:rtl/>
          </w:rPr>
          <w:t>ע"פ 7781/12</w:t>
        </w:r>
      </w:hyperlink>
      <w:r w:rsidR="000F6C27">
        <w:rPr>
          <w:rFonts w:ascii="David" w:hAnsi="David" w:cs="David"/>
          <w:spacing w:val="10"/>
          <w:sz w:val="24"/>
          <w:szCs w:val="24"/>
        </w:rPr>
        <w:t xml:space="preserve"> </w:t>
      </w:r>
      <w:r>
        <w:rPr>
          <w:rFonts w:ascii="David" w:hAnsi="David" w:cs="David"/>
          <w:b/>
          <w:bCs/>
          <w:sz w:val="24"/>
          <w:szCs w:val="24"/>
          <w:u w:val="single"/>
          <w:rtl/>
        </w:rPr>
        <w:t>פלוני נ' מדינת ישראל</w:t>
      </w:r>
      <w:r w:rsidR="000F6C27">
        <w:rPr>
          <w:rFonts w:ascii="David" w:hAnsi="David" w:cs="David"/>
          <w:sz w:val="24"/>
          <w:szCs w:val="24"/>
          <w:rtl/>
        </w:rPr>
        <w:t xml:space="preserve"> </w:t>
      </w:r>
      <w:r>
        <w:rPr>
          <w:rFonts w:ascii="David" w:hAnsi="David" w:cs="David"/>
          <w:sz w:val="24"/>
          <w:szCs w:val="24"/>
          <w:rtl/>
        </w:rPr>
        <w:t>(נבו</w:t>
      </w:r>
      <w:r>
        <w:rPr>
          <w:rFonts w:ascii="David" w:hAnsi="David" w:cs="David"/>
          <w:spacing w:val="10"/>
          <w:sz w:val="24"/>
          <w:szCs w:val="24"/>
          <w:rtl/>
        </w:rPr>
        <w:t>,</w:t>
      </w:r>
      <w:r>
        <w:rPr>
          <w:rFonts w:ascii="David" w:hAnsi="David" w:cs="David"/>
          <w:spacing w:val="10"/>
          <w:sz w:val="24"/>
          <w:szCs w:val="24"/>
        </w:rPr>
        <w:t xml:space="preserve">(20.06.2013 </w:t>
      </w:r>
      <w:r>
        <w:rPr>
          <w:rFonts w:ascii="David" w:hAnsi="David" w:cs="David"/>
          <w:sz w:val="24"/>
          <w:szCs w:val="24"/>
          <w:rtl/>
        </w:rPr>
        <w:t xml:space="preserve"> נקבע: </w:t>
      </w:r>
      <w:r w:rsidR="000F6C27">
        <w:rPr>
          <w:rFonts w:ascii="David" w:hAnsi="David" w:cs="David"/>
          <w:b/>
          <w:bCs/>
          <w:color w:val="000000"/>
          <w:spacing w:val="10"/>
          <w:sz w:val="12"/>
          <w:szCs w:val="12"/>
        </w:rPr>
        <w:t xml:space="preserve">  </w:t>
      </w:r>
      <w:r>
        <w:rPr>
          <w:rFonts w:ascii="David" w:hAnsi="David" w:cs="David"/>
          <w:b/>
          <w:bCs/>
          <w:color w:val="000000"/>
          <w:spacing w:val="10"/>
          <w:sz w:val="24"/>
          <w:szCs w:val="24"/>
          <w:rtl/>
        </w:rPr>
        <w:t xml:space="preserve">"... לגישתי, יש מקום להתחשב במסגרת שיקולי הענישה </w:t>
      </w:r>
      <w:r>
        <w:rPr>
          <w:rFonts w:ascii="David" w:hAnsi="David" w:cs="David"/>
          <w:sz w:val="24"/>
          <w:szCs w:val="24"/>
          <w:rtl/>
        </w:rPr>
        <w:t>בייחודיותה</w:t>
      </w:r>
      <w:r>
        <w:rPr>
          <w:rFonts w:ascii="David" w:hAnsi="David" w:cs="David"/>
          <w:b/>
          <w:bCs/>
          <w:color w:val="000000"/>
          <w:spacing w:val="10"/>
          <w:sz w:val="24"/>
          <w:szCs w:val="24"/>
          <w:rtl/>
        </w:rPr>
        <w:t xml:space="preserve"> של קבוצת ה"בגירים צעירים". חשוב להבהיר כי אין בקביעתנו זו כדי לקבוע כי בגזירת עונשם של קבוצה זו, יש לשקול שיקולים זהים לאלו של קטינים. יחד עם זאת, על בית המשפט בקובעו את עונשו של "בגיר צעיר" לייחס לגילו משקל משמעותי. במסגרת זאת, עליו לשקול בין היתר את קרבתו לגיל 18, ההשפעה האפשרית של מאסר בפועל על שיקומו ומצבו הנפשי, ובגרותו. הכול כעולה מתסקיר המבחן שיוגש בפניו בטרם גזירת העונש"; </w:t>
      </w:r>
    </w:p>
    <w:p w14:paraId="0487326C" w14:textId="77777777" w:rsidR="00B67CC4" w:rsidRPr="00B67CC4" w:rsidRDefault="00B67CC4" w:rsidP="00B67CC4">
      <w:pPr>
        <w:pStyle w:val="aa"/>
        <w:spacing w:before="120" w:after="120" w:line="360" w:lineRule="auto"/>
        <w:ind w:left="283" w:hanging="78"/>
        <w:contextualSpacing w:val="0"/>
        <w:jc w:val="both"/>
        <w:rPr>
          <w:rFonts w:ascii="David" w:hAnsi="David" w:cs="David"/>
          <w:b/>
          <w:bCs/>
          <w:sz w:val="24"/>
          <w:szCs w:val="24"/>
        </w:rPr>
      </w:pPr>
      <w:r>
        <w:rPr>
          <w:rFonts w:ascii="David" w:hAnsi="David" w:cs="David" w:hint="cs"/>
          <w:sz w:val="24"/>
          <w:szCs w:val="24"/>
          <w:rtl/>
        </w:rPr>
        <w:t xml:space="preserve"> </w:t>
      </w:r>
      <w:r>
        <w:rPr>
          <w:rFonts w:ascii="David" w:hAnsi="David" w:cs="David"/>
          <w:sz w:val="24"/>
          <w:szCs w:val="24"/>
          <w:rtl/>
        </w:rPr>
        <w:t>ב</w:t>
      </w:r>
      <w:hyperlink r:id="rId39" w:history="1">
        <w:r w:rsidR="000F6C27" w:rsidRPr="000F6C27">
          <w:rPr>
            <w:rFonts w:ascii="David" w:hAnsi="David" w:cs="David"/>
            <w:color w:val="0000FF"/>
            <w:sz w:val="24"/>
            <w:szCs w:val="24"/>
            <w:u w:val="single"/>
            <w:rtl/>
          </w:rPr>
          <w:t>ע"פ 4466/13</w:t>
        </w:r>
      </w:hyperlink>
      <w:r>
        <w:rPr>
          <w:rFonts w:ascii="David" w:hAnsi="David" w:cs="David"/>
          <w:sz w:val="24"/>
          <w:szCs w:val="24"/>
          <w:rtl/>
        </w:rPr>
        <w:t xml:space="preserve"> </w:t>
      </w:r>
      <w:r>
        <w:rPr>
          <w:rFonts w:ascii="David" w:hAnsi="David" w:cs="David"/>
          <w:b/>
          <w:bCs/>
          <w:sz w:val="24"/>
          <w:szCs w:val="24"/>
          <w:rtl/>
        </w:rPr>
        <w:t xml:space="preserve">נתנאל אסולין פורטל נ' מדינת ישראל </w:t>
      </w:r>
      <w:r>
        <w:rPr>
          <w:rFonts w:ascii="David" w:hAnsi="David" w:cs="David"/>
          <w:sz w:val="24"/>
          <w:szCs w:val="24"/>
          <w:rtl/>
        </w:rPr>
        <w:t xml:space="preserve">(נבו, 22.05.014) בוטלה הרשעה של צעיר בן 18 ו – 11 חודשים בעת ביצוע עבירה של סיוע לשוד. נקבע כי " </w:t>
      </w:r>
      <w:r>
        <w:rPr>
          <w:rFonts w:ascii="David" w:hAnsi="David" w:cs="David"/>
          <w:b/>
          <w:bCs/>
          <w:sz w:val="24"/>
          <w:szCs w:val="24"/>
          <w:rtl/>
        </w:rPr>
        <w:t xml:space="preserve">הדעת נותנת שהיותם ב"תקופת המעבר" שבין קטינות לבגירות, על סימני השאלה והערפל באשר לעתיד המובנים בה, היא גורם שיש להידרש אליו, תוך שיקול כל מקרה לגופו והנסיבות"; </w:t>
      </w:r>
    </w:p>
    <w:p w14:paraId="51A61F37" w14:textId="77777777" w:rsidR="00B67CC4" w:rsidRDefault="00B67CC4" w:rsidP="00B67CC4">
      <w:pPr>
        <w:pStyle w:val="aa"/>
        <w:spacing w:before="120" w:after="120" w:line="360" w:lineRule="auto"/>
        <w:ind w:left="283" w:hanging="78"/>
        <w:contextualSpacing w:val="0"/>
        <w:jc w:val="both"/>
        <w:rPr>
          <w:rFonts w:ascii="David" w:hAnsi="David" w:cs="David"/>
          <w:sz w:val="24"/>
          <w:szCs w:val="24"/>
          <w:rtl/>
        </w:rPr>
      </w:pPr>
      <w:r>
        <w:rPr>
          <w:rFonts w:ascii="David" w:hAnsi="David" w:cs="David" w:hint="cs"/>
          <w:sz w:val="24"/>
          <w:szCs w:val="24"/>
          <w:rtl/>
        </w:rPr>
        <w:t xml:space="preserve"> </w:t>
      </w:r>
      <w:r>
        <w:rPr>
          <w:rFonts w:ascii="David" w:hAnsi="David" w:cs="David"/>
          <w:sz w:val="24"/>
          <w:szCs w:val="24"/>
          <w:rtl/>
        </w:rPr>
        <w:t>ב</w:t>
      </w:r>
      <w:hyperlink r:id="rId40" w:history="1">
        <w:r w:rsidR="000F6C27" w:rsidRPr="000F6C27">
          <w:rPr>
            <w:rFonts w:ascii="David" w:hAnsi="David" w:cs="David"/>
            <w:color w:val="0000FF"/>
            <w:sz w:val="24"/>
            <w:szCs w:val="24"/>
            <w:u w:val="single"/>
            <w:rtl/>
          </w:rPr>
          <w:t>ע"פ 111/14</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(נבו, 01.04.2014) בית המשפט העליון ביטל הרשעה של שני נאשמים בעבירות סחיטה באיומים וקשירת קשר לפשע. ביחס לאחד מהם לכל הפחות צוין כי לא הוכח קיומו של נזק קונקרטי. בית המשפט ציין כי אחד הנימוקים לסיום ההליך ללא הרשעה הוא גילם של הנאשמים "</w:t>
      </w:r>
      <w:r>
        <w:rPr>
          <w:rFonts w:ascii="David" w:hAnsi="David" w:cs="David"/>
          <w:b/>
          <w:bCs/>
          <w:sz w:val="24"/>
          <w:szCs w:val="24"/>
          <w:rtl/>
        </w:rPr>
        <w:t>לאפשר למערערים להתחיל את חייהם הבוגרים כאשר גיליון ההרשעות שלהם נקי</w:t>
      </w:r>
      <w:r>
        <w:rPr>
          <w:rFonts w:ascii="David" w:hAnsi="David" w:cs="David"/>
          <w:sz w:val="24"/>
          <w:szCs w:val="24"/>
          <w:rtl/>
        </w:rPr>
        <w:t xml:space="preserve">"; </w:t>
      </w:r>
    </w:p>
    <w:p w14:paraId="6D0873D8" w14:textId="77777777" w:rsidR="00B67CC4" w:rsidRDefault="00B67CC4" w:rsidP="00B67CC4">
      <w:pPr>
        <w:pStyle w:val="aa"/>
        <w:spacing w:before="120" w:after="120" w:line="360" w:lineRule="auto"/>
        <w:ind w:left="283" w:hanging="78"/>
        <w:contextualSpacing w:val="0"/>
        <w:jc w:val="both"/>
        <w:rPr>
          <w:rFonts w:ascii="David" w:hAnsi="David" w:cs="David"/>
          <w:sz w:val="24"/>
          <w:szCs w:val="24"/>
          <w:rtl/>
        </w:rPr>
      </w:pPr>
      <w:r>
        <w:rPr>
          <w:rFonts w:ascii="David" w:hAnsi="David" w:cs="David" w:hint="cs"/>
          <w:sz w:val="24"/>
          <w:szCs w:val="24"/>
          <w:rtl/>
        </w:rPr>
        <w:t xml:space="preserve"> </w:t>
      </w:r>
      <w:r>
        <w:rPr>
          <w:rFonts w:ascii="David" w:hAnsi="David" w:cs="David"/>
          <w:sz w:val="24"/>
          <w:szCs w:val="24"/>
          <w:rtl/>
        </w:rPr>
        <w:t xml:space="preserve">בע"פ 26443-03-15  </w:t>
      </w:r>
      <w:r>
        <w:rPr>
          <w:rFonts w:ascii="David" w:hAnsi="David" w:cs="David"/>
          <w:b/>
          <w:bCs/>
          <w:sz w:val="24"/>
          <w:szCs w:val="24"/>
          <w:rtl/>
        </w:rPr>
        <w:t>פבל גוטרמן ודניאל גורביץ' נ' מדינת ישראל</w:t>
      </w:r>
      <w:r>
        <w:rPr>
          <w:rFonts w:ascii="David" w:hAnsi="David" w:cs="David"/>
          <w:sz w:val="24"/>
          <w:szCs w:val="24"/>
          <w:rtl/>
        </w:rPr>
        <w:t xml:space="preserve"> (נבו, 30.8.15), נקבע כי בין שני הפרמטרים הנלקחים בחשבון לצורך בחינת שאלת אי ההרשעה מתקיימת מעין 'מקבילית כוחות': "</w:t>
      </w:r>
      <w:r>
        <w:rPr>
          <w:rFonts w:ascii="David" w:hAnsi="David" w:cs="David"/>
          <w:b/>
          <w:bCs/>
          <w:sz w:val="24"/>
          <w:szCs w:val="24"/>
          <w:rtl/>
        </w:rPr>
        <w:t>ככל שמעשי העבירה חמורים יותר, כך אין להסתפק בפגיעה כללית ועתידית, אלא נדרשת פגיעה קונקרטית, ברורה ומוחשית יותר. ולהיפך – ככל שמעשי העבירה קלים יותר, כך ניתן להסתפק בפגיעה כללית יותר, לרבות תוך התחשבות בעובדה שמדובר בצעירים המצויים בראשית דרכם ושעתידם עוד לפניהם...</w:t>
      </w:r>
      <w:r>
        <w:rPr>
          <w:rFonts w:ascii="David" w:hAnsi="David" w:cs="David"/>
          <w:sz w:val="24"/>
          <w:szCs w:val="24"/>
          <w:rtl/>
        </w:rPr>
        <w:t>".</w:t>
      </w:r>
    </w:p>
    <w:p w14:paraId="785110C3" w14:textId="77777777" w:rsidR="00B67CC4" w:rsidRDefault="00B67CC4" w:rsidP="00B67CC4">
      <w:pPr>
        <w:pStyle w:val="aa"/>
        <w:spacing w:before="120" w:after="120" w:line="360" w:lineRule="auto"/>
        <w:ind w:left="565" w:hanging="360"/>
        <w:contextualSpacing w:val="0"/>
        <w:jc w:val="both"/>
        <w:rPr>
          <w:rFonts w:ascii="David" w:hAnsi="David" w:cs="David"/>
          <w:sz w:val="24"/>
          <w:szCs w:val="24"/>
          <w:rtl/>
        </w:rPr>
      </w:pPr>
      <w:r>
        <w:rPr>
          <w:rFonts w:ascii="David" w:hAnsi="David" w:cs="David"/>
          <w:b/>
          <w:bCs/>
          <w:sz w:val="24"/>
          <w:szCs w:val="24"/>
          <w:u w:val="single"/>
          <w:rtl/>
        </w:rPr>
        <w:t>מן הכלל אל הפרט -</w:t>
      </w:r>
      <w:r>
        <w:rPr>
          <w:rFonts w:ascii="David" w:hAnsi="David" w:cs="David"/>
          <w:sz w:val="24"/>
          <w:szCs w:val="24"/>
          <w:rtl/>
        </w:rPr>
        <w:t xml:space="preserve"> </w:t>
      </w:r>
    </w:p>
    <w:p w14:paraId="58FD0D3D" w14:textId="77777777" w:rsidR="00B67CC4" w:rsidRPr="00B67CC4" w:rsidRDefault="00B67CC4" w:rsidP="00B67CC4">
      <w:pPr>
        <w:pStyle w:val="aa"/>
        <w:numPr>
          <w:ilvl w:val="0"/>
          <w:numId w:val="1"/>
        </w:numPr>
        <w:spacing w:before="120" w:after="120" w:line="360" w:lineRule="auto"/>
        <w:ind w:left="283" w:hanging="425"/>
        <w:contextualSpacing w:val="0"/>
        <w:jc w:val="both"/>
        <w:rPr>
          <w:rFonts w:ascii="David" w:hAnsi="David" w:cs="David"/>
          <w:color w:val="FF0000"/>
          <w:sz w:val="24"/>
          <w:szCs w:val="24"/>
        </w:rPr>
      </w:pPr>
      <w:r>
        <w:rPr>
          <w:rFonts w:ascii="David" w:hAnsi="David" w:cs="David"/>
          <w:sz w:val="24"/>
          <w:szCs w:val="24"/>
          <w:rtl/>
        </w:rPr>
        <w:t>יישום המבחנים שנקבעו בהלכת כתב בענייננו מוביל למסקנה כי עניינו של הנאשם ראוי להימנעות מהרשעה לאור נסיבות ביצוע העבירה, לאור פגיעה אפשרית בשיקום הנאשם ומכיוון שמרבית השיקולים שמנה כב' השופט לוין בהלכת כתב מתקיימים בעניינו של הנאשם ובכללם ההודאה, לקיחת אחריות, הפסקת השימוש בסם, כפי שעולה מתסקיר שירות המבחן ובדיקות שנעשו לנאשם לאיתור שרידי סם, נסיבות ביצוע העבירות, הגיל הצעיר והסיכון הנמוך להישנות עבירות.</w:t>
      </w:r>
    </w:p>
    <w:p w14:paraId="7EF1B57F" w14:textId="77777777" w:rsidR="00B67CC4" w:rsidRDefault="00B67CC4" w:rsidP="00B67CC4">
      <w:pPr>
        <w:pStyle w:val="aa"/>
        <w:spacing w:before="120" w:after="120" w:line="360" w:lineRule="auto"/>
        <w:ind w:left="565" w:hanging="282"/>
        <w:contextualSpacing w:val="0"/>
        <w:jc w:val="both"/>
        <w:rPr>
          <w:rFonts w:ascii="David" w:hAnsi="David" w:cs="David"/>
          <w:color w:val="FF0000"/>
          <w:sz w:val="24"/>
          <w:szCs w:val="24"/>
        </w:rPr>
      </w:pPr>
      <w:r>
        <w:rPr>
          <w:rFonts w:ascii="David" w:hAnsi="David" w:cs="David"/>
          <w:sz w:val="24"/>
          <w:szCs w:val="24"/>
          <w:rtl/>
        </w:rPr>
        <w:t>להלן הפירוט:</w:t>
      </w:r>
    </w:p>
    <w:p w14:paraId="19CCCF43" w14:textId="77777777" w:rsidR="00B67CC4" w:rsidRDefault="00B67CC4" w:rsidP="00B67CC4">
      <w:pPr>
        <w:spacing w:before="120" w:after="120" w:line="360" w:lineRule="auto"/>
        <w:ind w:left="565" w:hanging="360"/>
        <w:jc w:val="both"/>
        <w:rPr>
          <w:rFonts w:ascii="David" w:hAnsi="David"/>
          <w:b/>
          <w:bCs/>
          <w:color w:val="FF0000"/>
        </w:rPr>
      </w:pPr>
      <w:r>
        <w:rPr>
          <w:rFonts w:ascii="David" w:hAnsi="David"/>
          <w:b/>
          <w:bCs/>
          <w:u w:val="single"/>
          <w:rtl/>
        </w:rPr>
        <w:t>נסיבות ביצוע העבירות מאפשרות את סיום ההליך ללא הרשעה:</w:t>
      </w:r>
    </w:p>
    <w:p w14:paraId="6137F635" w14:textId="77777777" w:rsidR="00B67CC4" w:rsidRDefault="00B67CC4" w:rsidP="00B67CC4">
      <w:pPr>
        <w:pStyle w:val="aa"/>
        <w:numPr>
          <w:ilvl w:val="0"/>
          <w:numId w:val="1"/>
        </w:numPr>
        <w:spacing w:before="120" w:after="120" w:line="360" w:lineRule="auto"/>
        <w:ind w:left="283" w:hanging="425"/>
        <w:contextualSpacing w:val="0"/>
        <w:jc w:val="both"/>
        <w:rPr>
          <w:rFonts w:ascii="David" w:hAnsi="David" w:cs="David"/>
          <w:sz w:val="24"/>
          <w:szCs w:val="24"/>
        </w:rPr>
      </w:pPr>
      <w:r>
        <w:rPr>
          <w:rFonts w:ascii="David" w:hAnsi="David" w:cs="David"/>
          <w:sz w:val="24"/>
          <w:szCs w:val="24"/>
          <w:rtl/>
        </w:rPr>
        <w:t xml:space="preserve">הנאשם הורשע בעבירת החזקת סם מסוג קוקאין ו – </w:t>
      </w:r>
      <w:r>
        <w:rPr>
          <w:rFonts w:ascii="David" w:hAnsi="David" w:cs="David"/>
          <w:sz w:val="24"/>
          <w:szCs w:val="24"/>
        </w:rPr>
        <w:t>MDMA</w:t>
      </w:r>
      <w:r>
        <w:rPr>
          <w:rFonts w:ascii="David" w:hAnsi="David" w:cs="David"/>
          <w:sz w:val="24"/>
          <w:szCs w:val="24"/>
          <w:rtl/>
        </w:rPr>
        <w:t xml:space="preserve"> </w:t>
      </w:r>
      <w:r>
        <w:rPr>
          <w:rFonts w:ascii="David" w:hAnsi="David" w:cs="David" w:hint="cs"/>
          <w:sz w:val="24"/>
          <w:szCs w:val="24"/>
          <w:rtl/>
        </w:rPr>
        <w:t>לצריכה עצמית.</w:t>
      </w:r>
    </w:p>
    <w:p w14:paraId="3AED4A49" w14:textId="77777777" w:rsidR="00B67CC4" w:rsidRDefault="00B67CC4" w:rsidP="00B67CC4">
      <w:pPr>
        <w:pStyle w:val="aa"/>
        <w:numPr>
          <w:ilvl w:val="0"/>
          <w:numId w:val="1"/>
        </w:numPr>
        <w:spacing w:before="120" w:after="120" w:line="360" w:lineRule="auto"/>
        <w:ind w:left="283" w:hanging="425"/>
        <w:contextualSpacing w:val="0"/>
        <w:jc w:val="both"/>
        <w:rPr>
          <w:rFonts w:ascii="David" w:hAnsi="David" w:cs="David"/>
          <w:sz w:val="24"/>
          <w:szCs w:val="24"/>
        </w:rPr>
      </w:pPr>
      <w:r>
        <w:rPr>
          <w:rFonts w:ascii="David" w:hAnsi="David" w:cs="David"/>
          <w:sz w:val="24"/>
          <w:szCs w:val="24"/>
          <w:rtl/>
        </w:rPr>
        <w:t xml:space="preserve">כאמור לעיל, בתי המשפט עמדו רבות על השפעותיו ההרסניות של סם הקוקאין, הנמנה בין הרעים והמרים שבסמים המסוכנים, ועל הצורך של בתי המשפט ליטול חלק במאבק בנגע הסמים על ידי הטלת עונשים מרתיעים. לעניין זה ר' </w:t>
      </w:r>
      <w:hyperlink r:id="rId41" w:history="1">
        <w:r w:rsidR="000F6C27" w:rsidRPr="000F6C27">
          <w:rPr>
            <w:rFonts w:ascii="David" w:hAnsi="David" w:cs="David"/>
            <w:color w:val="0000FF"/>
            <w:sz w:val="24"/>
            <w:szCs w:val="24"/>
            <w:u w:val="single"/>
            <w:rtl/>
          </w:rPr>
          <w:t>ע"פ 972/11</w:t>
        </w:r>
      </w:hyperlink>
      <w:r w:rsidR="000F6C27">
        <w:rPr>
          <w:rFonts w:ascii="David" w:hAnsi="David" w:cs="David"/>
          <w:sz w:val="24"/>
          <w:szCs w:val="24"/>
          <w:rtl/>
        </w:rPr>
        <w:t xml:space="preserve"> </w:t>
      </w:r>
      <w:r>
        <w:rPr>
          <w:rFonts w:ascii="David" w:hAnsi="David" w:cs="David"/>
          <w:b/>
          <w:bCs/>
          <w:sz w:val="24"/>
          <w:szCs w:val="24"/>
          <w:u w:val="single"/>
          <w:rtl/>
        </w:rPr>
        <w:t>מדינת ישראל נ' יונה</w:t>
      </w:r>
      <w:r>
        <w:rPr>
          <w:rFonts w:ascii="David" w:hAnsi="David" w:cs="David"/>
          <w:sz w:val="24"/>
          <w:szCs w:val="24"/>
          <w:rtl/>
        </w:rPr>
        <w:t xml:space="preserve"> (04.07. 12):</w:t>
      </w:r>
    </w:p>
    <w:p w14:paraId="3C47B61A" w14:textId="77777777" w:rsidR="00B67CC4" w:rsidRDefault="000F6C27" w:rsidP="00B67CC4">
      <w:pPr>
        <w:pStyle w:val="aa"/>
        <w:spacing w:before="120" w:after="120" w:line="360" w:lineRule="auto"/>
        <w:ind w:left="848" w:right="454" w:hanging="281"/>
        <w:contextualSpacing w:val="0"/>
        <w:jc w:val="both"/>
        <w:rPr>
          <w:rFonts w:ascii="David" w:hAnsi="David" w:cs="David"/>
          <w:b/>
          <w:bCs/>
          <w:sz w:val="24"/>
          <w:szCs w:val="24"/>
          <w:rtl/>
        </w:rPr>
      </w:pPr>
      <w:r>
        <w:rPr>
          <w:rFonts w:ascii="David" w:hAnsi="David" w:cs="David"/>
          <w:b/>
          <w:bCs/>
          <w:sz w:val="24"/>
          <w:szCs w:val="24"/>
        </w:rPr>
        <w:t xml:space="preserve"> </w:t>
      </w:r>
      <w:r w:rsidR="00B67CC4">
        <w:rPr>
          <w:rFonts w:ascii="David" w:hAnsi="David" w:cs="David"/>
          <w:b/>
          <w:bCs/>
          <w:sz w:val="24"/>
          <w:szCs w:val="24"/>
          <w:rtl/>
        </w:rPr>
        <w:t>"</w:t>
      </w:r>
      <w:r w:rsidR="00B67CC4">
        <w:rPr>
          <w:rFonts w:ascii="David" w:hAnsi="David" w:cs="David" w:hint="cs"/>
          <w:b/>
          <w:bCs/>
          <w:sz w:val="24"/>
          <w:szCs w:val="24"/>
          <w:rtl/>
        </w:rPr>
        <w:t xml:space="preserve"> </w:t>
      </w:r>
      <w:r w:rsidR="00B67CC4">
        <w:rPr>
          <w:rFonts w:ascii="David" w:hAnsi="David" w:cs="David"/>
          <w:b/>
          <w:bCs/>
          <w:sz w:val="24"/>
          <w:szCs w:val="24"/>
          <w:rtl/>
        </w:rPr>
        <w:t>הקוקאין נחשב, ולא בכדי, לסם קשה. זאת הן בשל השפעותיו על גוף האדם, והן בשל פוטנציאל ההתמכרות הגבוה שטמון בו... הפגיעה ביחיד חוזרת חלילה לפגיעה בחברה. השימוש בסם מסוג קוקאין יוצר צורך להמשיך ולהשתמש. כתוצאה מכך עליו לחפש מקורות כספיים למימון רכישת הסם, לאו דווקא בדרכים חוקיות, תוך שהוא חווה הידרדרות מתמדת בתפקוד הפיזי והקוגניטיבי שלו".</w:t>
      </w:r>
    </w:p>
    <w:p w14:paraId="2621C649" w14:textId="77777777" w:rsidR="00B67CC4" w:rsidRDefault="00B67CC4" w:rsidP="00B67CC4">
      <w:pPr>
        <w:pStyle w:val="aa"/>
        <w:numPr>
          <w:ilvl w:val="0"/>
          <w:numId w:val="1"/>
        </w:numPr>
        <w:spacing w:before="120" w:after="120" w:line="360" w:lineRule="auto"/>
        <w:ind w:left="423" w:hanging="565"/>
        <w:contextualSpacing w:val="0"/>
        <w:jc w:val="both"/>
        <w:rPr>
          <w:rFonts w:ascii="David" w:hAnsi="David" w:cs="David"/>
          <w:b/>
          <w:bCs/>
          <w:sz w:val="24"/>
          <w:szCs w:val="24"/>
          <w:rtl/>
        </w:rPr>
      </w:pPr>
      <w:r>
        <w:rPr>
          <w:rFonts w:ascii="David" w:hAnsi="David" w:cs="David"/>
          <w:sz w:val="24"/>
          <w:szCs w:val="24"/>
          <w:rtl/>
        </w:rPr>
        <w:t>יחד עם זאת, בנסיבות מסוימות גם בעבירות של החזקת סמים מסוכנים שלא לצריכה עצמית, לרבות קוקאין, ניתן לסיים הליך בביטול הרשעה תוך בחינת כל מקרה לגופו בהתאם לנסיבות ביצוע העבירה.</w:t>
      </w:r>
    </w:p>
    <w:p w14:paraId="78C092E4" w14:textId="77777777" w:rsidR="00B67CC4" w:rsidRDefault="00B67CC4" w:rsidP="00B67CC4">
      <w:pPr>
        <w:pStyle w:val="aa"/>
        <w:numPr>
          <w:ilvl w:val="0"/>
          <w:numId w:val="1"/>
        </w:numPr>
        <w:spacing w:before="120" w:after="120" w:line="360" w:lineRule="auto"/>
        <w:ind w:left="423" w:hanging="565"/>
        <w:contextualSpacing w:val="0"/>
        <w:jc w:val="both"/>
        <w:rPr>
          <w:rFonts w:ascii="David" w:hAnsi="David" w:cs="David"/>
          <w:b/>
          <w:bCs/>
          <w:sz w:val="24"/>
          <w:szCs w:val="24"/>
        </w:rPr>
      </w:pPr>
      <w:r>
        <w:rPr>
          <w:rFonts w:ascii="David" w:hAnsi="David" w:cs="David"/>
          <w:sz w:val="24"/>
          <w:szCs w:val="24"/>
          <w:rtl/>
        </w:rPr>
        <w:t>מעיון בתסקיר שירות המבחן ודברי הנאשם, אביו ובא כוחו, עולה הרושם כי עבירת הסמים שביצע הנאשם לא בוצעה כחלק מדפוס התנהגות עברייני.</w:t>
      </w:r>
    </w:p>
    <w:p w14:paraId="0ED033C3" w14:textId="77777777" w:rsidR="00B67CC4" w:rsidRDefault="00B67CC4" w:rsidP="00B67CC4">
      <w:pPr>
        <w:pStyle w:val="aa"/>
        <w:numPr>
          <w:ilvl w:val="0"/>
          <w:numId w:val="1"/>
        </w:numPr>
        <w:spacing w:before="120" w:after="120" w:line="360" w:lineRule="auto"/>
        <w:ind w:left="423" w:hanging="565"/>
        <w:contextualSpacing w:val="0"/>
        <w:jc w:val="both"/>
        <w:rPr>
          <w:rFonts w:ascii="David" w:hAnsi="David" w:cs="David"/>
          <w:b/>
          <w:bCs/>
          <w:sz w:val="24"/>
          <w:szCs w:val="24"/>
        </w:rPr>
      </w:pPr>
      <w:r>
        <w:rPr>
          <w:rFonts w:ascii="David" w:hAnsi="David" w:cs="David"/>
          <w:sz w:val="24"/>
          <w:szCs w:val="24"/>
          <w:rtl/>
        </w:rPr>
        <w:t xml:space="preserve">מדובר בעבירה שבוצעה בהיות הנאשם כבן 22. הנאשם החזיק סם מסוג קוקאין ו – </w:t>
      </w:r>
      <w:r>
        <w:rPr>
          <w:rFonts w:ascii="David" w:hAnsi="David" w:cs="David"/>
          <w:sz w:val="24"/>
          <w:szCs w:val="24"/>
        </w:rPr>
        <w:t xml:space="preserve">MDMA </w:t>
      </w:r>
      <w:r>
        <w:rPr>
          <w:rFonts w:ascii="David" w:hAnsi="David" w:cs="David"/>
          <w:sz w:val="24"/>
          <w:szCs w:val="24"/>
          <w:rtl/>
        </w:rPr>
        <w:t xml:space="preserve"> </w:t>
      </w:r>
      <w:r>
        <w:rPr>
          <w:rFonts w:ascii="David" w:hAnsi="David" w:cs="David" w:hint="cs"/>
          <w:sz w:val="24"/>
          <w:szCs w:val="24"/>
          <w:rtl/>
        </w:rPr>
        <w:t xml:space="preserve">במשקל כולל העולה על 1 גרם לצריכתו העצמית. המעשה נעדר תחכום ואין בו להצביע על מעורבות בעולם העברייני. הנאשם מסר לשירות המבחן כי לא צורך סמים מכל סוג שהוא ממועד ביצוע העבירה ושלל נזקקות טיפולית בתחום הסמים. בהתאם להתרשמות שירות המבחן מהנאשם ולאור תוצאות בדיקות שתן שמסר, שירות המבחן לא מצא להפנותו לטיפול בתחום הסמים. </w:t>
      </w:r>
    </w:p>
    <w:p w14:paraId="645E67ED" w14:textId="77777777" w:rsidR="00B67CC4" w:rsidRDefault="00B67CC4" w:rsidP="00B67CC4">
      <w:pPr>
        <w:pStyle w:val="aa"/>
        <w:numPr>
          <w:ilvl w:val="0"/>
          <w:numId w:val="1"/>
        </w:numPr>
        <w:spacing w:before="120" w:after="120" w:line="360" w:lineRule="auto"/>
        <w:ind w:left="423"/>
        <w:contextualSpacing w:val="0"/>
        <w:jc w:val="both"/>
        <w:rPr>
          <w:color w:val="000000"/>
          <w:sz w:val="27"/>
          <w:szCs w:val="27"/>
        </w:rPr>
      </w:pPr>
      <w:r>
        <w:rPr>
          <w:rFonts w:ascii="David" w:hAnsi="David" w:cs="David"/>
          <w:sz w:val="24"/>
          <w:szCs w:val="24"/>
          <w:rtl/>
        </w:rPr>
        <w:t>מהפסיקה עולה שבמקרים דומים של הרשעה בעבירות סמים ואף חמורים יותר בוטלה הרשעת נאשמים. להלן מספר דוגמאות:</w:t>
      </w:r>
    </w:p>
    <w:p w14:paraId="14C5CFC2" w14:textId="77777777" w:rsidR="00B67CC4" w:rsidRDefault="00B67CC4" w:rsidP="00B67CC4">
      <w:pPr>
        <w:pStyle w:val="aa"/>
        <w:spacing w:before="120" w:after="120" w:line="360" w:lineRule="auto"/>
        <w:ind w:left="423"/>
        <w:contextualSpacing w:val="0"/>
        <w:jc w:val="both"/>
        <w:rPr>
          <w:color w:val="000000"/>
          <w:sz w:val="27"/>
          <w:szCs w:val="27"/>
        </w:rPr>
      </w:pPr>
      <w:r w:rsidRPr="004205A0">
        <w:rPr>
          <w:rFonts w:ascii="David" w:hAnsi="David" w:cs="David"/>
          <w:sz w:val="24"/>
          <w:szCs w:val="24"/>
          <w:rtl/>
        </w:rPr>
        <w:t>ע"פ 67452-12-18</w:t>
      </w:r>
      <w:r w:rsidR="000F6C27">
        <w:rPr>
          <w:rFonts w:ascii="David" w:hAnsi="David" w:cs="David"/>
          <w:sz w:val="24"/>
          <w:szCs w:val="24"/>
          <w:rtl/>
        </w:rPr>
        <w:t xml:space="preserve">  </w:t>
      </w:r>
      <w:r>
        <w:rPr>
          <w:rFonts w:ascii="David" w:hAnsi="David" w:cs="David"/>
          <w:b/>
          <w:bCs/>
          <w:sz w:val="24"/>
          <w:szCs w:val="24"/>
          <w:u w:val="single"/>
          <w:rtl/>
        </w:rPr>
        <w:t>מדינת ישראל נ' בוזגלו</w:t>
      </w:r>
      <w:r w:rsidR="000F6C27">
        <w:rPr>
          <w:rFonts w:ascii="David" w:hAnsi="David" w:cs="David"/>
          <w:sz w:val="24"/>
          <w:szCs w:val="24"/>
          <w:rtl/>
        </w:rPr>
        <w:t xml:space="preserve"> </w:t>
      </w:r>
      <w:r>
        <w:rPr>
          <w:rFonts w:ascii="David" w:hAnsi="David" w:cs="David"/>
          <w:sz w:val="24"/>
          <w:szCs w:val="24"/>
          <w:rtl/>
        </w:rPr>
        <w:t xml:space="preserve">(7.4.19): בית-המשפט המחוזי בירושלים דחה את ערעור המדינה על ההחלטה שלא להרשיע נאשם בן 23, בעל הרשעה פלילית בגין עריקות, שהחזיק 14.66 גרם סם מסוג קנאביס לצריכה עצמית ומכר במספר פעמים סם מסוג </w:t>
      </w:r>
      <w:r>
        <w:rPr>
          <w:rFonts w:ascii="David" w:hAnsi="David" w:cs="David"/>
          <w:sz w:val="24"/>
          <w:szCs w:val="24"/>
        </w:rPr>
        <w:t>MDMA</w:t>
      </w:r>
      <w:r>
        <w:rPr>
          <w:rFonts w:ascii="David" w:hAnsi="David" w:cs="David"/>
          <w:sz w:val="24"/>
          <w:szCs w:val="24"/>
          <w:rtl/>
        </w:rPr>
        <w:t xml:space="preserve"> במשקל של כ-20.1 גרם.</w:t>
      </w:r>
    </w:p>
    <w:p w14:paraId="03C00518" w14:textId="77777777" w:rsidR="00B67CC4" w:rsidRDefault="000F6C27" w:rsidP="00B67CC4">
      <w:pPr>
        <w:pStyle w:val="aa"/>
        <w:spacing w:before="120" w:after="120" w:line="360" w:lineRule="auto"/>
        <w:ind w:left="423"/>
        <w:contextualSpacing w:val="0"/>
        <w:jc w:val="both"/>
        <w:rPr>
          <w:color w:val="000000"/>
          <w:sz w:val="24"/>
          <w:szCs w:val="24"/>
        </w:rPr>
      </w:pPr>
      <w:hyperlink r:id="rId42" w:history="1">
        <w:r w:rsidRPr="000F6C27">
          <w:rPr>
            <w:rFonts w:ascii="David" w:hAnsi="David" w:cs="David"/>
            <w:color w:val="0000FF"/>
            <w:sz w:val="24"/>
            <w:szCs w:val="24"/>
            <w:u w:val="single"/>
            <w:rtl/>
          </w:rPr>
          <w:t>ת"פ 56094-12-21</w:t>
        </w:r>
      </w:hyperlink>
      <w:r w:rsidR="00B67CC4">
        <w:rPr>
          <w:rFonts w:ascii="David" w:hAnsi="David" w:cs="David"/>
          <w:color w:val="000000"/>
          <w:sz w:val="24"/>
          <w:szCs w:val="24"/>
          <w:rtl/>
        </w:rPr>
        <w:t xml:space="preserve"> </w:t>
      </w:r>
      <w:r w:rsidR="00B67CC4">
        <w:rPr>
          <w:rFonts w:ascii="David" w:hAnsi="David" w:cs="David"/>
          <w:b/>
          <w:bCs/>
          <w:color w:val="000000"/>
          <w:sz w:val="24"/>
          <w:szCs w:val="24"/>
          <w:u w:val="single"/>
          <w:rtl/>
        </w:rPr>
        <w:t>מדינת ישראל נ' אגיי ואח'</w:t>
      </w:r>
      <w:r w:rsidR="00B67CC4">
        <w:rPr>
          <w:rFonts w:ascii="David" w:hAnsi="David" w:cs="David"/>
          <w:color w:val="000000"/>
          <w:sz w:val="24"/>
          <w:szCs w:val="24"/>
          <w:rtl/>
        </w:rPr>
        <w:t xml:space="preserve"> (05.05.24): בוטלה הרשעת נאשם נעדר עבר פלילי שהחזיק ברכב יחד עם שניים נוספים 2 יחידות סם מסוג קוקאין במשקל של 1.5 גרם. </w:t>
      </w:r>
      <w:r>
        <w:rPr>
          <w:rFonts w:ascii="David" w:hAnsi="David" w:cs="David"/>
          <w:color w:val="000000"/>
          <w:sz w:val="24"/>
          <w:szCs w:val="24"/>
          <w:rtl/>
        </w:rPr>
        <w:t xml:space="preserve">                                                             </w:t>
      </w:r>
    </w:p>
    <w:p w14:paraId="7890255C" w14:textId="77777777" w:rsidR="00B67CC4" w:rsidRDefault="000F6C27" w:rsidP="00B67CC4">
      <w:pPr>
        <w:pStyle w:val="aa"/>
        <w:spacing w:before="120" w:after="120" w:line="360" w:lineRule="auto"/>
        <w:ind w:left="423"/>
        <w:contextualSpacing w:val="0"/>
        <w:jc w:val="both"/>
        <w:rPr>
          <w:rFonts w:ascii="David" w:hAnsi="David" w:cs="David"/>
          <w:sz w:val="24"/>
          <w:szCs w:val="24"/>
        </w:rPr>
      </w:pPr>
      <w:hyperlink r:id="rId43" w:history="1">
        <w:r w:rsidRPr="000F6C27">
          <w:rPr>
            <w:rFonts w:ascii="David" w:hAnsi="David" w:cs="David"/>
            <w:color w:val="0000FF"/>
            <w:sz w:val="24"/>
            <w:szCs w:val="24"/>
            <w:u w:val="single"/>
            <w:rtl/>
          </w:rPr>
          <w:t>תפ"ק 6666-09-19</w:t>
        </w:r>
      </w:hyperlink>
      <w:r w:rsidR="00B67CC4">
        <w:rPr>
          <w:rFonts w:ascii="David" w:hAnsi="David" w:cs="David"/>
          <w:color w:val="000000"/>
          <w:sz w:val="24"/>
          <w:szCs w:val="24"/>
          <w:rtl/>
        </w:rPr>
        <w:t xml:space="preserve"> </w:t>
      </w:r>
      <w:r w:rsidR="00B67CC4">
        <w:rPr>
          <w:rFonts w:ascii="David" w:hAnsi="David" w:cs="David"/>
          <w:b/>
          <w:bCs/>
          <w:color w:val="000000"/>
          <w:sz w:val="24"/>
          <w:szCs w:val="24"/>
          <w:u w:val="single"/>
          <w:rtl/>
        </w:rPr>
        <w:t>מדינת ישראל נ' לבדב</w:t>
      </w:r>
      <w:r w:rsidR="00B67CC4">
        <w:rPr>
          <w:rFonts w:ascii="David" w:hAnsi="David" w:cs="David"/>
          <w:b/>
          <w:bCs/>
          <w:color w:val="000000"/>
          <w:sz w:val="24"/>
          <w:szCs w:val="24"/>
          <w:rtl/>
        </w:rPr>
        <w:t xml:space="preserve"> </w:t>
      </w:r>
      <w:r w:rsidR="00B67CC4">
        <w:rPr>
          <w:rFonts w:ascii="David" w:hAnsi="David" w:cs="David"/>
          <w:color w:val="000000"/>
          <w:sz w:val="24"/>
          <w:szCs w:val="24"/>
          <w:rtl/>
        </w:rPr>
        <w:t xml:space="preserve">(17.11.20): בוטלה הרשעה של נאשם בן 43, נעדר עבר פלילי </w:t>
      </w:r>
      <w:r w:rsidR="00B67CC4">
        <w:rPr>
          <w:rFonts w:ascii="David" w:hAnsi="David" w:cs="David"/>
          <w:sz w:val="24"/>
          <w:szCs w:val="24"/>
          <w:rtl/>
        </w:rPr>
        <w:t xml:space="preserve">שהחזיק בביתו 14 טבליות סם </w:t>
      </w:r>
      <w:r w:rsidR="00B67CC4">
        <w:rPr>
          <w:rFonts w:ascii="David" w:hAnsi="David" w:cs="David"/>
          <w:sz w:val="24"/>
          <w:szCs w:val="24"/>
        </w:rPr>
        <w:t xml:space="preserve"> MDMA</w:t>
      </w:r>
      <w:r w:rsidR="00B67CC4">
        <w:rPr>
          <w:rFonts w:ascii="David" w:hAnsi="David" w:cs="David"/>
          <w:sz w:val="24"/>
          <w:szCs w:val="24"/>
          <w:rtl/>
        </w:rPr>
        <w:t xml:space="preserve">במשקל 5.017 גרם וחשיש במשקל 4.82 גרם. </w:t>
      </w:r>
      <w:r>
        <w:rPr>
          <w:rFonts w:ascii="David" w:hAnsi="David" w:cs="David"/>
          <w:sz w:val="24"/>
          <w:szCs w:val="24"/>
          <w:rtl/>
        </w:rPr>
        <w:t xml:space="preserve">                   </w:t>
      </w:r>
    </w:p>
    <w:p w14:paraId="4CF62ABD" w14:textId="77777777" w:rsidR="00B67CC4" w:rsidRPr="00B67CC4" w:rsidRDefault="00B67CC4" w:rsidP="00B67CC4">
      <w:pPr>
        <w:tabs>
          <w:tab w:val="left" w:pos="6310"/>
        </w:tabs>
        <w:spacing w:before="120" w:after="120" w:line="360" w:lineRule="auto"/>
        <w:ind w:left="423" w:hanging="360"/>
        <w:jc w:val="both"/>
        <w:rPr>
          <w:rFonts w:ascii="David" w:eastAsia="Calibri" w:hAnsi="David"/>
          <w:rtl/>
        </w:rPr>
      </w:pPr>
      <w:r>
        <w:rPr>
          <w:rFonts w:ascii="David" w:hAnsi="David"/>
          <w:rtl/>
        </w:rPr>
        <w:tab/>
      </w:r>
      <w:hyperlink r:id="rId44" w:history="1">
        <w:r w:rsidR="000F6C27" w:rsidRPr="000F6C27">
          <w:rPr>
            <w:rFonts w:ascii="David" w:hAnsi="David"/>
            <w:color w:val="0000FF"/>
            <w:u w:val="single"/>
            <w:rtl/>
          </w:rPr>
          <w:t>ת"פ 2908-05-17</w:t>
        </w:r>
      </w:hyperlink>
      <w:r w:rsidR="000F6C27">
        <w:rPr>
          <w:rFonts w:ascii="David" w:hAnsi="David"/>
          <w:rtl/>
        </w:rPr>
        <w:t xml:space="preserve"> </w:t>
      </w:r>
      <w:r>
        <w:rPr>
          <w:rFonts w:ascii="David" w:hAnsi="David"/>
          <w:b/>
          <w:bCs/>
          <w:u w:val="single"/>
          <w:rtl/>
        </w:rPr>
        <w:t>מדינת ישראל נ' גולדברך</w:t>
      </w:r>
      <w:r w:rsidR="000F6C27">
        <w:rPr>
          <w:rFonts w:ascii="David" w:hAnsi="David"/>
          <w:rtl/>
        </w:rPr>
        <w:t xml:space="preserve"> </w:t>
      </w:r>
      <w:r>
        <w:rPr>
          <w:rFonts w:ascii="David" w:hAnsi="David"/>
          <w:rtl/>
        </w:rPr>
        <w:t>(06.07.20) – בוטלה הרשעת נאשם בן 33 נעדר עבר פלילי שעבר הליך טיפולי לאחר שניסה לייבא סמים מסוג</w:t>
      </w:r>
      <w:r w:rsidR="000F6C27">
        <w:rPr>
          <w:rFonts w:ascii="David" w:hAnsi="David"/>
          <w:rtl/>
        </w:rPr>
        <w:t xml:space="preserve"> </w:t>
      </w:r>
      <w:r>
        <w:rPr>
          <w:rFonts w:ascii="David" w:hAnsi="David"/>
        </w:rPr>
        <w:t>MDMA</w:t>
      </w:r>
      <w:r w:rsidR="000F6C27">
        <w:rPr>
          <w:rFonts w:ascii="David" w:hAnsi="David"/>
          <w:rtl/>
        </w:rPr>
        <w:t xml:space="preserve"> </w:t>
      </w:r>
      <w:r>
        <w:rPr>
          <w:rFonts w:ascii="David" w:hAnsi="David"/>
          <w:rtl/>
        </w:rPr>
        <w:t>במשקל 9.69 גרם נטו והחזיק בביתו סמים מסוג</w:t>
      </w:r>
      <w:r w:rsidR="000F6C27">
        <w:rPr>
          <w:rFonts w:ascii="David" w:hAnsi="David"/>
          <w:rtl/>
        </w:rPr>
        <w:t xml:space="preserve"> </w:t>
      </w:r>
      <w:r>
        <w:rPr>
          <w:rFonts w:ascii="David" w:hAnsi="David"/>
        </w:rPr>
        <w:t>MDMA</w:t>
      </w:r>
      <w:r w:rsidR="000F6C27">
        <w:rPr>
          <w:rFonts w:ascii="David" w:hAnsi="David"/>
          <w:rtl/>
        </w:rPr>
        <w:t xml:space="preserve"> </w:t>
      </w:r>
      <w:r>
        <w:rPr>
          <w:rFonts w:ascii="David" w:hAnsi="David"/>
          <w:rtl/>
        </w:rPr>
        <w:t>במשקל 12.31 גרם נטו, 12 יחידות של</w:t>
      </w:r>
      <w:r w:rsidR="000F6C27">
        <w:rPr>
          <w:rFonts w:ascii="David" w:hAnsi="David"/>
          <w:rtl/>
        </w:rPr>
        <w:t xml:space="preserve"> </w:t>
      </w:r>
      <w:r>
        <w:rPr>
          <w:rFonts w:ascii="David" w:hAnsi="David"/>
        </w:rPr>
        <w:t>LSD</w:t>
      </w:r>
      <w:r>
        <w:rPr>
          <w:rFonts w:ascii="David" w:hAnsi="David"/>
          <w:rtl/>
        </w:rPr>
        <w:t>, וקנאביס במשקל 0.88 גרם.</w:t>
      </w:r>
      <w:r w:rsidR="000F6C27">
        <w:rPr>
          <w:rFonts w:ascii="David" w:hAnsi="David"/>
          <w:rtl/>
        </w:rPr>
        <w:t xml:space="preserve"> </w:t>
      </w:r>
    </w:p>
    <w:p w14:paraId="1AD2794B" w14:textId="77777777" w:rsidR="00B67CC4" w:rsidRDefault="000F6C27" w:rsidP="00B67CC4">
      <w:pPr>
        <w:pStyle w:val="aa"/>
        <w:spacing w:before="120" w:after="120" w:line="360" w:lineRule="auto"/>
        <w:ind w:left="423"/>
        <w:contextualSpacing w:val="0"/>
        <w:jc w:val="both"/>
        <w:rPr>
          <w:rFonts w:ascii="David" w:hAnsi="David" w:cs="David"/>
          <w:color w:val="000000"/>
          <w:sz w:val="24"/>
          <w:szCs w:val="24"/>
        </w:rPr>
      </w:pPr>
      <w:hyperlink r:id="rId45" w:history="1">
        <w:r w:rsidRPr="000F6C27">
          <w:rPr>
            <w:rFonts w:ascii="David" w:hAnsi="David" w:cs="David"/>
            <w:color w:val="0000FF"/>
            <w:sz w:val="24"/>
            <w:szCs w:val="24"/>
            <w:u w:val="single"/>
            <w:rtl/>
          </w:rPr>
          <w:t>ת"פ 59518-01-13</w:t>
        </w:r>
      </w:hyperlink>
      <w:r>
        <w:rPr>
          <w:rFonts w:ascii="David" w:hAnsi="David" w:cs="David"/>
          <w:sz w:val="24"/>
          <w:szCs w:val="24"/>
          <w:rtl/>
        </w:rPr>
        <w:t xml:space="preserve"> </w:t>
      </w:r>
      <w:r w:rsidR="00B67CC4">
        <w:rPr>
          <w:rFonts w:ascii="David" w:hAnsi="David" w:cs="David"/>
          <w:b/>
          <w:bCs/>
          <w:sz w:val="24"/>
          <w:szCs w:val="24"/>
          <w:u w:val="single"/>
          <w:rtl/>
        </w:rPr>
        <w:t>מדינת ישראל נ' וולף</w:t>
      </w:r>
      <w:r>
        <w:rPr>
          <w:rFonts w:ascii="David" w:hAnsi="David" w:cs="David"/>
          <w:sz w:val="24"/>
          <w:szCs w:val="24"/>
          <w:rtl/>
        </w:rPr>
        <w:t xml:space="preserve"> </w:t>
      </w:r>
      <w:r w:rsidR="00B67CC4">
        <w:rPr>
          <w:rFonts w:ascii="David" w:hAnsi="David" w:cs="David"/>
          <w:sz w:val="24"/>
          <w:szCs w:val="24"/>
          <w:rtl/>
        </w:rPr>
        <w:t xml:space="preserve">(04.06.17) – בוטלה הרשעת נאשם נעדר עבר פלילי בעבירות שביצע בהיותו בן 20 ובן 22 של החזקת סם מסוג חשיש במשקל 37.7 גרם וסם מסוג </w:t>
      </w:r>
      <w:r w:rsidR="00B67CC4">
        <w:rPr>
          <w:rFonts w:ascii="David" w:hAnsi="David" w:cs="David"/>
          <w:sz w:val="24"/>
          <w:szCs w:val="24"/>
        </w:rPr>
        <w:t>MDMA</w:t>
      </w:r>
      <w:r w:rsidR="00B67CC4">
        <w:rPr>
          <w:rFonts w:ascii="David" w:hAnsi="David" w:cs="David"/>
          <w:sz w:val="24"/>
          <w:szCs w:val="24"/>
          <w:rtl/>
        </w:rPr>
        <w:t xml:space="preserve"> במשקל של 26.4 גרם.</w:t>
      </w:r>
      <w:r>
        <w:rPr>
          <w:rFonts w:ascii="David" w:hAnsi="David" w:cs="David"/>
          <w:color w:val="000000"/>
          <w:sz w:val="24"/>
          <w:szCs w:val="24"/>
          <w:rtl/>
        </w:rPr>
        <w:t xml:space="preserve">                            </w:t>
      </w:r>
    </w:p>
    <w:p w14:paraId="1783E38D" w14:textId="77777777" w:rsidR="00B67CC4" w:rsidRPr="00B67CC4" w:rsidRDefault="00B67CC4" w:rsidP="00B67CC4">
      <w:pPr>
        <w:tabs>
          <w:tab w:val="left" w:pos="6310"/>
        </w:tabs>
        <w:spacing w:before="120" w:after="120" w:line="360" w:lineRule="auto"/>
        <w:ind w:left="423" w:hanging="360"/>
        <w:jc w:val="both"/>
        <w:rPr>
          <w:rFonts w:ascii="Calibri" w:eastAsia="Calibri" w:hAnsi="Calibri" w:cs="Arial"/>
          <w:color w:val="000000"/>
          <w:sz w:val="14"/>
          <w:szCs w:val="14"/>
        </w:rPr>
      </w:pPr>
      <w:r>
        <w:rPr>
          <w:rFonts w:ascii="David" w:hAnsi="David"/>
          <w:rtl/>
        </w:rPr>
        <w:tab/>
      </w:r>
      <w:hyperlink r:id="rId46" w:history="1">
        <w:r w:rsidR="000F6C27" w:rsidRPr="000F6C27">
          <w:rPr>
            <w:rFonts w:ascii="David" w:hAnsi="David"/>
            <w:color w:val="0000FF"/>
            <w:u w:val="single"/>
            <w:rtl/>
          </w:rPr>
          <w:t>ת"פ 9369-01-13</w:t>
        </w:r>
      </w:hyperlink>
      <w:r w:rsidR="000F6C27">
        <w:rPr>
          <w:rFonts w:ascii="David" w:hAnsi="David"/>
        </w:rPr>
        <w:t xml:space="preserve"> </w:t>
      </w:r>
      <w:r>
        <w:rPr>
          <w:rFonts w:ascii="David" w:hAnsi="David"/>
          <w:b/>
          <w:bCs/>
          <w:u w:val="single"/>
          <w:rtl/>
        </w:rPr>
        <w:t>מדינת ישראל נ' שמואל</w:t>
      </w:r>
      <w:r w:rsidR="000F6C27">
        <w:rPr>
          <w:rFonts w:ascii="David" w:hAnsi="David"/>
          <w:rtl/>
        </w:rPr>
        <w:t xml:space="preserve"> </w:t>
      </w:r>
      <w:r>
        <w:rPr>
          <w:rFonts w:ascii="David" w:hAnsi="David"/>
        </w:rPr>
        <w:t>(29.4.15)</w:t>
      </w:r>
      <w:r>
        <w:rPr>
          <w:rFonts w:ascii="David" w:hAnsi="David"/>
          <w:rtl/>
        </w:rPr>
        <w:t xml:space="preserve">: בוטלה הרשעה של בן 20, בעל עבר פלילי מתקופת נערותו, שהורשע בעבירת החזקת סם מסוג קוקאין במשקל של כ-5 גרם בביתו, כשהוא מחולק ל-2 אריזות פלסטיק. </w:t>
      </w:r>
    </w:p>
    <w:p w14:paraId="39BD5FA1" w14:textId="77777777" w:rsidR="00B67CC4" w:rsidRDefault="000F6C27" w:rsidP="00B67CC4">
      <w:pPr>
        <w:pStyle w:val="aa"/>
        <w:numPr>
          <w:ilvl w:val="0"/>
          <w:numId w:val="1"/>
        </w:numPr>
        <w:spacing w:before="120" w:after="120" w:line="360" w:lineRule="auto"/>
        <w:ind w:left="423"/>
        <w:contextualSpacing w:val="0"/>
        <w:jc w:val="both"/>
        <w:rPr>
          <w:rFonts w:ascii="David" w:hAnsi="David" w:cs="David"/>
          <w:sz w:val="24"/>
          <w:szCs w:val="24"/>
          <w:rtl/>
        </w:rPr>
      </w:pPr>
      <w:r>
        <w:rPr>
          <w:rFonts w:ascii="David" w:hAnsi="David" w:cs="David"/>
          <w:color w:val="000000"/>
          <w:rtl/>
        </w:rPr>
        <w:t xml:space="preserve"> </w:t>
      </w:r>
      <w:r w:rsidR="00B67CC4">
        <w:rPr>
          <w:rFonts w:ascii="David" w:hAnsi="David" w:cs="David"/>
          <w:sz w:val="24"/>
          <w:szCs w:val="24"/>
          <w:rtl/>
        </w:rPr>
        <w:t>הפסיקה ונסיבות העבירה כמפורט מעידות על כך שטיב המעשים של הנאשם מאפשר הימנעות מהרשעה.</w:t>
      </w:r>
    </w:p>
    <w:p w14:paraId="310A814D" w14:textId="77777777" w:rsidR="00B67CC4" w:rsidRDefault="00B67CC4" w:rsidP="00B67CC4">
      <w:pPr>
        <w:spacing w:before="120" w:after="120" w:line="360" w:lineRule="auto"/>
        <w:ind w:firstLine="423"/>
        <w:jc w:val="both"/>
        <w:rPr>
          <w:rFonts w:ascii="David" w:hAnsi="David"/>
          <w:b/>
          <w:bCs/>
        </w:rPr>
      </w:pPr>
      <w:r>
        <w:rPr>
          <w:rFonts w:ascii="David" w:hAnsi="David"/>
          <w:b/>
          <w:bCs/>
          <w:u w:val="single"/>
          <w:rtl/>
        </w:rPr>
        <w:t>ההרשעה עלולה לפגוע בשיקום הנאשם:</w:t>
      </w:r>
      <w:r>
        <w:rPr>
          <w:rFonts w:ascii="David" w:hAnsi="David"/>
          <w:b/>
          <w:bCs/>
          <w:rtl/>
        </w:rPr>
        <w:t xml:space="preserve"> </w:t>
      </w:r>
    </w:p>
    <w:p w14:paraId="7B0F2A54" w14:textId="77777777" w:rsidR="00B67CC4" w:rsidRDefault="00B67CC4" w:rsidP="00B67CC4">
      <w:pPr>
        <w:pStyle w:val="aa"/>
        <w:numPr>
          <w:ilvl w:val="0"/>
          <w:numId w:val="1"/>
        </w:numPr>
        <w:spacing w:before="120" w:after="120" w:line="360" w:lineRule="auto"/>
        <w:ind w:left="423"/>
        <w:contextualSpacing w:val="0"/>
        <w:jc w:val="both"/>
        <w:rPr>
          <w:rFonts w:ascii="David" w:hAnsi="David" w:cs="David"/>
          <w:sz w:val="24"/>
          <w:szCs w:val="24"/>
          <w:rtl/>
        </w:rPr>
      </w:pPr>
      <w:r>
        <w:rPr>
          <w:rFonts w:ascii="David" w:hAnsi="David" w:cs="David"/>
          <w:sz w:val="24"/>
          <w:szCs w:val="24"/>
          <w:rtl/>
        </w:rPr>
        <w:t xml:space="preserve">הנאשם מועסק בחברה קבלנית בבעלות אביו. לדברי האב וכעולה ממסמך שהוגש, החתום על ידי החברה, מדיניות החברה היא לא להעסיק עובדים בעלי עבר פלילי. מעדות האב עולה כי המדיניות הייתה קיימת תמיד וביתר שאת היום לאור כוונה להנפיק את החברה בבורסה. לטענת האב, תנאי להנפקה הוא אי העסקת עובדים בעלי עבר פלילי (לא הוצגה אסמכתא). </w:t>
      </w:r>
    </w:p>
    <w:p w14:paraId="0FD7E409" w14:textId="77777777" w:rsidR="00B67CC4" w:rsidRDefault="00B67CC4" w:rsidP="00B67CC4">
      <w:pPr>
        <w:pStyle w:val="aa"/>
        <w:numPr>
          <w:ilvl w:val="0"/>
          <w:numId w:val="1"/>
        </w:numPr>
        <w:spacing w:before="120" w:after="120" w:line="360" w:lineRule="auto"/>
        <w:ind w:left="423"/>
        <w:contextualSpacing w:val="0"/>
        <w:jc w:val="both"/>
        <w:rPr>
          <w:rFonts w:ascii="David" w:hAnsi="David" w:cs="David"/>
          <w:sz w:val="24"/>
          <w:szCs w:val="24"/>
        </w:rPr>
      </w:pPr>
      <w:r>
        <w:rPr>
          <w:rFonts w:ascii="David" w:hAnsi="David" w:cs="David"/>
          <w:sz w:val="24"/>
          <w:szCs w:val="24"/>
          <w:rtl/>
        </w:rPr>
        <w:t xml:space="preserve">לנוכח המסמך שהוגש ועדות האב, שהייתה מהימנה בעיני, נחה דעתי כי הנאשם הוכיח פגיעה ממשית וקונקרטית שעלולה להיגרם לו היה וההרשעה תיוותר על כנה. </w:t>
      </w:r>
    </w:p>
    <w:p w14:paraId="6853E923" w14:textId="77777777" w:rsidR="00B67CC4" w:rsidRDefault="00B67CC4" w:rsidP="00B67CC4">
      <w:pPr>
        <w:pStyle w:val="aa"/>
        <w:numPr>
          <w:ilvl w:val="0"/>
          <w:numId w:val="1"/>
        </w:numPr>
        <w:spacing w:before="120" w:after="120" w:line="360" w:lineRule="auto"/>
        <w:ind w:left="423"/>
        <w:contextualSpacing w:val="0"/>
        <w:jc w:val="both"/>
        <w:rPr>
          <w:rFonts w:ascii="David" w:hAnsi="David" w:cs="David"/>
          <w:sz w:val="24"/>
          <w:szCs w:val="24"/>
        </w:rPr>
      </w:pPr>
      <w:r>
        <w:rPr>
          <w:rFonts w:ascii="David" w:hAnsi="David" w:cs="David"/>
          <w:sz w:val="24"/>
          <w:szCs w:val="24"/>
          <w:rtl/>
        </w:rPr>
        <w:t xml:space="preserve">כך או כך, אף אם לא הייתה מוכחת פגיעה קונקרטית, לאור גילו הצעיר של הנאשם בעת ביצוע העבירה והתקיימות רוב התנאים שקבע השופט לוין בהלכת כתב, אני סבורה כי אף ללא הוכחת פגיעה קונקרטית, ברורה ומוחשית, מתקיימות נסיבות שיש בהן כדי להטות את הכף לטובת אי הרשעה. </w:t>
      </w:r>
    </w:p>
    <w:p w14:paraId="7623C292" w14:textId="77777777" w:rsidR="00B67CC4" w:rsidRDefault="00B67CC4" w:rsidP="00B67CC4">
      <w:pPr>
        <w:pStyle w:val="aa"/>
        <w:numPr>
          <w:ilvl w:val="0"/>
          <w:numId w:val="1"/>
        </w:numPr>
        <w:spacing w:before="120" w:after="120" w:line="360" w:lineRule="auto"/>
        <w:ind w:left="423"/>
        <w:contextualSpacing w:val="0"/>
        <w:jc w:val="both"/>
        <w:rPr>
          <w:rFonts w:ascii="David" w:hAnsi="David" w:cs="David"/>
          <w:sz w:val="24"/>
          <w:szCs w:val="24"/>
        </w:rPr>
      </w:pPr>
      <w:r>
        <w:rPr>
          <w:rFonts w:ascii="David" w:hAnsi="David" w:cs="David"/>
          <w:sz w:val="24"/>
          <w:szCs w:val="24"/>
          <w:rtl/>
        </w:rPr>
        <w:t xml:space="preserve">הנאשם ביצע את העבירות בהיותו כבן 22 והיום הוא בן 24 ונכנס תחת קטגוריית "צעיר-בגיר". כמו כן, מתסקיר שירות המבחן עולה כי מדובר בנאשם צעיר ונורמטיבי, נעדר הרשעות קודמות שאינו בעל דפוסי התנהלות עברייניים ואשר עולם הפשע זר לו. מתסקיר שירות המבחן עולה כי הנאשם חדל משימוש בסמים ובדיקות לאיתור שרידי סם שמסר נמצאו נקיות. </w:t>
      </w:r>
    </w:p>
    <w:p w14:paraId="54EC5998" w14:textId="77777777" w:rsidR="00B67CC4" w:rsidRDefault="00B67CC4" w:rsidP="00B67CC4">
      <w:pPr>
        <w:pStyle w:val="aa"/>
        <w:numPr>
          <w:ilvl w:val="0"/>
          <w:numId w:val="1"/>
        </w:numPr>
        <w:spacing w:before="120" w:after="120" w:line="360" w:lineRule="auto"/>
        <w:ind w:left="423"/>
        <w:contextualSpacing w:val="0"/>
        <w:jc w:val="both"/>
        <w:rPr>
          <w:rFonts w:ascii="David" w:hAnsi="David" w:cs="David"/>
          <w:sz w:val="24"/>
          <w:szCs w:val="24"/>
        </w:rPr>
      </w:pPr>
      <w:r>
        <w:rPr>
          <w:rFonts w:ascii="David" w:hAnsi="David" w:cs="David"/>
          <w:sz w:val="24"/>
          <w:szCs w:val="24"/>
          <w:rtl/>
        </w:rPr>
        <w:t xml:space="preserve">הנאשם הודה בביצוע העבירות, לקח אחריות אישית על מעשיו וממועד ביצוע העבירות משך מעל שנתיים לא נפתחו כנגדו תיקים חדשים. לנאשם סביבה עוטפת ותומכת אשר התגייסה לטפל בו ולעזור לו, אביו הוא בעלים של חברה קבלנית ומעסיק את הנאשם בחברה.  בנוסף, הנאשם שיתף פעולה באופן מלא עם שירות המבחן ולהתרשמות שירות המבחן הוא מנהל אורח חיים יציב ומאוזן, יציב תעסוקתית ובעל שאיפות לאור חיים נורמטיבי. </w:t>
      </w:r>
    </w:p>
    <w:p w14:paraId="0A35EE1E" w14:textId="77777777" w:rsidR="00B67CC4" w:rsidRDefault="00B67CC4" w:rsidP="00B67CC4">
      <w:pPr>
        <w:pStyle w:val="aa"/>
        <w:numPr>
          <w:ilvl w:val="0"/>
          <w:numId w:val="1"/>
        </w:numPr>
        <w:spacing w:before="120" w:after="120" w:line="360" w:lineRule="auto"/>
        <w:ind w:left="423"/>
        <w:contextualSpacing w:val="0"/>
        <w:jc w:val="both"/>
        <w:rPr>
          <w:rFonts w:ascii="David" w:hAnsi="David" w:cs="David"/>
          <w:sz w:val="24"/>
          <w:szCs w:val="24"/>
        </w:rPr>
      </w:pPr>
      <w:r>
        <w:rPr>
          <w:rFonts w:ascii="David" w:hAnsi="David" w:cs="David"/>
          <w:sz w:val="24"/>
          <w:szCs w:val="24"/>
          <w:rtl/>
        </w:rPr>
        <w:t>מכל האמור לעיל, הגעתי למסקנה כי יש להעדיף את שיקולי השיקום של הנאשם על פני שיקולי הענישה האחרים של גמול והרתעה.</w:t>
      </w:r>
    </w:p>
    <w:p w14:paraId="51FCBCD4" w14:textId="77777777" w:rsidR="00B67CC4" w:rsidRPr="00B67CC4" w:rsidRDefault="00B67CC4" w:rsidP="00B67CC4">
      <w:pPr>
        <w:pStyle w:val="aa"/>
        <w:numPr>
          <w:ilvl w:val="0"/>
          <w:numId w:val="1"/>
        </w:numPr>
        <w:snapToGrid w:val="0"/>
        <w:spacing w:before="240" w:after="240" w:line="360" w:lineRule="auto"/>
        <w:ind w:left="360"/>
        <w:contextualSpacing w:val="0"/>
        <w:jc w:val="both"/>
        <w:rPr>
          <w:rFonts w:ascii="David" w:hAnsi="David" w:cs="David"/>
          <w:sz w:val="24"/>
          <w:szCs w:val="24"/>
        </w:rPr>
      </w:pPr>
      <w:r w:rsidRPr="007C7C8E">
        <w:rPr>
          <w:rFonts w:ascii="David" w:hAnsi="David" w:cs="David" w:hint="cs"/>
          <w:sz w:val="24"/>
          <w:szCs w:val="24"/>
          <w:rtl/>
        </w:rPr>
        <w:t xml:space="preserve">לאותה מסקנה יש להגיע גם לנוכח </w:t>
      </w:r>
      <w:r w:rsidRPr="00B67CC4">
        <w:rPr>
          <w:rFonts w:ascii="David" w:hAnsi="David" w:cs="David"/>
          <w:sz w:val="24"/>
          <w:szCs w:val="24"/>
          <w:rtl/>
        </w:rPr>
        <w:t>עקרון אחידות הענישה</w:t>
      </w:r>
      <w:r w:rsidRPr="00B67CC4">
        <w:rPr>
          <w:rFonts w:ascii="David" w:hAnsi="David" w:cs="David" w:hint="cs"/>
          <w:sz w:val="24"/>
          <w:szCs w:val="24"/>
          <w:rtl/>
        </w:rPr>
        <w:t xml:space="preserve">. ממסמכים שהגיש הנאשם עולה כי  המאשימה הגיעה להסדר על סיום ההליך ללא הרשעה עם נאשם אחר שהיה באותה מסיבה בה היה הנאשם והורשע בעבירת החזקת סם לצריכה עצמית בנסיבות דומות- החזיק סם מסוכן מסוג </w:t>
      </w:r>
      <w:r w:rsidRPr="00B67CC4">
        <w:rPr>
          <w:rFonts w:ascii="David" w:hAnsi="David" w:cs="David" w:hint="cs"/>
          <w:sz w:val="24"/>
          <w:szCs w:val="24"/>
        </w:rPr>
        <w:t>MDMA KETANINE</w:t>
      </w:r>
      <w:r w:rsidRPr="00B67CC4">
        <w:rPr>
          <w:rFonts w:ascii="David" w:hAnsi="David" w:cs="David" w:hint="cs"/>
          <w:sz w:val="24"/>
          <w:szCs w:val="24"/>
          <w:rtl/>
        </w:rPr>
        <w:t xml:space="preserve"> במשקל 1.1 גרם לצריכה עצמית, הציג בדיקות שתן נקיות והציג מסמכים המעידים על פגיעה קונקרטית שיכול ותיגרם לנאשם אם יורשע בדין. </w:t>
      </w:r>
    </w:p>
    <w:p w14:paraId="67E4F93D" w14:textId="77777777" w:rsidR="00B67CC4" w:rsidRPr="00B67CC4" w:rsidRDefault="00B67CC4" w:rsidP="00B67CC4">
      <w:pPr>
        <w:pStyle w:val="aa"/>
        <w:snapToGrid w:val="0"/>
        <w:spacing w:before="240" w:after="240" w:line="360" w:lineRule="auto"/>
        <w:ind w:left="360"/>
        <w:contextualSpacing w:val="0"/>
        <w:jc w:val="both"/>
        <w:rPr>
          <w:rFonts w:ascii="David" w:hAnsi="David" w:cs="David"/>
          <w:sz w:val="24"/>
          <w:szCs w:val="24"/>
        </w:rPr>
      </w:pPr>
      <w:r w:rsidRPr="00B67CC4">
        <w:rPr>
          <w:rFonts w:ascii="David" w:hAnsi="David" w:cs="David"/>
          <w:sz w:val="24"/>
          <w:szCs w:val="24"/>
          <w:rtl/>
        </w:rPr>
        <w:t>על משמעותו של עקרון אחידות הענישה עמד בית המשפט ב</w:t>
      </w:r>
      <w:hyperlink r:id="rId47" w:history="1">
        <w:r w:rsidR="000F6C27" w:rsidRPr="000F6C27">
          <w:rPr>
            <w:rFonts w:ascii="David" w:hAnsi="David" w:cs="David"/>
            <w:color w:val="0000FF"/>
            <w:sz w:val="24"/>
            <w:szCs w:val="24"/>
            <w:u w:val="single"/>
            <w:rtl/>
          </w:rPr>
          <w:t>ע"פ 2580/14</w:t>
        </w:r>
      </w:hyperlink>
      <w:r w:rsidRPr="00B67CC4">
        <w:rPr>
          <w:rFonts w:ascii="David" w:hAnsi="David" w:cs="David"/>
          <w:sz w:val="24"/>
          <w:szCs w:val="24"/>
          <w:rtl/>
        </w:rPr>
        <w:t xml:space="preserve"> </w:t>
      </w:r>
      <w:r w:rsidRPr="00B67CC4">
        <w:rPr>
          <w:rFonts w:ascii="David" w:hAnsi="David" w:cs="David"/>
          <w:b/>
          <w:bCs/>
          <w:sz w:val="24"/>
          <w:szCs w:val="24"/>
          <w:u w:val="single"/>
          <w:rtl/>
        </w:rPr>
        <w:t>חסן נ' מדינת ישראל</w:t>
      </w:r>
      <w:r w:rsidRPr="00B67CC4">
        <w:rPr>
          <w:rFonts w:ascii="David" w:hAnsi="David" w:cs="David"/>
          <w:sz w:val="24"/>
          <w:szCs w:val="24"/>
          <w:rtl/>
        </w:rPr>
        <w:t xml:space="preserve"> (נבו, 23.09.14) : </w:t>
      </w:r>
    </w:p>
    <w:p w14:paraId="563A8C66" w14:textId="77777777" w:rsidR="00B67CC4" w:rsidRPr="00B67CC4" w:rsidRDefault="00B67CC4" w:rsidP="00B67CC4">
      <w:pPr>
        <w:spacing w:before="240" w:after="240" w:line="360" w:lineRule="auto"/>
        <w:ind w:left="1076" w:hanging="141"/>
        <w:jc w:val="both"/>
        <w:rPr>
          <w:rFonts w:ascii="David" w:eastAsia="Calibri" w:hAnsi="David"/>
        </w:rPr>
      </w:pPr>
      <w:r w:rsidRPr="00B67CC4">
        <w:rPr>
          <w:rFonts w:ascii="David" w:eastAsia="Calibri" w:hAnsi="David"/>
          <w:rtl/>
        </w:rPr>
        <w:t xml:space="preserve">" </w:t>
      </w:r>
      <w:r w:rsidRPr="00B67CC4">
        <w:rPr>
          <w:rFonts w:ascii="David" w:eastAsia="Calibri" w:hAnsi="David"/>
          <w:b/>
          <w:bCs/>
          <w:rtl/>
        </w:rPr>
        <w:t>עקרון אחידות הענישה הוא עקרון יסוד במשפט הפלילי, אשר נועד להבטיח שוויון בפני החוק ולמנוע שרירות בענישה ... עקרון זה מקבל משנה חשיבות כאשר מדובר בנאשמים שונים המורשעים בגדרה של אותה בקשה. במצב דברים זה מצדד עקרון אחידות הענישה בהטלת עונשים דומים על מי שביצעו מעשים דומים וכן בשמירה על יחס של שקילות בין מבצעיהם של מעשים הנבדלים זה מזה במניינם, חומרתם או בנסיבותיו האישיות של המבצע ...".</w:t>
      </w:r>
    </w:p>
    <w:p w14:paraId="1F290CD5" w14:textId="77777777" w:rsidR="00B67CC4" w:rsidRDefault="00B67CC4" w:rsidP="00B67CC4">
      <w:pPr>
        <w:spacing w:before="120" w:after="120" w:line="360" w:lineRule="auto"/>
        <w:ind w:left="423"/>
        <w:jc w:val="both"/>
        <w:rPr>
          <w:rFonts w:ascii="David" w:hAnsi="David"/>
          <w:b/>
          <w:bCs/>
          <w:sz w:val="28"/>
          <w:szCs w:val="28"/>
          <w:u w:val="single"/>
        </w:rPr>
      </w:pPr>
      <w:r>
        <w:rPr>
          <w:rFonts w:ascii="David" w:hAnsi="David"/>
          <w:b/>
          <w:bCs/>
          <w:sz w:val="28"/>
          <w:szCs w:val="28"/>
          <w:u w:val="single"/>
          <w:rtl/>
        </w:rPr>
        <w:t>התוצאה</w:t>
      </w:r>
    </w:p>
    <w:p w14:paraId="04DE10D0" w14:textId="77777777" w:rsidR="00B67CC4" w:rsidRPr="00B67CC4" w:rsidRDefault="00B67CC4" w:rsidP="00B67CC4">
      <w:pPr>
        <w:pStyle w:val="aa"/>
        <w:numPr>
          <w:ilvl w:val="0"/>
          <w:numId w:val="1"/>
        </w:numPr>
        <w:spacing w:before="120" w:after="120" w:line="360" w:lineRule="auto"/>
        <w:ind w:left="423"/>
        <w:contextualSpacing w:val="0"/>
        <w:jc w:val="both"/>
        <w:rPr>
          <w:rFonts w:ascii="David" w:hAnsi="David" w:cs="David"/>
          <w:sz w:val="24"/>
          <w:szCs w:val="24"/>
        </w:rPr>
      </w:pPr>
      <w:r>
        <w:rPr>
          <w:rFonts w:ascii="David" w:hAnsi="David" w:cs="David"/>
          <w:sz w:val="24"/>
          <w:szCs w:val="24"/>
          <w:rtl/>
        </w:rPr>
        <w:t xml:space="preserve">לאור האמור אני קובעת שהנאשם ביצע העבירה המיוחסת לו בכתב האישום, </w:t>
      </w:r>
      <w:r>
        <w:rPr>
          <w:rFonts w:ascii="David" w:hAnsi="David" w:cs="David"/>
          <w:b/>
          <w:sz w:val="24"/>
          <w:szCs w:val="24"/>
          <w:rtl/>
          <w:lang w:eastAsia="he-IL"/>
        </w:rPr>
        <w:t xml:space="preserve">אולם באיזון בין האינטרס הציבורי, הרתעת היחיד והרבים, לבין האינטרסים הנוגעים בנאשם, נוכח החשש שהרשעה תפגע בעתידו - </w:t>
      </w:r>
      <w:r>
        <w:rPr>
          <w:rFonts w:ascii="David" w:hAnsi="David" w:cs="David"/>
          <w:bCs/>
          <w:sz w:val="24"/>
          <w:szCs w:val="24"/>
          <w:rtl/>
          <w:lang w:eastAsia="he-IL"/>
        </w:rPr>
        <w:t xml:space="preserve">אני </w:t>
      </w:r>
      <w:r>
        <w:rPr>
          <w:rFonts w:ascii="David" w:hAnsi="David" w:cs="David"/>
          <w:b/>
          <w:bCs/>
          <w:sz w:val="24"/>
          <w:szCs w:val="24"/>
          <w:rtl/>
        </w:rPr>
        <w:t>מורה</w:t>
      </w:r>
      <w:r>
        <w:rPr>
          <w:rFonts w:ascii="David" w:hAnsi="David" w:cs="David"/>
          <w:bCs/>
          <w:sz w:val="24"/>
          <w:szCs w:val="24"/>
          <w:rtl/>
          <w:lang w:eastAsia="he-IL"/>
        </w:rPr>
        <w:t xml:space="preserve"> על ביטול הרשעת הנאשם, כך שההליך יסתיים ללא הרשעה וגוזרת על </w:t>
      </w:r>
      <w:r>
        <w:rPr>
          <w:rFonts w:ascii="David" w:hAnsi="David" w:cs="David"/>
          <w:b/>
          <w:bCs/>
          <w:sz w:val="24"/>
          <w:szCs w:val="24"/>
          <w:rtl/>
        </w:rPr>
        <w:t>הנאשם את העונשים הבאים:</w:t>
      </w:r>
    </w:p>
    <w:p w14:paraId="5637AF56" w14:textId="77777777" w:rsidR="00B67CC4" w:rsidRDefault="00B67CC4" w:rsidP="00B67CC4">
      <w:pPr>
        <w:pStyle w:val="aa"/>
        <w:numPr>
          <w:ilvl w:val="0"/>
          <w:numId w:val="2"/>
        </w:numPr>
        <w:spacing w:before="120" w:after="120" w:line="360" w:lineRule="auto"/>
        <w:contextualSpacing w:val="0"/>
        <w:jc w:val="both"/>
        <w:rPr>
          <w:rFonts w:ascii="David" w:hAnsi="David" w:cs="David"/>
          <w:sz w:val="24"/>
          <w:szCs w:val="24"/>
        </w:rPr>
      </w:pPr>
      <w:r>
        <w:rPr>
          <w:rFonts w:ascii="David" w:hAnsi="David" w:cs="David" w:hint="cs"/>
          <w:sz w:val="24"/>
          <w:szCs w:val="24"/>
          <w:rtl/>
        </w:rPr>
        <w:t>140</w:t>
      </w:r>
      <w:r>
        <w:rPr>
          <w:rFonts w:ascii="David" w:hAnsi="David" w:cs="David"/>
          <w:sz w:val="24"/>
          <w:szCs w:val="24"/>
          <w:rtl/>
        </w:rPr>
        <w:t xml:space="preserve"> שעות שירות לתועלת הציבור, על פי תסקיר שירות המבחן השל"צ יבוצע במסגרת "מרכז קהילתי מגיד" בתפקידי אחזקה. </w:t>
      </w:r>
    </w:p>
    <w:p w14:paraId="314E63CA" w14:textId="77777777" w:rsidR="00B67CC4" w:rsidRDefault="00B67CC4" w:rsidP="00B67CC4">
      <w:pPr>
        <w:pStyle w:val="aa"/>
        <w:spacing w:before="120" w:after="120" w:line="360" w:lineRule="auto"/>
        <w:contextualSpacing w:val="0"/>
        <w:jc w:val="both"/>
        <w:rPr>
          <w:rFonts w:ascii="David" w:hAnsi="David" w:cs="David"/>
          <w:sz w:val="24"/>
          <w:szCs w:val="24"/>
        </w:rPr>
      </w:pPr>
      <w:r>
        <w:rPr>
          <w:rFonts w:cs="David"/>
          <w:sz w:val="24"/>
          <w:szCs w:val="24"/>
          <w:rtl/>
        </w:rPr>
        <w:t>בית המשפט הבהיר לנאשם חובת שיתוף הפעולה עם שירות המבחן, וכן הובהר לנאשם כי ככל ולא ישתף פעולה עם שירות המבחן, בית המשפט רשאי להפקיע את צו השל"צ ולדון את הנאשם מחדש במסגרת מתחם העונש ההולם.</w:t>
      </w:r>
    </w:p>
    <w:p w14:paraId="2757054A" w14:textId="77777777" w:rsidR="00B67CC4" w:rsidRDefault="00B67CC4" w:rsidP="00B67CC4">
      <w:pPr>
        <w:pStyle w:val="aa"/>
        <w:numPr>
          <w:ilvl w:val="0"/>
          <w:numId w:val="2"/>
        </w:numPr>
        <w:spacing w:before="120" w:after="120" w:line="360" w:lineRule="auto"/>
        <w:contextualSpacing w:val="0"/>
        <w:jc w:val="both"/>
        <w:rPr>
          <w:rFonts w:ascii="David" w:hAnsi="David" w:cs="David"/>
          <w:sz w:val="24"/>
          <w:szCs w:val="24"/>
          <w:rtl/>
        </w:rPr>
      </w:pPr>
      <w:r>
        <w:rPr>
          <w:rFonts w:ascii="David" w:hAnsi="David" w:cs="David"/>
          <w:sz w:val="24"/>
          <w:szCs w:val="24"/>
          <w:rtl/>
        </w:rPr>
        <w:t xml:space="preserve">התחייבות בסך </w:t>
      </w:r>
      <w:r>
        <w:rPr>
          <w:rFonts w:ascii="David" w:hAnsi="David" w:cs="David" w:hint="cs"/>
          <w:sz w:val="24"/>
          <w:szCs w:val="24"/>
          <w:rtl/>
        </w:rPr>
        <w:t>4,000</w:t>
      </w:r>
      <w:r>
        <w:rPr>
          <w:rFonts w:ascii="David" w:hAnsi="David" w:cs="David"/>
          <w:sz w:val="24"/>
          <w:szCs w:val="24"/>
          <w:rtl/>
        </w:rPr>
        <w:t xml:space="preserve"> ₪ שלא יעבור עבירה לפי </w:t>
      </w:r>
      <w:hyperlink r:id="rId48" w:history="1">
        <w:r w:rsidR="000F6C27" w:rsidRPr="000F6C27">
          <w:rPr>
            <w:rFonts w:ascii="David" w:hAnsi="David" w:cs="David"/>
            <w:color w:val="0000FF"/>
            <w:sz w:val="24"/>
            <w:szCs w:val="24"/>
            <w:u w:val="single"/>
            <w:rtl/>
          </w:rPr>
          <w:t>פקודת הסמים המסוכנים</w:t>
        </w:r>
      </w:hyperlink>
      <w:r>
        <w:rPr>
          <w:rFonts w:ascii="David" w:hAnsi="David" w:cs="David"/>
          <w:sz w:val="24"/>
          <w:szCs w:val="24"/>
          <w:rtl/>
        </w:rPr>
        <w:t xml:space="preserve"> וזאת לתקופה של שנה מהיום.</w:t>
      </w:r>
    </w:p>
    <w:p w14:paraId="5072B79B" w14:textId="77777777" w:rsidR="00B67CC4" w:rsidRDefault="00B67CC4" w:rsidP="00B67CC4">
      <w:pPr>
        <w:pStyle w:val="aa"/>
        <w:numPr>
          <w:ilvl w:val="0"/>
          <w:numId w:val="2"/>
        </w:numPr>
        <w:spacing w:before="120" w:after="120" w:line="360" w:lineRule="auto"/>
        <w:contextualSpacing w:val="0"/>
        <w:jc w:val="both"/>
        <w:rPr>
          <w:rFonts w:ascii="David" w:hAnsi="David" w:cs="David"/>
          <w:sz w:val="24"/>
          <w:szCs w:val="24"/>
        </w:rPr>
      </w:pPr>
      <w:r>
        <w:rPr>
          <w:rFonts w:ascii="David" w:hAnsi="David" w:cs="David" w:hint="cs"/>
          <w:sz w:val="24"/>
          <w:szCs w:val="24"/>
          <w:rtl/>
        </w:rPr>
        <w:t>3</w:t>
      </w:r>
      <w:r>
        <w:rPr>
          <w:rFonts w:ascii="David" w:hAnsi="David" w:cs="David"/>
          <w:sz w:val="24"/>
          <w:szCs w:val="24"/>
          <w:rtl/>
        </w:rPr>
        <w:t xml:space="preserve"> חודשי פסילה מלקבל או מלהחזיק רישיון נהיגה על תנאי שבמשך 3 שנים מהיום לא יעבור עבירה לפי </w:t>
      </w:r>
      <w:hyperlink r:id="rId49" w:history="1">
        <w:r w:rsidR="000F6C27" w:rsidRPr="000F6C27">
          <w:rPr>
            <w:rFonts w:ascii="David" w:hAnsi="David" w:cs="David"/>
            <w:color w:val="0000FF"/>
            <w:sz w:val="24"/>
            <w:szCs w:val="24"/>
            <w:u w:val="single"/>
            <w:rtl/>
          </w:rPr>
          <w:t>פקודת הסמים המסוכנים</w:t>
        </w:r>
      </w:hyperlink>
      <w:r>
        <w:rPr>
          <w:rFonts w:ascii="David" w:hAnsi="David" w:cs="David"/>
          <w:sz w:val="24"/>
          <w:szCs w:val="24"/>
          <w:rtl/>
        </w:rPr>
        <w:t xml:space="preserve"> או נהיגה תחת השפעת סמים.  </w:t>
      </w:r>
    </w:p>
    <w:p w14:paraId="5BFA9956" w14:textId="77777777" w:rsidR="00B67CC4" w:rsidRDefault="00B67CC4" w:rsidP="00B67CC4">
      <w:pPr>
        <w:pStyle w:val="aa"/>
        <w:spacing w:before="120" w:after="120" w:line="360" w:lineRule="auto"/>
        <w:ind w:hanging="360"/>
        <w:contextualSpacing w:val="0"/>
        <w:jc w:val="both"/>
        <w:rPr>
          <w:rFonts w:ascii="David" w:hAnsi="David" w:cs="David"/>
          <w:sz w:val="24"/>
          <w:szCs w:val="24"/>
        </w:rPr>
      </w:pPr>
      <w:r>
        <w:rPr>
          <w:rFonts w:ascii="David" w:hAnsi="David" w:cs="David"/>
          <w:sz w:val="24"/>
          <w:szCs w:val="24"/>
          <w:rtl/>
        </w:rPr>
        <w:t>ניתן צו להשמדת הסמים.</w:t>
      </w:r>
    </w:p>
    <w:p w14:paraId="37D964E4" w14:textId="77777777" w:rsidR="00B67CC4" w:rsidRDefault="00B67CC4" w:rsidP="00B67CC4">
      <w:pPr>
        <w:spacing w:before="120" w:after="120" w:line="360" w:lineRule="auto"/>
        <w:ind w:left="720" w:hanging="360"/>
        <w:jc w:val="both"/>
        <w:rPr>
          <w:rFonts w:ascii="David" w:hAnsi="David"/>
          <w:b/>
          <w:bCs/>
        </w:rPr>
      </w:pPr>
      <w:r>
        <w:rPr>
          <w:rFonts w:ascii="David" w:hAnsi="David"/>
          <w:b/>
          <w:bCs/>
          <w:rtl/>
        </w:rPr>
        <w:t>זכות ערעור תוך 45 יום לבית המשפט המחוזי בבאר שבע.</w:t>
      </w:r>
    </w:p>
    <w:p w14:paraId="2A0040D7" w14:textId="77777777" w:rsidR="00B67CC4" w:rsidRDefault="00B67CC4" w:rsidP="00B67CC4">
      <w:pPr>
        <w:spacing w:before="120" w:after="120" w:line="360" w:lineRule="auto"/>
        <w:ind w:left="720" w:hanging="360"/>
        <w:jc w:val="both"/>
        <w:rPr>
          <w:rFonts w:ascii="David" w:hAnsi="David"/>
          <w:b/>
          <w:bCs/>
          <w:u w:val="single"/>
          <w:rtl/>
        </w:rPr>
      </w:pPr>
      <w:r>
        <w:rPr>
          <w:rFonts w:ascii="David" w:hAnsi="David"/>
          <w:b/>
          <w:bCs/>
          <w:u w:val="single"/>
          <w:rtl/>
        </w:rPr>
        <w:t>המזכירות תעביר העתק פסק הדין לשירות המבחן.</w:t>
      </w:r>
    </w:p>
    <w:p w14:paraId="66C452EB" w14:textId="77777777" w:rsidR="00B67CC4" w:rsidRPr="000F6C27" w:rsidRDefault="000F6C27" w:rsidP="00B67CC4">
      <w:pPr>
        <w:rPr>
          <w:rFonts w:ascii="Arial" w:hAnsi="Arial"/>
          <w:b/>
          <w:bCs/>
          <w:color w:val="FFFFFF"/>
          <w:sz w:val="2"/>
          <w:szCs w:val="2"/>
          <w:rtl/>
        </w:rPr>
      </w:pPr>
      <w:r w:rsidRPr="000F6C27">
        <w:rPr>
          <w:rFonts w:ascii="Arial" w:hAnsi="Arial"/>
          <w:b/>
          <w:bCs/>
          <w:color w:val="FFFFFF"/>
          <w:sz w:val="2"/>
          <w:szCs w:val="2"/>
          <w:rtl/>
        </w:rPr>
        <w:t>5129371</w:t>
      </w:r>
    </w:p>
    <w:p w14:paraId="14ADE0E8" w14:textId="77777777" w:rsidR="00B67CC4" w:rsidRPr="000F6C27" w:rsidRDefault="000F6C27" w:rsidP="00B67CC4">
      <w:pPr>
        <w:rPr>
          <w:rFonts w:ascii="Arial" w:hAnsi="Arial"/>
          <w:b/>
          <w:bCs/>
          <w:color w:val="FFFFFF"/>
          <w:sz w:val="2"/>
          <w:szCs w:val="2"/>
          <w:rtl/>
        </w:rPr>
      </w:pPr>
      <w:r w:rsidRPr="000F6C27">
        <w:rPr>
          <w:rFonts w:ascii="Arial" w:hAnsi="Arial"/>
          <w:b/>
          <w:bCs/>
          <w:color w:val="FFFFFF"/>
          <w:sz w:val="2"/>
          <w:szCs w:val="2"/>
          <w:rtl/>
        </w:rPr>
        <w:t>54678313</w:t>
      </w:r>
    </w:p>
    <w:p w14:paraId="6D99EE75" w14:textId="77777777" w:rsidR="00B67CC4" w:rsidRDefault="000F6C27" w:rsidP="00B67CC4">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כ"ד חשוון תשפ"ה, 25 נובמבר 2024, בהעדר הצדדים. </w:t>
      </w:r>
      <w:bookmarkEnd w:id="8"/>
    </w:p>
    <w:p w14:paraId="455DF7F6" w14:textId="77777777" w:rsidR="00B67CC4" w:rsidRPr="000F2247" w:rsidRDefault="00B67CC4" w:rsidP="00B67CC4">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40FE8324" w14:textId="77777777" w:rsidR="000F6C27" w:rsidRDefault="00B67CC4" w:rsidP="000F6C27">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EF9CFB2" w14:textId="77777777" w:rsidR="000F6C27" w:rsidRDefault="000F6C27" w:rsidP="000F6C27">
      <w:pPr>
        <w:rPr>
          <w:rtl/>
        </w:rPr>
      </w:pPr>
    </w:p>
    <w:p w14:paraId="50A1D4C7" w14:textId="77777777" w:rsidR="000F6C27" w:rsidRDefault="000F6C27" w:rsidP="000F6C27">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p w14:paraId="6B6CAC88" w14:textId="77777777" w:rsidR="00824125" w:rsidRPr="00824125" w:rsidRDefault="00824125" w:rsidP="00824125">
      <w:pPr>
        <w:keepNext/>
        <w:rPr>
          <w:rFonts w:ascii="David" w:hAnsi="David" w:hint="cs"/>
          <w:color w:val="000000"/>
          <w:sz w:val="22"/>
          <w:szCs w:val="22"/>
          <w:rtl/>
        </w:rPr>
      </w:pPr>
    </w:p>
    <w:p w14:paraId="4323E03B" w14:textId="77777777" w:rsidR="00824125" w:rsidRPr="00824125" w:rsidRDefault="00824125" w:rsidP="00824125">
      <w:pPr>
        <w:keepNext/>
        <w:rPr>
          <w:rFonts w:ascii="David" w:hAnsi="David"/>
          <w:color w:val="000000"/>
          <w:sz w:val="22"/>
          <w:szCs w:val="22"/>
          <w:rtl/>
        </w:rPr>
      </w:pPr>
      <w:r w:rsidRPr="00824125">
        <w:rPr>
          <w:rFonts w:ascii="David" w:hAnsi="David"/>
          <w:color w:val="000000"/>
          <w:sz w:val="22"/>
          <w:szCs w:val="22"/>
          <w:rtl/>
        </w:rPr>
        <w:t>אורית קרץ 54678313-/</w:t>
      </w:r>
    </w:p>
    <w:p w14:paraId="525E16F7" w14:textId="77777777" w:rsidR="000F6C27" w:rsidRPr="000F6C27" w:rsidRDefault="00824125" w:rsidP="00824125">
      <w:pPr>
        <w:rPr>
          <w:rFonts w:hint="cs"/>
          <w:color w:val="0000FF"/>
          <w:u w:val="single"/>
        </w:rPr>
      </w:pPr>
      <w:r w:rsidRPr="00824125">
        <w:rPr>
          <w:color w:val="000000"/>
          <w:u w:val="single"/>
          <w:rtl/>
        </w:rPr>
        <w:t>נוסח מסמך זה כפוף לשינויי ניסוח ועריכה</w:t>
      </w:r>
    </w:p>
    <w:sectPr w:rsidR="000F6C27" w:rsidRPr="000F6C27" w:rsidSect="00824125">
      <w:headerReference w:type="even" r:id="rId51"/>
      <w:headerReference w:type="default" r:id="rId52"/>
      <w:footerReference w:type="even" r:id="rId53"/>
      <w:footerReference w:type="default" r:id="rId5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283DC8" w14:textId="77777777" w:rsidR="00F92747" w:rsidRDefault="00F92747" w:rsidP="001A7F34">
      <w:r>
        <w:separator/>
      </w:r>
    </w:p>
  </w:endnote>
  <w:endnote w:type="continuationSeparator" w:id="0">
    <w:p w14:paraId="23045490" w14:textId="77777777" w:rsidR="00F92747" w:rsidRDefault="00F92747" w:rsidP="001A7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24EA7" w14:textId="77777777" w:rsidR="00824125" w:rsidRDefault="00824125" w:rsidP="0082412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B8024D3" w14:textId="77777777" w:rsidR="00646D86" w:rsidRPr="00824125" w:rsidRDefault="00824125" w:rsidP="00824125">
    <w:pPr>
      <w:pStyle w:val="a5"/>
      <w:pBdr>
        <w:top w:val="single" w:sz="4" w:space="1" w:color="auto"/>
        <w:between w:val="single" w:sz="4" w:space="0" w:color="auto"/>
      </w:pBdr>
      <w:spacing w:after="60"/>
      <w:jc w:val="center"/>
      <w:rPr>
        <w:rFonts w:ascii="FrankRuehl" w:hAnsi="FrankRuehl" w:cs="FrankRuehl"/>
        <w:color w:val="000000"/>
      </w:rPr>
    </w:pPr>
    <w:r w:rsidRPr="0082412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1B4BF" w14:textId="77777777" w:rsidR="00824125" w:rsidRDefault="00824125" w:rsidP="0082412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234E7">
      <w:rPr>
        <w:rFonts w:ascii="FrankRuehl" w:hAnsi="FrankRuehl" w:cs="FrankRuehl"/>
        <w:noProof/>
        <w:rtl/>
      </w:rPr>
      <w:t>1</w:t>
    </w:r>
    <w:r>
      <w:rPr>
        <w:rFonts w:ascii="FrankRuehl" w:hAnsi="FrankRuehl" w:cs="FrankRuehl"/>
        <w:rtl/>
      </w:rPr>
      <w:fldChar w:fldCharType="end"/>
    </w:r>
  </w:p>
  <w:p w14:paraId="450FEC49" w14:textId="77777777" w:rsidR="00646D86" w:rsidRPr="00824125" w:rsidRDefault="00824125" w:rsidP="00824125">
    <w:pPr>
      <w:pStyle w:val="a5"/>
      <w:pBdr>
        <w:top w:val="single" w:sz="4" w:space="1" w:color="auto"/>
        <w:between w:val="single" w:sz="4" w:space="0" w:color="auto"/>
      </w:pBdr>
      <w:spacing w:after="60"/>
      <w:jc w:val="center"/>
      <w:rPr>
        <w:rFonts w:ascii="FrankRuehl" w:hAnsi="FrankRuehl" w:cs="FrankRuehl"/>
        <w:color w:val="000000"/>
      </w:rPr>
    </w:pPr>
    <w:r w:rsidRPr="00824125">
      <w:rPr>
        <w:rFonts w:ascii="FrankRuehl" w:hAnsi="FrankRuehl" w:cs="FrankRuehl"/>
        <w:color w:val="000000"/>
      </w:rPr>
      <w:pict w14:anchorId="3A0AD6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923A86" w14:textId="77777777" w:rsidR="00F92747" w:rsidRDefault="00F92747" w:rsidP="001A7F34">
      <w:r>
        <w:separator/>
      </w:r>
    </w:p>
  </w:footnote>
  <w:footnote w:type="continuationSeparator" w:id="0">
    <w:p w14:paraId="0B9662D7" w14:textId="77777777" w:rsidR="00F92747" w:rsidRDefault="00F92747" w:rsidP="001A7F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6EEFF" w14:textId="77777777" w:rsidR="000F6C27" w:rsidRPr="00824125" w:rsidRDefault="00824125" w:rsidP="0082412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4878-05-23</w:t>
    </w:r>
    <w:r>
      <w:rPr>
        <w:rFonts w:ascii="David" w:hAnsi="David"/>
        <w:color w:val="000000"/>
        <w:sz w:val="22"/>
        <w:szCs w:val="22"/>
        <w:rtl/>
      </w:rPr>
      <w:tab/>
      <w:t xml:space="preserve"> מדינת ישראל נ' עדי חמי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7A3DC" w14:textId="77777777" w:rsidR="000F6C27" w:rsidRPr="00824125" w:rsidRDefault="00824125" w:rsidP="0082412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4878-05-23</w:t>
    </w:r>
    <w:r>
      <w:rPr>
        <w:rFonts w:ascii="David" w:hAnsi="David"/>
        <w:color w:val="000000"/>
        <w:sz w:val="22"/>
        <w:szCs w:val="22"/>
        <w:rtl/>
      </w:rPr>
      <w:tab/>
      <w:t xml:space="preserve"> מדינת ישראל נ' עדי חמי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A07A0"/>
    <w:multiLevelType w:val="hybridMultilevel"/>
    <w:tmpl w:val="F6F0E030"/>
    <w:lvl w:ilvl="0" w:tplc="74EC193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61B67B0"/>
    <w:multiLevelType w:val="hybridMultilevel"/>
    <w:tmpl w:val="E2C8A772"/>
    <w:lvl w:ilvl="0" w:tplc="68829CC8">
      <w:start w:val="1"/>
      <w:numFmt w:val="decimal"/>
      <w:lvlText w:val="%1."/>
      <w:lvlJc w:val="left"/>
      <w:pPr>
        <w:ind w:left="720" w:hanging="360"/>
      </w:pPr>
      <w:rPr>
        <w:rFonts w:ascii="David" w:hAnsi="David" w:cs="David" w:hint="default"/>
        <w:b w:val="0"/>
        <w:bCs w:val="0"/>
        <w:color w:val="auto"/>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036530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849901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67CC4"/>
    <w:rsid w:val="000F6C27"/>
    <w:rsid w:val="0018641C"/>
    <w:rsid w:val="001A7F34"/>
    <w:rsid w:val="003234E7"/>
    <w:rsid w:val="00646D86"/>
    <w:rsid w:val="00676B76"/>
    <w:rsid w:val="00824125"/>
    <w:rsid w:val="00921A71"/>
    <w:rsid w:val="00B67CC4"/>
    <w:rsid w:val="00F927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338E3E5"/>
  <w15:chartTrackingRefBased/>
  <w15:docId w15:val="{E8545ACF-6FC3-4A40-A799-979312366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67CC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67CC4"/>
    <w:pPr>
      <w:tabs>
        <w:tab w:val="center" w:pos="4153"/>
        <w:tab w:val="right" w:pos="8306"/>
      </w:tabs>
    </w:pPr>
  </w:style>
  <w:style w:type="character" w:customStyle="1" w:styleId="a4">
    <w:name w:val="כותרת עליונה תו"/>
    <w:link w:val="a3"/>
    <w:rsid w:val="00B67CC4"/>
    <w:rPr>
      <w:rFonts w:ascii="Times New Roman" w:eastAsia="Times New Roman" w:hAnsi="Times New Roman" w:cs="David"/>
      <w:sz w:val="24"/>
      <w:szCs w:val="24"/>
    </w:rPr>
  </w:style>
  <w:style w:type="paragraph" w:styleId="a5">
    <w:name w:val="footer"/>
    <w:basedOn w:val="a"/>
    <w:link w:val="a6"/>
    <w:rsid w:val="00B67CC4"/>
    <w:pPr>
      <w:tabs>
        <w:tab w:val="center" w:pos="4153"/>
        <w:tab w:val="right" w:pos="8306"/>
      </w:tabs>
    </w:pPr>
  </w:style>
  <w:style w:type="character" w:customStyle="1" w:styleId="a6">
    <w:name w:val="כותרת תחתונה תו"/>
    <w:link w:val="a5"/>
    <w:rsid w:val="00B67CC4"/>
    <w:rPr>
      <w:rFonts w:ascii="Times New Roman" w:eastAsia="Times New Roman" w:hAnsi="Times New Roman" w:cs="David"/>
      <w:sz w:val="24"/>
      <w:szCs w:val="24"/>
    </w:rPr>
  </w:style>
  <w:style w:type="table" w:styleId="a7">
    <w:name w:val="Table Grid"/>
    <w:basedOn w:val="a1"/>
    <w:rsid w:val="00B67CC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67CC4"/>
  </w:style>
  <w:style w:type="character" w:customStyle="1" w:styleId="a9">
    <w:name w:val="פיסקת רשימה תו"/>
    <w:link w:val="aa"/>
    <w:locked/>
    <w:rsid w:val="00B67CC4"/>
  </w:style>
  <w:style w:type="paragraph" w:styleId="aa">
    <w:name w:val="List Paragraph"/>
    <w:basedOn w:val="a"/>
    <w:link w:val="a9"/>
    <w:qFormat/>
    <w:rsid w:val="00B67CC4"/>
    <w:pPr>
      <w:spacing w:after="160" w:line="256" w:lineRule="auto"/>
      <w:ind w:left="720"/>
      <w:contextualSpacing/>
    </w:pPr>
    <w:rPr>
      <w:rFonts w:ascii="Calibri" w:eastAsia="Calibri" w:hAnsi="Calibri" w:cs="Arial"/>
      <w:sz w:val="22"/>
      <w:szCs w:val="22"/>
    </w:rPr>
  </w:style>
  <w:style w:type="character" w:styleId="Hyperlink">
    <w:name w:val="Hyperlink"/>
    <w:rsid w:val="000F6C2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71"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7195223" TargetMode="External"/><Relationship Id="rId39" Type="http://schemas.openxmlformats.org/officeDocument/2006/relationships/hyperlink" Target="http://www.nevo.co.il/case/7688113" TargetMode="External"/><Relationship Id="rId21" Type="http://schemas.openxmlformats.org/officeDocument/2006/relationships/hyperlink" Target="http://www.nevo.co.il/law/70301/40c.b" TargetMode="External"/><Relationship Id="rId34" Type="http://schemas.openxmlformats.org/officeDocument/2006/relationships/hyperlink" Target="http://www.nevo.co.il/law/74903" TargetMode="External"/><Relationship Id="rId42" Type="http://schemas.openxmlformats.org/officeDocument/2006/relationships/hyperlink" Target="http://www.nevo.co.il/case/28200101" TargetMode="External"/><Relationship Id="rId47" Type="http://schemas.openxmlformats.org/officeDocument/2006/relationships/hyperlink" Target="http://www.nevo.co.il/case/13104267"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4903/192a" TargetMode="External"/><Relationship Id="rId29" Type="http://schemas.openxmlformats.org/officeDocument/2006/relationships/hyperlink" Target="http://www.nevo.co.il/law/74903/182" TargetMode="External"/><Relationship Id="rId11" Type="http://schemas.openxmlformats.org/officeDocument/2006/relationships/hyperlink" Target="http://www.nevo.co.il/law/70301/40b" TargetMode="External"/><Relationship Id="rId24" Type="http://schemas.openxmlformats.org/officeDocument/2006/relationships/hyperlink" Target="http://www.nevo.co.il/case/29493110"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5810781" TargetMode="External"/><Relationship Id="rId40" Type="http://schemas.openxmlformats.org/officeDocument/2006/relationships/hyperlink" Target="http://www.nevo.co.il/case/11269559" TargetMode="External"/><Relationship Id="rId45" Type="http://schemas.openxmlformats.org/officeDocument/2006/relationships/hyperlink" Target="http://www.nevo.co.il/case/5175431"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70301" TargetMode="External"/><Relationship Id="rId19" Type="http://schemas.openxmlformats.org/officeDocument/2006/relationships/hyperlink" Target="http://www.nevo.co.il/law/70301/40b" TargetMode="External"/><Relationship Id="rId31" Type="http://schemas.openxmlformats.org/officeDocument/2006/relationships/hyperlink" Target="http://www.nevo.co.il/law/70301/71" TargetMode="External"/><Relationship Id="rId44" Type="http://schemas.openxmlformats.org/officeDocument/2006/relationships/hyperlink" Target="http://www.nevo.co.il/case/22582473"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4903"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8278474" TargetMode="External"/><Relationship Id="rId30" Type="http://schemas.openxmlformats.org/officeDocument/2006/relationships/hyperlink" Target="http://www.nevo.co.il/law/74903" TargetMode="External"/><Relationship Id="rId35" Type="http://schemas.openxmlformats.org/officeDocument/2006/relationships/hyperlink" Target="http://www.nevo.co.il/case/17943750" TargetMode="External"/><Relationship Id="rId43" Type="http://schemas.openxmlformats.org/officeDocument/2006/relationships/hyperlink" Target="http://www.nevo.co.il/case/26006493" TargetMode="External"/><Relationship Id="rId48" Type="http://schemas.openxmlformats.org/officeDocument/2006/relationships/hyperlink" Target="http://www.nevo.co.il/law/4216" TargetMode="External"/><Relationship Id="rId56" Type="http://schemas.openxmlformats.org/officeDocument/2006/relationships/theme" Target="theme/theme1.xml"/><Relationship Id="rId8" Type="http://schemas.openxmlformats.org/officeDocument/2006/relationships/hyperlink" Target="http://www.nevo.co.il/law/4216/7.a."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40c.b"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26347296" TargetMode="External"/><Relationship Id="rId33" Type="http://schemas.openxmlformats.org/officeDocument/2006/relationships/hyperlink" Target="http://www.nevo.co.il/law/74903/192a" TargetMode="External"/><Relationship Id="rId38" Type="http://schemas.openxmlformats.org/officeDocument/2006/relationships/hyperlink" Target="http://www.nevo.co.il/case/6248029" TargetMode="External"/><Relationship Id="rId46" Type="http://schemas.openxmlformats.org/officeDocument/2006/relationships/hyperlink" Target="http://www.nevo.co.il/case/4151601"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5738608"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903/182" TargetMode="External"/><Relationship Id="rId23" Type="http://schemas.openxmlformats.org/officeDocument/2006/relationships/hyperlink" Target="http://www.nevo.co.il/law/4216" TargetMode="External"/><Relationship Id="rId28" Type="http://schemas.openxmlformats.org/officeDocument/2006/relationships/hyperlink" Target="http://www.nevo.co.il/case/28159723" TargetMode="External"/><Relationship Id="rId36" Type="http://schemas.openxmlformats.org/officeDocument/2006/relationships/hyperlink" Target="http://www.nevo.co.il/case/6161385" TargetMode="External"/><Relationship Id="rId49"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3257</Words>
  <Characters>16289</Characters>
  <Application>Microsoft Office Word</Application>
  <DocSecurity>0</DocSecurity>
  <Lines>135</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19507</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8257637</vt:i4>
      </vt:variant>
      <vt:variant>
        <vt:i4>126</vt:i4>
      </vt:variant>
      <vt:variant>
        <vt:i4>0</vt:i4>
      </vt:variant>
      <vt:variant>
        <vt:i4>5</vt:i4>
      </vt:variant>
      <vt:variant>
        <vt:lpwstr>http://www.nevo.co.il/law/4216</vt:lpwstr>
      </vt:variant>
      <vt:variant>
        <vt:lpwstr/>
      </vt:variant>
      <vt:variant>
        <vt:i4>8257637</vt:i4>
      </vt:variant>
      <vt:variant>
        <vt:i4>123</vt:i4>
      </vt:variant>
      <vt:variant>
        <vt:i4>0</vt:i4>
      </vt:variant>
      <vt:variant>
        <vt:i4>5</vt:i4>
      </vt:variant>
      <vt:variant>
        <vt:lpwstr>http://www.nevo.co.il/law/4216</vt:lpwstr>
      </vt:variant>
      <vt:variant>
        <vt:lpwstr/>
      </vt:variant>
      <vt:variant>
        <vt:i4>3276917</vt:i4>
      </vt:variant>
      <vt:variant>
        <vt:i4>120</vt:i4>
      </vt:variant>
      <vt:variant>
        <vt:i4>0</vt:i4>
      </vt:variant>
      <vt:variant>
        <vt:i4>5</vt:i4>
      </vt:variant>
      <vt:variant>
        <vt:lpwstr>http://www.nevo.co.il/case/13104267</vt:lpwstr>
      </vt:variant>
      <vt:variant>
        <vt:lpwstr/>
      </vt:variant>
      <vt:variant>
        <vt:i4>3539060</vt:i4>
      </vt:variant>
      <vt:variant>
        <vt:i4>117</vt:i4>
      </vt:variant>
      <vt:variant>
        <vt:i4>0</vt:i4>
      </vt:variant>
      <vt:variant>
        <vt:i4>5</vt:i4>
      </vt:variant>
      <vt:variant>
        <vt:lpwstr>http://www.nevo.co.il/case/4151601</vt:lpwstr>
      </vt:variant>
      <vt:variant>
        <vt:lpwstr/>
      </vt:variant>
      <vt:variant>
        <vt:i4>3604595</vt:i4>
      </vt:variant>
      <vt:variant>
        <vt:i4>114</vt:i4>
      </vt:variant>
      <vt:variant>
        <vt:i4>0</vt:i4>
      </vt:variant>
      <vt:variant>
        <vt:i4>5</vt:i4>
      </vt:variant>
      <vt:variant>
        <vt:lpwstr>http://www.nevo.co.il/case/5175431</vt:lpwstr>
      </vt:variant>
      <vt:variant>
        <vt:lpwstr/>
      </vt:variant>
      <vt:variant>
        <vt:i4>3276922</vt:i4>
      </vt:variant>
      <vt:variant>
        <vt:i4>111</vt:i4>
      </vt:variant>
      <vt:variant>
        <vt:i4>0</vt:i4>
      </vt:variant>
      <vt:variant>
        <vt:i4>5</vt:i4>
      </vt:variant>
      <vt:variant>
        <vt:lpwstr>http://www.nevo.co.il/case/22582473</vt:lpwstr>
      </vt:variant>
      <vt:variant>
        <vt:lpwstr/>
      </vt:variant>
      <vt:variant>
        <vt:i4>3997814</vt:i4>
      </vt:variant>
      <vt:variant>
        <vt:i4>108</vt:i4>
      </vt:variant>
      <vt:variant>
        <vt:i4>0</vt:i4>
      </vt:variant>
      <vt:variant>
        <vt:i4>5</vt:i4>
      </vt:variant>
      <vt:variant>
        <vt:lpwstr>http://www.nevo.co.il/case/26006493</vt:lpwstr>
      </vt:variant>
      <vt:variant>
        <vt:lpwstr/>
      </vt:variant>
      <vt:variant>
        <vt:i4>3145853</vt:i4>
      </vt:variant>
      <vt:variant>
        <vt:i4>105</vt:i4>
      </vt:variant>
      <vt:variant>
        <vt:i4>0</vt:i4>
      </vt:variant>
      <vt:variant>
        <vt:i4>5</vt:i4>
      </vt:variant>
      <vt:variant>
        <vt:lpwstr>http://www.nevo.co.il/case/28200101</vt:lpwstr>
      </vt:variant>
      <vt:variant>
        <vt:lpwstr/>
      </vt:variant>
      <vt:variant>
        <vt:i4>3670139</vt:i4>
      </vt:variant>
      <vt:variant>
        <vt:i4>102</vt:i4>
      </vt:variant>
      <vt:variant>
        <vt:i4>0</vt:i4>
      </vt:variant>
      <vt:variant>
        <vt:i4>5</vt:i4>
      </vt:variant>
      <vt:variant>
        <vt:lpwstr>http://www.nevo.co.il/case/5738608</vt:lpwstr>
      </vt:variant>
      <vt:variant>
        <vt:lpwstr/>
      </vt:variant>
      <vt:variant>
        <vt:i4>4128886</vt:i4>
      </vt:variant>
      <vt:variant>
        <vt:i4>99</vt:i4>
      </vt:variant>
      <vt:variant>
        <vt:i4>0</vt:i4>
      </vt:variant>
      <vt:variant>
        <vt:i4>5</vt:i4>
      </vt:variant>
      <vt:variant>
        <vt:lpwstr>http://www.nevo.co.il/case/11269559</vt:lpwstr>
      </vt:variant>
      <vt:variant>
        <vt:lpwstr/>
      </vt:variant>
      <vt:variant>
        <vt:i4>3997819</vt:i4>
      </vt:variant>
      <vt:variant>
        <vt:i4>96</vt:i4>
      </vt:variant>
      <vt:variant>
        <vt:i4>0</vt:i4>
      </vt:variant>
      <vt:variant>
        <vt:i4>5</vt:i4>
      </vt:variant>
      <vt:variant>
        <vt:lpwstr>http://www.nevo.co.il/case/7688113</vt:lpwstr>
      </vt:variant>
      <vt:variant>
        <vt:lpwstr/>
      </vt:variant>
      <vt:variant>
        <vt:i4>3866748</vt:i4>
      </vt:variant>
      <vt:variant>
        <vt:i4>93</vt:i4>
      </vt:variant>
      <vt:variant>
        <vt:i4>0</vt:i4>
      </vt:variant>
      <vt:variant>
        <vt:i4>5</vt:i4>
      </vt:variant>
      <vt:variant>
        <vt:lpwstr>http://www.nevo.co.il/case/6248029</vt:lpwstr>
      </vt:variant>
      <vt:variant>
        <vt:lpwstr/>
      </vt:variant>
      <vt:variant>
        <vt:i4>3276916</vt:i4>
      </vt:variant>
      <vt:variant>
        <vt:i4>90</vt:i4>
      </vt:variant>
      <vt:variant>
        <vt:i4>0</vt:i4>
      </vt:variant>
      <vt:variant>
        <vt:i4>5</vt:i4>
      </vt:variant>
      <vt:variant>
        <vt:lpwstr>http://www.nevo.co.il/case/5810781</vt:lpwstr>
      </vt:variant>
      <vt:variant>
        <vt:lpwstr/>
      </vt:variant>
      <vt:variant>
        <vt:i4>3539068</vt:i4>
      </vt:variant>
      <vt:variant>
        <vt:i4>87</vt:i4>
      </vt:variant>
      <vt:variant>
        <vt:i4>0</vt:i4>
      </vt:variant>
      <vt:variant>
        <vt:i4>5</vt:i4>
      </vt:variant>
      <vt:variant>
        <vt:lpwstr>http://www.nevo.co.il/case/6161385</vt:lpwstr>
      </vt:variant>
      <vt:variant>
        <vt:lpwstr/>
      </vt:variant>
      <vt:variant>
        <vt:i4>4063344</vt:i4>
      </vt:variant>
      <vt:variant>
        <vt:i4>84</vt:i4>
      </vt:variant>
      <vt:variant>
        <vt:i4>0</vt:i4>
      </vt:variant>
      <vt:variant>
        <vt:i4>5</vt:i4>
      </vt:variant>
      <vt:variant>
        <vt:lpwstr>http://www.nevo.co.il/case/17943750</vt:lpwstr>
      </vt:variant>
      <vt:variant>
        <vt:lpwstr/>
      </vt:variant>
      <vt:variant>
        <vt:i4>8257646</vt:i4>
      </vt:variant>
      <vt:variant>
        <vt:i4>81</vt:i4>
      </vt:variant>
      <vt:variant>
        <vt:i4>0</vt:i4>
      </vt:variant>
      <vt:variant>
        <vt:i4>5</vt:i4>
      </vt:variant>
      <vt:variant>
        <vt:lpwstr>http://www.nevo.co.il/law/74903</vt:lpwstr>
      </vt:variant>
      <vt:variant>
        <vt:lpwstr/>
      </vt:variant>
      <vt:variant>
        <vt:i4>589918</vt:i4>
      </vt:variant>
      <vt:variant>
        <vt:i4>78</vt:i4>
      </vt:variant>
      <vt:variant>
        <vt:i4>0</vt:i4>
      </vt:variant>
      <vt:variant>
        <vt:i4>5</vt:i4>
      </vt:variant>
      <vt:variant>
        <vt:lpwstr>http://www.nevo.co.il/law/74903/192a</vt:lpwstr>
      </vt:variant>
      <vt:variant>
        <vt:lpwstr/>
      </vt:variant>
      <vt:variant>
        <vt:i4>7995492</vt:i4>
      </vt:variant>
      <vt:variant>
        <vt:i4>75</vt:i4>
      </vt:variant>
      <vt:variant>
        <vt:i4>0</vt:i4>
      </vt:variant>
      <vt:variant>
        <vt:i4>5</vt:i4>
      </vt:variant>
      <vt:variant>
        <vt:lpwstr>http://www.nevo.co.il/law/70301</vt:lpwstr>
      </vt:variant>
      <vt:variant>
        <vt:lpwstr/>
      </vt:variant>
      <vt:variant>
        <vt:i4>6553698</vt:i4>
      </vt:variant>
      <vt:variant>
        <vt:i4>72</vt:i4>
      </vt:variant>
      <vt:variant>
        <vt:i4>0</vt:i4>
      </vt:variant>
      <vt:variant>
        <vt:i4>5</vt:i4>
      </vt:variant>
      <vt:variant>
        <vt:lpwstr>http://www.nevo.co.il/law/70301/71</vt:lpwstr>
      </vt:variant>
      <vt:variant>
        <vt:lpwstr/>
      </vt:variant>
      <vt:variant>
        <vt:i4>8257646</vt:i4>
      </vt:variant>
      <vt:variant>
        <vt:i4>69</vt:i4>
      </vt:variant>
      <vt:variant>
        <vt:i4>0</vt:i4>
      </vt:variant>
      <vt:variant>
        <vt:i4>5</vt:i4>
      </vt:variant>
      <vt:variant>
        <vt:lpwstr>http://www.nevo.co.il/law/74903</vt:lpwstr>
      </vt:variant>
      <vt:variant>
        <vt:lpwstr/>
      </vt:variant>
      <vt:variant>
        <vt:i4>6881388</vt:i4>
      </vt:variant>
      <vt:variant>
        <vt:i4>66</vt:i4>
      </vt:variant>
      <vt:variant>
        <vt:i4>0</vt:i4>
      </vt:variant>
      <vt:variant>
        <vt:i4>5</vt:i4>
      </vt:variant>
      <vt:variant>
        <vt:lpwstr>http://www.nevo.co.il/law/74903/182</vt:lpwstr>
      </vt:variant>
      <vt:variant>
        <vt:lpwstr/>
      </vt:variant>
      <vt:variant>
        <vt:i4>3670142</vt:i4>
      </vt:variant>
      <vt:variant>
        <vt:i4>63</vt:i4>
      </vt:variant>
      <vt:variant>
        <vt:i4>0</vt:i4>
      </vt:variant>
      <vt:variant>
        <vt:i4>5</vt:i4>
      </vt:variant>
      <vt:variant>
        <vt:lpwstr>http://www.nevo.co.il/case/28159723</vt:lpwstr>
      </vt:variant>
      <vt:variant>
        <vt:lpwstr/>
      </vt:variant>
      <vt:variant>
        <vt:i4>4128889</vt:i4>
      </vt:variant>
      <vt:variant>
        <vt:i4>60</vt:i4>
      </vt:variant>
      <vt:variant>
        <vt:i4>0</vt:i4>
      </vt:variant>
      <vt:variant>
        <vt:i4>5</vt:i4>
      </vt:variant>
      <vt:variant>
        <vt:lpwstr>http://www.nevo.co.il/case/8278474</vt:lpwstr>
      </vt:variant>
      <vt:variant>
        <vt:lpwstr/>
      </vt:variant>
      <vt:variant>
        <vt:i4>3407992</vt:i4>
      </vt:variant>
      <vt:variant>
        <vt:i4>57</vt:i4>
      </vt:variant>
      <vt:variant>
        <vt:i4>0</vt:i4>
      </vt:variant>
      <vt:variant>
        <vt:i4>5</vt:i4>
      </vt:variant>
      <vt:variant>
        <vt:lpwstr>http://www.nevo.co.il/case/27195223</vt:lpwstr>
      </vt:variant>
      <vt:variant>
        <vt:lpwstr/>
      </vt:variant>
      <vt:variant>
        <vt:i4>4128884</vt:i4>
      </vt:variant>
      <vt:variant>
        <vt:i4>54</vt:i4>
      </vt:variant>
      <vt:variant>
        <vt:i4>0</vt:i4>
      </vt:variant>
      <vt:variant>
        <vt:i4>5</vt:i4>
      </vt:variant>
      <vt:variant>
        <vt:lpwstr>http://www.nevo.co.il/case/26347296</vt:lpwstr>
      </vt:variant>
      <vt:variant>
        <vt:lpwstr/>
      </vt:variant>
      <vt:variant>
        <vt:i4>3407989</vt:i4>
      </vt:variant>
      <vt:variant>
        <vt:i4>51</vt:i4>
      </vt:variant>
      <vt:variant>
        <vt:i4>0</vt:i4>
      </vt:variant>
      <vt:variant>
        <vt:i4>5</vt:i4>
      </vt:variant>
      <vt:variant>
        <vt:lpwstr>http://www.nevo.co.il/case/29493110</vt:lpwstr>
      </vt:variant>
      <vt:variant>
        <vt:lpwstr/>
      </vt:variant>
      <vt:variant>
        <vt:i4>8257637</vt:i4>
      </vt:variant>
      <vt:variant>
        <vt:i4>48</vt:i4>
      </vt:variant>
      <vt:variant>
        <vt:i4>0</vt:i4>
      </vt:variant>
      <vt:variant>
        <vt:i4>5</vt:i4>
      </vt:variant>
      <vt:variant>
        <vt:lpwstr>http://www.nevo.co.il/law/4216</vt:lpwstr>
      </vt:variant>
      <vt:variant>
        <vt:lpwstr/>
      </vt:variant>
      <vt:variant>
        <vt:i4>7995492</vt:i4>
      </vt:variant>
      <vt:variant>
        <vt:i4>45</vt:i4>
      </vt:variant>
      <vt:variant>
        <vt:i4>0</vt:i4>
      </vt:variant>
      <vt:variant>
        <vt:i4>5</vt:i4>
      </vt:variant>
      <vt:variant>
        <vt:lpwstr>http://www.nevo.co.il/law/70301</vt:lpwstr>
      </vt:variant>
      <vt:variant>
        <vt:lpwstr/>
      </vt:variant>
      <vt:variant>
        <vt:i4>4915202</vt:i4>
      </vt:variant>
      <vt:variant>
        <vt:i4>42</vt:i4>
      </vt:variant>
      <vt:variant>
        <vt:i4>0</vt:i4>
      </vt:variant>
      <vt:variant>
        <vt:i4>5</vt:i4>
      </vt:variant>
      <vt:variant>
        <vt:lpwstr>http://www.nevo.co.il/law/70301/40c.b</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http://www.nevo.co.il/law/70301/40b</vt:lpwstr>
      </vt:variant>
      <vt:variant>
        <vt:lpwstr/>
      </vt:variant>
      <vt:variant>
        <vt:i4>8257637</vt:i4>
      </vt:variant>
      <vt:variant>
        <vt:i4>33</vt:i4>
      </vt:variant>
      <vt:variant>
        <vt:i4>0</vt:i4>
      </vt:variant>
      <vt:variant>
        <vt:i4>5</vt:i4>
      </vt:variant>
      <vt:variant>
        <vt:lpwstr>http://www.nevo.co.il/law/4216</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589918</vt:i4>
      </vt:variant>
      <vt:variant>
        <vt:i4>27</vt:i4>
      </vt:variant>
      <vt:variant>
        <vt:i4>0</vt:i4>
      </vt:variant>
      <vt:variant>
        <vt:i4>5</vt:i4>
      </vt:variant>
      <vt:variant>
        <vt:lpwstr>http://www.nevo.co.il/law/74903/192a</vt:lpwstr>
      </vt:variant>
      <vt:variant>
        <vt:lpwstr/>
      </vt:variant>
      <vt:variant>
        <vt:i4>6881388</vt:i4>
      </vt:variant>
      <vt:variant>
        <vt:i4>24</vt:i4>
      </vt:variant>
      <vt:variant>
        <vt:i4>0</vt:i4>
      </vt:variant>
      <vt:variant>
        <vt:i4>5</vt:i4>
      </vt:variant>
      <vt:variant>
        <vt:lpwstr>http://www.nevo.co.il/law/74903/182</vt:lpwstr>
      </vt:variant>
      <vt:variant>
        <vt:lpwstr/>
      </vt:variant>
      <vt:variant>
        <vt:i4>8257646</vt:i4>
      </vt:variant>
      <vt:variant>
        <vt:i4>21</vt:i4>
      </vt:variant>
      <vt:variant>
        <vt:i4>0</vt:i4>
      </vt:variant>
      <vt:variant>
        <vt:i4>5</vt:i4>
      </vt:variant>
      <vt:variant>
        <vt:lpwstr>http://www.nevo.co.il/law/74903</vt:lpwstr>
      </vt:variant>
      <vt:variant>
        <vt:lpwstr/>
      </vt:variant>
      <vt:variant>
        <vt:i4>6553698</vt:i4>
      </vt:variant>
      <vt:variant>
        <vt:i4>18</vt:i4>
      </vt:variant>
      <vt:variant>
        <vt:i4>0</vt:i4>
      </vt:variant>
      <vt:variant>
        <vt:i4>5</vt:i4>
      </vt:variant>
      <vt:variant>
        <vt:lpwstr>http://www.nevo.co.il/law/70301/71</vt:lpwstr>
      </vt:variant>
      <vt:variant>
        <vt:lpwstr/>
      </vt:variant>
      <vt:variant>
        <vt:i4>4915202</vt:i4>
      </vt:variant>
      <vt:variant>
        <vt:i4>15</vt:i4>
      </vt:variant>
      <vt:variant>
        <vt:i4>0</vt:i4>
      </vt:variant>
      <vt:variant>
        <vt:i4>5</vt:i4>
      </vt:variant>
      <vt:variant>
        <vt:lpwstr>http://www.nevo.co.il/law/70301/40c.b</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2025-04-23T01:47:00Z</dcterms:created>
  <dcterms:modified xsi:type="dcterms:W3CDTF">2025-04-23T01:47:00Z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4878</vt:lpwstr>
  </property>
  <property fmtid="{D5CDD505-2E9C-101B-9397-08002B2CF9AE}" pid="6" name="NEWPARTB">
    <vt:lpwstr>05</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עדי חמי</vt:lpwstr>
  </property>
  <property fmtid="{D5CDD505-2E9C-101B-9397-08002B2CF9AE}" pid="10" name="LAWYER">
    <vt:lpwstr>עמית ויצמן</vt:lpwstr>
  </property>
  <property fmtid="{D5CDD505-2E9C-101B-9397-08002B2CF9AE}" pid="11" name="JUDGE">
    <vt:lpwstr>אורית קרץ</vt:lpwstr>
  </property>
  <property fmtid="{D5CDD505-2E9C-101B-9397-08002B2CF9AE}" pid="12" name="CITY">
    <vt:lpwstr>ב"ש</vt:lpwstr>
  </property>
  <property fmtid="{D5CDD505-2E9C-101B-9397-08002B2CF9AE}" pid="13" name="DATE">
    <vt:lpwstr>20241125</vt:lpwstr>
  </property>
  <property fmtid="{D5CDD505-2E9C-101B-9397-08002B2CF9AE}" pid="14" name="TYPE_N_DATE">
    <vt:lpwstr>38020241125</vt:lpwstr>
  </property>
  <property fmtid="{D5CDD505-2E9C-101B-9397-08002B2CF9AE}" pid="15" name="CASESLISTTMP1">
    <vt:lpwstr>29493110;26347296;27195223;8278474;28159723;17943750;6161385;5810781;6248029;7688113;11269559;5738608;28200101;26006493;22582473;5175431;4151601;13104267</vt:lpwstr>
  </property>
  <property fmtid="{D5CDD505-2E9C-101B-9397-08002B2CF9AE}" pid="16" name="CASENOTES1">
    <vt:lpwstr>ProcID=133;209&amp;PartA=26443&amp;PartB=03&amp;PartC=15</vt:lpwstr>
  </property>
  <property fmtid="{D5CDD505-2E9C-101B-9397-08002B2CF9AE}" pid="17" name="CASENOTES2">
    <vt:lpwstr>ProcID=133;209&amp;PartA=67452&amp;PartB=12&amp;PartC=18</vt:lpwstr>
  </property>
  <property fmtid="{D5CDD505-2E9C-101B-9397-08002B2CF9AE}" pid="18" name="WORDNUMPAGES">
    <vt:lpwstr>9</vt:lpwstr>
  </property>
  <property fmtid="{D5CDD505-2E9C-101B-9397-08002B2CF9AE}" pid="19" name="TYPE_ABS_DATE">
    <vt:lpwstr>380020241125</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4216/007.a;007.c</vt:lpwstr>
  </property>
  <property fmtid="{D5CDD505-2E9C-101B-9397-08002B2CF9AE}" pid="39" name="LAWLISTTMP2">
    <vt:lpwstr>70301/040b;040c.b;071</vt:lpwstr>
  </property>
  <property fmtid="{D5CDD505-2E9C-101B-9397-08002B2CF9AE}" pid="40" name="LAWLISTTMP3">
    <vt:lpwstr>74903/182;192a</vt:lpwstr>
  </property>
</Properties>
</file>