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3370E" w:rsidRPr="00B2411A" w14:paraId="2752EA40" w14:textId="77777777" w:rsidTr="00F650AF">
        <w:trPr>
          <w:trHeight w:hRule="exact" w:val="418"/>
          <w:jc w:val="center"/>
        </w:trPr>
        <w:tc>
          <w:tcPr>
            <w:tcW w:w="8721" w:type="dxa"/>
            <w:gridSpan w:val="2"/>
          </w:tcPr>
          <w:p w14:paraId="73232BC4" w14:textId="77777777" w:rsidR="00D3370E" w:rsidRPr="00B2411A" w:rsidRDefault="00D3370E" w:rsidP="00AB5129">
            <w:pPr>
              <w:pStyle w:val="a3"/>
              <w:jc w:val="center"/>
              <w:rPr>
                <w:rFonts w:ascii="Tahoma" w:hAnsi="Tahoma" w:cs="Tahoma"/>
                <w:color w:val="000080"/>
                <w:rtl/>
              </w:rPr>
            </w:pPr>
            <w:bookmarkStart w:id="0" w:name="LastJudge"/>
            <w:r w:rsidRPr="00B2411A">
              <w:rPr>
                <w:rFonts w:ascii="Tahoma" w:hAnsi="Tahoma" w:cs="Tahoma"/>
                <w:b/>
                <w:bCs/>
                <w:color w:val="000080"/>
                <w:rtl/>
              </w:rPr>
              <w:t>בית משפט השלום בתל אביב -יפו</w:t>
            </w:r>
          </w:p>
        </w:tc>
      </w:tr>
      <w:tr w:rsidR="00D3370E" w:rsidRPr="00B2411A" w14:paraId="70082BD2" w14:textId="77777777" w:rsidTr="00F650AF">
        <w:trPr>
          <w:trHeight w:val="337"/>
          <w:jc w:val="center"/>
        </w:trPr>
        <w:tc>
          <w:tcPr>
            <w:tcW w:w="5054" w:type="dxa"/>
          </w:tcPr>
          <w:p w14:paraId="32F17065" w14:textId="77777777" w:rsidR="00D3370E" w:rsidRPr="00B2411A" w:rsidRDefault="00D3370E" w:rsidP="00AB5129">
            <w:pPr>
              <w:rPr>
                <w:rFonts w:cs="FrankRuehl"/>
                <w:sz w:val="28"/>
                <w:szCs w:val="28"/>
                <w:rtl/>
              </w:rPr>
            </w:pPr>
            <w:r w:rsidRPr="00B2411A">
              <w:rPr>
                <w:rFonts w:cs="FrankRuehl"/>
                <w:sz w:val="28"/>
                <w:szCs w:val="28"/>
                <w:rtl/>
              </w:rPr>
              <w:t>ת"פ</w:t>
            </w:r>
            <w:r w:rsidRPr="00B2411A">
              <w:rPr>
                <w:rFonts w:cs="FrankRuehl" w:hint="cs"/>
                <w:sz w:val="28"/>
                <w:szCs w:val="28"/>
                <w:rtl/>
              </w:rPr>
              <w:t xml:space="preserve"> </w:t>
            </w:r>
            <w:r w:rsidRPr="00B2411A">
              <w:rPr>
                <w:rFonts w:cs="FrankRuehl"/>
                <w:sz w:val="28"/>
                <w:szCs w:val="28"/>
                <w:rtl/>
              </w:rPr>
              <w:t>57614-05-23</w:t>
            </w:r>
            <w:r w:rsidRPr="00B2411A">
              <w:rPr>
                <w:rFonts w:cs="FrankRuehl" w:hint="cs"/>
                <w:sz w:val="28"/>
                <w:szCs w:val="28"/>
                <w:rtl/>
              </w:rPr>
              <w:t xml:space="preserve"> </w:t>
            </w:r>
            <w:r w:rsidRPr="00B2411A">
              <w:rPr>
                <w:rFonts w:cs="FrankRuehl"/>
                <w:sz w:val="28"/>
                <w:szCs w:val="28"/>
                <w:rtl/>
              </w:rPr>
              <w:t>מדינת ישראל נ' גביש</w:t>
            </w:r>
          </w:p>
          <w:p w14:paraId="73718FAE" w14:textId="77777777" w:rsidR="00D3370E" w:rsidRPr="00B2411A" w:rsidRDefault="00D3370E" w:rsidP="00AB5129">
            <w:pPr>
              <w:pStyle w:val="a3"/>
              <w:rPr>
                <w:rFonts w:cs="FrankRuehl"/>
                <w:sz w:val="28"/>
                <w:szCs w:val="28"/>
                <w:rtl/>
              </w:rPr>
            </w:pPr>
          </w:p>
        </w:tc>
        <w:tc>
          <w:tcPr>
            <w:tcW w:w="3667" w:type="dxa"/>
          </w:tcPr>
          <w:p w14:paraId="66A200DE" w14:textId="77777777" w:rsidR="00D3370E" w:rsidRPr="00B2411A" w:rsidRDefault="00D3370E" w:rsidP="00AB5129">
            <w:pPr>
              <w:pStyle w:val="a3"/>
              <w:jc w:val="right"/>
              <w:rPr>
                <w:rFonts w:cs="FrankRuehl"/>
                <w:sz w:val="28"/>
                <w:szCs w:val="28"/>
                <w:rtl/>
              </w:rPr>
            </w:pPr>
          </w:p>
        </w:tc>
      </w:tr>
    </w:tbl>
    <w:p w14:paraId="04861C11" w14:textId="77777777" w:rsidR="00D3370E" w:rsidRPr="00B2411A" w:rsidRDefault="00D3370E" w:rsidP="00D3370E">
      <w:pPr>
        <w:pStyle w:val="a3"/>
        <w:rPr>
          <w:rtl/>
        </w:rPr>
      </w:pPr>
      <w:r w:rsidRPr="00B2411A">
        <w:rPr>
          <w:rFonts w:hint="cs"/>
          <w:rtl/>
        </w:rPr>
        <w:t xml:space="preserve"> </w:t>
      </w:r>
    </w:p>
    <w:p w14:paraId="27EF668F" w14:textId="77777777" w:rsidR="00D3370E" w:rsidRPr="00B2411A" w:rsidRDefault="00D3370E" w:rsidP="00D3370E">
      <w:pPr>
        <w:spacing w:line="360" w:lineRule="auto"/>
        <w:rPr>
          <w:rtl/>
        </w:rPr>
      </w:pPr>
    </w:p>
    <w:p w14:paraId="263E4023" w14:textId="77777777" w:rsidR="00D3370E" w:rsidRPr="00B2411A" w:rsidRDefault="00D3370E" w:rsidP="00D3370E">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3370E" w:rsidRPr="00B2411A" w14:paraId="00697CFA" w14:textId="77777777" w:rsidTr="00D3370E">
        <w:trPr>
          <w:trHeight w:val="295"/>
          <w:jc w:val="center"/>
        </w:trPr>
        <w:tc>
          <w:tcPr>
            <w:tcW w:w="923" w:type="dxa"/>
            <w:tcBorders>
              <w:top w:val="nil"/>
              <w:left w:val="nil"/>
              <w:bottom w:val="nil"/>
              <w:right w:val="nil"/>
            </w:tcBorders>
            <w:shd w:val="clear" w:color="auto" w:fill="auto"/>
          </w:tcPr>
          <w:p w14:paraId="3D2F3D6E" w14:textId="77777777" w:rsidR="00D3370E" w:rsidRPr="00B2411A" w:rsidRDefault="00D3370E" w:rsidP="00D3370E">
            <w:pPr>
              <w:spacing w:line="360" w:lineRule="auto"/>
              <w:jc w:val="both"/>
              <w:rPr>
                <w:rFonts w:ascii="David" w:hAnsi="David"/>
                <w:b/>
                <w:bCs/>
                <w:sz w:val="26"/>
                <w:szCs w:val="26"/>
              </w:rPr>
            </w:pPr>
            <w:r w:rsidRPr="00B2411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8548013" w14:textId="77777777" w:rsidR="00D3370E" w:rsidRPr="00B2411A" w:rsidRDefault="00D3370E" w:rsidP="00D3370E">
            <w:pPr>
              <w:spacing w:line="360" w:lineRule="auto"/>
              <w:rPr>
                <w:rFonts w:ascii="David" w:hAnsi="David"/>
                <w:b/>
                <w:bCs/>
                <w:sz w:val="26"/>
                <w:szCs w:val="26"/>
                <w:rtl/>
              </w:rPr>
            </w:pPr>
            <w:r w:rsidRPr="00B2411A">
              <w:rPr>
                <w:rFonts w:ascii="David" w:hAnsi="David" w:hint="cs"/>
                <w:b/>
                <w:bCs/>
                <w:sz w:val="26"/>
                <w:szCs w:val="26"/>
                <w:rtl/>
              </w:rPr>
              <w:t>כבוד השופט הבכיר, שאול אבינור</w:t>
            </w:r>
          </w:p>
          <w:p w14:paraId="3CC22DF2" w14:textId="77777777" w:rsidR="00D3370E" w:rsidRPr="00B2411A" w:rsidRDefault="00D3370E" w:rsidP="00D3370E">
            <w:pPr>
              <w:spacing w:line="360" w:lineRule="auto"/>
              <w:rPr>
                <w:rFonts w:ascii="David" w:hAnsi="David"/>
                <w:sz w:val="26"/>
                <w:szCs w:val="26"/>
              </w:rPr>
            </w:pPr>
          </w:p>
        </w:tc>
      </w:tr>
      <w:tr w:rsidR="00D3370E" w:rsidRPr="00B2411A" w14:paraId="067311B5" w14:textId="77777777" w:rsidTr="00D3370E">
        <w:trPr>
          <w:trHeight w:val="355"/>
          <w:jc w:val="center"/>
        </w:trPr>
        <w:tc>
          <w:tcPr>
            <w:tcW w:w="923" w:type="dxa"/>
            <w:tcBorders>
              <w:top w:val="nil"/>
              <w:left w:val="nil"/>
              <w:bottom w:val="nil"/>
              <w:right w:val="nil"/>
            </w:tcBorders>
            <w:shd w:val="clear" w:color="auto" w:fill="auto"/>
          </w:tcPr>
          <w:p w14:paraId="69EC310D" w14:textId="77777777" w:rsidR="00D3370E" w:rsidRPr="00B2411A" w:rsidRDefault="00D3370E" w:rsidP="00D3370E">
            <w:pPr>
              <w:spacing w:line="360" w:lineRule="auto"/>
              <w:jc w:val="both"/>
              <w:rPr>
                <w:rFonts w:ascii="David" w:hAnsi="David"/>
                <w:sz w:val="26"/>
                <w:szCs w:val="26"/>
              </w:rPr>
            </w:pPr>
            <w:bookmarkStart w:id="1" w:name="FirstAppellant"/>
            <w:bookmarkStart w:id="2" w:name="FirstLawyer"/>
            <w:r w:rsidRPr="00B2411A">
              <w:rPr>
                <w:rFonts w:ascii="David" w:hAnsi="David"/>
                <w:sz w:val="26"/>
                <w:szCs w:val="26"/>
                <w:rtl/>
              </w:rPr>
              <w:t>בעניין:</w:t>
            </w:r>
          </w:p>
        </w:tc>
        <w:tc>
          <w:tcPr>
            <w:tcW w:w="3219" w:type="dxa"/>
            <w:tcBorders>
              <w:top w:val="nil"/>
              <w:left w:val="nil"/>
              <w:bottom w:val="nil"/>
              <w:right w:val="nil"/>
            </w:tcBorders>
            <w:shd w:val="clear" w:color="auto" w:fill="auto"/>
          </w:tcPr>
          <w:p w14:paraId="25229C56" w14:textId="77777777" w:rsidR="00D3370E" w:rsidRPr="00B2411A" w:rsidRDefault="00D3370E" w:rsidP="00D3370E">
            <w:pPr>
              <w:suppressLineNumbers/>
              <w:spacing w:line="360" w:lineRule="auto"/>
            </w:pPr>
            <w:r w:rsidRPr="00B2411A">
              <w:rPr>
                <w:rFonts w:ascii="Arial" w:hAnsi="Arial" w:hint="cs"/>
                <w:b/>
                <w:bCs/>
                <w:sz w:val="26"/>
                <w:szCs w:val="26"/>
                <w:rtl/>
              </w:rPr>
              <w:t>המאשימה:</w:t>
            </w:r>
          </w:p>
          <w:p w14:paraId="3BD46496" w14:textId="77777777" w:rsidR="00D3370E" w:rsidRPr="00B2411A" w:rsidRDefault="00D3370E" w:rsidP="00D3370E">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5E23A40F" w14:textId="77777777" w:rsidR="00D3370E" w:rsidRPr="00B2411A" w:rsidRDefault="00D3370E" w:rsidP="00D3370E">
            <w:pPr>
              <w:suppressLineNumbers/>
              <w:spacing w:line="360" w:lineRule="auto"/>
              <w:rPr>
                <w:rFonts w:ascii="Arial" w:hAnsi="Arial"/>
                <w:rtl/>
              </w:rPr>
            </w:pPr>
            <w:r w:rsidRPr="00B2411A">
              <w:rPr>
                <w:rFonts w:ascii="Arial" w:hAnsi="Arial"/>
                <w:b/>
                <w:bCs/>
                <w:sz w:val="26"/>
                <w:szCs w:val="26"/>
                <w:rtl/>
              </w:rPr>
              <w:t>מדינת ישראל</w:t>
            </w:r>
            <w:r w:rsidRPr="00B2411A">
              <w:rPr>
                <w:rFonts w:ascii="Arial" w:hAnsi="Arial" w:hint="cs"/>
                <w:b/>
                <w:bCs/>
                <w:sz w:val="26"/>
                <w:szCs w:val="26"/>
                <w:rtl/>
              </w:rPr>
              <w:t xml:space="preserve"> </w:t>
            </w:r>
          </w:p>
          <w:p w14:paraId="1859BDED" w14:textId="77777777" w:rsidR="00D3370E" w:rsidRPr="00B2411A" w:rsidRDefault="00D3370E" w:rsidP="00D3370E">
            <w:pPr>
              <w:suppressLineNumbers/>
              <w:spacing w:line="360" w:lineRule="auto"/>
            </w:pPr>
            <w:r w:rsidRPr="00B2411A">
              <w:rPr>
                <w:rFonts w:ascii="Arial" w:hAnsi="Arial"/>
                <w:rtl/>
              </w:rPr>
              <w:t>ע"י</w:t>
            </w:r>
            <w:r w:rsidRPr="00B2411A">
              <w:rPr>
                <w:rFonts w:ascii="Arial" w:hAnsi="Arial"/>
                <w:b/>
                <w:bCs/>
                <w:sz w:val="26"/>
                <w:szCs w:val="26"/>
                <w:rtl/>
              </w:rPr>
              <w:t xml:space="preserve"> </w:t>
            </w:r>
            <w:r w:rsidRPr="00B2411A">
              <w:rPr>
                <w:rFonts w:ascii="Arial" w:hAnsi="Arial"/>
                <w:rtl/>
              </w:rPr>
              <w:t>ב"כ עו"ד</w:t>
            </w:r>
            <w:r w:rsidRPr="00B2411A">
              <w:rPr>
                <w:rFonts w:hint="cs"/>
                <w:rtl/>
              </w:rPr>
              <w:t xml:space="preserve"> שני מגדי</w:t>
            </w:r>
          </w:p>
          <w:p w14:paraId="45D7E4D8" w14:textId="77777777" w:rsidR="00D3370E" w:rsidRPr="00B2411A" w:rsidRDefault="00D3370E" w:rsidP="00D3370E">
            <w:pPr>
              <w:spacing w:line="360" w:lineRule="auto"/>
              <w:rPr>
                <w:rFonts w:ascii="David" w:hAnsi="David"/>
                <w:sz w:val="26"/>
                <w:szCs w:val="26"/>
              </w:rPr>
            </w:pPr>
          </w:p>
        </w:tc>
      </w:tr>
      <w:bookmarkEnd w:id="1"/>
      <w:bookmarkEnd w:id="2"/>
      <w:tr w:rsidR="00D3370E" w:rsidRPr="00B2411A" w14:paraId="3DF07715" w14:textId="77777777" w:rsidTr="00D3370E">
        <w:trPr>
          <w:trHeight w:val="355"/>
          <w:jc w:val="center"/>
        </w:trPr>
        <w:tc>
          <w:tcPr>
            <w:tcW w:w="923" w:type="dxa"/>
            <w:tcBorders>
              <w:top w:val="nil"/>
              <w:left w:val="nil"/>
              <w:bottom w:val="nil"/>
              <w:right w:val="nil"/>
            </w:tcBorders>
            <w:shd w:val="clear" w:color="auto" w:fill="auto"/>
          </w:tcPr>
          <w:p w14:paraId="077AFB10" w14:textId="77777777" w:rsidR="00D3370E" w:rsidRPr="00B2411A" w:rsidRDefault="00D3370E" w:rsidP="00D3370E">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13FE5208" w14:textId="77777777" w:rsidR="00D3370E" w:rsidRPr="00B2411A" w:rsidRDefault="00D3370E" w:rsidP="00D3370E">
            <w:pPr>
              <w:spacing w:line="360" w:lineRule="auto"/>
              <w:jc w:val="center"/>
              <w:rPr>
                <w:rFonts w:ascii="David" w:hAnsi="David"/>
                <w:b/>
                <w:bCs/>
                <w:sz w:val="26"/>
                <w:szCs w:val="26"/>
                <w:rtl/>
              </w:rPr>
            </w:pPr>
          </w:p>
          <w:p w14:paraId="1E9DBFBF" w14:textId="77777777" w:rsidR="00D3370E" w:rsidRPr="00B2411A" w:rsidRDefault="00D3370E" w:rsidP="00D3370E">
            <w:pPr>
              <w:spacing w:line="360" w:lineRule="auto"/>
              <w:jc w:val="center"/>
              <w:rPr>
                <w:rFonts w:ascii="David" w:hAnsi="David"/>
                <w:b/>
                <w:bCs/>
                <w:sz w:val="26"/>
                <w:szCs w:val="26"/>
                <w:rtl/>
              </w:rPr>
            </w:pPr>
            <w:r w:rsidRPr="00B2411A">
              <w:rPr>
                <w:rFonts w:ascii="David" w:hAnsi="David"/>
                <w:b/>
                <w:bCs/>
                <w:sz w:val="26"/>
                <w:szCs w:val="26"/>
                <w:rtl/>
              </w:rPr>
              <w:t>נגד</w:t>
            </w:r>
          </w:p>
          <w:p w14:paraId="24D1B6C3" w14:textId="77777777" w:rsidR="00D3370E" w:rsidRPr="00B2411A" w:rsidRDefault="00D3370E" w:rsidP="00D3370E">
            <w:pPr>
              <w:spacing w:line="360" w:lineRule="auto"/>
              <w:jc w:val="both"/>
              <w:rPr>
                <w:rFonts w:ascii="David" w:hAnsi="David"/>
                <w:sz w:val="26"/>
                <w:szCs w:val="26"/>
                <w:rtl/>
              </w:rPr>
            </w:pPr>
          </w:p>
          <w:p w14:paraId="1C5D2F68" w14:textId="77777777" w:rsidR="00D3370E" w:rsidRPr="00B2411A" w:rsidRDefault="00D3370E" w:rsidP="00D3370E">
            <w:pPr>
              <w:spacing w:line="360" w:lineRule="auto"/>
              <w:jc w:val="both"/>
              <w:rPr>
                <w:rFonts w:ascii="David" w:hAnsi="David"/>
                <w:sz w:val="26"/>
                <w:szCs w:val="26"/>
              </w:rPr>
            </w:pPr>
          </w:p>
        </w:tc>
      </w:tr>
      <w:tr w:rsidR="00D3370E" w:rsidRPr="00B2411A" w14:paraId="289061FD" w14:textId="77777777" w:rsidTr="00D3370E">
        <w:trPr>
          <w:trHeight w:val="355"/>
          <w:jc w:val="center"/>
        </w:trPr>
        <w:tc>
          <w:tcPr>
            <w:tcW w:w="923" w:type="dxa"/>
            <w:tcBorders>
              <w:top w:val="nil"/>
              <w:left w:val="nil"/>
              <w:bottom w:val="nil"/>
              <w:right w:val="nil"/>
            </w:tcBorders>
            <w:shd w:val="clear" w:color="auto" w:fill="auto"/>
          </w:tcPr>
          <w:p w14:paraId="4D153359" w14:textId="77777777" w:rsidR="00D3370E" w:rsidRPr="00B2411A" w:rsidRDefault="00D3370E" w:rsidP="00D3370E">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415FCB8D" w14:textId="77777777" w:rsidR="00D3370E" w:rsidRPr="00B2411A" w:rsidRDefault="00D3370E" w:rsidP="00D3370E">
            <w:pPr>
              <w:spacing w:line="360" w:lineRule="auto"/>
              <w:rPr>
                <w:rFonts w:ascii="Arial" w:hAnsi="Arial"/>
                <w:b/>
                <w:bCs/>
                <w:sz w:val="26"/>
                <w:szCs w:val="26"/>
                <w:rtl/>
              </w:rPr>
            </w:pPr>
            <w:r w:rsidRPr="00B2411A">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310C17C" w14:textId="77777777" w:rsidR="00D3370E" w:rsidRPr="00B2411A" w:rsidRDefault="00D3370E" w:rsidP="00D3370E">
            <w:pPr>
              <w:suppressLineNumbers/>
              <w:spacing w:line="360" w:lineRule="auto"/>
              <w:rPr>
                <w:rFonts w:ascii="Arial" w:hAnsi="Arial"/>
                <w:b/>
                <w:bCs/>
                <w:sz w:val="26"/>
                <w:szCs w:val="26"/>
                <w:rtl/>
              </w:rPr>
            </w:pPr>
            <w:r w:rsidRPr="00B2411A">
              <w:rPr>
                <w:rFonts w:ascii="Arial" w:hAnsi="Arial"/>
                <w:b/>
                <w:bCs/>
                <w:sz w:val="26"/>
                <w:szCs w:val="26"/>
                <w:rtl/>
              </w:rPr>
              <w:t>יעקב גביש</w:t>
            </w:r>
            <w:r w:rsidRPr="00B2411A">
              <w:rPr>
                <w:rFonts w:ascii="Arial" w:hAnsi="Arial" w:hint="cs"/>
                <w:b/>
                <w:bCs/>
                <w:sz w:val="26"/>
                <w:szCs w:val="26"/>
                <w:rtl/>
              </w:rPr>
              <w:t xml:space="preserve"> </w:t>
            </w:r>
          </w:p>
          <w:p w14:paraId="04DB5CAF" w14:textId="77777777" w:rsidR="00D3370E" w:rsidRPr="00B2411A" w:rsidRDefault="00D3370E" w:rsidP="00D3370E">
            <w:pPr>
              <w:suppressLineNumbers/>
              <w:spacing w:line="360" w:lineRule="auto"/>
            </w:pPr>
            <w:r w:rsidRPr="00B2411A">
              <w:rPr>
                <w:rFonts w:ascii="Arial" w:hAnsi="Arial"/>
                <w:rtl/>
              </w:rPr>
              <w:t>ע"י</w:t>
            </w:r>
            <w:r w:rsidRPr="00B2411A">
              <w:rPr>
                <w:rFonts w:ascii="Arial" w:hAnsi="Arial"/>
                <w:b/>
                <w:bCs/>
                <w:sz w:val="26"/>
                <w:szCs w:val="26"/>
                <w:rtl/>
              </w:rPr>
              <w:t xml:space="preserve"> </w:t>
            </w:r>
            <w:r w:rsidRPr="00B2411A">
              <w:rPr>
                <w:rFonts w:ascii="Arial" w:hAnsi="Arial"/>
                <w:rtl/>
              </w:rPr>
              <w:t>ב"כ עו"ד</w:t>
            </w:r>
            <w:r w:rsidRPr="00B2411A">
              <w:rPr>
                <w:rFonts w:ascii="Arial" w:hAnsi="Arial" w:hint="cs"/>
                <w:rtl/>
              </w:rPr>
              <w:t xml:space="preserve"> יצחק איצקוביץ</w:t>
            </w:r>
          </w:p>
          <w:p w14:paraId="6E7F669C" w14:textId="77777777" w:rsidR="00D3370E" w:rsidRPr="00B2411A" w:rsidRDefault="00D3370E" w:rsidP="00D3370E">
            <w:pPr>
              <w:spacing w:line="360" w:lineRule="auto"/>
              <w:rPr>
                <w:rFonts w:ascii="David" w:hAnsi="David"/>
                <w:sz w:val="26"/>
                <w:szCs w:val="26"/>
              </w:rPr>
            </w:pPr>
          </w:p>
        </w:tc>
      </w:tr>
    </w:tbl>
    <w:p w14:paraId="460BEF5E" w14:textId="77777777" w:rsidR="00B2411A" w:rsidRPr="00B2411A" w:rsidRDefault="00B2411A" w:rsidP="00B2411A">
      <w:pPr>
        <w:spacing w:before="120" w:after="120" w:line="240" w:lineRule="exact"/>
        <w:ind w:left="283" w:hanging="283"/>
        <w:jc w:val="both"/>
        <w:rPr>
          <w:rFonts w:ascii="FrankRuehl" w:hAnsi="FrankRuehl" w:cs="FrankRuehl"/>
          <w:rtl/>
        </w:rPr>
      </w:pPr>
    </w:p>
    <w:p w14:paraId="52EAB56D" w14:textId="77777777" w:rsidR="00E72315" w:rsidRPr="00E72315" w:rsidRDefault="00E72315" w:rsidP="00E72315">
      <w:pPr>
        <w:spacing w:before="120" w:after="120" w:line="240" w:lineRule="exact"/>
        <w:ind w:left="283" w:hanging="283"/>
        <w:jc w:val="both"/>
        <w:rPr>
          <w:rFonts w:ascii="FrankRuehl" w:hAnsi="FrankRuehl" w:cs="FrankRuehl"/>
          <w:rtl/>
        </w:rPr>
      </w:pPr>
    </w:p>
    <w:p w14:paraId="113EECFE" w14:textId="77777777" w:rsidR="005C5EF6" w:rsidRDefault="005C5EF6" w:rsidP="005C5EF6">
      <w:pPr>
        <w:spacing w:line="360" w:lineRule="auto"/>
        <w:rPr>
          <w:sz w:val="26"/>
          <w:szCs w:val="26"/>
          <w:rtl/>
        </w:rPr>
      </w:pPr>
      <w:bookmarkStart w:id="3" w:name="LawTable"/>
      <w:bookmarkEnd w:id="3"/>
    </w:p>
    <w:p w14:paraId="3616904F" w14:textId="77777777" w:rsidR="005C5EF6" w:rsidRPr="005C5EF6" w:rsidRDefault="005C5EF6" w:rsidP="005C5EF6">
      <w:pPr>
        <w:spacing w:before="120" w:after="120" w:line="240" w:lineRule="exact"/>
        <w:ind w:left="283" w:hanging="283"/>
        <w:jc w:val="both"/>
        <w:rPr>
          <w:rFonts w:ascii="FrankRuehl" w:hAnsi="FrankRuehl" w:cs="FrankRuehl"/>
          <w:rtl/>
        </w:rPr>
      </w:pPr>
    </w:p>
    <w:p w14:paraId="1AAAFDD8" w14:textId="77777777" w:rsidR="005C5EF6" w:rsidRPr="005C5EF6" w:rsidRDefault="005C5EF6" w:rsidP="005C5EF6">
      <w:pPr>
        <w:spacing w:before="120" w:after="120" w:line="240" w:lineRule="exact"/>
        <w:ind w:left="283" w:hanging="283"/>
        <w:jc w:val="both"/>
        <w:rPr>
          <w:rFonts w:ascii="FrankRuehl" w:hAnsi="FrankRuehl" w:cs="FrankRuehl"/>
          <w:rtl/>
        </w:rPr>
      </w:pPr>
    </w:p>
    <w:p w14:paraId="2CD90476" w14:textId="77777777" w:rsidR="005C5EF6" w:rsidRPr="005C5EF6" w:rsidRDefault="005C5EF6" w:rsidP="005C5EF6">
      <w:pPr>
        <w:spacing w:before="120" w:after="120" w:line="240" w:lineRule="exact"/>
        <w:ind w:left="283" w:hanging="283"/>
        <w:jc w:val="both"/>
        <w:rPr>
          <w:rFonts w:ascii="FrankRuehl" w:hAnsi="FrankRuehl" w:cs="FrankRuehl"/>
          <w:rtl/>
        </w:rPr>
      </w:pPr>
      <w:r w:rsidRPr="005C5EF6">
        <w:rPr>
          <w:rFonts w:ascii="FrankRuehl" w:hAnsi="FrankRuehl" w:cs="FrankRuehl"/>
          <w:rtl/>
        </w:rPr>
        <w:t xml:space="preserve">חקיקה שאוזכרה: </w:t>
      </w:r>
    </w:p>
    <w:p w14:paraId="1C8CF72A" w14:textId="77777777" w:rsidR="005C5EF6" w:rsidRPr="005C5EF6" w:rsidRDefault="005C5EF6" w:rsidP="005C5EF6">
      <w:pPr>
        <w:spacing w:before="120" w:after="120" w:line="240" w:lineRule="exact"/>
        <w:ind w:left="283" w:hanging="283"/>
        <w:jc w:val="both"/>
        <w:rPr>
          <w:rFonts w:ascii="FrankRuehl" w:hAnsi="FrankRuehl" w:cs="FrankRuehl"/>
          <w:rtl/>
        </w:rPr>
      </w:pPr>
      <w:hyperlink r:id="rId7" w:history="1">
        <w:r w:rsidRPr="005C5EF6">
          <w:rPr>
            <w:rFonts w:ascii="FrankRuehl" w:hAnsi="FrankRuehl" w:cs="FrankRuehl"/>
            <w:color w:val="0000FF"/>
            <w:rtl/>
          </w:rPr>
          <w:t>פקודת הסמים המסוכנים [נוסח חדש], תשל"ג-1973</w:t>
        </w:r>
      </w:hyperlink>
      <w:r w:rsidRPr="005C5EF6">
        <w:rPr>
          <w:rFonts w:ascii="FrankRuehl" w:hAnsi="FrankRuehl" w:cs="FrankRuehl"/>
          <w:rtl/>
        </w:rPr>
        <w:t xml:space="preserve">: סע'  </w:t>
      </w:r>
      <w:hyperlink r:id="rId8" w:history="1">
        <w:r w:rsidRPr="005C5EF6">
          <w:rPr>
            <w:rFonts w:ascii="FrankRuehl" w:hAnsi="FrankRuehl" w:cs="FrankRuehl"/>
            <w:color w:val="0000FF"/>
            <w:rtl/>
          </w:rPr>
          <w:t>7(א)</w:t>
        </w:r>
      </w:hyperlink>
      <w:r w:rsidRPr="005C5EF6">
        <w:rPr>
          <w:rFonts w:ascii="FrankRuehl" w:hAnsi="FrankRuehl" w:cs="FrankRuehl"/>
          <w:rtl/>
        </w:rPr>
        <w:t xml:space="preserve">, </w:t>
      </w:r>
      <w:hyperlink r:id="rId9" w:history="1">
        <w:r w:rsidRPr="005C5EF6">
          <w:rPr>
            <w:rFonts w:ascii="FrankRuehl" w:hAnsi="FrankRuehl" w:cs="FrankRuehl"/>
            <w:color w:val="0000FF"/>
            <w:rtl/>
          </w:rPr>
          <w:t>7(ג)</w:t>
        </w:r>
      </w:hyperlink>
    </w:p>
    <w:p w14:paraId="66F2C6FE" w14:textId="77777777" w:rsidR="005C5EF6" w:rsidRPr="005C5EF6" w:rsidRDefault="005C5EF6" w:rsidP="005C5EF6">
      <w:pPr>
        <w:spacing w:before="120" w:after="120" w:line="240" w:lineRule="exact"/>
        <w:ind w:left="283" w:hanging="283"/>
        <w:jc w:val="both"/>
        <w:rPr>
          <w:rFonts w:ascii="FrankRuehl" w:hAnsi="FrankRuehl" w:cs="FrankRuehl"/>
          <w:rtl/>
        </w:rPr>
      </w:pPr>
      <w:hyperlink r:id="rId10" w:history="1">
        <w:r w:rsidRPr="005C5EF6">
          <w:rPr>
            <w:rFonts w:ascii="FrankRuehl" w:hAnsi="FrankRuehl" w:cs="FrankRuehl"/>
            <w:color w:val="0000FF"/>
            <w:rtl/>
          </w:rPr>
          <w:t>חוק העונשין, תשל"ז-1977</w:t>
        </w:r>
      </w:hyperlink>
      <w:r w:rsidRPr="005C5EF6">
        <w:rPr>
          <w:rFonts w:ascii="FrankRuehl" w:hAnsi="FrankRuehl" w:cs="FrankRuehl"/>
          <w:rtl/>
        </w:rPr>
        <w:t xml:space="preserve">: סע'  </w:t>
      </w:r>
      <w:hyperlink r:id="rId11" w:history="1">
        <w:r w:rsidRPr="005C5EF6">
          <w:rPr>
            <w:rFonts w:ascii="FrankRuehl" w:hAnsi="FrankRuehl" w:cs="FrankRuehl"/>
            <w:color w:val="0000FF"/>
            <w:rtl/>
          </w:rPr>
          <w:t>40ט</w:t>
        </w:r>
      </w:hyperlink>
    </w:p>
    <w:p w14:paraId="0AC8FC15" w14:textId="77777777" w:rsidR="005C5EF6" w:rsidRPr="005C5EF6" w:rsidRDefault="005C5EF6" w:rsidP="005C5EF6">
      <w:pPr>
        <w:spacing w:line="360" w:lineRule="auto"/>
        <w:rPr>
          <w:sz w:val="26"/>
          <w:szCs w:val="26"/>
          <w:rtl/>
        </w:rPr>
      </w:pPr>
      <w:bookmarkStart w:id="4" w:name="LawTable_End"/>
      <w:bookmarkEnd w:id="4"/>
    </w:p>
    <w:p w14:paraId="5B7B6421" w14:textId="77777777" w:rsidR="00D3370E" w:rsidRPr="00E72315" w:rsidRDefault="00D3370E" w:rsidP="00E72315">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370E" w14:paraId="1FED7D7F" w14:textId="77777777" w:rsidTr="00D3370E">
        <w:trPr>
          <w:trHeight w:val="355"/>
          <w:jc w:val="center"/>
        </w:trPr>
        <w:tc>
          <w:tcPr>
            <w:tcW w:w="8820" w:type="dxa"/>
            <w:tcBorders>
              <w:top w:val="nil"/>
              <w:left w:val="nil"/>
              <w:bottom w:val="nil"/>
              <w:right w:val="nil"/>
            </w:tcBorders>
            <w:shd w:val="clear" w:color="auto" w:fill="auto"/>
          </w:tcPr>
          <w:p w14:paraId="27BD302A" w14:textId="77777777" w:rsidR="00D3370E" w:rsidRPr="00B2411A" w:rsidRDefault="00B2411A" w:rsidP="00B2411A">
            <w:pPr>
              <w:spacing w:after="120" w:line="360" w:lineRule="auto"/>
              <w:jc w:val="center"/>
              <w:rPr>
                <w:rFonts w:ascii="David" w:hAnsi="David"/>
                <w:bCs/>
                <w:sz w:val="36"/>
                <w:szCs w:val="36"/>
                <w:u w:val="single"/>
                <w:rtl/>
              </w:rPr>
            </w:pPr>
            <w:bookmarkStart w:id="5" w:name="PsakDin" w:colFirst="0" w:colLast="0"/>
            <w:bookmarkEnd w:id="0"/>
            <w:r w:rsidRPr="00B2411A">
              <w:rPr>
                <w:rFonts w:ascii="David" w:hAnsi="David"/>
                <w:b/>
                <w:bCs/>
                <w:sz w:val="36"/>
                <w:szCs w:val="36"/>
                <w:u w:val="single"/>
                <w:rtl/>
              </w:rPr>
              <w:t>גזר דין</w:t>
            </w:r>
          </w:p>
        </w:tc>
      </w:tr>
    </w:tbl>
    <w:bookmarkEnd w:id="5"/>
    <w:p w14:paraId="74F43A7D" w14:textId="77777777" w:rsidR="00D3370E" w:rsidRDefault="00D3370E" w:rsidP="00D3370E">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w:t>
      </w:r>
    </w:p>
    <w:p w14:paraId="5874C6F1" w14:textId="77777777" w:rsidR="00D3370E" w:rsidRDefault="00D3370E" w:rsidP="00D3370E">
      <w:pPr>
        <w:numPr>
          <w:ilvl w:val="0"/>
          <w:numId w:val="2"/>
        </w:numPr>
        <w:spacing w:after="120" w:line="360" w:lineRule="auto"/>
        <w:ind w:left="360"/>
        <w:jc w:val="both"/>
        <w:rPr>
          <w:rFonts w:ascii="Tahoma" w:hAnsi="Tahoma"/>
          <w:rtl/>
        </w:rPr>
      </w:pPr>
      <w:bookmarkStart w:id="6" w:name="ABSTRACT_START"/>
      <w:bookmarkEnd w:id="6"/>
      <w:r>
        <w:rPr>
          <w:rFonts w:ascii="David" w:hAnsi="David"/>
          <w:rtl/>
        </w:rPr>
        <w:t xml:space="preserve">הנאשם הורשע – על יסוד הודאתו בעובדות כתב האישום המתוקן, שניתנה במסגרת הסדר טיעון – </w:t>
      </w:r>
      <w:r>
        <w:rPr>
          <w:rFonts w:ascii="David" w:hAnsi="David"/>
          <w:color w:val="000000"/>
          <w:shd w:val="clear" w:color="auto" w:fill="FFFFFF"/>
          <w:rtl/>
        </w:rPr>
        <w:t xml:space="preserve">בביצוע עבירה של </w:t>
      </w:r>
      <w:r>
        <w:rPr>
          <w:rFonts w:ascii="David" w:hAnsi="David"/>
          <w:b/>
          <w:bCs/>
          <w:rtl/>
        </w:rPr>
        <w:t>החזקת סמים מסוכנים שלא לצריכה עצמית</w:t>
      </w:r>
      <w:r>
        <w:rPr>
          <w:rFonts w:ascii="David" w:hAnsi="David"/>
          <w:rtl/>
        </w:rPr>
        <w:t xml:space="preserve">, לפי הוראות </w:t>
      </w:r>
      <w:hyperlink r:id="rId12" w:history="1">
        <w:r w:rsidR="00F650AF" w:rsidRPr="00F650AF">
          <w:rPr>
            <w:rStyle w:val="Hyperlink"/>
            <w:rFonts w:ascii="David" w:hAnsi="David"/>
            <w:rtl/>
          </w:rPr>
          <w:t>סעיף 7(א)</w:t>
        </w:r>
      </w:hyperlink>
      <w:r>
        <w:rPr>
          <w:rFonts w:ascii="David" w:hAnsi="David"/>
          <w:rtl/>
        </w:rPr>
        <w:t xml:space="preserve"> </w:t>
      </w:r>
      <w:r>
        <w:rPr>
          <w:rFonts w:ascii="David" w:hAnsi="David"/>
          <w:rtl/>
        </w:rPr>
        <w:lastRenderedPageBreak/>
        <w:t xml:space="preserve">יחד עם </w:t>
      </w:r>
      <w:hyperlink r:id="rId13" w:history="1">
        <w:r w:rsidR="00F650AF" w:rsidRPr="00F650AF">
          <w:rPr>
            <w:rStyle w:val="Hyperlink"/>
            <w:rFonts w:ascii="David" w:hAnsi="David"/>
            <w:rtl/>
          </w:rPr>
          <w:t>סעיף 7(ג)</w:t>
        </w:r>
      </w:hyperlink>
      <w:r>
        <w:rPr>
          <w:rFonts w:ascii="David" w:hAnsi="David"/>
          <w:rtl/>
        </w:rPr>
        <w:t xml:space="preserve"> רישא ל</w:t>
      </w:r>
      <w:hyperlink r:id="rId14" w:history="1">
        <w:r w:rsidR="00B2411A" w:rsidRPr="00B2411A">
          <w:rPr>
            <w:rFonts w:ascii="David" w:hAnsi="David"/>
            <w:color w:val="0000FF"/>
            <w:u w:val="single"/>
            <w:rtl/>
          </w:rPr>
          <w:t>פקודת הסמים המסוכנים</w:t>
        </w:r>
      </w:hyperlink>
      <w:r>
        <w:rPr>
          <w:rFonts w:ascii="David" w:hAnsi="David"/>
          <w:rtl/>
        </w:rPr>
        <w:t xml:space="preserve"> [נוסח חדש], תשל"ג-1973 (להלן – פקודת הסמים המסוכנים).</w:t>
      </w:r>
    </w:p>
    <w:p w14:paraId="1300FD5F" w14:textId="77777777" w:rsidR="00D3370E" w:rsidRDefault="00D3370E" w:rsidP="00D3370E">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 האישום המתוקן נטען כי ביום 10.01.2021</w:t>
      </w:r>
      <w:r>
        <w:rPr>
          <w:rFonts w:ascii="Tahoma" w:hAnsi="Tahoma"/>
        </w:rPr>
        <w:t xml:space="preserve"> </w:t>
      </w:r>
      <w:r>
        <w:rPr>
          <w:rFonts w:ascii="Tahoma" w:hAnsi="Tahoma"/>
          <w:rtl/>
        </w:rPr>
        <w:t xml:space="preserve">בשעה 08:00 או בסמוך לכך, החזיק הנאשם בביתו בתל אביב בסמים מסוכנים מסוג </w:t>
      </w:r>
      <w:r>
        <w:rPr>
          <w:rFonts w:ascii="Tahoma" w:hAnsi="Tahoma"/>
          <w:b/>
          <w:bCs/>
          <w:rtl/>
        </w:rPr>
        <w:t>קנבוס</w:t>
      </w:r>
      <w:r>
        <w:rPr>
          <w:rFonts w:ascii="Tahoma" w:hAnsi="Tahoma"/>
          <w:rtl/>
        </w:rPr>
        <w:t xml:space="preserve">, בארבע אריזות, במשקל כולל של </w:t>
      </w:r>
      <w:r>
        <w:rPr>
          <w:rFonts w:ascii="Tahoma" w:hAnsi="Tahoma"/>
          <w:b/>
          <w:bCs/>
          <w:rtl/>
        </w:rPr>
        <w:t>400 גרם</w:t>
      </w:r>
      <w:r>
        <w:rPr>
          <w:rFonts w:ascii="Tahoma" w:hAnsi="Tahoma"/>
          <w:rtl/>
        </w:rPr>
        <w:t xml:space="preserve"> נטו. עוד החזיק הנאשם, בביתו, בסך של 6,780 ₪, </w:t>
      </w:r>
      <w:r>
        <w:rPr>
          <w:rFonts w:ascii="Tahoma" w:hAnsi="Tahoma" w:hint="cs"/>
          <w:rtl/>
        </w:rPr>
        <w:t>ב</w:t>
      </w:r>
      <w:r>
        <w:rPr>
          <w:rFonts w:ascii="Tahoma" w:hAnsi="Tahoma"/>
          <w:rtl/>
        </w:rPr>
        <w:t xml:space="preserve">טלפונים ניידים, </w:t>
      </w:r>
      <w:r>
        <w:rPr>
          <w:rFonts w:ascii="Tahoma" w:hAnsi="Tahoma" w:hint="cs"/>
          <w:rtl/>
        </w:rPr>
        <w:t>ב</w:t>
      </w:r>
      <w:r>
        <w:rPr>
          <w:rFonts w:ascii="Tahoma" w:hAnsi="Tahoma"/>
          <w:rtl/>
        </w:rPr>
        <w:t>שקיות חלוקה מניילון ו</w:t>
      </w:r>
      <w:r>
        <w:rPr>
          <w:rFonts w:ascii="Tahoma" w:hAnsi="Tahoma" w:hint="cs"/>
          <w:rtl/>
        </w:rPr>
        <w:t>ב</w:t>
      </w:r>
      <w:r>
        <w:rPr>
          <w:rFonts w:ascii="Tahoma" w:hAnsi="Tahoma"/>
          <w:rtl/>
        </w:rPr>
        <w:t>משקל אלקטרוני.</w:t>
      </w:r>
    </w:p>
    <w:p w14:paraId="2804D59E"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t>בהליכים המקדמיים הגיעו הצדדים ל</w:t>
      </w:r>
      <w:r>
        <w:rPr>
          <w:rFonts w:ascii="Tahoma" w:hAnsi="Tahoma" w:hint="cs"/>
          <w:rtl/>
        </w:rPr>
        <w:t xml:space="preserve">כלל </w:t>
      </w:r>
      <w:r>
        <w:rPr>
          <w:rFonts w:ascii="Tahoma" w:hAnsi="Tahoma"/>
          <w:rtl/>
        </w:rPr>
        <w:t xml:space="preserve">הסדר טיעון, </w:t>
      </w:r>
      <w:r>
        <w:rPr>
          <w:rFonts w:ascii="Tahoma" w:hAnsi="Tahoma" w:hint="cs"/>
          <w:rtl/>
        </w:rPr>
        <w:t>ש</w:t>
      </w:r>
      <w:r>
        <w:rPr>
          <w:rFonts w:ascii="Tahoma" w:hAnsi="Tahoma"/>
          <w:rtl/>
        </w:rPr>
        <w:t>במסגרתו הוגש כתב האישום המתוקן, בו נערכו מספר תיקונים בעובדות</w:t>
      </w:r>
      <w:r>
        <w:rPr>
          <w:rFonts w:ascii="Tahoma" w:hAnsi="Tahoma" w:hint="cs"/>
          <w:rtl/>
        </w:rPr>
        <w:t xml:space="preserve"> הנטענות</w:t>
      </w:r>
      <w:r>
        <w:rPr>
          <w:rFonts w:ascii="Tahoma" w:hAnsi="Tahoma"/>
          <w:rtl/>
        </w:rPr>
        <w:t xml:space="preserve">. הצדדים הודיעו כי הגיעו להסכמות חלקיות גם לעניין הטיעונים לעונש ובהקשר זה ציינו כי יעתרו במשותף להשתת מאסר מותנה, פסילה מותנית, התחייבות להימנע מעבירה וחילוט הכסף המזומן </w:t>
      </w:r>
      <w:r>
        <w:rPr>
          <w:rFonts w:ascii="Tahoma" w:hAnsi="Tahoma" w:hint="cs"/>
          <w:rtl/>
        </w:rPr>
        <w:t xml:space="preserve">הנ"ל, </w:t>
      </w:r>
      <w:r>
        <w:rPr>
          <w:rFonts w:ascii="Tahoma" w:hAnsi="Tahoma"/>
          <w:rtl/>
        </w:rPr>
        <w:t xml:space="preserve">שנתפס בביתו של הנאשם. אשר לרכיב המאסר בפועל הודיעה המאשימה כי עמדתה היא למאסר בפועל </w:t>
      </w:r>
      <w:r>
        <w:rPr>
          <w:rFonts w:ascii="Tahoma" w:hAnsi="Tahoma" w:hint="cs"/>
          <w:rtl/>
        </w:rPr>
        <w:t xml:space="preserve">לנשיאה </w:t>
      </w:r>
      <w:r>
        <w:rPr>
          <w:rFonts w:ascii="Tahoma" w:hAnsi="Tahoma"/>
          <w:rtl/>
        </w:rPr>
        <w:t>בדרך של עבודות שירות, כאשר ההגנה תהא חופשית בטיעוניה ברכיב ענישה זה.</w:t>
      </w:r>
    </w:p>
    <w:p w14:paraId="5C83D966"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המתוקן והורשע, על יסוד הודאה זו, בעבירה בה הואשם כאמור בפסקה 1 דלעיל.</w:t>
      </w:r>
    </w:p>
    <w:p w14:paraId="49381770" w14:textId="77777777" w:rsidR="00D3370E" w:rsidRDefault="00D3370E" w:rsidP="00D3370E">
      <w:pPr>
        <w:spacing w:after="120" w:line="360" w:lineRule="auto"/>
        <w:jc w:val="both"/>
        <w:rPr>
          <w:rFonts w:ascii="David" w:hAnsi="David"/>
        </w:rPr>
      </w:pPr>
    </w:p>
    <w:p w14:paraId="07E8076C" w14:textId="77777777" w:rsidR="00D3370E" w:rsidRDefault="00D3370E" w:rsidP="00D3370E">
      <w:pPr>
        <w:pStyle w:val="a9"/>
        <w:numPr>
          <w:ilvl w:val="0"/>
          <w:numId w:val="1"/>
        </w:numPr>
        <w:spacing w:before="120" w:after="120" w:line="360" w:lineRule="auto"/>
        <w:ind w:left="360"/>
        <w:jc w:val="both"/>
        <w:rPr>
          <w:rFonts w:ascii="David" w:hAnsi="David"/>
          <w:b/>
          <w:bCs/>
          <w:u w:val="single"/>
          <w:rtl/>
        </w:rPr>
      </w:pPr>
      <w:r>
        <w:rPr>
          <w:rFonts w:ascii="David" w:hAnsi="David"/>
          <w:b/>
          <w:bCs/>
          <w:u w:val="single"/>
          <w:rtl/>
        </w:rPr>
        <w:t>עיקר הראיות והטיעונים לקביעת העונש:</w:t>
      </w:r>
    </w:p>
    <w:p w14:paraId="6B7164A4" w14:textId="77777777" w:rsidR="00D3370E" w:rsidRDefault="00D3370E" w:rsidP="00D3370E">
      <w:pPr>
        <w:numPr>
          <w:ilvl w:val="0"/>
          <w:numId w:val="2"/>
        </w:numPr>
        <w:spacing w:after="120" w:line="360" w:lineRule="auto"/>
        <w:ind w:left="360"/>
        <w:jc w:val="both"/>
        <w:rPr>
          <w:rFonts w:ascii="David" w:hAnsi="David"/>
        </w:rPr>
      </w:pPr>
      <w:r>
        <w:rPr>
          <w:rtl/>
        </w:rPr>
        <w:t>ב"כ המאשימה לא הגישה ראיות לקביעת העונש.</w:t>
      </w:r>
      <w:r>
        <w:rPr>
          <w:rFonts w:ascii="David" w:hAnsi="David"/>
          <w:rtl/>
        </w:rPr>
        <w:t xml:space="preserve"> </w:t>
      </w:r>
      <w:r>
        <w:rPr>
          <w:rFonts w:ascii="Tahoma" w:hAnsi="Tahoma"/>
          <w:rtl/>
        </w:rPr>
        <w:t xml:space="preserve">בטיעוניה עמדה ב"כ המאשימה על עובדות כתב האישום המתוקן, תוך שהדגישה כי הנאשם </w:t>
      </w:r>
      <w:r>
        <w:rPr>
          <w:rFonts w:ascii="David" w:hAnsi="David"/>
          <w:rtl/>
        </w:rPr>
        <w:t xml:space="preserve">החזיק את הסמים, במשקל כולל של 400 גרם, בארבע אריזות. אשר לערכים החברתיים, שנפגעו כתולדה מביצוע העבירה, ציינה ב"כ המאשימה את הפגיעה בהגנה על שלום הציבור מפני הנזקים הישירים והעקיפים הנגרמים כתולדה מהשימוש בסמים המסוכנים. עוד הדגישה </w:t>
      </w:r>
      <w:r>
        <w:rPr>
          <w:rFonts w:ascii="David" w:hAnsi="David" w:hint="cs"/>
          <w:rtl/>
        </w:rPr>
        <w:t xml:space="preserve">התובעת </w:t>
      </w:r>
      <w:r>
        <w:rPr>
          <w:rFonts w:ascii="David" w:hAnsi="David"/>
          <w:rtl/>
        </w:rPr>
        <w:t>את הפגיעה ב</w:t>
      </w:r>
      <w:r>
        <w:rPr>
          <w:rFonts w:ascii="David" w:hAnsi="David" w:hint="cs"/>
          <w:rtl/>
        </w:rPr>
        <w:t xml:space="preserve">ערך של </w:t>
      </w:r>
      <w:r>
        <w:rPr>
          <w:rFonts w:ascii="David" w:hAnsi="David"/>
          <w:rtl/>
        </w:rPr>
        <w:t>הגנה על שלום הציבור, בהיות עבירות הסמים גורם המחולל פשיעה נוספת.</w:t>
      </w:r>
    </w:p>
    <w:p w14:paraId="782EE06F"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t xml:space="preserve">לעניין מדיניות הענישה הנהוגה הפנתה ב"כ המאשימה לפסיקה, לרבות </w:t>
      </w:r>
      <w:hyperlink r:id="rId15" w:history="1">
        <w:r w:rsidR="00B2411A" w:rsidRPr="00B2411A">
          <w:rPr>
            <w:rFonts w:ascii="Tahoma" w:hAnsi="Tahoma"/>
            <w:color w:val="0000FF"/>
            <w:u w:val="single"/>
            <w:rtl/>
          </w:rPr>
          <w:t>ת"פ (שלום ב"ש) 61181-02-19</w:t>
        </w:r>
      </w:hyperlink>
      <w:r w:rsidR="00B2411A">
        <w:rPr>
          <w:rFonts w:ascii="Tahoma" w:hAnsi="Tahoma"/>
          <w:rtl/>
        </w:rPr>
        <w:t xml:space="preserve"> </w:t>
      </w:r>
      <w:r>
        <w:rPr>
          <w:rFonts w:ascii="Tahoma" w:hAnsi="Tahoma"/>
          <w:b/>
          <w:bCs/>
          <w:rtl/>
        </w:rPr>
        <w:t>מדינת ישראל נ' רובינוב</w:t>
      </w:r>
      <w:r w:rsidR="00B2411A">
        <w:rPr>
          <w:rFonts w:ascii="Tahoma" w:hAnsi="Tahoma"/>
          <w:rtl/>
        </w:rPr>
        <w:t xml:space="preserve"> </w:t>
      </w:r>
      <w:r>
        <w:rPr>
          <w:rFonts w:ascii="Tahoma" w:hAnsi="Tahoma"/>
          <w:rtl/>
        </w:rPr>
        <w:t xml:space="preserve">(30.3.2022), שם נקבע מתחם עונש הולם שבין 4 חודשי מאסר לבין 12 חודשי מאסר, </w:t>
      </w:r>
      <w:r>
        <w:rPr>
          <w:rFonts w:ascii="Tahoma" w:hAnsi="Tahoma" w:hint="cs"/>
          <w:rtl/>
        </w:rPr>
        <w:t xml:space="preserve">מתחם </w:t>
      </w:r>
      <w:r>
        <w:rPr>
          <w:rFonts w:ascii="Tahoma" w:hAnsi="Tahoma"/>
          <w:rtl/>
        </w:rPr>
        <w:t>אותו ביקשה לאמץ בענייננו. עם זאת יוער, כי באותו המקרה דובר בהחזקה הסמים ברכב, דהיינו בהחזקה בנסיבות של פוטנציאל הפצה גדול יותר. עוד הפנתה התובעת ל</w:t>
      </w:r>
      <w:hyperlink r:id="rId16" w:history="1">
        <w:r w:rsidR="00B2411A" w:rsidRPr="00B2411A">
          <w:rPr>
            <w:rFonts w:ascii="Tahoma" w:hAnsi="Tahoma"/>
            <w:color w:val="0000FF"/>
            <w:u w:val="single"/>
            <w:rtl/>
          </w:rPr>
          <w:t>ת"פ (שלום ב"ש) 27419-09-18</w:t>
        </w:r>
      </w:hyperlink>
      <w:r>
        <w:rPr>
          <w:rFonts w:ascii="Tahoma" w:hAnsi="Tahoma"/>
          <w:rtl/>
        </w:rPr>
        <w:t xml:space="preserve"> </w:t>
      </w:r>
      <w:r>
        <w:rPr>
          <w:rFonts w:ascii="Tahoma" w:hAnsi="Tahoma"/>
          <w:b/>
          <w:bCs/>
          <w:rtl/>
        </w:rPr>
        <w:t>מדינת ישראל נ' אבו לקימה</w:t>
      </w:r>
      <w:r>
        <w:rPr>
          <w:rFonts w:ascii="Tahoma" w:hAnsi="Tahoma"/>
          <w:rtl/>
        </w:rPr>
        <w:t xml:space="preserve"> (26.12.2018), שם נקבע מתחם דומה כאשר דובר בהחזקת הסמים בבית מגורים.</w:t>
      </w:r>
    </w:p>
    <w:p w14:paraId="39650214"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מתחם העונש ההולם ציינה ב"כ המאשימה, בהגינותה, את נסיבות הקולה, ובהן העדר העבר הפלילי, נטילת האחריות ונסיבות החיים המורכבות</w:t>
      </w:r>
      <w:r>
        <w:rPr>
          <w:rFonts w:ascii="Tahoma" w:hAnsi="Tahoma" w:hint="cs"/>
          <w:rtl/>
        </w:rPr>
        <w:t xml:space="preserve"> של הנאשם</w:t>
      </w:r>
      <w:r>
        <w:rPr>
          <w:rFonts w:ascii="Tahoma" w:hAnsi="Tahoma"/>
          <w:rtl/>
        </w:rPr>
        <w:t xml:space="preserve">. ב"כ המאשימה עתרה אפוא לגזירת הדין ברף התחתון של מתחם העונש ההולם לו </w:t>
      </w:r>
      <w:r>
        <w:rPr>
          <w:rFonts w:ascii="Tahoma" w:hAnsi="Tahoma" w:hint="cs"/>
          <w:rtl/>
        </w:rPr>
        <w:t>טענה</w:t>
      </w:r>
      <w:r>
        <w:rPr>
          <w:rFonts w:ascii="Tahoma" w:hAnsi="Tahoma"/>
          <w:rtl/>
        </w:rPr>
        <w:t xml:space="preserve">, תוך </w:t>
      </w:r>
      <w:r>
        <w:rPr>
          <w:rFonts w:ascii="Tahoma" w:hAnsi="Tahoma" w:hint="cs"/>
          <w:rtl/>
        </w:rPr>
        <w:t>השתת</w:t>
      </w:r>
      <w:r>
        <w:rPr>
          <w:rFonts w:ascii="Tahoma" w:hAnsi="Tahoma"/>
          <w:rtl/>
        </w:rPr>
        <w:t xml:space="preserve"> ענישה נלווית כפי שהסכימו </w:t>
      </w:r>
      <w:r>
        <w:rPr>
          <w:rFonts w:ascii="Tahoma" w:hAnsi="Tahoma" w:hint="cs"/>
          <w:rtl/>
        </w:rPr>
        <w:t xml:space="preserve">כאמור </w:t>
      </w:r>
      <w:r>
        <w:rPr>
          <w:rFonts w:ascii="Tahoma" w:hAnsi="Tahoma"/>
          <w:rtl/>
        </w:rPr>
        <w:t>הצדדים בעת הצגת הסדר הטיעון.</w:t>
      </w:r>
    </w:p>
    <w:p w14:paraId="730D8790"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lastRenderedPageBreak/>
        <w:t>ב"כ הנאשם, מצידו, הרחיב בתיאור נסיבותיו המקלות של הנאשם, יליד שנת 1963, בן 61 שנים כיום. לנאשם אין כל רישומים קודמים – לא לפני ולא אחרי מועד ביצוע העבירה מושא כתב האישום, כאשר מאז ביצוע העבירה כבר חלף זמן רב. לנאשם שישה ילדים בגירים</w:t>
      </w:r>
      <w:r>
        <w:rPr>
          <w:rFonts w:ascii="Tahoma" w:hAnsi="Tahoma" w:hint="cs"/>
          <w:rtl/>
        </w:rPr>
        <w:t xml:space="preserve">. </w:t>
      </w:r>
      <w:r>
        <w:rPr>
          <w:rFonts w:ascii="Tahoma" w:hAnsi="Tahoma"/>
          <w:rtl/>
        </w:rPr>
        <w:t>אחד מהם עבר לאחרונה תאונת דרכים קשה והנאשם כל יום נמצא עמו בבית החולים ומטפל בו. בנוסף, הנאשם הודה בעובדות כתב האישום המתוקן ונטל אחריות מידית על מעשיו עוד במהלך חקירת המשטרה</w:t>
      </w:r>
      <w:r>
        <w:rPr>
          <w:rFonts w:ascii="Tahoma" w:hAnsi="Tahoma" w:hint="cs"/>
          <w:rtl/>
        </w:rPr>
        <w:t>, ויש לזקוף זאת לזכותו.</w:t>
      </w:r>
    </w:p>
    <w:p w14:paraId="69169865"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t>אשר לקביעת מתחם העונש ההולם הדגיש הסניגור את העובדה ש</w:t>
      </w:r>
      <w:r>
        <w:rPr>
          <w:rFonts w:ascii="Tahoma" w:hAnsi="Tahoma" w:hint="cs"/>
          <w:rtl/>
        </w:rPr>
        <w:t xml:space="preserve">במקרה זה </w:t>
      </w:r>
      <w:r>
        <w:rPr>
          <w:rFonts w:ascii="Tahoma" w:hAnsi="Tahoma"/>
          <w:rtl/>
        </w:rPr>
        <w:t>הסמים הוחזקו בביתו של הנאשם ולא הועברו לציבור, והפנה לפסיקה רבה בה נקבע – לגבי החזקת סמים מסוג קנבוס בכמויות דומות – מתחם עונש הולם שתחילתו בענישה צופה פני עתיד. בהקשר זה הפנה הסניגור, בין השאר, ל</w:t>
      </w:r>
      <w:hyperlink r:id="rId17" w:history="1">
        <w:r w:rsidR="00B2411A" w:rsidRPr="00B2411A">
          <w:rPr>
            <w:rFonts w:ascii="Tahoma" w:hAnsi="Tahoma"/>
            <w:color w:val="0000FF"/>
            <w:u w:val="single"/>
            <w:rtl/>
          </w:rPr>
          <w:t>ת"פ (שלום ת"א) 28561-03-23</w:t>
        </w:r>
      </w:hyperlink>
      <w:r w:rsidR="00B2411A">
        <w:rPr>
          <w:rFonts w:ascii="Tahoma" w:hAnsi="Tahoma"/>
          <w:rtl/>
        </w:rPr>
        <w:t xml:space="preserve"> </w:t>
      </w:r>
      <w:r>
        <w:rPr>
          <w:rFonts w:ascii="Tahoma" w:hAnsi="Tahoma"/>
          <w:b/>
          <w:bCs/>
          <w:rtl/>
        </w:rPr>
        <w:t>מדינת ישראל נ' וקנין</w:t>
      </w:r>
      <w:r w:rsidR="00B2411A">
        <w:rPr>
          <w:rFonts w:ascii="Tahoma" w:hAnsi="Tahoma"/>
          <w:rtl/>
        </w:rPr>
        <w:t xml:space="preserve"> </w:t>
      </w:r>
      <w:r>
        <w:rPr>
          <w:rFonts w:ascii="Tahoma" w:hAnsi="Tahoma"/>
          <w:rtl/>
        </w:rPr>
        <w:t>(18.6.2023), ועתר לאימוץ מתחם עונש הולם דומה בענייננו.</w:t>
      </w:r>
    </w:p>
    <w:p w14:paraId="22E148EA" w14:textId="77777777" w:rsidR="00D3370E" w:rsidRDefault="00D3370E" w:rsidP="00D3370E">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מצטער ומתחרט. היום אני מטפל בבן שלי שעבר תאונת דרכים. אני כל יום אצלו</w:t>
      </w:r>
      <w:r>
        <w:rPr>
          <w:rFonts w:ascii="Tahoma" w:hAnsi="Tahoma"/>
          <w:rtl/>
        </w:rPr>
        <w:t>" (בפרוטוקול, עמ' 6 שורה 17).</w:t>
      </w:r>
    </w:p>
    <w:p w14:paraId="37B6F3E7" w14:textId="77777777" w:rsidR="00D3370E" w:rsidRDefault="00D3370E" w:rsidP="00D3370E">
      <w:pPr>
        <w:spacing w:after="120" w:line="360" w:lineRule="auto"/>
        <w:jc w:val="both"/>
        <w:rPr>
          <w:rFonts w:ascii="David" w:hAnsi="David"/>
        </w:rPr>
      </w:pPr>
    </w:p>
    <w:p w14:paraId="00B7B5EB" w14:textId="77777777" w:rsidR="00D3370E" w:rsidRDefault="00D3370E" w:rsidP="00D3370E">
      <w:pPr>
        <w:pStyle w:val="a9"/>
        <w:numPr>
          <w:ilvl w:val="0"/>
          <w:numId w:val="1"/>
        </w:numPr>
        <w:spacing w:before="120" w:after="120" w:line="360" w:lineRule="auto"/>
        <w:ind w:left="360"/>
        <w:jc w:val="both"/>
        <w:rPr>
          <w:rFonts w:ascii="David" w:hAnsi="David"/>
          <w:b/>
          <w:bCs/>
          <w:u w:val="single"/>
          <w:rtl/>
        </w:rPr>
      </w:pPr>
      <w:r>
        <w:rPr>
          <w:rFonts w:ascii="David" w:hAnsi="David"/>
          <w:b/>
          <w:bCs/>
          <w:u w:val="single"/>
          <w:rtl/>
        </w:rPr>
        <w:t>קביעת מתחם העונש ההולם:</w:t>
      </w:r>
    </w:p>
    <w:p w14:paraId="22CAB969" w14:textId="77777777" w:rsidR="00D3370E" w:rsidRDefault="00D3370E" w:rsidP="00D3370E">
      <w:pPr>
        <w:numPr>
          <w:ilvl w:val="0"/>
          <w:numId w:val="2"/>
        </w:numPr>
        <w:spacing w:after="120" w:line="360" w:lineRule="auto"/>
        <w:ind w:left="360"/>
        <w:jc w:val="both"/>
        <w:rPr>
          <w:rFonts w:ascii="David" w:hAnsi="David"/>
        </w:rPr>
      </w:pPr>
      <w:r>
        <w:rPr>
          <w:rFonts w:ascii="David" w:hAnsi="David"/>
          <w:rtl/>
        </w:rPr>
        <w:t xml:space="preserve">בהתאם להוראות </w:t>
      </w:r>
      <w:hyperlink r:id="rId18" w:history="1">
        <w:r w:rsidR="00B2411A" w:rsidRPr="00B2411A">
          <w:rPr>
            <w:rFonts w:ascii="David" w:hAnsi="David"/>
            <w:color w:val="0000FF"/>
            <w:u w:val="single"/>
            <w:rtl/>
          </w:rPr>
          <w:t>חוק העונשין</w:t>
        </w:r>
      </w:hyperlink>
      <w:r>
        <w:rPr>
          <w:rFonts w:ascii="David" w:hAnsi="David"/>
          <w:rtl/>
        </w:rPr>
        <w:t xml:space="preserve">, תשל"ז-1977 (להלן – חוק העונשין), </w:t>
      </w:r>
      <w:r>
        <w:rPr>
          <w:rFonts w:ascii="Tahoma" w:hAnsi="Tahoma"/>
          <w:rtl/>
        </w:rPr>
        <w:t>בעת גזירת עונשו של נאשם</w:t>
      </w:r>
      <w:r>
        <w:rPr>
          <w:rFonts w:ascii="Tahoma" w:hAnsi="Tahoma" w:hint="cs"/>
          <w:rtl/>
        </w:rPr>
        <w:t xml:space="preserve"> </w:t>
      </w:r>
      <w:r>
        <w:rPr>
          <w:rFonts w:ascii="Tahoma" w:hAnsi="Tahoma"/>
          <w:rtl/>
        </w:rPr>
        <w:t>על בית המשפט לקבוע, תחילה, את מתחם העונש ההולם לאירוע שבגינו הורשע הנאשם, וזאת בהתאם לעיקרון ההלימה. בהקשר זה יתחשב בית המשפט, בין השאר, בערכים החברתיים שנפגעו מביצוע העבירה ובמידת הפגיעה בהם, במדיניות הענישה הנהוגה ובנסיבות הקשורות בביצוע העבירה</w:t>
      </w:r>
      <w:r>
        <w:rPr>
          <w:rFonts w:ascii="Tahoma" w:hAnsi="Tahoma" w:hint="cs"/>
          <w:rtl/>
        </w:rPr>
        <w:t>;</w:t>
      </w:r>
      <w:r>
        <w:rPr>
          <w:rFonts w:ascii="Tahoma" w:hAnsi="Tahoma"/>
          <w:rtl/>
        </w:rPr>
        <w:t xml:space="preserve"> לרבות אלה המנויות </w:t>
      </w:r>
      <w:r>
        <w:rPr>
          <w:rFonts w:ascii="David" w:hAnsi="David"/>
          <w:rtl/>
        </w:rPr>
        <w:t xml:space="preserve">בהוראות </w:t>
      </w:r>
      <w:hyperlink r:id="rId19" w:history="1">
        <w:r w:rsidR="00F650AF" w:rsidRPr="00F650AF">
          <w:rPr>
            <w:rStyle w:val="Hyperlink"/>
            <w:rFonts w:ascii="David" w:hAnsi="David"/>
            <w:rtl/>
          </w:rPr>
          <w:t>סעיף 40ט</w:t>
        </w:r>
      </w:hyperlink>
      <w:r>
        <w:rPr>
          <w:rFonts w:ascii="David" w:hAnsi="David"/>
          <w:rtl/>
        </w:rPr>
        <w:t xml:space="preserve"> ל</w:t>
      </w:r>
      <w:hyperlink r:id="rId20" w:history="1">
        <w:r w:rsidR="00B2411A" w:rsidRPr="00B2411A">
          <w:rPr>
            <w:rFonts w:ascii="David" w:hAnsi="David"/>
            <w:color w:val="0000FF"/>
            <w:u w:val="single"/>
            <w:rtl/>
          </w:rPr>
          <w:t>חוק העונשין</w:t>
        </w:r>
      </w:hyperlink>
      <w:r>
        <w:rPr>
          <w:rFonts w:ascii="David" w:hAnsi="David"/>
          <w:rtl/>
        </w:rPr>
        <w:t>.</w:t>
      </w:r>
    </w:p>
    <w:p w14:paraId="5637BE19" w14:textId="77777777" w:rsidR="00D3370E" w:rsidRDefault="00D3370E" w:rsidP="00D3370E">
      <w:pPr>
        <w:numPr>
          <w:ilvl w:val="0"/>
          <w:numId w:val="2"/>
        </w:numPr>
        <w:spacing w:after="120" w:line="360" w:lineRule="auto"/>
        <w:ind w:left="360"/>
        <w:jc w:val="both"/>
        <w:rPr>
          <w:rFonts w:ascii="David" w:hAnsi="David"/>
        </w:rPr>
      </w:pPr>
      <w:r>
        <w:rPr>
          <w:rFonts w:ascii="Tahoma" w:hAnsi="Tahoma"/>
          <w:rtl/>
        </w:rPr>
        <w:t xml:space="preserve">לעניין הערכים </w:t>
      </w:r>
      <w:r>
        <w:rPr>
          <w:rFonts w:ascii="David" w:hAnsi="David"/>
          <w:rtl/>
        </w:rPr>
        <w:t>החברתיים שנפגעו כתולדה מביצוע העבירה מקובל עליי טיעון ב"כ המאשימה, ואוסיף ואדגיש כי הדברים הוטעמו בפסיקה שוב ושוב. עם זאת, בעבירות סמים ניתנת משמעות עונשית מהותית לסוג הסמים ולכמותם. לכן, כאשר מדובר בהחזקת סמים מסוכנים מסוג קנבוס במשקל של עד חצי ק"ג, גם כאשר מדובר בהחזקה שאינה לצריכה עצמית</w:t>
      </w:r>
      <w:r>
        <w:rPr>
          <w:rFonts w:ascii="David" w:hAnsi="David" w:hint="cs"/>
          <w:rtl/>
        </w:rPr>
        <w:t>,</w:t>
      </w:r>
      <w:r>
        <w:rPr>
          <w:rFonts w:ascii="David" w:hAnsi="David"/>
          <w:rtl/>
        </w:rPr>
        <w:t xml:space="preserve"> הרף התחתון של מתחם העונש ההולם </w:t>
      </w:r>
      <w:r>
        <w:rPr>
          <w:rFonts w:ascii="David" w:hAnsi="David" w:hint="cs"/>
          <w:rtl/>
        </w:rPr>
        <w:t xml:space="preserve">המקובל בפסיקה </w:t>
      </w:r>
      <w:r>
        <w:rPr>
          <w:rFonts w:ascii="David" w:hAnsi="David"/>
          <w:rtl/>
        </w:rPr>
        <w:t xml:space="preserve">כיום </w:t>
      </w:r>
      <w:r>
        <w:rPr>
          <w:rFonts w:ascii="David" w:hAnsi="David" w:hint="cs"/>
          <w:rtl/>
        </w:rPr>
        <w:t xml:space="preserve">עומד </w:t>
      </w:r>
      <w:r>
        <w:rPr>
          <w:rFonts w:ascii="David" w:hAnsi="David"/>
          <w:rtl/>
        </w:rPr>
        <w:t xml:space="preserve">על ענישה צופה פני עתיד בצירוף ענישה נלווית, כמובן בהתאם ובכפוף למכלול נסיבות העניין (ר' למשל </w:t>
      </w:r>
      <w:hyperlink r:id="rId21" w:history="1">
        <w:r w:rsidR="00B2411A" w:rsidRPr="00B2411A">
          <w:rPr>
            <w:rFonts w:ascii="David" w:hAnsi="David"/>
            <w:color w:val="0000FF"/>
            <w:u w:val="single"/>
            <w:rtl/>
          </w:rPr>
          <w:t>ת"פ (שלום ת"א) 38341-10-20</w:t>
        </w:r>
      </w:hyperlink>
      <w:r w:rsidR="00B2411A">
        <w:rPr>
          <w:rFonts w:ascii="David" w:hAnsi="David"/>
          <w:rtl/>
        </w:rPr>
        <w:t xml:space="preserve"> </w:t>
      </w:r>
      <w:r>
        <w:rPr>
          <w:rFonts w:ascii="David" w:hAnsi="David"/>
          <w:b/>
          <w:bCs/>
          <w:rtl/>
        </w:rPr>
        <w:t>מדינת ישראל נ' ירוזלסקי</w:t>
      </w:r>
      <w:r w:rsidR="00B2411A">
        <w:rPr>
          <w:rFonts w:ascii="David" w:hAnsi="David"/>
          <w:rtl/>
        </w:rPr>
        <w:t xml:space="preserve"> </w:t>
      </w:r>
      <w:r>
        <w:rPr>
          <w:rFonts w:ascii="David" w:hAnsi="David"/>
          <w:rtl/>
        </w:rPr>
        <w:t>(27.3.2023) והאסמכתאות שם).</w:t>
      </w:r>
    </w:p>
    <w:p w14:paraId="338498F7" w14:textId="77777777" w:rsidR="00D3370E" w:rsidRDefault="00D3370E" w:rsidP="00D3370E">
      <w:pPr>
        <w:numPr>
          <w:ilvl w:val="0"/>
          <w:numId w:val="2"/>
        </w:numPr>
        <w:spacing w:after="120" w:line="360" w:lineRule="auto"/>
        <w:ind w:left="360"/>
        <w:jc w:val="both"/>
        <w:rPr>
          <w:rFonts w:ascii="David" w:hAnsi="David"/>
        </w:rPr>
      </w:pPr>
      <w:r>
        <w:rPr>
          <w:rFonts w:ascii="David" w:hAnsi="David"/>
          <w:rtl/>
        </w:rPr>
        <w:t xml:space="preserve">בענייננו מדובר בהחזקת סמים מסוכנים מסוג קנבוס, במשקל של 400 גרם. הסמים הוחזקו בביתו של הנאשם, דהיינו במקום שבו פוטנציאל ההפצה נמוך יחסית (בהשוואה להחזקת סמים ברכב או במקום בילוי). עם זאת, התקיימו </w:t>
      </w:r>
      <w:r>
        <w:rPr>
          <w:rFonts w:ascii="David" w:hAnsi="David" w:hint="cs"/>
          <w:rtl/>
        </w:rPr>
        <w:t xml:space="preserve">בענייננו </w:t>
      </w:r>
      <w:r>
        <w:rPr>
          <w:rFonts w:ascii="David" w:hAnsi="David"/>
          <w:rtl/>
        </w:rPr>
        <w:t xml:space="preserve">גם נסיבות חומרה בהחזקת הסמים, </w:t>
      </w:r>
      <w:r>
        <w:rPr>
          <w:rFonts w:ascii="David" w:hAnsi="David" w:hint="cs"/>
          <w:rtl/>
        </w:rPr>
        <w:t>שבאו לידי ביטוי ב</w:t>
      </w:r>
      <w:r>
        <w:rPr>
          <w:rFonts w:ascii="David" w:hAnsi="David"/>
          <w:rtl/>
        </w:rPr>
        <w:t xml:space="preserve">חלוקת הסמים לארבע והחזקתם יחד עם התפוסים הנוספים, </w:t>
      </w:r>
      <w:r>
        <w:rPr>
          <w:rFonts w:ascii="David" w:hAnsi="David" w:hint="cs"/>
          <w:rtl/>
        </w:rPr>
        <w:t xml:space="preserve">כאשר </w:t>
      </w:r>
      <w:r>
        <w:rPr>
          <w:rFonts w:ascii="David" w:hAnsi="David"/>
          <w:rtl/>
        </w:rPr>
        <w:t>בהקשר זה יש לציין במיוחד את שקיות החלוקה והמשקל האלקטרוני. בנסיבות אלה</w:t>
      </w:r>
      <w:r>
        <w:rPr>
          <w:rFonts w:ascii="David" w:hAnsi="David" w:hint="cs"/>
          <w:rtl/>
        </w:rPr>
        <w:t>, הגם ש</w:t>
      </w:r>
      <w:r>
        <w:rPr>
          <w:rFonts w:ascii="David" w:hAnsi="David"/>
          <w:rtl/>
        </w:rPr>
        <w:t xml:space="preserve">ניתן להסתפק בקביעת מתחם עונש הולם שתחילתו בענישה הצופה פני עתיד, </w:t>
      </w:r>
      <w:r>
        <w:rPr>
          <w:rFonts w:ascii="David" w:hAnsi="David" w:hint="cs"/>
          <w:rtl/>
        </w:rPr>
        <w:t xml:space="preserve">יש לעשות כן </w:t>
      </w:r>
      <w:r>
        <w:rPr>
          <w:rFonts w:ascii="David" w:hAnsi="David"/>
          <w:rtl/>
        </w:rPr>
        <w:t>בצירוף ענישה כלכלית שנדרשת בנסיבות העניין.</w:t>
      </w:r>
    </w:p>
    <w:p w14:paraId="00ED0FA8" w14:textId="77777777" w:rsidR="00D3370E" w:rsidRDefault="00D3370E" w:rsidP="00D3370E">
      <w:pPr>
        <w:numPr>
          <w:ilvl w:val="0"/>
          <w:numId w:val="2"/>
        </w:numPr>
        <w:spacing w:after="120" w:line="360" w:lineRule="auto"/>
        <w:ind w:left="360"/>
        <w:jc w:val="both"/>
        <w:rPr>
          <w:rFonts w:ascii="David" w:hAnsi="David"/>
        </w:rPr>
      </w:pPr>
      <w:r>
        <w:rPr>
          <w:rFonts w:ascii="David" w:hAnsi="David"/>
          <w:rtl/>
        </w:rPr>
        <w:t>אני קובע אפוא את מתחם העונש ההולם במקרה זה בין ענישה צופה פני עתיד בצירוף ענישה נלווית, לרבות קנס כספי, לבין 9 חודשי מאסר בפועל.</w:t>
      </w:r>
    </w:p>
    <w:p w14:paraId="217E3DEE" w14:textId="77777777" w:rsidR="00D3370E" w:rsidRDefault="00D3370E" w:rsidP="00D3370E">
      <w:pPr>
        <w:spacing w:after="120" w:line="360" w:lineRule="auto"/>
        <w:jc w:val="both"/>
        <w:rPr>
          <w:rFonts w:ascii="Tahoma" w:hAnsi="Tahoma"/>
          <w:rtl/>
        </w:rPr>
      </w:pPr>
    </w:p>
    <w:p w14:paraId="031A9926" w14:textId="77777777" w:rsidR="00D3370E" w:rsidRPr="007E2045" w:rsidRDefault="00D3370E" w:rsidP="00D3370E">
      <w:pPr>
        <w:pStyle w:val="a9"/>
        <w:numPr>
          <w:ilvl w:val="0"/>
          <w:numId w:val="1"/>
        </w:numPr>
        <w:spacing w:after="120" w:line="360" w:lineRule="auto"/>
        <w:ind w:left="360"/>
        <w:jc w:val="both"/>
        <w:rPr>
          <w:rFonts w:ascii="Tahoma" w:hAnsi="Tahoma"/>
          <w:b/>
          <w:bCs/>
          <w:u w:val="single"/>
          <w:rtl/>
        </w:rPr>
      </w:pPr>
      <w:r w:rsidRPr="007E2045">
        <w:rPr>
          <w:rFonts w:hint="cs"/>
          <w:b/>
          <w:bCs/>
          <w:u w:val="single"/>
          <w:rtl/>
        </w:rPr>
        <w:t>גזירת עונשו של הנאשם בתוך מתחם העונש ההולם:</w:t>
      </w:r>
    </w:p>
    <w:p w14:paraId="2E7202F0" w14:textId="77777777" w:rsidR="00D3370E" w:rsidRPr="003F04C9" w:rsidRDefault="00D3370E" w:rsidP="00D3370E">
      <w:pPr>
        <w:numPr>
          <w:ilvl w:val="0"/>
          <w:numId w:val="2"/>
        </w:numPr>
        <w:spacing w:after="120" w:line="360" w:lineRule="auto"/>
        <w:ind w:left="360"/>
        <w:jc w:val="both"/>
        <w:rPr>
          <w:rFonts w:ascii="Tahoma" w:hAnsi="Tahoma"/>
        </w:rPr>
      </w:pPr>
      <w:r>
        <w:rPr>
          <w:rFonts w:hint="cs"/>
          <w:rtl/>
        </w:rPr>
        <w:t>לאחר קביעת מתחם העונש ההולם על בית המשפט לגזור את עונשו של הנאשם בתוך מתחם זה תוך התחשבות בנסיבות שאינן קשורות בביצוע העבירה.</w:t>
      </w:r>
    </w:p>
    <w:p w14:paraId="66E76EE4" w14:textId="77777777" w:rsidR="00D3370E" w:rsidRPr="003F04C9" w:rsidRDefault="00D3370E" w:rsidP="00D3370E">
      <w:pPr>
        <w:numPr>
          <w:ilvl w:val="0"/>
          <w:numId w:val="2"/>
        </w:numPr>
        <w:spacing w:after="120" w:line="360" w:lineRule="auto"/>
        <w:ind w:left="360"/>
        <w:jc w:val="both"/>
        <w:rPr>
          <w:rFonts w:ascii="Tahoma" w:hAnsi="Tahoma"/>
        </w:rPr>
      </w:pPr>
      <w:r>
        <w:rPr>
          <w:rFonts w:hint="cs"/>
          <w:rtl/>
        </w:rPr>
        <w:t xml:space="preserve">בהקשר זה לא היתה מחלוקת בין הצדדים לפניי, שכן כאמור גם ב"כ המאשימה עתרה לגזירת העונש בתחתית מתחם העונש ההולם, כאשר לגבי רכיבי העונש שאינם מאסר עתרו הצדדים בהסכמה. </w:t>
      </w:r>
      <w:r w:rsidRPr="003F04C9">
        <w:rPr>
          <w:rFonts w:ascii="Tahoma" w:hAnsi="Tahoma" w:hint="cs"/>
          <w:rtl/>
        </w:rPr>
        <w:t>כמעט למותר לציין כי הסכמה זו של הצדדים היא בגדרי הסביר, וזאת נוכח העדר כל רישומים פליליים קודמים או מאוחרים, בפרט בשים לב לגילו של הנאשם, וההודאה ונטילת האחריות. עם זאת, כאמור, בהתחשב בנסיבות האירוע מתחם העונש ההולם כולל גם ענישה כלכלית, ועל כן יש להמיר את רכיב ההתחייבות בקנס כספי ממשי, על מנת לקבוע את תמהיל הענישה ההולם.</w:t>
      </w:r>
    </w:p>
    <w:p w14:paraId="579614C7" w14:textId="77777777" w:rsidR="00D3370E" w:rsidRPr="003F04C9" w:rsidRDefault="00D3370E" w:rsidP="00D3370E">
      <w:pPr>
        <w:spacing w:after="120" w:line="360" w:lineRule="auto"/>
        <w:ind w:left="360"/>
        <w:jc w:val="both"/>
        <w:rPr>
          <w:rFonts w:ascii="Tahoma" w:hAnsi="Tahoma"/>
          <w:rtl/>
        </w:rPr>
      </w:pPr>
    </w:p>
    <w:p w14:paraId="33A806B0" w14:textId="77777777" w:rsidR="00D3370E" w:rsidRDefault="00D3370E" w:rsidP="00D3370E">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50155318" w14:textId="77777777" w:rsidR="00D3370E" w:rsidRPr="002059D0" w:rsidRDefault="00D3370E" w:rsidP="00D3370E">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D21B2A8" w14:textId="77777777" w:rsidR="00D3370E" w:rsidRDefault="00D3370E" w:rsidP="00D3370E">
      <w:pPr>
        <w:spacing w:after="120" w:line="360" w:lineRule="auto"/>
        <w:ind w:left="1080" w:hanging="720"/>
        <w:jc w:val="both"/>
        <w:rPr>
          <w:rtl/>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לפי הוראות </w:t>
      </w:r>
      <w:hyperlink r:id="rId22" w:history="1">
        <w:r w:rsidR="00B2411A" w:rsidRPr="00B2411A">
          <w:rPr>
            <w:color w:val="0000FF"/>
            <w:u w:val="single"/>
            <w:rtl/>
          </w:rPr>
          <w:t>פקודת הסמים המסוכנים</w:t>
        </w:r>
      </w:hyperlink>
      <w:r>
        <w:rPr>
          <w:rFonts w:hint="cs"/>
          <w:rtl/>
        </w:rPr>
        <w:t xml:space="preserve"> מסוג פשע.</w:t>
      </w:r>
    </w:p>
    <w:p w14:paraId="70CFC94B" w14:textId="77777777" w:rsidR="00D3370E" w:rsidRDefault="00D3370E" w:rsidP="00D3370E">
      <w:pPr>
        <w:spacing w:after="120" w:line="360" w:lineRule="auto"/>
        <w:ind w:left="1080" w:hanging="720"/>
        <w:jc w:val="both"/>
        <w:rPr>
          <w:rtl/>
        </w:rPr>
      </w:pPr>
      <w:r>
        <w:rPr>
          <w:rFonts w:hint="cs"/>
          <w:rtl/>
        </w:rPr>
        <w:t>(ב)</w:t>
      </w:r>
      <w:r>
        <w:rPr>
          <w:rtl/>
        </w:rPr>
        <w:tab/>
      </w:r>
      <w:r>
        <w:rPr>
          <w:rFonts w:hint="cs"/>
          <w:rtl/>
        </w:rPr>
        <w:t>קנס בסך של 3,000 ₪, או 20 ימי מאסר תמורתו.</w:t>
      </w:r>
    </w:p>
    <w:p w14:paraId="6E6A4285" w14:textId="77777777" w:rsidR="00D3370E" w:rsidRDefault="00D3370E" w:rsidP="00D3370E">
      <w:pPr>
        <w:spacing w:after="120" w:line="360" w:lineRule="auto"/>
        <w:ind w:left="1080"/>
        <w:jc w:val="both"/>
        <w:rPr>
          <w:rFonts w:ascii="Tahoma" w:hAnsi="Tahoma"/>
          <w:rtl/>
        </w:rPr>
      </w:pPr>
      <w:r>
        <w:rPr>
          <w:rFonts w:hint="cs"/>
          <w:rtl/>
        </w:rPr>
        <w:t>הקנס ישולם ב-6 תשלומים חודשיים, שווים ורצופים, החל מיום 01.09.2024 ובכל אחד בחודש שלאחריו. היה והנאשם לא ישלם את אחד התשלומים במועד תועמד כל יתרת הקנס לפירעון מידי.</w:t>
      </w:r>
    </w:p>
    <w:p w14:paraId="7D86E751" w14:textId="77777777" w:rsidR="00D3370E" w:rsidRDefault="00D3370E" w:rsidP="00D3370E">
      <w:pPr>
        <w:spacing w:after="120" w:line="360" w:lineRule="auto"/>
        <w:ind w:left="1080" w:hanging="720"/>
        <w:jc w:val="both"/>
        <w:rPr>
          <w:rFonts w:ascii="Tahoma" w:hAnsi="Tahoma"/>
        </w:rPr>
      </w:pPr>
      <w:r>
        <w:rPr>
          <w:rFonts w:hint="cs"/>
          <w:rtl/>
        </w:rPr>
        <w:t>(ג)</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3" w:history="1">
        <w:r w:rsidR="00B2411A" w:rsidRPr="00B2411A">
          <w:rPr>
            <w:color w:val="0000FF"/>
            <w:u w:val="single"/>
            <w:rtl/>
          </w:rPr>
          <w:t>פקודת הסמים המסוכנים</w:t>
        </w:r>
      </w:hyperlink>
      <w:r>
        <w:rPr>
          <w:rFonts w:hint="cs"/>
          <w:rtl/>
        </w:rPr>
        <w:t>.</w:t>
      </w:r>
    </w:p>
    <w:p w14:paraId="3B650A22" w14:textId="77777777" w:rsidR="00D3370E" w:rsidRDefault="00D3370E" w:rsidP="00D3370E">
      <w:pPr>
        <w:spacing w:after="120" w:line="360" w:lineRule="auto"/>
        <w:ind w:left="1080" w:hanging="720"/>
        <w:jc w:val="both"/>
        <w:rPr>
          <w:rFonts w:ascii="Tahoma" w:hAnsi="Tahoma"/>
          <w:rtl/>
        </w:rPr>
      </w:pPr>
      <w:r>
        <w:rPr>
          <w:rFonts w:hint="cs"/>
          <w:rtl/>
        </w:rPr>
        <w:t>(ד)</w:t>
      </w:r>
      <w:r>
        <w:rPr>
          <w:rtl/>
        </w:rPr>
        <w:tab/>
      </w:r>
      <w:r>
        <w:rPr>
          <w:rFonts w:hint="cs"/>
          <w:rtl/>
        </w:rPr>
        <w:t>חילוט הכסף המזומן בסך</w:t>
      </w:r>
      <w:r>
        <w:rPr>
          <w:rFonts w:ascii="Tahoma" w:hAnsi="Tahoma"/>
          <w:rtl/>
        </w:rPr>
        <w:t xml:space="preserve"> של 6,780 ₪</w:t>
      </w:r>
      <w:r>
        <w:rPr>
          <w:rFonts w:ascii="Tahoma" w:hAnsi="Tahoma" w:hint="cs"/>
          <w:rtl/>
        </w:rPr>
        <w:t xml:space="preserve"> שנתפס ברשות הנאשם.</w:t>
      </w:r>
    </w:p>
    <w:p w14:paraId="2E428FFF" w14:textId="77777777" w:rsidR="00D3370E" w:rsidRDefault="00B2411A" w:rsidP="00D3370E">
      <w:pPr>
        <w:spacing w:after="120" w:line="360" w:lineRule="auto"/>
        <w:jc w:val="both"/>
        <w:rPr>
          <w:rtl/>
        </w:rPr>
      </w:pPr>
      <w:r w:rsidRPr="00B2411A">
        <w:rPr>
          <w:color w:val="FFFFFF"/>
          <w:sz w:val="2"/>
          <w:szCs w:val="2"/>
          <w:rtl/>
        </w:rPr>
        <w:t>5129371</w:t>
      </w:r>
      <w:r w:rsidR="00D3370E" w:rsidRPr="00BF022E">
        <w:rPr>
          <w:rtl/>
        </w:rPr>
        <w:t>ככל ש</w:t>
      </w:r>
      <w:r w:rsidR="00D3370E">
        <w:rPr>
          <w:rFonts w:hint="cs"/>
          <w:rtl/>
        </w:rPr>
        <w:t xml:space="preserve">נותר בתיק בית המשפט </w:t>
      </w:r>
      <w:r w:rsidR="00D3370E">
        <w:rPr>
          <w:rtl/>
        </w:rPr>
        <w:t>–</w:t>
      </w:r>
      <w:r w:rsidR="00D3370E">
        <w:rPr>
          <w:rFonts w:hint="cs"/>
          <w:rtl/>
        </w:rPr>
        <w:t xml:space="preserve"> או בתיקים קשורים </w:t>
      </w:r>
      <w:r w:rsidR="00D3370E">
        <w:rPr>
          <w:rtl/>
        </w:rPr>
        <w:t>–</w:t>
      </w:r>
      <w:r w:rsidR="00D3370E">
        <w:rPr>
          <w:rFonts w:hint="cs"/>
          <w:rtl/>
        </w:rPr>
        <w:t xml:space="preserve"> פיקדון שהופקד מטעם הנאשם, בהסכמת ההגנה יקוזז הפיקדון לתשלום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4A9AF4B7" w14:textId="77777777" w:rsidR="00D3370E" w:rsidRDefault="00B2411A" w:rsidP="00D3370E">
      <w:pPr>
        <w:spacing w:after="120" w:line="360" w:lineRule="auto"/>
        <w:jc w:val="both"/>
        <w:rPr>
          <w:rtl/>
        </w:rPr>
      </w:pPr>
      <w:r w:rsidRPr="00B2411A">
        <w:rPr>
          <w:color w:val="FFFFFF"/>
          <w:sz w:val="2"/>
          <w:szCs w:val="2"/>
          <w:rtl/>
        </w:rPr>
        <w:t>54678313</w:t>
      </w:r>
      <w:r w:rsidR="00D3370E">
        <w:rPr>
          <w:rFonts w:hint="cs"/>
          <w:rtl/>
        </w:rPr>
        <w:t>ניתן בזה צו כללי, לעניין מוצגים, לשיקול דעתו של קצין משטרה. הסמים יושמדו. הטלפונים הניידים שנתפסו אצל הנאשם יושבו לו.</w:t>
      </w:r>
    </w:p>
    <w:p w14:paraId="35AAEA78" w14:textId="77777777" w:rsidR="00D3370E" w:rsidRDefault="00D3370E" w:rsidP="00D3370E">
      <w:pPr>
        <w:snapToGrid w:val="0"/>
        <w:spacing w:after="120" w:line="360" w:lineRule="auto"/>
        <w:jc w:val="both"/>
        <w:rPr>
          <w:rtl/>
        </w:rPr>
      </w:pPr>
      <w:r>
        <w:rPr>
          <w:rFonts w:hint="cs"/>
          <w:rtl/>
        </w:rPr>
        <w:t>זכות ערעור בתוך 45 יום מהיום.</w:t>
      </w:r>
    </w:p>
    <w:p w14:paraId="78F1DD33" w14:textId="77777777" w:rsidR="00D3370E" w:rsidRPr="000F2247" w:rsidRDefault="00B2411A" w:rsidP="00D3370E">
      <w:pPr>
        <w:spacing w:line="360" w:lineRule="auto"/>
        <w:jc w:val="both"/>
        <w:rPr>
          <w:rFonts w:ascii="Arial" w:hAnsi="Arial"/>
          <w:b/>
          <w:bCs/>
          <w:sz w:val="26"/>
          <w:szCs w:val="26"/>
          <w:rtl/>
        </w:rPr>
      </w:pPr>
      <w:bookmarkStart w:id="8" w:name="Nitan"/>
      <w:r>
        <w:rPr>
          <w:rFonts w:ascii="Arial" w:hAnsi="Arial"/>
          <w:rtl/>
        </w:rPr>
        <w:t xml:space="preserve">ניתן היום, י"א תמוז תשפ"ד, 17 יולי 2024, במעמד הצדדים. </w:t>
      </w:r>
      <w:bookmarkEnd w:id="8"/>
      <w:r w:rsidR="00D3370E">
        <w:rPr>
          <w:rFonts w:ascii="Arial" w:hAnsi="Arial"/>
          <w:b/>
          <w:bCs/>
          <w:sz w:val="26"/>
          <w:szCs w:val="26"/>
          <w:rtl/>
        </w:rPr>
        <w:tab/>
      </w:r>
      <w:r w:rsidR="00D3370E">
        <w:rPr>
          <w:rFonts w:ascii="Arial" w:hAnsi="Arial"/>
          <w:b/>
          <w:bCs/>
          <w:sz w:val="26"/>
          <w:szCs w:val="26"/>
          <w:rtl/>
        </w:rPr>
        <w:tab/>
      </w:r>
      <w:r w:rsidR="00D3370E">
        <w:rPr>
          <w:rFonts w:ascii="Arial" w:hAnsi="Arial"/>
          <w:b/>
          <w:bCs/>
          <w:sz w:val="26"/>
          <w:szCs w:val="26"/>
          <w:rtl/>
        </w:rPr>
        <w:tab/>
      </w:r>
      <w:r w:rsidR="00D3370E">
        <w:rPr>
          <w:rFonts w:ascii="Arial" w:hAnsi="Arial"/>
          <w:b/>
          <w:bCs/>
          <w:sz w:val="26"/>
          <w:szCs w:val="26"/>
          <w:rtl/>
        </w:rPr>
        <w:tab/>
      </w:r>
      <w:r w:rsidR="00D3370E">
        <w:rPr>
          <w:rFonts w:ascii="Arial" w:hAnsi="Arial"/>
          <w:b/>
          <w:bCs/>
          <w:sz w:val="26"/>
          <w:szCs w:val="26"/>
          <w:rtl/>
        </w:rPr>
        <w:tab/>
      </w:r>
      <w:r w:rsidR="00D3370E">
        <w:rPr>
          <w:rFonts w:ascii="Arial" w:hAnsi="Arial"/>
          <w:b/>
          <w:bCs/>
          <w:sz w:val="26"/>
          <w:szCs w:val="26"/>
          <w:rtl/>
        </w:rPr>
        <w:tab/>
      </w:r>
      <w:r w:rsidR="00D3370E">
        <w:rPr>
          <w:rFonts w:ascii="Arial" w:hAnsi="Arial"/>
          <w:b/>
          <w:bCs/>
          <w:sz w:val="26"/>
          <w:szCs w:val="26"/>
          <w:rtl/>
        </w:rPr>
        <w:tab/>
      </w:r>
      <w:r w:rsidR="00D3370E">
        <w:rPr>
          <w:rFonts w:ascii="Arial" w:hAnsi="Arial" w:hint="cs"/>
          <w:b/>
          <w:bCs/>
          <w:sz w:val="26"/>
          <w:szCs w:val="26"/>
          <w:rtl/>
        </w:rPr>
        <w:t xml:space="preserve">         </w:t>
      </w:r>
    </w:p>
    <w:p w14:paraId="71BFE509" w14:textId="77777777" w:rsidR="00D3370E" w:rsidRPr="000F2247" w:rsidRDefault="00D3370E" w:rsidP="00B2411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C27FAE" w14:textId="77777777" w:rsidR="00D3370E" w:rsidRPr="000F2247" w:rsidRDefault="00D3370E" w:rsidP="00D3370E">
      <w:pPr>
        <w:jc w:val="center"/>
        <w:rPr>
          <w:rFonts w:ascii="Arial" w:hAnsi="Arial"/>
          <w:b/>
          <w:bCs/>
          <w:sz w:val="26"/>
          <w:szCs w:val="26"/>
          <w:rtl/>
        </w:rPr>
      </w:pPr>
    </w:p>
    <w:p w14:paraId="65A92853" w14:textId="77777777" w:rsidR="00CE5978" w:rsidRPr="00B2411A" w:rsidRDefault="00CE5978" w:rsidP="00B2411A">
      <w:pPr>
        <w:keepNext/>
        <w:rPr>
          <w:rFonts w:ascii="David" w:hAnsi="David"/>
          <w:color w:val="000000"/>
          <w:sz w:val="22"/>
          <w:szCs w:val="22"/>
          <w:rtl/>
        </w:rPr>
      </w:pPr>
    </w:p>
    <w:p w14:paraId="257CEA7F" w14:textId="77777777" w:rsidR="00B2411A" w:rsidRPr="00B2411A" w:rsidRDefault="00B2411A" w:rsidP="00B2411A">
      <w:pPr>
        <w:keepNext/>
        <w:rPr>
          <w:rFonts w:ascii="David" w:hAnsi="David"/>
          <w:color w:val="000000"/>
          <w:sz w:val="22"/>
          <w:szCs w:val="22"/>
          <w:rtl/>
        </w:rPr>
      </w:pPr>
      <w:r w:rsidRPr="00B2411A">
        <w:rPr>
          <w:rFonts w:ascii="David" w:hAnsi="David"/>
          <w:color w:val="000000"/>
          <w:sz w:val="22"/>
          <w:szCs w:val="22"/>
          <w:rtl/>
        </w:rPr>
        <w:t>שאול אבינור 54678313</w:t>
      </w:r>
    </w:p>
    <w:p w14:paraId="443CC4A8" w14:textId="77777777" w:rsidR="00B2411A" w:rsidRDefault="00B2411A" w:rsidP="00B2411A">
      <w:r w:rsidRPr="00B2411A">
        <w:rPr>
          <w:color w:val="000000"/>
          <w:rtl/>
        </w:rPr>
        <w:t>נוסח מסמך זה כפוף לשינויי ניסוח ועריכה</w:t>
      </w:r>
    </w:p>
    <w:p w14:paraId="6A51358C" w14:textId="77777777" w:rsidR="00B2411A" w:rsidRDefault="00B2411A" w:rsidP="00B2411A">
      <w:pPr>
        <w:rPr>
          <w:rtl/>
        </w:rPr>
      </w:pPr>
    </w:p>
    <w:p w14:paraId="488037DE" w14:textId="77777777" w:rsidR="00B2411A" w:rsidRDefault="00B2411A" w:rsidP="00B2411A">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9EC0AB9" w14:textId="77777777" w:rsidR="00B2411A" w:rsidRPr="00B2411A" w:rsidRDefault="00B2411A" w:rsidP="00B2411A">
      <w:pPr>
        <w:jc w:val="center"/>
        <w:rPr>
          <w:color w:val="0000FF"/>
          <w:u w:val="single"/>
        </w:rPr>
      </w:pPr>
    </w:p>
    <w:sectPr w:rsidR="00B2411A" w:rsidRPr="00B2411A" w:rsidSect="00B2411A">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3D651" w14:textId="77777777" w:rsidR="003C65E6" w:rsidRDefault="003C65E6" w:rsidP="000C3969">
      <w:r>
        <w:separator/>
      </w:r>
    </w:p>
  </w:endnote>
  <w:endnote w:type="continuationSeparator" w:id="0">
    <w:p w14:paraId="54DA2930" w14:textId="77777777" w:rsidR="003C65E6" w:rsidRDefault="003C65E6" w:rsidP="000C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DF33" w14:textId="77777777" w:rsidR="00B2411A" w:rsidRDefault="00B2411A" w:rsidP="00B241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616978" w14:textId="77777777" w:rsidR="00AB5129" w:rsidRPr="00B2411A" w:rsidRDefault="00B2411A" w:rsidP="00B241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9928E" w14:textId="77777777" w:rsidR="00B2411A" w:rsidRDefault="00B2411A" w:rsidP="00B241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72C1">
      <w:rPr>
        <w:rFonts w:ascii="FrankRuehl" w:hAnsi="FrankRuehl" w:cs="FrankRuehl"/>
        <w:noProof/>
        <w:rtl/>
      </w:rPr>
      <w:t>1</w:t>
    </w:r>
    <w:r>
      <w:rPr>
        <w:rFonts w:ascii="FrankRuehl" w:hAnsi="FrankRuehl" w:cs="FrankRuehl"/>
        <w:rtl/>
      </w:rPr>
      <w:fldChar w:fldCharType="end"/>
    </w:r>
  </w:p>
  <w:p w14:paraId="198841C2" w14:textId="77777777" w:rsidR="00AB5129" w:rsidRPr="00B2411A" w:rsidRDefault="00B2411A" w:rsidP="00B241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6F9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95CA1" w14:textId="77777777" w:rsidR="003C65E6" w:rsidRDefault="003C65E6" w:rsidP="000C3969">
      <w:r>
        <w:separator/>
      </w:r>
    </w:p>
  </w:footnote>
  <w:footnote w:type="continuationSeparator" w:id="0">
    <w:p w14:paraId="22F9F6E5" w14:textId="77777777" w:rsidR="003C65E6" w:rsidRDefault="003C65E6" w:rsidP="000C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64A40" w14:textId="77777777" w:rsidR="00B2411A" w:rsidRPr="00B2411A" w:rsidRDefault="00B2411A" w:rsidP="00B241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57614-05-23</w:t>
    </w:r>
    <w:r>
      <w:rPr>
        <w:rFonts w:ascii="David" w:hAnsi="David"/>
        <w:color w:val="000000"/>
        <w:sz w:val="22"/>
        <w:szCs w:val="22"/>
        <w:rtl/>
      </w:rPr>
      <w:tab/>
      <w:t xml:space="preserve"> מדינת ישראל נ' יעקב גביש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8CD7C" w14:textId="77777777" w:rsidR="00B2411A" w:rsidRPr="00B2411A" w:rsidRDefault="00B2411A" w:rsidP="00B241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57614-05-23</w:t>
    </w:r>
    <w:r>
      <w:rPr>
        <w:rFonts w:ascii="David" w:hAnsi="David"/>
        <w:color w:val="000000"/>
        <w:sz w:val="22"/>
        <w:szCs w:val="22"/>
        <w:rtl/>
      </w:rPr>
      <w:tab/>
      <w:t xml:space="preserve"> מדינת ישראל נ' יעקב גביש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320377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562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370E"/>
    <w:rsid w:val="00007B66"/>
    <w:rsid w:val="000C0F28"/>
    <w:rsid w:val="000C3969"/>
    <w:rsid w:val="001B5A3B"/>
    <w:rsid w:val="003C65E6"/>
    <w:rsid w:val="005A2C8D"/>
    <w:rsid w:val="005C5EF6"/>
    <w:rsid w:val="008261D9"/>
    <w:rsid w:val="00AB5129"/>
    <w:rsid w:val="00B2411A"/>
    <w:rsid w:val="00C6075E"/>
    <w:rsid w:val="00CE5978"/>
    <w:rsid w:val="00D3370E"/>
    <w:rsid w:val="00DA25F1"/>
    <w:rsid w:val="00E72315"/>
    <w:rsid w:val="00F472C1"/>
    <w:rsid w:val="00F650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70171B"/>
  <w15:chartTrackingRefBased/>
  <w15:docId w15:val="{860B1808-64CC-4886-B5D5-78F5A046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37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70E"/>
    <w:pPr>
      <w:tabs>
        <w:tab w:val="center" w:pos="4153"/>
        <w:tab w:val="right" w:pos="8306"/>
      </w:tabs>
    </w:pPr>
  </w:style>
  <w:style w:type="character" w:customStyle="1" w:styleId="a4">
    <w:name w:val="כותרת עליונה תו"/>
    <w:link w:val="a3"/>
    <w:rsid w:val="00D3370E"/>
    <w:rPr>
      <w:rFonts w:ascii="Times New Roman" w:eastAsia="Times New Roman" w:hAnsi="Times New Roman" w:cs="David"/>
      <w:sz w:val="24"/>
      <w:szCs w:val="24"/>
    </w:rPr>
  </w:style>
  <w:style w:type="paragraph" w:styleId="a5">
    <w:name w:val="footer"/>
    <w:basedOn w:val="a"/>
    <w:link w:val="a6"/>
    <w:rsid w:val="00D3370E"/>
    <w:pPr>
      <w:tabs>
        <w:tab w:val="center" w:pos="4153"/>
        <w:tab w:val="right" w:pos="8306"/>
      </w:tabs>
    </w:pPr>
  </w:style>
  <w:style w:type="character" w:customStyle="1" w:styleId="a6">
    <w:name w:val="כותרת תחתונה תו"/>
    <w:link w:val="a5"/>
    <w:rsid w:val="00D3370E"/>
    <w:rPr>
      <w:rFonts w:ascii="Times New Roman" w:eastAsia="Times New Roman" w:hAnsi="Times New Roman" w:cs="David"/>
      <w:sz w:val="24"/>
      <w:szCs w:val="24"/>
    </w:rPr>
  </w:style>
  <w:style w:type="table" w:styleId="a7">
    <w:name w:val="Table Grid"/>
    <w:basedOn w:val="a1"/>
    <w:rsid w:val="00D337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370E"/>
  </w:style>
  <w:style w:type="paragraph" w:styleId="a9">
    <w:name w:val="List Paragraph"/>
    <w:basedOn w:val="a"/>
    <w:qFormat/>
    <w:rsid w:val="00D3370E"/>
    <w:pPr>
      <w:ind w:left="720"/>
      <w:contextualSpacing/>
    </w:pPr>
    <w:rPr>
      <w:rFonts w:ascii="Arial (W1)" w:hAnsi="Arial (W1)"/>
    </w:rPr>
  </w:style>
  <w:style w:type="character" w:styleId="Hyperlink">
    <w:name w:val="Hyperlink"/>
    <w:rsid w:val="00B24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708543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948131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4989670" TargetMode="External"/><Relationship Id="rId20" Type="http://schemas.openxmlformats.org/officeDocument/2006/relationships/hyperlink" Target="http://www.nevo.co.il/law/703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5483510"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1348</Words>
  <Characters>6740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8072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3407999</vt:i4>
      </vt:variant>
      <vt:variant>
        <vt:i4>42</vt:i4>
      </vt:variant>
      <vt:variant>
        <vt:i4>0</vt:i4>
      </vt:variant>
      <vt:variant>
        <vt:i4>5</vt:i4>
      </vt:variant>
      <vt:variant>
        <vt:lpwstr>http://www.nevo.co.il/case/27085430</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3539062</vt:i4>
      </vt:variant>
      <vt:variant>
        <vt:i4>30</vt:i4>
      </vt:variant>
      <vt:variant>
        <vt:i4>0</vt:i4>
      </vt:variant>
      <vt:variant>
        <vt:i4>5</vt:i4>
      </vt:variant>
      <vt:variant>
        <vt:lpwstr>http://www.nevo.co.il/case/29481312</vt:lpwstr>
      </vt:variant>
      <vt:variant>
        <vt:lpwstr/>
      </vt:variant>
      <vt:variant>
        <vt:i4>3473534</vt:i4>
      </vt:variant>
      <vt:variant>
        <vt:i4>27</vt:i4>
      </vt:variant>
      <vt:variant>
        <vt:i4>0</vt:i4>
      </vt:variant>
      <vt:variant>
        <vt:i4>5</vt:i4>
      </vt:variant>
      <vt:variant>
        <vt:lpwstr>http://www.nevo.co.il/case/24989670</vt:lpwstr>
      </vt:variant>
      <vt:variant>
        <vt:lpwstr/>
      </vt:variant>
      <vt:variant>
        <vt:i4>3407996</vt:i4>
      </vt:variant>
      <vt:variant>
        <vt:i4>24</vt:i4>
      </vt:variant>
      <vt:variant>
        <vt:i4>0</vt:i4>
      </vt:variant>
      <vt:variant>
        <vt:i4>5</vt:i4>
      </vt:variant>
      <vt:variant>
        <vt:lpwstr>http://www.nevo.co.il/case/25483510</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57614</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יעקב גביש</vt:lpwstr>
  </property>
  <property fmtid="{D5CDD505-2E9C-101B-9397-08002B2CF9AE}" pid="10" name="LAWYER">
    <vt:lpwstr>שני מגדי;יצחק איצקוביץ</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20240717</vt:lpwstr>
  </property>
  <property fmtid="{D5CDD505-2E9C-101B-9397-08002B2CF9AE}" pid="14" name="TYPE_N_DATE">
    <vt:lpwstr>38020240717</vt:lpwstr>
  </property>
  <property fmtid="{D5CDD505-2E9C-101B-9397-08002B2CF9AE}" pid="15" name="WORDNUMPAGES">
    <vt:lpwstr>5</vt:lpwstr>
  </property>
  <property fmtid="{D5CDD505-2E9C-101B-9397-08002B2CF9AE}" pid="16" name="TYPE_ABS_DATE">
    <vt:lpwstr>380020240717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25483510;24989670;29481312;27085430</vt:lpwstr>
  </property>
  <property fmtid="{D5CDD505-2E9C-101B-9397-08002B2CF9AE}" pid="36" name="LAWLISTTMP1">
    <vt:lpwstr>4216/007.a;007.c</vt:lpwstr>
  </property>
  <property fmtid="{D5CDD505-2E9C-101B-9397-08002B2CF9AE}" pid="37" name="LAWLISTTMP2">
    <vt:lpwstr>70301/040i</vt:lpwstr>
  </property>
</Properties>
</file>