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152A3" w:rsidRPr="002D6C0A" w14:paraId="02D4C1A7" w14:textId="77777777" w:rsidTr="00AF3497">
        <w:trPr>
          <w:trHeight w:hRule="exact" w:val="418"/>
          <w:jc w:val="center"/>
        </w:trPr>
        <w:tc>
          <w:tcPr>
            <w:tcW w:w="8721" w:type="dxa"/>
            <w:gridSpan w:val="2"/>
          </w:tcPr>
          <w:p w14:paraId="317223D0" w14:textId="77777777" w:rsidR="00A152A3" w:rsidRPr="002D6C0A" w:rsidRDefault="00A152A3" w:rsidP="001D3170">
            <w:pPr>
              <w:pStyle w:val="a3"/>
              <w:jc w:val="center"/>
              <w:rPr>
                <w:rFonts w:ascii="Tahoma" w:hAnsi="Tahoma" w:cs="Tahoma"/>
                <w:color w:val="000080"/>
                <w:rtl/>
              </w:rPr>
            </w:pPr>
            <w:bookmarkStart w:id="0" w:name="LastJudge"/>
            <w:r w:rsidRPr="002D6C0A">
              <w:rPr>
                <w:rFonts w:ascii="Tahoma" w:hAnsi="Tahoma" w:cs="Tahoma"/>
                <w:b/>
                <w:bCs/>
                <w:color w:val="000080"/>
                <w:rtl/>
              </w:rPr>
              <w:t>בית משפט השלום בתל אביב -יפו</w:t>
            </w:r>
          </w:p>
        </w:tc>
      </w:tr>
      <w:tr w:rsidR="00A152A3" w:rsidRPr="002D6C0A" w14:paraId="439CEBEA" w14:textId="77777777" w:rsidTr="00AF3497">
        <w:trPr>
          <w:trHeight w:val="337"/>
          <w:jc w:val="center"/>
        </w:trPr>
        <w:tc>
          <w:tcPr>
            <w:tcW w:w="5054" w:type="dxa"/>
          </w:tcPr>
          <w:p w14:paraId="3715C40A" w14:textId="77777777" w:rsidR="00A152A3" w:rsidRPr="002D6C0A" w:rsidRDefault="00A152A3" w:rsidP="001D3170">
            <w:pPr>
              <w:rPr>
                <w:rFonts w:cs="FrankRuehl"/>
                <w:sz w:val="28"/>
                <w:szCs w:val="28"/>
                <w:rtl/>
              </w:rPr>
            </w:pPr>
            <w:r w:rsidRPr="002D6C0A">
              <w:rPr>
                <w:rFonts w:cs="FrankRuehl"/>
                <w:sz w:val="28"/>
                <w:szCs w:val="28"/>
                <w:rtl/>
              </w:rPr>
              <w:t>ת"פ</w:t>
            </w:r>
            <w:r w:rsidRPr="002D6C0A">
              <w:rPr>
                <w:rFonts w:cs="FrankRuehl" w:hint="cs"/>
                <w:sz w:val="28"/>
                <w:szCs w:val="28"/>
                <w:rtl/>
              </w:rPr>
              <w:t xml:space="preserve"> </w:t>
            </w:r>
            <w:r w:rsidRPr="002D6C0A">
              <w:rPr>
                <w:rFonts w:cs="FrankRuehl"/>
                <w:sz w:val="28"/>
                <w:szCs w:val="28"/>
                <w:rtl/>
              </w:rPr>
              <w:t>15315-06-23</w:t>
            </w:r>
            <w:r w:rsidRPr="002D6C0A">
              <w:rPr>
                <w:rFonts w:cs="FrankRuehl" w:hint="cs"/>
                <w:sz w:val="28"/>
                <w:szCs w:val="28"/>
                <w:rtl/>
              </w:rPr>
              <w:t xml:space="preserve"> </w:t>
            </w:r>
            <w:r w:rsidRPr="002D6C0A">
              <w:rPr>
                <w:rFonts w:cs="FrankRuehl"/>
                <w:sz w:val="28"/>
                <w:szCs w:val="28"/>
                <w:rtl/>
              </w:rPr>
              <w:t>מדינת ישראל נ' מנצור</w:t>
            </w:r>
          </w:p>
          <w:p w14:paraId="590E7918" w14:textId="77777777" w:rsidR="00A152A3" w:rsidRPr="002D6C0A" w:rsidRDefault="00A152A3" w:rsidP="001D3170">
            <w:pPr>
              <w:pStyle w:val="a3"/>
              <w:rPr>
                <w:rFonts w:cs="FrankRuehl"/>
                <w:sz w:val="28"/>
                <w:szCs w:val="28"/>
                <w:rtl/>
              </w:rPr>
            </w:pPr>
          </w:p>
        </w:tc>
        <w:tc>
          <w:tcPr>
            <w:tcW w:w="3667" w:type="dxa"/>
          </w:tcPr>
          <w:p w14:paraId="1B4866D0" w14:textId="77777777" w:rsidR="00A152A3" w:rsidRPr="002D6C0A" w:rsidRDefault="00A152A3" w:rsidP="001D3170">
            <w:pPr>
              <w:pStyle w:val="a3"/>
              <w:jc w:val="right"/>
              <w:rPr>
                <w:rFonts w:cs="FrankRuehl"/>
                <w:sz w:val="28"/>
                <w:szCs w:val="28"/>
                <w:rtl/>
              </w:rPr>
            </w:pPr>
          </w:p>
        </w:tc>
      </w:tr>
    </w:tbl>
    <w:p w14:paraId="76134C3E" w14:textId="77777777" w:rsidR="00A152A3" w:rsidRPr="002D6C0A" w:rsidRDefault="00A152A3" w:rsidP="00A152A3">
      <w:pPr>
        <w:pStyle w:val="a3"/>
        <w:rPr>
          <w:rtl/>
        </w:rPr>
      </w:pPr>
      <w:r w:rsidRPr="002D6C0A">
        <w:rPr>
          <w:rFonts w:hint="cs"/>
          <w:rtl/>
        </w:rPr>
        <w:t xml:space="preserve"> </w:t>
      </w:r>
    </w:p>
    <w:p w14:paraId="5D60D75D" w14:textId="77777777" w:rsidR="00A152A3" w:rsidRPr="002D6C0A" w:rsidRDefault="00A152A3" w:rsidP="00A152A3">
      <w:pPr>
        <w:rPr>
          <w:rtl/>
        </w:rPr>
      </w:pPr>
    </w:p>
    <w:p w14:paraId="6732F9E7" w14:textId="77777777" w:rsidR="00A152A3" w:rsidRPr="002D6C0A" w:rsidRDefault="00A152A3" w:rsidP="00A152A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152A3" w:rsidRPr="002D6C0A" w14:paraId="1D915690" w14:textId="77777777" w:rsidTr="00A152A3">
        <w:trPr>
          <w:trHeight w:val="295"/>
          <w:jc w:val="center"/>
        </w:trPr>
        <w:tc>
          <w:tcPr>
            <w:tcW w:w="923" w:type="dxa"/>
            <w:tcBorders>
              <w:top w:val="nil"/>
              <w:left w:val="nil"/>
              <w:bottom w:val="nil"/>
              <w:right w:val="nil"/>
            </w:tcBorders>
            <w:shd w:val="clear" w:color="auto" w:fill="auto"/>
          </w:tcPr>
          <w:p w14:paraId="29A9FB12" w14:textId="77777777" w:rsidR="00A152A3" w:rsidRPr="002D6C0A" w:rsidRDefault="00A152A3" w:rsidP="00A152A3">
            <w:pPr>
              <w:jc w:val="both"/>
              <w:rPr>
                <w:rFonts w:ascii="David" w:hAnsi="David"/>
                <w:sz w:val="26"/>
                <w:szCs w:val="26"/>
              </w:rPr>
            </w:pPr>
            <w:r w:rsidRPr="002D6C0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911A772" w14:textId="77777777" w:rsidR="00A152A3" w:rsidRPr="002D6C0A" w:rsidRDefault="00A152A3" w:rsidP="001D3170">
            <w:pPr>
              <w:rPr>
                <w:rFonts w:ascii="David" w:hAnsi="David"/>
                <w:b/>
                <w:bCs/>
                <w:sz w:val="26"/>
                <w:szCs w:val="26"/>
                <w:rtl/>
              </w:rPr>
            </w:pPr>
            <w:r w:rsidRPr="002D6C0A">
              <w:rPr>
                <w:rFonts w:ascii="David" w:hAnsi="David"/>
                <w:b/>
                <w:bCs/>
                <w:sz w:val="26"/>
                <w:szCs w:val="26"/>
                <w:rtl/>
              </w:rPr>
              <w:t>כבוד השופטת  ענת יהב</w:t>
            </w:r>
          </w:p>
          <w:p w14:paraId="3551AC50" w14:textId="77777777" w:rsidR="00A152A3" w:rsidRPr="002D6C0A" w:rsidRDefault="00A152A3" w:rsidP="001D3170">
            <w:pPr>
              <w:rPr>
                <w:rFonts w:ascii="David" w:hAnsi="David"/>
                <w:sz w:val="26"/>
                <w:szCs w:val="26"/>
                <w:rtl/>
              </w:rPr>
            </w:pPr>
          </w:p>
          <w:p w14:paraId="194C421F" w14:textId="77777777" w:rsidR="00A152A3" w:rsidRPr="002D6C0A" w:rsidRDefault="00A152A3" w:rsidP="00A152A3">
            <w:pPr>
              <w:jc w:val="both"/>
              <w:rPr>
                <w:rFonts w:ascii="David" w:hAnsi="David"/>
                <w:sz w:val="26"/>
                <w:szCs w:val="26"/>
              </w:rPr>
            </w:pPr>
          </w:p>
        </w:tc>
      </w:tr>
      <w:tr w:rsidR="00A152A3" w:rsidRPr="002D6C0A" w14:paraId="37069CDC" w14:textId="77777777" w:rsidTr="00A152A3">
        <w:trPr>
          <w:trHeight w:val="355"/>
          <w:jc w:val="center"/>
        </w:trPr>
        <w:tc>
          <w:tcPr>
            <w:tcW w:w="923" w:type="dxa"/>
            <w:tcBorders>
              <w:top w:val="nil"/>
              <w:left w:val="nil"/>
              <w:bottom w:val="nil"/>
              <w:right w:val="nil"/>
            </w:tcBorders>
            <w:shd w:val="clear" w:color="auto" w:fill="auto"/>
          </w:tcPr>
          <w:p w14:paraId="6BB287BC" w14:textId="77777777" w:rsidR="00A152A3" w:rsidRPr="002D6C0A" w:rsidRDefault="00A152A3" w:rsidP="00A152A3">
            <w:pPr>
              <w:jc w:val="both"/>
              <w:rPr>
                <w:rFonts w:ascii="David" w:hAnsi="David"/>
                <w:sz w:val="26"/>
                <w:szCs w:val="26"/>
              </w:rPr>
            </w:pPr>
            <w:bookmarkStart w:id="1" w:name="FirstAppellant"/>
            <w:bookmarkStart w:id="2" w:name="FirstLawyer"/>
            <w:r w:rsidRPr="002D6C0A">
              <w:rPr>
                <w:rFonts w:ascii="David" w:hAnsi="David"/>
                <w:sz w:val="26"/>
                <w:szCs w:val="26"/>
                <w:rtl/>
              </w:rPr>
              <w:t>בעניין:</w:t>
            </w:r>
          </w:p>
        </w:tc>
        <w:tc>
          <w:tcPr>
            <w:tcW w:w="3219" w:type="dxa"/>
            <w:tcBorders>
              <w:top w:val="nil"/>
              <w:left w:val="nil"/>
              <w:bottom w:val="nil"/>
              <w:right w:val="nil"/>
            </w:tcBorders>
            <w:shd w:val="clear" w:color="auto" w:fill="auto"/>
          </w:tcPr>
          <w:p w14:paraId="3B0E24B1" w14:textId="77777777" w:rsidR="00A152A3" w:rsidRPr="002D6C0A" w:rsidRDefault="00A152A3" w:rsidP="00A152A3">
            <w:pPr>
              <w:suppressLineNumbers/>
            </w:pPr>
            <w:r w:rsidRPr="002D6C0A">
              <w:rPr>
                <w:rFonts w:ascii="Arial" w:hAnsi="Arial" w:hint="cs"/>
                <w:b/>
                <w:bCs/>
                <w:sz w:val="26"/>
                <w:szCs w:val="26"/>
                <w:rtl/>
              </w:rPr>
              <w:t>המאשימה:</w:t>
            </w:r>
          </w:p>
          <w:p w14:paraId="28A27BA2" w14:textId="77777777" w:rsidR="00A152A3" w:rsidRPr="002D6C0A" w:rsidRDefault="00A152A3" w:rsidP="001D3170">
            <w:pPr>
              <w:rPr>
                <w:rFonts w:ascii="David" w:hAnsi="David"/>
                <w:sz w:val="26"/>
                <w:szCs w:val="26"/>
              </w:rPr>
            </w:pPr>
          </w:p>
        </w:tc>
        <w:tc>
          <w:tcPr>
            <w:tcW w:w="4678" w:type="dxa"/>
            <w:tcBorders>
              <w:top w:val="nil"/>
              <w:left w:val="nil"/>
              <w:bottom w:val="nil"/>
              <w:right w:val="nil"/>
            </w:tcBorders>
            <w:shd w:val="clear" w:color="auto" w:fill="auto"/>
            <w:vAlign w:val="center"/>
          </w:tcPr>
          <w:p w14:paraId="7C6DCDD0" w14:textId="77777777" w:rsidR="00A152A3" w:rsidRPr="002D6C0A" w:rsidRDefault="00A152A3" w:rsidP="00A152A3">
            <w:pPr>
              <w:suppressLineNumbers/>
              <w:rPr>
                <w:rFonts w:ascii="Arial" w:hAnsi="Arial"/>
                <w:b/>
                <w:bCs/>
                <w:sz w:val="26"/>
                <w:szCs w:val="26"/>
                <w:rtl/>
              </w:rPr>
            </w:pPr>
            <w:r w:rsidRPr="002D6C0A">
              <w:rPr>
                <w:rFonts w:ascii="Arial" w:hAnsi="Arial"/>
                <w:b/>
                <w:bCs/>
                <w:sz w:val="26"/>
                <w:szCs w:val="26"/>
                <w:rtl/>
              </w:rPr>
              <w:t>מדינת ישראל</w:t>
            </w:r>
            <w:r w:rsidRPr="002D6C0A">
              <w:rPr>
                <w:rFonts w:ascii="Arial" w:hAnsi="Arial" w:hint="cs"/>
                <w:b/>
                <w:bCs/>
                <w:sz w:val="26"/>
                <w:szCs w:val="26"/>
                <w:rtl/>
              </w:rPr>
              <w:t xml:space="preserve"> </w:t>
            </w:r>
          </w:p>
          <w:p w14:paraId="1B7DAE35" w14:textId="77777777" w:rsidR="00A152A3" w:rsidRPr="002D6C0A" w:rsidRDefault="00A152A3" w:rsidP="00A152A3">
            <w:pPr>
              <w:suppressLineNumbers/>
            </w:pPr>
            <w:r w:rsidRPr="002D6C0A">
              <w:rPr>
                <w:rFonts w:ascii="Arial" w:hAnsi="Arial"/>
                <w:rtl/>
              </w:rPr>
              <w:t>ע"י ב"כ עוה"ד</w:t>
            </w:r>
            <w:r w:rsidRPr="002D6C0A">
              <w:rPr>
                <w:rFonts w:hint="cs"/>
                <w:rtl/>
              </w:rPr>
              <w:t xml:space="preserve"> איציק אמיר ועו"ד ליהי אזולאי</w:t>
            </w:r>
          </w:p>
          <w:p w14:paraId="3F90F4A8" w14:textId="77777777" w:rsidR="00A152A3" w:rsidRPr="002D6C0A" w:rsidRDefault="00A152A3" w:rsidP="001D3170">
            <w:pPr>
              <w:rPr>
                <w:rFonts w:ascii="David" w:hAnsi="David"/>
                <w:sz w:val="26"/>
                <w:szCs w:val="26"/>
              </w:rPr>
            </w:pPr>
          </w:p>
        </w:tc>
      </w:tr>
      <w:bookmarkEnd w:id="1"/>
      <w:bookmarkEnd w:id="2"/>
      <w:tr w:rsidR="00A152A3" w:rsidRPr="002D6C0A" w14:paraId="13E309F4" w14:textId="77777777" w:rsidTr="00A152A3">
        <w:trPr>
          <w:trHeight w:val="355"/>
          <w:jc w:val="center"/>
        </w:trPr>
        <w:tc>
          <w:tcPr>
            <w:tcW w:w="923" w:type="dxa"/>
            <w:tcBorders>
              <w:top w:val="nil"/>
              <w:left w:val="nil"/>
              <w:bottom w:val="nil"/>
              <w:right w:val="nil"/>
            </w:tcBorders>
            <w:shd w:val="clear" w:color="auto" w:fill="auto"/>
          </w:tcPr>
          <w:p w14:paraId="13BC76DF" w14:textId="77777777" w:rsidR="00A152A3" w:rsidRPr="002D6C0A" w:rsidRDefault="00A152A3" w:rsidP="00A152A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028FF69" w14:textId="77777777" w:rsidR="00A152A3" w:rsidRPr="002D6C0A" w:rsidRDefault="00A152A3" w:rsidP="00A152A3">
            <w:pPr>
              <w:jc w:val="center"/>
              <w:rPr>
                <w:rFonts w:ascii="David" w:hAnsi="David"/>
                <w:b/>
                <w:bCs/>
                <w:sz w:val="26"/>
                <w:szCs w:val="26"/>
                <w:rtl/>
              </w:rPr>
            </w:pPr>
          </w:p>
          <w:p w14:paraId="7FDB3409" w14:textId="77777777" w:rsidR="00A152A3" w:rsidRPr="002D6C0A" w:rsidRDefault="00A152A3" w:rsidP="00A152A3">
            <w:pPr>
              <w:jc w:val="center"/>
              <w:rPr>
                <w:rFonts w:ascii="David" w:hAnsi="David"/>
                <w:b/>
                <w:bCs/>
                <w:sz w:val="26"/>
                <w:szCs w:val="26"/>
                <w:rtl/>
              </w:rPr>
            </w:pPr>
            <w:r w:rsidRPr="002D6C0A">
              <w:rPr>
                <w:rFonts w:ascii="David" w:hAnsi="David"/>
                <w:b/>
                <w:bCs/>
                <w:sz w:val="26"/>
                <w:szCs w:val="26"/>
                <w:rtl/>
              </w:rPr>
              <w:t>נגד</w:t>
            </w:r>
          </w:p>
          <w:p w14:paraId="176835C2" w14:textId="77777777" w:rsidR="00A152A3" w:rsidRPr="002D6C0A" w:rsidRDefault="00A152A3" w:rsidP="00A152A3">
            <w:pPr>
              <w:jc w:val="both"/>
              <w:rPr>
                <w:rFonts w:ascii="David" w:hAnsi="David"/>
                <w:sz w:val="26"/>
                <w:szCs w:val="26"/>
              </w:rPr>
            </w:pPr>
          </w:p>
        </w:tc>
      </w:tr>
      <w:tr w:rsidR="00A152A3" w:rsidRPr="002D6C0A" w14:paraId="5AA6FC67" w14:textId="77777777" w:rsidTr="00A152A3">
        <w:trPr>
          <w:trHeight w:val="355"/>
          <w:jc w:val="center"/>
        </w:trPr>
        <w:tc>
          <w:tcPr>
            <w:tcW w:w="923" w:type="dxa"/>
            <w:tcBorders>
              <w:top w:val="nil"/>
              <w:left w:val="nil"/>
              <w:bottom w:val="nil"/>
              <w:right w:val="nil"/>
            </w:tcBorders>
            <w:shd w:val="clear" w:color="auto" w:fill="auto"/>
          </w:tcPr>
          <w:p w14:paraId="08018B25" w14:textId="77777777" w:rsidR="00A152A3" w:rsidRPr="002D6C0A" w:rsidRDefault="00A152A3" w:rsidP="001D3170">
            <w:pPr>
              <w:rPr>
                <w:rFonts w:ascii="David" w:hAnsi="David"/>
                <w:sz w:val="26"/>
                <w:szCs w:val="26"/>
                <w:rtl/>
              </w:rPr>
            </w:pPr>
          </w:p>
        </w:tc>
        <w:tc>
          <w:tcPr>
            <w:tcW w:w="3219" w:type="dxa"/>
            <w:tcBorders>
              <w:top w:val="nil"/>
              <w:left w:val="nil"/>
              <w:bottom w:val="nil"/>
              <w:right w:val="nil"/>
            </w:tcBorders>
            <w:shd w:val="clear" w:color="auto" w:fill="auto"/>
          </w:tcPr>
          <w:p w14:paraId="3E43B214" w14:textId="77777777" w:rsidR="00A152A3" w:rsidRPr="002D6C0A" w:rsidRDefault="00A152A3" w:rsidP="001D3170">
            <w:pPr>
              <w:rPr>
                <w:rFonts w:ascii="Arial" w:hAnsi="Arial"/>
                <w:b/>
                <w:bCs/>
                <w:sz w:val="26"/>
                <w:szCs w:val="26"/>
                <w:rtl/>
              </w:rPr>
            </w:pPr>
            <w:r w:rsidRPr="002D6C0A">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4613867A" w14:textId="77777777" w:rsidR="00A152A3" w:rsidRPr="002D6C0A" w:rsidRDefault="00A152A3" w:rsidP="00A152A3">
            <w:pPr>
              <w:suppressLineNumbers/>
              <w:rPr>
                <w:rFonts w:ascii="Arial" w:hAnsi="Arial"/>
                <w:b/>
                <w:bCs/>
                <w:sz w:val="26"/>
                <w:szCs w:val="26"/>
                <w:rtl/>
              </w:rPr>
            </w:pPr>
            <w:r w:rsidRPr="002D6C0A">
              <w:rPr>
                <w:rFonts w:ascii="Arial" w:hAnsi="Arial"/>
                <w:b/>
                <w:bCs/>
                <w:sz w:val="26"/>
                <w:szCs w:val="26"/>
                <w:rtl/>
              </w:rPr>
              <w:t>אלעד מנצור</w:t>
            </w:r>
            <w:r w:rsidRPr="002D6C0A">
              <w:rPr>
                <w:rFonts w:ascii="Arial" w:hAnsi="Arial" w:hint="cs"/>
                <w:b/>
                <w:bCs/>
                <w:sz w:val="26"/>
                <w:szCs w:val="26"/>
                <w:rtl/>
              </w:rPr>
              <w:t xml:space="preserve"> </w:t>
            </w:r>
          </w:p>
          <w:p w14:paraId="761ACEA8" w14:textId="77777777" w:rsidR="00A152A3" w:rsidRPr="002D6C0A" w:rsidRDefault="00A152A3" w:rsidP="00A152A3">
            <w:pPr>
              <w:suppressLineNumbers/>
            </w:pPr>
            <w:r w:rsidRPr="002D6C0A">
              <w:rPr>
                <w:rFonts w:ascii="Arial" w:hAnsi="Arial"/>
                <w:rtl/>
              </w:rPr>
              <w:t>ע"י ב"כ עוה"ד</w:t>
            </w:r>
            <w:r w:rsidRPr="002D6C0A">
              <w:rPr>
                <w:rFonts w:hint="cs"/>
                <w:rtl/>
              </w:rPr>
              <w:t xml:space="preserve"> צפריר יגור </w:t>
            </w:r>
          </w:p>
          <w:p w14:paraId="7D770926" w14:textId="77777777" w:rsidR="00A152A3" w:rsidRPr="002D6C0A" w:rsidRDefault="00A152A3" w:rsidP="001D3170">
            <w:pPr>
              <w:rPr>
                <w:rFonts w:ascii="David" w:hAnsi="David"/>
                <w:sz w:val="26"/>
                <w:szCs w:val="26"/>
              </w:rPr>
            </w:pPr>
          </w:p>
        </w:tc>
      </w:tr>
    </w:tbl>
    <w:p w14:paraId="532DD029" w14:textId="77777777" w:rsidR="002D6C0A" w:rsidRPr="002D6C0A" w:rsidRDefault="002D6C0A" w:rsidP="002D6C0A">
      <w:pPr>
        <w:spacing w:before="120" w:after="120" w:line="240" w:lineRule="exact"/>
        <w:ind w:left="283" w:hanging="283"/>
        <w:jc w:val="both"/>
        <w:rPr>
          <w:rFonts w:ascii="FrankRuehl" w:hAnsi="FrankRuehl" w:cs="FrankRuehl"/>
          <w:rtl/>
        </w:rPr>
      </w:pPr>
    </w:p>
    <w:p w14:paraId="1F979F72" w14:textId="77777777" w:rsidR="00AF3497" w:rsidRPr="00AF3497" w:rsidRDefault="00AF3497" w:rsidP="00AF3497">
      <w:pPr>
        <w:spacing w:before="120" w:after="120" w:line="240" w:lineRule="exact"/>
        <w:ind w:left="283" w:hanging="283"/>
        <w:jc w:val="both"/>
        <w:rPr>
          <w:rFonts w:ascii="FrankRuehl" w:hAnsi="FrankRuehl" w:cs="FrankRuehl"/>
          <w:rtl/>
        </w:rPr>
      </w:pPr>
      <w:bookmarkStart w:id="3" w:name="LawTable"/>
      <w:bookmarkEnd w:id="3"/>
      <w:r w:rsidRPr="00AF3497">
        <w:rPr>
          <w:rFonts w:ascii="FrankRuehl" w:hAnsi="FrankRuehl" w:cs="FrankRuehl"/>
          <w:rtl/>
        </w:rPr>
        <w:t xml:space="preserve">חקיקה שאוזכרה: </w:t>
      </w:r>
    </w:p>
    <w:p w14:paraId="16CC9722" w14:textId="77777777" w:rsidR="00AF3497" w:rsidRPr="00AF3497" w:rsidRDefault="00AF3497" w:rsidP="00AF3497">
      <w:pPr>
        <w:spacing w:before="120" w:after="120" w:line="240" w:lineRule="exact"/>
        <w:ind w:left="283" w:hanging="283"/>
        <w:jc w:val="both"/>
        <w:rPr>
          <w:rFonts w:ascii="FrankRuehl" w:hAnsi="FrankRuehl" w:cs="FrankRuehl"/>
          <w:color w:val="0000FF"/>
          <w:rtl/>
        </w:rPr>
      </w:pPr>
      <w:hyperlink r:id="rId7" w:history="1">
        <w:r w:rsidRPr="00AF3497">
          <w:rPr>
            <w:rStyle w:val="Hyperlink"/>
            <w:rFonts w:ascii="FrankRuehl" w:hAnsi="FrankRuehl" w:cs="FrankRuehl"/>
            <w:u w:val="none"/>
            <w:rtl/>
          </w:rPr>
          <w:t>פקודת הסמים המסוכנים [נוסח חדש], תשל"ג-1973</w:t>
        </w:r>
      </w:hyperlink>
      <w:r w:rsidRPr="00AF3497">
        <w:rPr>
          <w:rFonts w:ascii="FrankRuehl" w:hAnsi="FrankRuehl" w:cs="FrankRuehl"/>
          <w:color w:val="0000FF"/>
          <w:rtl/>
        </w:rPr>
        <w:t xml:space="preserve">: סע'  </w:t>
      </w:r>
      <w:hyperlink r:id="rId8" w:history="1">
        <w:r w:rsidRPr="00AF3497">
          <w:rPr>
            <w:rStyle w:val="Hyperlink"/>
            <w:rFonts w:ascii="FrankRuehl" w:hAnsi="FrankRuehl" w:cs="FrankRuehl"/>
            <w:u w:val="none"/>
          </w:rPr>
          <w:t>1</w:t>
        </w:r>
      </w:hyperlink>
      <w:r w:rsidRPr="00AF3497">
        <w:rPr>
          <w:rFonts w:ascii="FrankRuehl" w:hAnsi="FrankRuehl" w:cs="FrankRuehl"/>
          <w:color w:val="0000FF"/>
          <w:rtl/>
        </w:rPr>
        <w:t xml:space="preserve">, </w:t>
      </w:r>
      <w:hyperlink r:id="rId9" w:history="1">
        <w:r w:rsidRPr="00AF3497">
          <w:rPr>
            <w:rStyle w:val="Hyperlink"/>
            <w:rFonts w:ascii="FrankRuehl" w:hAnsi="FrankRuehl" w:cs="FrankRuehl"/>
            <w:u w:val="none"/>
          </w:rPr>
          <w:t>7.</w:t>
        </w:r>
        <w:r w:rsidRPr="00AF3497">
          <w:rPr>
            <w:rStyle w:val="Hyperlink"/>
            <w:rFonts w:ascii="FrankRuehl" w:hAnsi="FrankRuehl" w:cs="FrankRuehl"/>
            <w:u w:val="none"/>
            <w:rtl/>
          </w:rPr>
          <w:t>א</w:t>
        </w:r>
        <w:r w:rsidRPr="00AF3497">
          <w:rPr>
            <w:rStyle w:val="Hyperlink"/>
            <w:rFonts w:ascii="FrankRuehl" w:hAnsi="FrankRuehl" w:cs="FrankRuehl"/>
            <w:u w:val="none"/>
          </w:rPr>
          <w:t>.</w:t>
        </w:r>
      </w:hyperlink>
      <w:r w:rsidRPr="00AF3497">
        <w:rPr>
          <w:rFonts w:ascii="FrankRuehl" w:hAnsi="FrankRuehl" w:cs="FrankRuehl"/>
          <w:color w:val="0000FF"/>
          <w:rtl/>
        </w:rPr>
        <w:t xml:space="preserve">, </w:t>
      </w:r>
      <w:hyperlink r:id="rId10" w:history="1">
        <w:r w:rsidRPr="00AF3497">
          <w:rPr>
            <w:rStyle w:val="Hyperlink"/>
            <w:rFonts w:ascii="FrankRuehl" w:hAnsi="FrankRuehl" w:cs="FrankRuehl"/>
            <w:u w:val="none"/>
          </w:rPr>
          <w:t>7.</w:t>
        </w:r>
        <w:r w:rsidRPr="00AF3497">
          <w:rPr>
            <w:rStyle w:val="Hyperlink"/>
            <w:rFonts w:ascii="FrankRuehl" w:hAnsi="FrankRuehl" w:cs="FrankRuehl"/>
            <w:u w:val="none"/>
            <w:rtl/>
          </w:rPr>
          <w:t>ג</w:t>
        </w:r>
      </w:hyperlink>
      <w:r w:rsidRPr="00AF3497">
        <w:rPr>
          <w:rFonts w:ascii="FrankRuehl" w:hAnsi="FrankRuehl" w:cs="FrankRuehl"/>
          <w:color w:val="0000FF"/>
          <w:rtl/>
        </w:rPr>
        <w:t xml:space="preserve">, </w:t>
      </w:r>
      <w:hyperlink r:id="rId11" w:history="1">
        <w:r w:rsidRPr="00AF3497">
          <w:rPr>
            <w:rStyle w:val="Hyperlink"/>
            <w:rFonts w:ascii="FrankRuehl" w:hAnsi="FrankRuehl" w:cs="FrankRuehl"/>
            <w:u w:val="none"/>
          </w:rPr>
          <w:t>13</w:t>
        </w:r>
      </w:hyperlink>
      <w:r w:rsidRPr="00AF3497">
        <w:rPr>
          <w:rFonts w:ascii="FrankRuehl" w:hAnsi="FrankRuehl" w:cs="FrankRuehl"/>
          <w:color w:val="0000FF"/>
          <w:rtl/>
        </w:rPr>
        <w:t xml:space="preserve">, </w:t>
      </w:r>
      <w:hyperlink r:id="rId12" w:history="1">
        <w:r w:rsidRPr="00AF3497">
          <w:rPr>
            <w:rStyle w:val="Hyperlink"/>
            <w:rFonts w:ascii="FrankRuehl" w:hAnsi="FrankRuehl" w:cs="FrankRuehl"/>
            <w:u w:val="none"/>
          </w:rPr>
          <w:t>19</w:t>
        </w:r>
        <w:r w:rsidRPr="00AF3497">
          <w:rPr>
            <w:rStyle w:val="Hyperlink"/>
            <w:rFonts w:ascii="FrankRuehl" w:hAnsi="FrankRuehl" w:cs="FrankRuehl"/>
            <w:u w:val="none"/>
            <w:rtl/>
          </w:rPr>
          <w:t>א</w:t>
        </w:r>
      </w:hyperlink>
      <w:r w:rsidRPr="00AF3497">
        <w:rPr>
          <w:rFonts w:ascii="FrankRuehl" w:hAnsi="FrankRuehl" w:cs="FrankRuehl"/>
          <w:color w:val="0000FF"/>
          <w:rtl/>
        </w:rPr>
        <w:t xml:space="preserve">, </w:t>
      </w:r>
      <w:hyperlink r:id="rId13" w:history="1">
        <w:r w:rsidRPr="00AF3497">
          <w:rPr>
            <w:rStyle w:val="Hyperlink"/>
            <w:rFonts w:ascii="FrankRuehl" w:hAnsi="FrankRuehl" w:cs="FrankRuehl"/>
            <w:u w:val="none"/>
          </w:rPr>
          <w:t>36</w:t>
        </w:r>
        <w:r w:rsidRPr="00AF3497">
          <w:rPr>
            <w:rStyle w:val="Hyperlink"/>
            <w:rFonts w:ascii="FrankRuehl" w:hAnsi="FrankRuehl" w:cs="FrankRuehl"/>
            <w:u w:val="none"/>
            <w:rtl/>
          </w:rPr>
          <w:t>א</w:t>
        </w:r>
      </w:hyperlink>
    </w:p>
    <w:p w14:paraId="41CEA81A" w14:textId="77777777" w:rsidR="00AF3497" w:rsidRPr="00AF3497" w:rsidRDefault="00AF3497" w:rsidP="00AF3497">
      <w:pPr>
        <w:spacing w:before="120" w:after="120" w:line="240" w:lineRule="exact"/>
        <w:ind w:left="283" w:hanging="283"/>
        <w:jc w:val="both"/>
        <w:rPr>
          <w:rFonts w:ascii="FrankRuehl" w:hAnsi="FrankRuehl" w:cs="FrankRuehl"/>
          <w:color w:val="0000FF"/>
          <w:rtl/>
        </w:rPr>
      </w:pPr>
      <w:hyperlink r:id="rId14" w:history="1">
        <w:r w:rsidRPr="00AF3497">
          <w:rPr>
            <w:rStyle w:val="Hyperlink"/>
            <w:rFonts w:ascii="FrankRuehl" w:hAnsi="FrankRuehl" w:cs="FrankRuehl"/>
            <w:u w:val="none"/>
            <w:rtl/>
          </w:rPr>
          <w:t>חוק העונשין, תשל"ז-1977</w:t>
        </w:r>
      </w:hyperlink>
      <w:r w:rsidRPr="00AF3497">
        <w:rPr>
          <w:rFonts w:ascii="FrankRuehl" w:hAnsi="FrankRuehl" w:cs="FrankRuehl"/>
          <w:color w:val="0000FF"/>
          <w:rtl/>
        </w:rPr>
        <w:t xml:space="preserve">: סע'  </w:t>
      </w:r>
      <w:hyperlink r:id="rId15" w:history="1">
        <w:r w:rsidRPr="00AF3497">
          <w:rPr>
            <w:rStyle w:val="Hyperlink"/>
            <w:rFonts w:ascii="FrankRuehl" w:hAnsi="FrankRuehl" w:cs="FrankRuehl"/>
            <w:u w:val="none"/>
          </w:rPr>
          <w:t>40</w:t>
        </w:r>
        <w:r w:rsidRPr="00AF3497">
          <w:rPr>
            <w:rStyle w:val="Hyperlink"/>
            <w:rFonts w:ascii="FrankRuehl" w:hAnsi="FrankRuehl" w:cs="FrankRuehl"/>
            <w:u w:val="none"/>
            <w:rtl/>
          </w:rPr>
          <w:t>ד</w:t>
        </w:r>
        <w:r w:rsidRPr="00AF3497">
          <w:rPr>
            <w:rStyle w:val="Hyperlink"/>
            <w:rFonts w:ascii="FrankRuehl" w:hAnsi="FrankRuehl" w:cs="FrankRuehl"/>
            <w:u w:val="none"/>
          </w:rPr>
          <w:t>'</w:t>
        </w:r>
      </w:hyperlink>
      <w:r w:rsidRPr="00AF3497">
        <w:rPr>
          <w:rFonts w:ascii="FrankRuehl" w:hAnsi="FrankRuehl" w:cs="FrankRuehl"/>
          <w:color w:val="0000FF"/>
          <w:rtl/>
        </w:rPr>
        <w:t xml:space="preserve">(א), </w:t>
      </w:r>
      <w:hyperlink r:id="rId16" w:history="1">
        <w:r w:rsidRPr="00AF3497">
          <w:rPr>
            <w:rStyle w:val="Hyperlink"/>
            <w:rFonts w:ascii="FrankRuehl" w:hAnsi="FrankRuehl" w:cs="FrankRuehl"/>
            <w:u w:val="none"/>
            <w:rtl/>
          </w:rPr>
          <w:t>ב</w:t>
        </w:r>
      </w:hyperlink>
    </w:p>
    <w:p w14:paraId="3013C27D" w14:textId="77777777" w:rsidR="00A152A3" w:rsidRPr="00AF3497" w:rsidRDefault="00A152A3" w:rsidP="00AF3497">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52A3" w14:paraId="14581B0E" w14:textId="77777777" w:rsidTr="00A152A3">
        <w:trPr>
          <w:trHeight w:val="355"/>
          <w:jc w:val="center"/>
        </w:trPr>
        <w:tc>
          <w:tcPr>
            <w:tcW w:w="8820" w:type="dxa"/>
            <w:tcBorders>
              <w:top w:val="nil"/>
              <w:left w:val="nil"/>
              <w:bottom w:val="nil"/>
              <w:right w:val="nil"/>
            </w:tcBorders>
            <w:shd w:val="clear" w:color="auto" w:fill="auto"/>
          </w:tcPr>
          <w:p w14:paraId="01191579" w14:textId="77777777" w:rsidR="002D6C0A" w:rsidRPr="002D6C0A" w:rsidRDefault="002D6C0A" w:rsidP="002D6C0A">
            <w:pPr>
              <w:jc w:val="center"/>
              <w:rPr>
                <w:rFonts w:ascii="David" w:hAnsi="David"/>
                <w:b/>
                <w:bCs/>
                <w:sz w:val="36"/>
                <w:szCs w:val="36"/>
                <w:u w:val="single"/>
                <w:rtl/>
              </w:rPr>
            </w:pPr>
            <w:bookmarkStart w:id="5" w:name="PsakDin" w:colFirst="0" w:colLast="0"/>
            <w:bookmarkEnd w:id="0"/>
            <w:r w:rsidRPr="002D6C0A">
              <w:rPr>
                <w:rFonts w:ascii="David" w:hAnsi="David"/>
                <w:b/>
                <w:bCs/>
                <w:sz w:val="36"/>
                <w:szCs w:val="36"/>
                <w:u w:val="single"/>
                <w:rtl/>
              </w:rPr>
              <w:t>גזר דין</w:t>
            </w:r>
          </w:p>
          <w:p w14:paraId="3A597130" w14:textId="77777777" w:rsidR="00A152A3" w:rsidRPr="002D6C0A" w:rsidRDefault="00A152A3" w:rsidP="002D6C0A">
            <w:pPr>
              <w:jc w:val="center"/>
              <w:rPr>
                <w:rFonts w:ascii="David" w:hAnsi="David"/>
                <w:bCs/>
                <w:sz w:val="36"/>
                <w:szCs w:val="36"/>
                <w:u w:val="single"/>
                <w:rtl/>
              </w:rPr>
            </w:pPr>
          </w:p>
        </w:tc>
      </w:tr>
      <w:bookmarkEnd w:id="5"/>
    </w:tbl>
    <w:p w14:paraId="13129426" w14:textId="77777777" w:rsidR="00A152A3" w:rsidRDefault="00A152A3" w:rsidP="00A152A3">
      <w:pPr>
        <w:rPr>
          <w:sz w:val="26"/>
          <w:szCs w:val="26"/>
        </w:rPr>
      </w:pPr>
    </w:p>
    <w:p w14:paraId="4ACA21CA" w14:textId="77777777" w:rsidR="00A152A3" w:rsidRDefault="00A152A3" w:rsidP="00A152A3">
      <w:pPr>
        <w:pStyle w:val="aa"/>
        <w:numPr>
          <w:ilvl w:val="0"/>
          <w:numId w:val="1"/>
        </w:numPr>
        <w:spacing w:line="360" w:lineRule="auto"/>
        <w:jc w:val="both"/>
        <w:rPr>
          <w:rFonts w:ascii="David" w:hAnsi="David" w:cs="David"/>
          <w:sz w:val="28"/>
          <w:szCs w:val="28"/>
          <w:rtl/>
        </w:rPr>
      </w:pPr>
      <w:r>
        <w:rPr>
          <w:rFonts w:ascii="David" w:hAnsi="David" w:cs="David"/>
          <w:b/>
          <w:bCs/>
          <w:sz w:val="28"/>
          <w:szCs w:val="28"/>
          <w:u w:val="single"/>
          <w:rtl/>
        </w:rPr>
        <w:t>כללי</w:t>
      </w:r>
    </w:p>
    <w:p w14:paraId="477F0DC3" w14:textId="77777777" w:rsidR="00A152A3" w:rsidRDefault="00A152A3" w:rsidP="00A152A3">
      <w:pPr>
        <w:pStyle w:val="aa"/>
        <w:spacing w:line="360" w:lineRule="auto"/>
        <w:jc w:val="both"/>
        <w:rPr>
          <w:rFonts w:ascii="David" w:hAnsi="David" w:cs="David"/>
          <w:sz w:val="28"/>
          <w:szCs w:val="28"/>
        </w:rPr>
      </w:pPr>
    </w:p>
    <w:p w14:paraId="703FC156" w14:textId="77777777" w:rsidR="00A152A3" w:rsidRPr="00FE7634" w:rsidRDefault="00A152A3" w:rsidP="00A152A3">
      <w:pPr>
        <w:spacing w:line="360" w:lineRule="auto"/>
        <w:jc w:val="both"/>
        <w:rPr>
          <w:rFonts w:ascii="David" w:hAnsi="David"/>
          <w:rtl/>
        </w:rPr>
      </w:pPr>
      <w:bookmarkStart w:id="6" w:name="ABSTRACT_START"/>
      <w:bookmarkEnd w:id="6"/>
      <w:r>
        <w:rPr>
          <w:rFonts w:ascii="David" w:hAnsi="David"/>
          <w:rtl/>
        </w:rPr>
        <w:t xml:space="preserve">הנאשם, יליד </w:t>
      </w:r>
      <w:r>
        <w:rPr>
          <w:rFonts w:ascii="David" w:hAnsi="David" w:hint="cs"/>
          <w:rtl/>
        </w:rPr>
        <w:t>1997</w:t>
      </w:r>
      <w:r>
        <w:rPr>
          <w:rFonts w:ascii="David" w:hAnsi="David"/>
          <w:rtl/>
        </w:rPr>
        <w:t xml:space="preserve">, הודה והורשע על בסיס הודאתו ובמסגרת הסכמה דיונית, בעבירה של </w:t>
      </w:r>
      <w:r>
        <w:rPr>
          <w:rFonts w:ascii="David" w:hAnsi="David" w:hint="cs"/>
          <w:b/>
          <w:bCs/>
          <w:rtl/>
        </w:rPr>
        <w:t xml:space="preserve">סחר בסם מסוכן, </w:t>
      </w:r>
      <w:r>
        <w:rPr>
          <w:rFonts w:ascii="David" w:hAnsi="David" w:hint="cs"/>
          <w:rtl/>
        </w:rPr>
        <w:t xml:space="preserve">לפי </w:t>
      </w:r>
      <w:hyperlink r:id="rId17" w:history="1">
        <w:r w:rsidR="00AF3497" w:rsidRPr="00AF3497">
          <w:rPr>
            <w:rStyle w:val="Hyperlink"/>
            <w:rFonts w:ascii="David" w:hAnsi="David" w:hint="eastAsia"/>
            <w:color w:val="0000FF"/>
            <w:rtl/>
          </w:rPr>
          <w:t>סעיף</w:t>
        </w:r>
        <w:r w:rsidR="00AF3497" w:rsidRPr="00AF3497">
          <w:rPr>
            <w:rStyle w:val="Hyperlink"/>
            <w:rFonts w:ascii="David" w:hAnsi="David"/>
            <w:color w:val="0000FF"/>
            <w:rtl/>
          </w:rPr>
          <w:t xml:space="preserve"> 13</w:t>
        </w:r>
      </w:hyperlink>
      <w:r>
        <w:rPr>
          <w:rFonts w:ascii="David" w:hAnsi="David" w:hint="cs"/>
          <w:rtl/>
        </w:rPr>
        <w:t xml:space="preserve"> + </w:t>
      </w:r>
      <w:hyperlink r:id="rId18" w:history="1">
        <w:r w:rsidR="00AF3497" w:rsidRPr="00AF3497">
          <w:rPr>
            <w:rStyle w:val="Hyperlink"/>
            <w:rFonts w:ascii="David" w:hAnsi="David"/>
            <w:color w:val="0000FF"/>
            <w:rtl/>
          </w:rPr>
          <w:t>19א</w:t>
        </w:r>
      </w:hyperlink>
      <w:r>
        <w:rPr>
          <w:rFonts w:ascii="David" w:hAnsi="David" w:hint="cs"/>
          <w:rtl/>
        </w:rPr>
        <w:t xml:space="preserve"> </w:t>
      </w:r>
      <w:r>
        <w:rPr>
          <w:rFonts w:ascii="David" w:hAnsi="David"/>
          <w:rtl/>
        </w:rPr>
        <w:t>ל</w:t>
      </w:r>
      <w:hyperlink r:id="rId19" w:history="1">
        <w:r w:rsidR="002D6C0A" w:rsidRPr="002D6C0A">
          <w:rPr>
            <w:rFonts w:ascii="David" w:hAnsi="David"/>
            <w:color w:val="0000FF"/>
            <w:u w:val="single"/>
            <w:rtl/>
          </w:rPr>
          <w:t>פקודת הסמים המסוכנים</w:t>
        </w:r>
      </w:hyperlink>
      <w:r>
        <w:rPr>
          <w:rFonts w:ascii="David" w:hAnsi="David"/>
          <w:rtl/>
        </w:rPr>
        <w:t xml:space="preserve"> (נוסח חדש) תשל"ג-1973</w:t>
      </w:r>
      <w:r>
        <w:rPr>
          <w:rFonts w:ascii="David" w:hAnsi="David" w:hint="cs"/>
          <w:rtl/>
        </w:rPr>
        <w:t xml:space="preserve"> (להלן: </w:t>
      </w:r>
      <w:r>
        <w:rPr>
          <w:rFonts w:ascii="David" w:hAnsi="David" w:hint="cs"/>
          <w:b/>
          <w:bCs/>
          <w:rtl/>
        </w:rPr>
        <w:t>"פקודת הסמים"</w:t>
      </w:r>
      <w:r>
        <w:rPr>
          <w:rFonts w:ascii="David" w:hAnsi="David" w:hint="cs"/>
          <w:rtl/>
        </w:rPr>
        <w:t xml:space="preserve">) ועבירה של </w:t>
      </w:r>
      <w:r>
        <w:rPr>
          <w:rFonts w:ascii="David" w:hAnsi="David"/>
          <w:b/>
          <w:bCs/>
          <w:rtl/>
        </w:rPr>
        <w:t xml:space="preserve">החזקת סמים שלא לשימוש עצמי </w:t>
      </w:r>
      <w:r>
        <w:rPr>
          <w:rFonts w:ascii="David" w:hAnsi="David"/>
          <w:rtl/>
        </w:rPr>
        <w:t xml:space="preserve">לפי </w:t>
      </w:r>
      <w:hyperlink r:id="rId20" w:history="1">
        <w:r w:rsidR="00AF3497" w:rsidRPr="00AF3497">
          <w:rPr>
            <w:rStyle w:val="Hyperlink"/>
            <w:rFonts w:ascii="David" w:hAnsi="David"/>
            <w:color w:val="0000FF"/>
            <w:rtl/>
          </w:rPr>
          <w:t>סעיף 7 (א)+7(ג)</w:t>
        </w:r>
      </w:hyperlink>
      <w:r>
        <w:rPr>
          <w:rFonts w:ascii="David" w:hAnsi="David"/>
          <w:rtl/>
        </w:rPr>
        <w:t xml:space="preserve"> רישא</w:t>
      </w:r>
      <w:r>
        <w:rPr>
          <w:rFonts w:ascii="David" w:hAnsi="David" w:hint="cs"/>
          <w:rtl/>
        </w:rPr>
        <w:t xml:space="preserve"> לפקודת הסמים.</w:t>
      </w:r>
    </w:p>
    <w:p w14:paraId="58E8F5BB" w14:textId="77777777" w:rsidR="00A152A3" w:rsidRDefault="00A152A3" w:rsidP="00A152A3">
      <w:pPr>
        <w:pStyle w:val="aa"/>
        <w:spacing w:line="360" w:lineRule="auto"/>
        <w:jc w:val="both"/>
        <w:rPr>
          <w:rFonts w:ascii="David" w:hAnsi="David" w:cs="David"/>
          <w:sz w:val="24"/>
          <w:szCs w:val="24"/>
        </w:rPr>
      </w:pPr>
      <w:bookmarkStart w:id="7" w:name="ABSTRACT_END"/>
      <w:bookmarkEnd w:id="7"/>
    </w:p>
    <w:p w14:paraId="7C27D993" w14:textId="77777777" w:rsidR="00A152A3" w:rsidRDefault="00A152A3" w:rsidP="00A152A3">
      <w:pPr>
        <w:spacing w:line="360" w:lineRule="auto"/>
        <w:jc w:val="both"/>
        <w:rPr>
          <w:rFonts w:ascii="David" w:hAnsi="David"/>
          <w:rtl/>
        </w:rPr>
      </w:pPr>
      <w:r>
        <w:rPr>
          <w:rtl/>
        </w:rPr>
        <w:t>בהתאם לעובדות</w:t>
      </w:r>
      <w:r>
        <w:rPr>
          <w:rFonts w:ascii="David" w:hAnsi="David"/>
          <w:rtl/>
        </w:rPr>
        <w:t xml:space="preserve"> כתב האישום המתוקן, ביום </w:t>
      </w:r>
      <w:r>
        <w:rPr>
          <w:rFonts w:ascii="David" w:hAnsi="David" w:hint="cs"/>
          <w:rtl/>
        </w:rPr>
        <w:t xml:space="preserve">21.2.2023 בשעה 21:30 לערך, הגיע הנאשם ברכבו מסוג קיה לרח' מבצע קדש 43 בתל אביב. בנסיבות אלו, הגיע לרכב מר נדב יצחקי שמסר לנאשם סך של 800 ₪ ובתמורה קיבל מהנאשם שתי שקיות שהכילו סם מסוג קנביס במשקל כולל של 20.25 גרם נטו. כמו כן, החזיק הנאשם ברכבו סם מסוג קנביס במשקל של 300 גרם וסם מסוג חשיש במשקל של 20 גרם. עוד החזיק הנאשם ברכבו כסף מזומן בסך 10,840 ₪. </w:t>
      </w:r>
    </w:p>
    <w:p w14:paraId="1FD2EA05" w14:textId="77777777" w:rsidR="00A152A3" w:rsidRDefault="00A152A3" w:rsidP="00A152A3">
      <w:pPr>
        <w:spacing w:line="360" w:lineRule="auto"/>
        <w:jc w:val="both"/>
        <w:rPr>
          <w:rFonts w:ascii="David" w:hAnsi="David"/>
          <w:rtl/>
        </w:rPr>
      </w:pPr>
    </w:p>
    <w:p w14:paraId="796880FA" w14:textId="77777777" w:rsidR="00A152A3" w:rsidRDefault="00A152A3" w:rsidP="00A152A3">
      <w:pPr>
        <w:spacing w:line="360" w:lineRule="auto"/>
        <w:jc w:val="both"/>
        <w:rPr>
          <w:rFonts w:ascii="David" w:hAnsi="David"/>
          <w:rtl/>
        </w:rPr>
      </w:pPr>
      <w:r>
        <w:rPr>
          <w:rFonts w:ascii="David" w:hAnsi="David"/>
          <w:rtl/>
        </w:rPr>
        <w:lastRenderedPageBreak/>
        <w:t>ההסכמה בין הצדדים לא כללה הסכמה לעניין העונש שראוי שיוטל עליו בסופו של יום, למעט הסכמה כי הנאשם יופנה לעריכת תסקיר שירות מבחן עבורו</w:t>
      </w:r>
      <w:r>
        <w:rPr>
          <w:rFonts w:ascii="David" w:hAnsi="David" w:hint="cs"/>
          <w:rtl/>
        </w:rPr>
        <w:t xml:space="preserve">. </w:t>
      </w:r>
      <w:r w:rsidRPr="0071350E">
        <w:rPr>
          <w:rFonts w:ascii="David" w:hAnsi="David" w:hint="cs"/>
          <w:rtl/>
        </w:rPr>
        <w:t>עוד הסכימו הצדדים לחילוט של הכסף שנתפס 10,840 ₪ וכן ההפקדה הקיימת בתיק בסך של 35,000 ₪.</w:t>
      </w:r>
      <w:r>
        <w:rPr>
          <w:rFonts w:ascii="David" w:hAnsi="David" w:hint="cs"/>
          <w:rtl/>
        </w:rPr>
        <w:t xml:space="preserve">  </w:t>
      </w:r>
    </w:p>
    <w:p w14:paraId="3928FBBE" w14:textId="77777777" w:rsidR="00A152A3" w:rsidRDefault="00A152A3" w:rsidP="00A152A3">
      <w:pPr>
        <w:spacing w:line="360" w:lineRule="auto"/>
        <w:jc w:val="both"/>
        <w:rPr>
          <w:rFonts w:ascii="David" w:hAnsi="David"/>
          <w:rtl/>
        </w:rPr>
      </w:pPr>
    </w:p>
    <w:p w14:paraId="744E8ADA" w14:textId="77777777" w:rsidR="00A152A3" w:rsidRDefault="00A152A3" w:rsidP="00A152A3">
      <w:pPr>
        <w:spacing w:line="360" w:lineRule="auto"/>
        <w:jc w:val="both"/>
        <w:rPr>
          <w:rFonts w:ascii="Calibri" w:hAnsi="Calibri"/>
          <w:b/>
          <w:bCs/>
          <w:u w:val="single"/>
        </w:rPr>
      </w:pPr>
      <w:r>
        <w:rPr>
          <w:rFonts w:ascii="David" w:hAnsi="David"/>
          <w:b/>
          <w:bCs/>
          <w:u w:val="single"/>
          <w:rtl/>
        </w:rPr>
        <w:t xml:space="preserve">תסקיר שירות המבחן </w:t>
      </w:r>
    </w:p>
    <w:p w14:paraId="0431BD71" w14:textId="77777777" w:rsidR="00A152A3" w:rsidRPr="00064D62" w:rsidRDefault="00A152A3" w:rsidP="00A152A3">
      <w:pPr>
        <w:pStyle w:val="aa"/>
        <w:spacing w:line="360" w:lineRule="auto"/>
        <w:jc w:val="both"/>
        <w:rPr>
          <w:b/>
          <w:bCs/>
          <w:u w:val="single"/>
        </w:rPr>
      </w:pPr>
    </w:p>
    <w:p w14:paraId="033D4F6D" w14:textId="77777777" w:rsidR="00A152A3" w:rsidRDefault="00A152A3" w:rsidP="00A152A3">
      <w:pPr>
        <w:spacing w:line="360" w:lineRule="auto"/>
        <w:jc w:val="both"/>
        <w:rPr>
          <w:rtl/>
        </w:rPr>
      </w:pPr>
      <w:r>
        <w:rPr>
          <w:u w:val="single"/>
          <w:rtl/>
        </w:rPr>
        <w:t xml:space="preserve">מתסקיר שירות מבחן מיום </w:t>
      </w:r>
      <w:r>
        <w:rPr>
          <w:rFonts w:hint="cs"/>
          <w:u w:val="single"/>
          <w:rtl/>
        </w:rPr>
        <w:t>4.12.2024</w:t>
      </w:r>
      <w:r w:rsidRPr="00064D62">
        <w:rPr>
          <w:rFonts w:hint="cs"/>
          <w:rtl/>
        </w:rPr>
        <w:t>,</w:t>
      </w:r>
      <w:r>
        <w:rPr>
          <w:rFonts w:hint="cs"/>
          <w:rtl/>
        </w:rPr>
        <w:t xml:space="preserve"> לעניין נסיבותיו האישיות והמשפחתיות, </w:t>
      </w:r>
      <w:r>
        <w:rPr>
          <w:rtl/>
        </w:rPr>
        <w:t xml:space="preserve">עולה כי הנאשם, בן </w:t>
      </w:r>
      <w:r>
        <w:rPr>
          <w:rFonts w:hint="cs"/>
          <w:rtl/>
        </w:rPr>
        <w:t>27, רווק, גר עם אביו ואחיו בתל אביב. אינו עובד בשל מצב נפשי ובריאותי. הוריו התגרשו כשהיה בן 14, מתאר כי כיום מצוי בקשר יציב עם אמו. לא סיים את לימודיו. שירת שירות צבאי מלא וכיום לומד קורס מאמני כושר במכון וינגייט. בנוגע למצבו הנפשי, לפי דבריו, בעקבות שימוש בסמים חווה תחושות דיכאון ולחץ והופנה לטיפול פסיכיאטרי ומיוני 2024 נמצא במעקב במרפאה פרטית ומדיווח שהתקבל עולה כי הנאשם סובל מדיכאונו</w:t>
      </w:r>
      <w:r>
        <w:rPr>
          <w:rFonts w:hint="eastAsia"/>
          <w:rtl/>
        </w:rPr>
        <w:t>ת</w:t>
      </w:r>
      <w:r>
        <w:rPr>
          <w:rFonts w:hint="cs"/>
          <w:rtl/>
        </w:rPr>
        <w:t xml:space="preserve"> ומצבים נפשיים, כפי שמפורט בתסקיר. בנוגע למצבו הבריאותי, הנאשם סובל מבעיות ראייה הגורמות לו למיגרנה, לכן זכאי לנכות מטעם הביטוח הלאומי בשיעור של 40% ולאובדן כושר עבודה בשיעור של 100%. </w:t>
      </w:r>
    </w:p>
    <w:p w14:paraId="621CC4FD" w14:textId="77777777" w:rsidR="00A152A3" w:rsidRDefault="00A152A3" w:rsidP="00A152A3">
      <w:pPr>
        <w:spacing w:line="360" w:lineRule="auto"/>
        <w:jc w:val="both"/>
        <w:rPr>
          <w:rtl/>
        </w:rPr>
      </w:pPr>
    </w:p>
    <w:p w14:paraId="04BE0731" w14:textId="77777777" w:rsidR="00A152A3" w:rsidRDefault="00A152A3" w:rsidP="00A152A3">
      <w:pPr>
        <w:spacing w:line="360" w:lineRule="auto"/>
        <w:jc w:val="both"/>
        <w:rPr>
          <w:rtl/>
        </w:rPr>
      </w:pPr>
      <w:r>
        <w:rPr>
          <w:rFonts w:hint="cs"/>
          <w:rtl/>
        </w:rPr>
        <w:t xml:space="preserve">הנאשם מסר כי החל לצרוך סמים בגיל 15 על רקע חברתי והתדרדר לשימוש יום יומי ולאחר הצבא החל להשתמש אף בסמים ממריצים באופן אינטנסיבי. הנאשם פנה בכוחות עצמו ובתמיכת אביו לטיפול ביחידה להתמכרויות בחודש אוגוסט 2023 ומאז משולב בתכנית טיפול הכוללת מתן בדיקות שתן 3 פעמים בשבוע, קבוצה טיפולית וטיפול פרטני אחת לשבוע. על פי דיווח שהתקבל מהיחידה, הנאשם משתף פעולה, לוקח חלק פעיל בשיחות ומצליח להגדיר מטרות טיפוליות. </w:t>
      </w:r>
    </w:p>
    <w:p w14:paraId="09268ECA" w14:textId="77777777" w:rsidR="00A152A3" w:rsidRDefault="00A152A3" w:rsidP="00A152A3">
      <w:pPr>
        <w:spacing w:line="360" w:lineRule="auto"/>
        <w:jc w:val="both"/>
        <w:rPr>
          <w:rtl/>
        </w:rPr>
      </w:pPr>
    </w:p>
    <w:p w14:paraId="27408066" w14:textId="77777777" w:rsidR="00A152A3" w:rsidRDefault="00A152A3" w:rsidP="00A152A3">
      <w:pPr>
        <w:spacing w:line="360" w:lineRule="auto"/>
        <w:jc w:val="both"/>
        <w:rPr>
          <w:rtl/>
        </w:rPr>
      </w:pPr>
      <w:r>
        <w:rPr>
          <w:rFonts w:hint="cs"/>
          <w:rtl/>
        </w:rPr>
        <w:t xml:space="preserve">בהתייחסו לעבירה, מסר כי בעת ביצוע העבירה היה מצוי בחובות בעקבות מצבו ההתמכרותי. נטל אחריות על ביצוע העבירה ושירות המבחן התרשם כי ההליך הפלילי היווה מציב גבול עבורו אשר הוביל אותו לשינוי אורחות חייו. עוד התרשם שירות המבחן מבחור צעיר, בעל כוחות ויכולות, שהתפתח ברקע קשיים ואתגרים משפחתיים שהשפיעו על המשך חייו וכיום עורך מאמצים לנהל אורח חיים נורמטיבי לצד בעיות אלו. </w:t>
      </w:r>
    </w:p>
    <w:p w14:paraId="708A988D" w14:textId="77777777" w:rsidR="00A152A3" w:rsidRDefault="00A152A3" w:rsidP="00A152A3">
      <w:pPr>
        <w:spacing w:line="360" w:lineRule="auto"/>
        <w:jc w:val="both"/>
        <w:rPr>
          <w:rtl/>
        </w:rPr>
      </w:pPr>
    </w:p>
    <w:p w14:paraId="100B4EB7" w14:textId="77777777" w:rsidR="00A152A3" w:rsidRDefault="00A152A3" w:rsidP="00A152A3">
      <w:pPr>
        <w:spacing w:line="360" w:lineRule="auto"/>
        <w:jc w:val="both"/>
        <w:rPr>
          <w:rtl/>
        </w:rPr>
      </w:pPr>
      <w:r>
        <w:rPr>
          <w:rFonts w:hint="cs"/>
          <w:rtl/>
        </w:rPr>
        <w:t xml:space="preserve">לסיכום, ציין שירות המבחן כי הנאשם נמצא בהליך טיפולי משמעותי מעל לשנה, נמנע משימוש בסמים, משתף פעולה בטיפול ונכרת התקדמות במצבו. לאור האמור לעיל, המליץ שירות המבחן על הטלת צו שירות לתועלת הציבור בהיקף של 200 שעות, הטלת מאסר מותנה וכן צו מבחן למשך שנה במסגרתו ימשיך הנאשם בטיפול במסגרת היחידה לטיפול בהתמכרויות והמשך בדיקות שתן. </w:t>
      </w:r>
    </w:p>
    <w:p w14:paraId="1CD76EC4" w14:textId="77777777" w:rsidR="00A152A3" w:rsidRDefault="00A152A3" w:rsidP="00A152A3">
      <w:pPr>
        <w:spacing w:line="360" w:lineRule="auto"/>
        <w:jc w:val="both"/>
        <w:rPr>
          <w:rtl/>
        </w:rPr>
      </w:pPr>
    </w:p>
    <w:p w14:paraId="0FC11618" w14:textId="77777777" w:rsidR="00A152A3" w:rsidRPr="00810039" w:rsidRDefault="00A152A3" w:rsidP="00A152A3">
      <w:pPr>
        <w:spacing w:line="360" w:lineRule="auto"/>
        <w:jc w:val="both"/>
        <w:rPr>
          <w:rtl/>
        </w:rPr>
      </w:pPr>
      <w:r>
        <w:rPr>
          <w:rFonts w:hint="cs"/>
          <w:u w:val="single"/>
          <w:rtl/>
        </w:rPr>
        <w:t>בתסקיר שהתקבל מיום 27.1.25</w:t>
      </w:r>
      <w:r>
        <w:rPr>
          <w:rFonts w:hint="cs"/>
          <w:rtl/>
        </w:rPr>
        <w:t xml:space="preserve">, ערך שירות המבחן תכנית מפורטת לפיה יבצע את שעות השל"צ במסגרת מט"ב </w:t>
      </w:r>
      <w:r>
        <w:rPr>
          <w:rtl/>
        </w:rPr>
        <w:t>–</w:t>
      </w:r>
      <w:r>
        <w:rPr>
          <w:rFonts w:hint="cs"/>
          <w:rtl/>
        </w:rPr>
        <w:t xml:space="preserve"> מרכז יום לקשיש בשכונת כפר שלם בתל אביב, בתפקידי סיוע לצוות וביצוע עבודות אחזקה.</w:t>
      </w:r>
    </w:p>
    <w:p w14:paraId="7D7955BB" w14:textId="77777777" w:rsidR="00A152A3" w:rsidRDefault="00A152A3" w:rsidP="00A152A3">
      <w:pPr>
        <w:pStyle w:val="aa"/>
        <w:spacing w:line="360" w:lineRule="auto"/>
        <w:jc w:val="both"/>
        <w:rPr>
          <w:rFonts w:cs="David"/>
          <w:sz w:val="24"/>
          <w:szCs w:val="24"/>
        </w:rPr>
      </w:pPr>
    </w:p>
    <w:p w14:paraId="32DADDEC" w14:textId="77777777" w:rsidR="00A152A3" w:rsidRDefault="00A152A3" w:rsidP="00A152A3">
      <w:pPr>
        <w:pStyle w:val="aa"/>
        <w:numPr>
          <w:ilvl w:val="0"/>
          <w:numId w:val="2"/>
        </w:numPr>
        <w:spacing w:line="360" w:lineRule="auto"/>
        <w:jc w:val="both"/>
        <w:rPr>
          <w:rFonts w:ascii="David" w:hAnsi="David" w:cs="David"/>
          <w:b/>
          <w:bCs/>
          <w:sz w:val="24"/>
          <w:szCs w:val="24"/>
          <w:u w:val="single"/>
          <w:rtl/>
        </w:rPr>
      </w:pPr>
      <w:r>
        <w:rPr>
          <w:rFonts w:ascii="David" w:hAnsi="David" w:cs="David"/>
          <w:b/>
          <w:bCs/>
          <w:sz w:val="24"/>
          <w:szCs w:val="24"/>
          <w:u w:val="single"/>
          <w:rtl/>
        </w:rPr>
        <w:t>טיעוני הצדדים</w:t>
      </w:r>
    </w:p>
    <w:p w14:paraId="11806B4C" w14:textId="77777777" w:rsidR="00A152A3" w:rsidRDefault="00A152A3" w:rsidP="00A152A3">
      <w:pPr>
        <w:pStyle w:val="aa"/>
        <w:spacing w:line="360" w:lineRule="auto"/>
        <w:jc w:val="both"/>
        <w:rPr>
          <w:rFonts w:ascii="David" w:hAnsi="David" w:cs="David"/>
          <w:b/>
          <w:bCs/>
          <w:sz w:val="24"/>
          <w:szCs w:val="24"/>
          <w:u w:val="single"/>
        </w:rPr>
      </w:pPr>
    </w:p>
    <w:p w14:paraId="06A0FDCE" w14:textId="77777777" w:rsidR="00A152A3" w:rsidRDefault="00A152A3" w:rsidP="00A152A3">
      <w:pPr>
        <w:spacing w:line="360" w:lineRule="auto"/>
        <w:jc w:val="both"/>
        <w:rPr>
          <w:rtl/>
        </w:rPr>
      </w:pPr>
      <w:r>
        <w:rPr>
          <w:b/>
          <w:bCs/>
          <w:rtl/>
        </w:rPr>
        <w:t xml:space="preserve">ב"כ המאשימה, </w:t>
      </w:r>
      <w:r>
        <w:rPr>
          <w:rFonts w:hint="cs"/>
          <w:rtl/>
        </w:rPr>
        <w:t xml:space="preserve">הגישה גיליון רישיון תעבורתי של הנאשם. הפנתה לעובדות כתב האישום ולכך שהעבירות בוצעו על רקע רצונו של הנאשם להרוויח כסף; לערכים המוגנים שנפגעו ולנזקים שנגרמים לסביבה נוכח הפצת הסם. המאשימה עתרה למתחם ענישה שמתחיל מעבודות שירות והפנתה לפסיקה לתמיכה בעתירתה. באשר לעונש שיש להטיל על הנאשם, לנוכח העדר עבר פלילי הטיפול שעבר הודאת הנאשם ביקשה להטיל על הנאשם 6 חודשי מאסר בפועל בדרך של עבודות שירות (בכפוף לחוות דעת ממונה), מאסר מותנה, קנס, פסילה בפועל ועל תנאי וכן עתרה להכריז על הנאשם סוחר סמים. </w:t>
      </w:r>
    </w:p>
    <w:p w14:paraId="69358E57" w14:textId="77777777" w:rsidR="00A152A3" w:rsidRDefault="00A152A3" w:rsidP="00A152A3">
      <w:pPr>
        <w:spacing w:line="360" w:lineRule="auto"/>
        <w:jc w:val="both"/>
        <w:rPr>
          <w:rtl/>
        </w:rPr>
      </w:pPr>
      <w:r>
        <w:rPr>
          <w:rtl/>
        </w:rPr>
        <w:t xml:space="preserve"> </w:t>
      </w:r>
    </w:p>
    <w:p w14:paraId="46A29CE3" w14:textId="77777777" w:rsidR="00A152A3" w:rsidRDefault="00A152A3" w:rsidP="00A152A3">
      <w:pPr>
        <w:spacing w:line="360" w:lineRule="auto"/>
        <w:jc w:val="both"/>
        <w:rPr>
          <w:rtl/>
        </w:rPr>
      </w:pPr>
      <w:r>
        <w:rPr>
          <w:b/>
          <w:bCs/>
          <w:rtl/>
        </w:rPr>
        <w:t>ב"כ הנאשם</w:t>
      </w:r>
      <w:r>
        <w:rPr>
          <w:rtl/>
        </w:rPr>
        <w:t xml:space="preserve">, </w:t>
      </w:r>
      <w:r>
        <w:rPr>
          <w:rFonts w:hint="cs"/>
          <w:rtl/>
        </w:rPr>
        <w:t>במסגרת הראיות לעונש, העיד את אביו של הנאשם, אשר תיאר את הדרך הארוכה והחיובית שעבר בנו בשנה האחרונה. תיאר את התקופה הקשה שעברה עליו, עת צפה בבנו שהיה משתמש בסמים, ללא יכולת לעזור לו וציין כי כיום נמצא בטיפול וביקש מבית המשפט לשפוט את בנו על פי מידת הרחמים. הסנגור, בטיעוניו, הפנה להודאת הנאשם בהזדמנות הראשונה, לשיתוף הפעולה כבר בתחנת המשטרה ולחיסכון בזמן השיפוטי כפועל יוצא מנטילת אחריות זו. עוד הפנה לנסיבותיו האישיות הקשות של הנאשם כפי שעולות מתסקיר שירות המבחן והגיש מסמך מהמרכז לטיפול בהתמכרויות (</w:t>
      </w:r>
      <w:r w:rsidRPr="00FF2937">
        <w:rPr>
          <w:rFonts w:hint="cs"/>
          <w:b/>
          <w:bCs/>
          <w:rtl/>
        </w:rPr>
        <w:t>עי</w:t>
      </w:r>
      <w:r>
        <w:rPr>
          <w:rFonts w:hint="cs"/>
          <w:b/>
          <w:bCs/>
          <w:rtl/>
        </w:rPr>
        <w:t>/</w:t>
      </w:r>
      <w:r w:rsidRPr="00FF2937">
        <w:rPr>
          <w:rFonts w:hint="cs"/>
          <w:b/>
          <w:bCs/>
          <w:rtl/>
        </w:rPr>
        <w:t>1</w:t>
      </w:r>
      <w:r>
        <w:rPr>
          <w:rFonts w:hint="cs"/>
          <w:rtl/>
        </w:rPr>
        <w:t xml:space="preserve">). המשיך והדגיש את התמודדות הנאשם אל מול קשייו הרבים והעדר עבר פלילי או תיקים חדשים שנפתחו במהלך תקופה זו וכן הפנה לכך שהנאשם פנה מיוזמתו להליך טיפולי ותיאר את הימים הקשים שעברו עליו בבית המעצר. בנוסף, הפנה למשך ההליך הטיפולי האינטנסיבי, כשנה וארבעה חודשים, שבו עומד ומתמיד. הפנה לכך שמדובר בסם שכיום נחשב לעבירה מנהלית, לכמויות ולהעדר אינדיקציות על כך שהנאשם סחר בסם. </w:t>
      </w:r>
    </w:p>
    <w:p w14:paraId="67697EEA" w14:textId="77777777" w:rsidR="00A152A3" w:rsidRDefault="00A152A3" w:rsidP="00A152A3">
      <w:pPr>
        <w:spacing w:line="360" w:lineRule="auto"/>
        <w:jc w:val="both"/>
        <w:rPr>
          <w:rtl/>
        </w:rPr>
      </w:pPr>
    </w:p>
    <w:p w14:paraId="5536B7AA" w14:textId="77777777" w:rsidR="00A152A3" w:rsidRDefault="00A152A3" w:rsidP="00A152A3">
      <w:pPr>
        <w:spacing w:line="360" w:lineRule="auto"/>
        <w:jc w:val="both"/>
        <w:rPr>
          <w:rtl/>
        </w:rPr>
      </w:pPr>
      <w:r>
        <w:rPr>
          <w:rFonts w:hint="cs"/>
          <w:rtl/>
        </w:rPr>
        <w:t xml:space="preserve">ההגנה עתרה למתחם ענישה בנוגע לעבירת הסחר שמתחיל ממאסר מותנה ונע עד מספר חודשי עבודות שירות ולמתחם לעבירת ההחזקה שמתחיל ממאסר מותנה ונע עד חודש מאסר בעבודות שירות. לנוכח השינוי שעבר הנאשם בשנה האחרונה, העדר מסוגלות לבצע עבודות שירות כפי שעולה מתסקיר שירות המבחן ביקש להסתפק בענישה שיקומית, שירות לתועלת הציבור וצו מבחן. </w:t>
      </w:r>
    </w:p>
    <w:p w14:paraId="2F30DABD" w14:textId="77777777" w:rsidR="00A152A3" w:rsidRDefault="00A152A3" w:rsidP="00A152A3">
      <w:pPr>
        <w:spacing w:line="360" w:lineRule="auto"/>
        <w:jc w:val="both"/>
        <w:rPr>
          <w:rtl/>
        </w:rPr>
      </w:pPr>
    </w:p>
    <w:p w14:paraId="0044404F" w14:textId="77777777" w:rsidR="00A152A3" w:rsidRDefault="00A152A3" w:rsidP="00A152A3">
      <w:pPr>
        <w:spacing w:line="360" w:lineRule="auto"/>
        <w:jc w:val="both"/>
        <w:rPr>
          <w:rtl/>
        </w:rPr>
      </w:pPr>
      <w:r>
        <w:rPr>
          <w:b/>
          <w:bCs/>
          <w:rtl/>
        </w:rPr>
        <w:t>הנאשם</w:t>
      </w:r>
      <w:r>
        <w:rPr>
          <w:rFonts w:hint="cs"/>
          <w:b/>
          <w:bCs/>
          <w:rtl/>
        </w:rPr>
        <w:t>,</w:t>
      </w:r>
      <w:r>
        <w:rPr>
          <w:rtl/>
        </w:rPr>
        <w:t xml:space="preserve"> </w:t>
      </w:r>
      <w:r>
        <w:rPr>
          <w:rFonts w:hint="cs"/>
          <w:rtl/>
        </w:rPr>
        <w:t xml:space="preserve">תיאר את מצבו הנפשי בעקבות השימוש בסמים, הביע חרטה על ביצוע העבירה והדגיש שמבין שפעל מתוך פזיזות וכיום בעקבות הטיפול, קיבל כלים להתמודד עם מצבים קשים וביקש להתחשב במצבו ולא להטיל עונש מאסר בדרך של עבודות שירות. </w:t>
      </w:r>
    </w:p>
    <w:p w14:paraId="5563BA4A" w14:textId="77777777" w:rsidR="00A152A3" w:rsidRDefault="00A152A3" w:rsidP="00A152A3">
      <w:pPr>
        <w:spacing w:line="360" w:lineRule="auto"/>
        <w:jc w:val="both"/>
        <w:rPr>
          <w:sz w:val="28"/>
          <w:szCs w:val="28"/>
        </w:rPr>
      </w:pPr>
    </w:p>
    <w:p w14:paraId="6DEE8D70" w14:textId="77777777" w:rsidR="00A152A3" w:rsidRDefault="00A152A3" w:rsidP="00A152A3">
      <w:pPr>
        <w:pStyle w:val="aa"/>
        <w:numPr>
          <w:ilvl w:val="0"/>
          <w:numId w:val="1"/>
        </w:numPr>
        <w:spacing w:line="360" w:lineRule="auto"/>
        <w:jc w:val="both"/>
        <w:rPr>
          <w:rFonts w:ascii="David" w:hAnsi="David" w:cs="David"/>
          <w:sz w:val="28"/>
          <w:szCs w:val="28"/>
          <w:rtl/>
        </w:rPr>
      </w:pPr>
      <w:r>
        <w:rPr>
          <w:rFonts w:ascii="David" w:hAnsi="David" w:cs="David"/>
          <w:b/>
          <w:bCs/>
          <w:sz w:val="28"/>
          <w:szCs w:val="28"/>
          <w:u w:val="single"/>
          <w:rtl/>
        </w:rPr>
        <w:t>דיון והכרעה</w:t>
      </w:r>
    </w:p>
    <w:p w14:paraId="73B4E0C5" w14:textId="77777777" w:rsidR="00A152A3" w:rsidRDefault="00A152A3" w:rsidP="00A152A3">
      <w:pPr>
        <w:pStyle w:val="aa"/>
        <w:spacing w:line="360" w:lineRule="auto"/>
        <w:jc w:val="both"/>
        <w:rPr>
          <w:rFonts w:ascii="David" w:hAnsi="David" w:cs="David"/>
          <w:sz w:val="28"/>
          <w:szCs w:val="28"/>
        </w:rPr>
      </w:pPr>
    </w:p>
    <w:p w14:paraId="7D1FD2BC" w14:textId="77777777" w:rsidR="00A152A3" w:rsidRDefault="00A152A3" w:rsidP="00A152A3">
      <w:pPr>
        <w:spacing w:line="360" w:lineRule="auto"/>
        <w:jc w:val="both"/>
        <w:rPr>
          <w:rFonts w:ascii="David" w:hAnsi="David"/>
          <w:b/>
          <w:bCs/>
        </w:rPr>
      </w:pPr>
      <w:r>
        <w:rPr>
          <w:rFonts w:ascii="David" w:hAnsi="David"/>
          <w:rtl/>
        </w:rPr>
        <w:t xml:space="preserve">קביעת עונשו של הנאשם, יהיה לאור עקרון הבכורה- </w:t>
      </w:r>
      <w:r>
        <w:rPr>
          <w:rFonts w:ascii="David" w:hAnsi="David"/>
          <w:b/>
          <w:bCs/>
          <w:rtl/>
        </w:rPr>
        <w:t>עקרון ההלימה</w:t>
      </w:r>
      <w:r>
        <w:rPr>
          <w:rFonts w:ascii="David" w:hAnsi="David"/>
          <w:rtl/>
        </w:rPr>
        <w:t xml:space="preserve">, זאת תוך מתן יחס הולם בין חומרת העבירה המיוחסת לנאשם בנסיבותיה, מידת אשמו של הנאשם ובין סוג ומידת העונש אשר יוטל עליו. לצורך קביעה זו יש לבחון את </w:t>
      </w:r>
      <w:r>
        <w:rPr>
          <w:rFonts w:ascii="David" w:hAnsi="David"/>
          <w:b/>
          <w:bCs/>
          <w:rtl/>
        </w:rPr>
        <w:t>הערכים החברתיים</w:t>
      </w:r>
      <w:r>
        <w:rPr>
          <w:rFonts w:ascii="David" w:hAnsi="David"/>
          <w:rtl/>
        </w:rPr>
        <w:t xml:space="preserve"> שנפגעו ממעשה זה ומידת הפגיעה בהם, </w:t>
      </w:r>
      <w:r>
        <w:rPr>
          <w:rFonts w:ascii="David" w:hAnsi="David"/>
          <w:b/>
          <w:bCs/>
          <w:rtl/>
        </w:rPr>
        <w:t>מדיניות הענישה הנהוגה</w:t>
      </w:r>
      <w:r>
        <w:rPr>
          <w:rFonts w:ascii="David" w:hAnsi="David"/>
          <w:rtl/>
        </w:rPr>
        <w:t xml:space="preserve"> בבתי המשפט, </w:t>
      </w:r>
      <w:r>
        <w:rPr>
          <w:rFonts w:ascii="David" w:hAnsi="David"/>
          <w:b/>
          <w:bCs/>
          <w:rtl/>
        </w:rPr>
        <w:t>הנסיבות הקשורות בביצוע העבירה</w:t>
      </w:r>
      <w:r>
        <w:rPr>
          <w:rFonts w:ascii="David" w:hAnsi="David"/>
          <w:rtl/>
        </w:rPr>
        <w:t>, כמו גם</w:t>
      </w:r>
      <w:r>
        <w:rPr>
          <w:rFonts w:ascii="David" w:hAnsi="David"/>
          <w:b/>
          <w:bCs/>
          <w:rtl/>
        </w:rPr>
        <w:t xml:space="preserve"> נסיבות אישיות של הנאשם </w:t>
      </w:r>
      <w:r>
        <w:rPr>
          <w:rFonts w:ascii="David" w:hAnsi="David"/>
          <w:rtl/>
        </w:rPr>
        <w:t>(תיקון 113 לחוק).</w:t>
      </w:r>
    </w:p>
    <w:p w14:paraId="48E46929" w14:textId="77777777" w:rsidR="00A152A3" w:rsidRDefault="00A152A3" w:rsidP="00A152A3">
      <w:pPr>
        <w:spacing w:line="360" w:lineRule="auto"/>
        <w:jc w:val="both"/>
        <w:rPr>
          <w:rtl/>
        </w:rPr>
      </w:pPr>
    </w:p>
    <w:p w14:paraId="7DA33543" w14:textId="77777777" w:rsidR="00A152A3" w:rsidRDefault="00A152A3" w:rsidP="00A152A3">
      <w:pPr>
        <w:spacing w:line="360" w:lineRule="auto"/>
        <w:jc w:val="both"/>
        <w:rPr>
          <w:rtl/>
        </w:rPr>
      </w:pPr>
      <w:r>
        <w:rPr>
          <w:b/>
          <w:bCs/>
          <w:rtl/>
        </w:rPr>
        <w:t>הערכים המוגנים ונסיבות ביצוע העבירה</w:t>
      </w:r>
      <w:r>
        <w:rPr>
          <w:rtl/>
        </w:rPr>
        <w:t xml:space="preserve"> </w:t>
      </w:r>
    </w:p>
    <w:p w14:paraId="793F56B4" w14:textId="77777777" w:rsidR="00A152A3" w:rsidRDefault="00A152A3" w:rsidP="00A152A3">
      <w:pPr>
        <w:spacing w:line="360" w:lineRule="auto"/>
        <w:jc w:val="both"/>
        <w:rPr>
          <w:rtl/>
        </w:rPr>
      </w:pPr>
    </w:p>
    <w:p w14:paraId="0DEE31E7" w14:textId="77777777" w:rsidR="00A152A3" w:rsidRPr="00A152A3" w:rsidRDefault="00A152A3" w:rsidP="00A152A3">
      <w:pPr>
        <w:spacing w:line="360" w:lineRule="auto"/>
        <w:jc w:val="both"/>
        <w:rPr>
          <w:rtl/>
        </w:rPr>
      </w:pPr>
      <w:r>
        <w:rPr>
          <w:rFonts w:hint="cs"/>
          <w:rtl/>
        </w:rPr>
        <w:t xml:space="preserve">הנאשם סחר בסם מסוג קנביס במשקל של 20.25 גרם נטו בתמורה ל-800 ₪ וכן החזיק ברכבו סם מסוג קנביס במשקל של 300 גרם וחשיש במשקל 20 גרם נטו וזאת שלא לצריכתו העצמית. העבירות בהן הורשע הנאשם, </w:t>
      </w:r>
      <w:r>
        <w:rPr>
          <w:rtl/>
        </w:rPr>
        <w:t xml:space="preserve">פוגעת בערכים החברתיים </w:t>
      </w:r>
      <w:r w:rsidRPr="00A152A3">
        <w:rPr>
          <w:rtl/>
        </w:rPr>
        <w:t xml:space="preserve">הנוגעים לשלומו ובריאותו של הציבור וכבר נקבע לא אחת, שפגיעתם של הסמים בחברה הינם רחבי היקף וכוללים הן את המשתמש הבודד אך גם את משפחתו והמעגל הקרוב, זאת לצד ההשפעה על החברה כולה. היקף רחב זה נעוץ בכך שמתקיימת פעילות פלילית לצורך סיפוק הדחף לצרוך סם, לעיתים זה נעשה תוך כדי ביצוע עבירות נוספות ונלוות למטרה זו. לנושא נגע הסמים והחשיבות שבעקירתו מהשורש ראו </w:t>
      </w:r>
      <w:hyperlink r:id="rId21" w:history="1">
        <w:r w:rsidR="002D6C0A" w:rsidRPr="002D6C0A">
          <w:rPr>
            <w:color w:val="0000FF"/>
            <w:u w:val="single"/>
            <w:rtl/>
          </w:rPr>
          <w:t>ע"פ 3172/13</w:t>
        </w:r>
      </w:hyperlink>
      <w:r w:rsidRPr="00A152A3">
        <w:rPr>
          <w:rtl/>
        </w:rPr>
        <w:t xml:space="preserve"> </w:t>
      </w:r>
      <w:r w:rsidRPr="00A152A3">
        <w:rPr>
          <w:b/>
          <w:bCs/>
          <w:rtl/>
        </w:rPr>
        <w:t>סואעד נגד מדינת ישראל</w:t>
      </w:r>
      <w:r w:rsidRPr="00A152A3">
        <w:rPr>
          <w:rtl/>
        </w:rPr>
        <w:t xml:space="preserve"> (פורסם בנבו, 07.01.2014)]</w:t>
      </w:r>
      <w:r w:rsidRPr="00A152A3">
        <w:rPr>
          <w:rFonts w:hint="cs"/>
          <w:rtl/>
        </w:rPr>
        <w:t>.</w:t>
      </w:r>
    </w:p>
    <w:p w14:paraId="05FD1DCC" w14:textId="77777777" w:rsidR="00A152A3" w:rsidRPr="00A152A3" w:rsidRDefault="00A152A3" w:rsidP="00A152A3">
      <w:pPr>
        <w:spacing w:line="360" w:lineRule="auto"/>
        <w:jc w:val="both"/>
        <w:rPr>
          <w:rtl/>
        </w:rPr>
      </w:pPr>
    </w:p>
    <w:p w14:paraId="5A6CDB66" w14:textId="77777777" w:rsidR="00A152A3" w:rsidRDefault="00A152A3" w:rsidP="00A152A3">
      <w:pPr>
        <w:pStyle w:val="aa"/>
        <w:spacing w:after="160" w:line="360" w:lineRule="auto"/>
        <w:ind w:left="-58"/>
        <w:jc w:val="both"/>
        <w:rPr>
          <w:rFonts w:ascii="David" w:hAnsi="David" w:cs="David"/>
          <w:sz w:val="24"/>
          <w:szCs w:val="24"/>
          <w:rtl/>
        </w:rPr>
      </w:pPr>
      <w:r>
        <w:rPr>
          <w:rFonts w:ascii="David" w:hAnsi="David" w:cs="David"/>
          <w:sz w:val="24"/>
          <w:szCs w:val="24"/>
          <w:rtl/>
        </w:rPr>
        <w:t xml:space="preserve">הענישה בעבירות אלו נובעת מן הצורך להילחם בנגע הסמים עמד בית המשפט העליון בפסיקה ברורה ונוקבת. ראו </w:t>
      </w:r>
      <w:hyperlink r:id="rId22" w:history="1">
        <w:r w:rsidR="002D6C0A" w:rsidRPr="002D6C0A">
          <w:rPr>
            <w:rFonts w:ascii="David" w:hAnsi="David" w:cs="David"/>
            <w:color w:val="0000FF"/>
            <w:sz w:val="24"/>
            <w:szCs w:val="24"/>
            <w:u w:val="single"/>
            <w:rtl/>
          </w:rPr>
          <w:t>ע"פ 3172/13</w:t>
        </w:r>
      </w:hyperlink>
      <w:r>
        <w:rPr>
          <w:rFonts w:ascii="David" w:hAnsi="David" w:cs="David"/>
          <w:sz w:val="24"/>
          <w:szCs w:val="24"/>
          <w:rtl/>
        </w:rPr>
        <w:t xml:space="preserve"> </w:t>
      </w:r>
      <w:r>
        <w:rPr>
          <w:rFonts w:ascii="David" w:hAnsi="David" w:cs="David"/>
          <w:b/>
          <w:bCs/>
          <w:sz w:val="24"/>
          <w:szCs w:val="24"/>
          <w:rtl/>
        </w:rPr>
        <w:t xml:space="preserve">עלא סואעד נגד  מדינת ישראל </w:t>
      </w:r>
      <w:r>
        <w:rPr>
          <w:rFonts w:ascii="David" w:hAnsi="David" w:cs="David"/>
          <w:sz w:val="24"/>
          <w:szCs w:val="24"/>
          <w:rtl/>
        </w:rPr>
        <w:t>(07.01.2014):</w:t>
      </w:r>
    </w:p>
    <w:p w14:paraId="1D29AC0D" w14:textId="77777777" w:rsidR="00A152A3" w:rsidRDefault="00A152A3" w:rsidP="00A152A3">
      <w:pPr>
        <w:spacing w:line="360" w:lineRule="auto"/>
        <w:jc w:val="both"/>
        <w:rPr>
          <w:rtl/>
        </w:rPr>
      </w:pPr>
      <w:r>
        <w:rPr>
          <w:rFonts w:ascii="David" w:hAnsi="David"/>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w:t>
      </w:r>
    </w:p>
    <w:p w14:paraId="62BA39F3" w14:textId="77777777" w:rsidR="00A152A3" w:rsidRDefault="00A152A3" w:rsidP="00A152A3">
      <w:pPr>
        <w:spacing w:line="360" w:lineRule="auto"/>
        <w:jc w:val="both"/>
        <w:rPr>
          <w:rtl/>
        </w:rPr>
      </w:pPr>
    </w:p>
    <w:p w14:paraId="1D4E0735" w14:textId="77777777" w:rsidR="00A152A3" w:rsidRDefault="00A152A3" w:rsidP="00A152A3">
      <w:pPr>
        <w:spacing w:line="360" w:lineRule="auto"/>
        <w:jc w:val="both"/>
        <w:rPr>
          <w:rtl/>
        </w:rPr>
      </w:pPr>
      <w:r>
        <w:rPr>
          <w:rFonts w:hint="cs"/>
          <w:rtl/>
        </w:rPr>
        <w:t xml:space="preserve">נוכח נסיבות החזקת הסם, מכירתו וסוג הסם, אני קובעת כי הפגיעה בערכים המוגנים הינה ברך הנמוך-בינוני. </w:t>
      </w:r>
    </w:p>
    <w:p w14:paraId="55772D42" w14:textId="77777777" w:rsidR="00A152A3" w:rsidRDefault="00A152A3" w:rsidP="00A152A3">
      <w:pPr>
        <w:spacing w:line="360" w:lineRule="auto"/>
        <w:jc w:val="both"/>
        <w:rPr>
          <w:rtl/>
        </w:rPr>
      </w:pPr>
    </w:p>
    <w:p w14:paraId="58100EDF" w14:textId="77777777" w:rsidR="00A152A3" w:rsidRDefault="00A152A3" w:rsidP="00A152A3">
      <w:pPr>
        <w:spacing w:line="360" w:lineRule="auto"/>
        <w:jc w:val="both"/>
        <w:rPr>
          <w:rtl/>
        </w:rPr>
      </w:pPr>
      <w:r>
        <w:rPr>
          <w:b/>
          <w:bCs/>
          <w:rtl/>
        </w:rPr>
        <w:t>מדיניות הענישה ומתחם העונש ההולם</w:t>
      </w:r>
      <w:r>
        <w:rPr>
          <w:rtl/>
        </w:rPr>
        <w:t xml:space="preserve"> </w:t>
      </w:r>
    </w:p>
    <w:p w14:paraId="7B176F4E" w14:textId="77777777" w:rsidR="00A152A3" w:rsidRPr="00A7229F" w:rsidRDefault="00A152A3" w:rsidP="00A152A3">
      <w:pPr>
        <w:spacing w:line="360" w:lineRule="auto"/>
        <w:jc w:val="both"/>
      </w:pPr>
      <w:r>
        <w:rPr>
          <w:rFonts w:ascii="David" w:hAnsi="David"/>
          <w:b/>
          <w:bCs/>
          <w:rtl/>
        </w:rPr>
        <w:t xml:space="preserve"> </w:t>
      </w:r>
    </w:p>
    <w:p w14:paraId="4D15EB90" w14:textId="77777777" w:rsidR="00A152A3" w:rsidRPr="00A152A3" w:rsidRDefault="00A152A3" w:rsidP="00A152A3">
      <w:pPr>
        <w:spacing w:after="160" w:line="360" w:lineRule="auto"/>
        <w:jc w:val="both"/>
        <w:rPr>
          <w:rFonts w:eastAsia="Calibri"/>
          <w:b/>
          <w:bCs/>
          <w:u w:val="single"/>
          <w:rtl/>
        </w:rPr>
      </w:pPr>
      <w:r>
        <w:rPr>
          <w:rtl/>
        </w:rPr>
        <w:t xml:space="preserve">עיון בפסיקת בתי המשפט מעלה כי מתחם העונש ההולם בעבירת </w:t>
      </w:r>
      <w:r>
        <w:rPr>
          <w:rFonts w:hint="cs"/>
          <w:b/>
          <w:bCs/>
          <w:rtl/>
        </w:rPr>
        <w:t>סחר בסם והחזקתו</w:t>
      </w:r>
      <w:r>
        <w:rPr>
          <w:rtl/>
        </w:rPr>
        <w:t xml:space="preserve"> הוא רחב ותלוי בסוג הסם, בכמות, חלוקתו למנות ומכלול נסיבות ההחזקה</w:t>
      </w:r>
      <w:r>
        <w:rPr>
          <w:rFonts w:hint="cs"/>
          <w:rtl/>
        </w:rPr>
        <w:t xml:space="preserve"> והמכירה</w:t>
      </w:r>
      <w:r>
        <w:rPr>
          <w:rtl/>
        </w:rPr>
        <w:t xml:space="preserve">. ניתן ללמוד על מתחם העונש ההולם בין היתר מפסקי הדין הבאים:  </w:t>
      </w:r>
    </w:p>
    <w:p w14:paraId="5CFAC043" w14:textId="77777777" w:rsidR="00A152A3" w:rsidRDefault="00A152A3" w:rsidP="00A152A3">
      <w:pPr>
        <w:pStyle w:val="aa"/>
        <w:numPr>
          <w:ilvl w:val="0"/>
          <w:numId w:val="4"/>
        </w:numPr>
        <w:spacing w:after="160" w:line="360" w:lineRule="auto"/>
        <w:jc w:val="both"/>
        <w:rPr>
          <w:rFonts w:ascii="David" w:hAnsi="David" w:cs="David"/>
          <w:sz w:val="24"/>
          <w:szCs w:val="24"/>
        </w:rPr>
      </w:pPr>
      <w:r>
        <w:rPr>
          <w:rFonts w:ascii="David" w:hAnsi="David" w:cs="David" w:hint="cs"/>
          <w:sz w:val="24"/>
          <w:szCs w:val="24"/>
          <w:rtl/>
        </w:rPr>
        <w:t xml:space="preserve">ברע"פ 35301-10-24 </w:t>
      </w:r>
      <w:r>
        <w:rPr>
          <w:rFonts w:ascii="David" w:hAnsi="David" w:cs="David" w:hint="cs"/>
          <w:b/>
          <w:bCs/>
          <w:sz w:val="24"/>
          <w:szCs w:val="24"/>
          <w:rtl/>
        </w:rPr>
        <w:t>בושרי נ' מדינת ישראל</w:t>
      </w:r>
      <w:r>
        <w:rPr>
          <w:rFonts w:ascii="David" w:hAnsi="David" w:cs="David" w:hint="cs"/>
          <w:sz w:val="24"/>
          <w:szCs w:val="24"/>
          <w:rtl/>
        </w:rPr>
        <w:t xml:space="preserve"> (29.10.2024) - הנאשמת הורשעה בעבירה של סחר בסם מסוג קנבוס במשקל של 19.99 גרם נטו תמורת 1,000 ₪ ובהחזקה של קנבוס במשקל כולל של כ-250 גרם מחולק ל-30 אריזות וכן כסף מזומן. </w:t>
      </w:r>
      <w:r w:rsidRPr="00FE1FE5">
        <w:rPr>
          <w:rFonts w:ascii="David" w:hAnsi="David" w:cs="David" w:hint="cs"/>
          <w:b/>
          <w:bCs/>
          <w:sz w:val="24"/>
          <w:szCs w:val="24"/>
          <w:rtl/>
        </w:rPr>
        <w:t>בית המשפט קבע מתחם ענישה שנע ממאסר קצר שניתן לרצות בעבודות שירות ועד 12 חודשי מאסר בפועל</w:t>
      </w:r>
      <w:r>
        <w:rPr>
          <w:rFonts w:ascii="David" w:hAnsi="David" w:cs="David" w:hint="cs"/>
          <w:sz w:val="24"/>
          <w:szCs w:val="24"/>
          <w:rtl/>
        </w:rPr>
        <w:t xml:space="preserve">. נגזרו על הנאשמת 60 ימי מאסר בדרך של עבודות שירות לצד ענישה נלווית. ערעור ובקשת ערעור שהגישה הנאשמת נדחו. </w:t>
      </w:r>
    </w:p>
    <w:p w14:paraId="1AAEB916" w14:textId="77777777" w:rsidR="00A152A3" w:rsidRDefault="00A152A3" w:rsidP="00A152A3">
      <w:pPr>
        <w:pStyle w:val="aa"/>
        <w:spacing w:after="160" w:line="360" w:lineRule="auto"/>
        <w:jc w:val="both"/>
        <w:rPr>
          <w:rFonts w:ascii="David" w:hAnsi="David" w:cs="David"/>
          <w:sz w:val="24"/>
          <w:szCs w:val="24"/>
        </w:rPr>
      </w:pPr>
    </w:p>
    <w:p w14:paraId="3BFF464D" w14:textId="77777777" w:rsidR="00A152A3" w:rsidRDefault="002D6C0A" w:rsidP="00A152A3">
      <w:pPr>
        <w:pStyle w:val="aa"/>
        <w:numPr>
          <w:ilvl w:val="0"/>
          <w:numId w:val="4"/>
        </w:numPr>
        <w:spacing w:after="160" w:line="360" w:lineRule="auto"/>
        <w:jc w:val="both"/>
        <w:rPr>
          <w:rFonts w:ascii="David" w:hAnsi="David" w:cs="David"/>
          <w:sz w:val="24"/>
          <w:szCs w:val="24"/>
        </w:rPr>
      </w:pPr>
      <w:hyperlink r:id="rId23" w:history="1">
        <w:r w:rsidRPr="002D6C0A">
          <w:rPr>
            <w:rFonts w:ascii="David" w:hAnsi="David" w:cs="David"/>
            <w:color w:val="0000FF"/>
            <w:sz w:val="24"/>
            <w:szCs w:val="24"/>
            <w:u w:val="single"/>
            <w:rtl/>
          </w:rPr>
          <w:t>רע"פ 7858/19</w:t>
        </w:r>
      </w:hyperlink>
      <w:r w:rsidR="00A152A3" w:rsidRPr="004A69F3">
        <w:rPr>
          <w:rFonts w:ascii="David" w:hAnsi="David" w:cs="David"/>
          <w:sz w:val="24"/>
          <w:szCs w:val="24"/>
          <w:rtl/>
        </w:rPr>
        <w:t xml:space="preserve"> </w:t>
      </w:r>
      <w:r w:rsidR="00A152A3" w:rsidRPr="004A69F3">
        <w:rPr>
          <w:rFonts w:ascii="David" w:hAnsi="David" w:cs="David"/>
          <w:b/>
          <w:bCs/>
          <w:sz w:val="24"/>
          <w:szCs w:val="24"/>
          <w:rtl/>
        </w:rPr>
        <w:t xml:space="preserve">וקנין נ' מדינת ישראל </w:t>
      </w:r>
      <w:r w:rsidR="00A152A3" w:rsidRPr="004A69F3">
        <w:rPr>
          <w:rFonts w:ascii="David" w:hAnsi="David" w:cs="David"/>
          <w:sz w:val="24"/>
          <w:szCs w:val="24"/>
          <w:rtl/>
        </w:rPr>
        <w:t>(28.11.</w:t>
      </w:r>
      <w:r w:rsidR="00A152A3">
        <w:rPr>
          <w:rFonts w:ascii="David" w:hAnsi="David" w:cs="David" w:hint="cs"/>
          <w:sz w:val="24"/>
          <w:szCs w:val="24"/>
          <w:rtl/>
        </w:rPr>
        <w:t>2019</w:t>
      </w:r>
      <w:r w:rsidR="00A152A3" w:rsidRPr="004A69F3">
        <w:rPr>
          <w:rFonts w:ascii="David" w:hAnsi="David" w:cs="David"/>
          <w:sz w:val="24"/>
          <w:szCs w:val="24"/>
          <w:rtl/>
        </w:rPr>
        <w:t>)</w:t>
      </w:r>
      <w:r w:rsidR="00A152A3">
        <w:rPr>
          <w:rFonts w:ascii="David" w:hAnsi="David" w:cs="David" w:hint="cs"/>
          <w:sz w:val="24"/>
          <w:szCs w:val="24"/>
          <w:rtl/>
        </w:rPr>
        <w:t xml:space="preserve"> </w:t>
      </w:r>
      <w:r w:rsidR="00A152A3" w:rsidRPr="004A69F3">
        <w:rPr>
          <w:rFonts w:ascii="David" w:hAnsi="David" w:cs="David"/>
          <w:sz w:val="24"/>
          <w:szCs w:val="24"/>
          <w:rtl/>
        </w:rPr>
        <w:t xml:space="preserve">- הנאשם מכר 2 גר' חשיש בתמורה ל- 100 ₪ וכעבור חודש מכר לאחר 3.8 גר' קנבוס בתמורה ל- 200 ₪. בית המשפט קבע כי בהתחשב שמדובר בכמויות סם קטנות ובסכומי כסף זעומים </w:t>
      </w:r>
      <w:r w:rsidR="00A152A3" w:rsidRPr="004A69F3">
        <w:rPr>
          <w:rFonts w:ascii="David" w:hAnsi="David" w:cs="David"/>
          <w:b/>
          <w:bCs/>
          <w:sz w:val="24"/>
          <w:szCs w:val="24"/>
          <w:rtl/>
        </w:rPr>
        <w:t>מתחם העונש ההולם נע ממאסר בפועל של מספר חודשים ועד 8 חודשי מאסר</w:t>
      </w:r>
      <w:r w:rsidR="00A152A3" w:rsidRPr="004A69F3">
        <w:rPr>
          <w:rFonts w:ascii="David" w:hAnsi="David" w:cs="David"/>
          <w:sz w:val="24"/>
          <w:szCs w:val="24"/>
          <w:rtl/>
        </w:rPr>
        <w:t xml:space="preserve">. בית המשפט גזר על הנאשם תוך התייחסות לנסיבות חייו הקשות, הרשעותיו הקודמות הרבות וההליך הטיפולי שעבר, </w:t>
      </w:r>
      <w:r w:rsidR="00A152A3" w:rsidRPr="004A69F3">
        <w:rPr>
          <w:rFonts w:ascii="David" w:hAnsi="David" w:cs="David"/>
          <w:b/>
          <w:bCs/>
          <w:sz w:val="24"/>
          <w:szCs w:val="24"/>
          <w:rtl/>
        </w:rPr>
        <w:t>עונש של 5 חודשי מאסר בפועל והפעיל את מאסריו המותנים בחופף זה לזה כך שסה"כ ירצה הנאשם עונש של 12 חודשי מאסר בפועל, זאת לצד מע"ת.</w:t>
      </w:r>
      <w:r w:rsidR="00A152A3" w:rsidRPr="004A69F3">
        <w:rPr>
          <w:rFonts w:ascii="David" w:hAnsi="David" w:cs="David"/>
          <w:sz w:val="24"/>
          <w:szCs w:val="24"/>
          <w:rtl/>
        </w:rPr>
        <w:t xml:space="preserve"> בית המשפט המחוזי ובית המשפט העליון דחו את הערעורים שהוגשו.  </w:t>
      </w:r>
    </w:p>
    <w:p w14:paraId="4B38D27C" w14:textId="77777777" w:rsidR="00A152A3" w:rsidRDefault="00A152A3" w:rsidP="00A152A3">
      <w:pPr>
        <w:pStyle w:val="aa"/>
        <w:spacing w:after="120" w:line="360" w:lineRule="auto"/>
        <w:jc w:val="both"/>
        <w:rPr>
          <w:rFonts w:ascii="David" w:hAnsi="David" w:cs="David"/>
          <w:sz w:val="24"/>
          <w:szCs w:val="24"/>
          <w:rtl/>
        </w:rPr>
      </w:pPr>
    </w:p>
    <w:p w14:paraId="5DEFC912" w14:textId="77777777" w:rsidR="00A152A3" w:rsidRDefault="00025128" w:rsidP="00A152A3">
      <w:pPr>
        <w:pStyle w:val="aa"/>
        <w:numPr>
          <w:ilvl w:val="0"/>
          <w:numId w:val="4"/>
        </w:numPr>
        <w:spacing w:line="360" w:lineRule="auto"/>
        <w:jc w:val="both"/>
        <w:rPr>
          <w:rFonts w:ascii="David" w:hAnsi="David" w:cs="David"/>
          <w:sz w:val="24"/>
          <w:szCs w:val="24"/>
        </w:rPr>
      </w:pPr>
      <w:hyperlink r:id="rId24" w:history="1">
        <w:r w:rsidR="00A152A3" w:rsidRPr="00DC41DE">
          <w:rPr>
            <w:rStyle w:val="Hyperlink"/>
            <w:rFonts w:ascii="David" w:hAnsi="David" w:cs="David"/>
            <w:sz w:val="24"/>
            <w:szCs w:val="24"/>
            <w:rtl/>
          </w:rPr>
          <w:t>עפ"ג (מחוזי ב"ש) 10519-09-22</w:t>
        </w:r>
        <w:r w:rsidR="002D6C0A">
          <w:rPr>
            <w:rStyle w:val="Hyperlink"/>
            <w:rFonts w:ascii="David" w:hAnsi="David" w:cs="David"/>
            <w:sz w:val="24"/>
            <w:szCs w:val="24"/>
            <w:rtl/>
          </w:rPr>
          <w:t xml:space="preserve"> </w:t>
        </w:r>
        <w:r w:rsidR="00A152A3" w:rsidRPr="00DC41DE">
          <w:rPr>
            <w:rStyle w:val="Hyperlink"/>
            <w:rFonts w:ascii="David" w:hAnsi="David" w:cs="David"/>
            <w:b/>
            <w:bCs/>
            <w:sz w:val="24"/>
            <w:szCs w:val="24"/>
            <w:rtl/>
          </w:rPr>
          <w:t>מדינת ישראל נ' מיקי מיכאל סוויסה</w:t>
        </w:r>
        <w:r w:rsidR="002D6C0A">
          <w:rPr>
            <w:rStyle w:val="Hyperlink"/>
            <w:rFonts w:ascii="David" w:hAnsi="David" w:cs="David"/>
            <w:sz w:val="24"/>
            <w:szCs w:val="24"/>
            <w:rtl/>
          </w:rPr>
          <w:t xml:space="preserve"> </w:t>
        </w:r>
        <w:r w:rsidR="00A152A3" w:rsidRPr="00DC41DE">
          <w:rPr>
            <w:rStyle w:val="Hyperlink"/>
            <w:rFonts w:ascii="David" w:hAnsi="David" w:cs="David"/>
            <w:sz w:val="24"/>
            <w:szCs w:val="24"/>
            <w:rtl/>
          </w:rPr>
          <w:t>(נבו 02.04.2023)‏</w:t>
        </w:r>
      </w:hyperlink>
      <w:r w:rsidR="00A152A3" w:rsidRPr="00DC41DE">
        <w:rPr>
          <w:rFonts w:ascii="David" w:hAnsi="David" w:cs="David"/>
          <w:sz w:val="24"/>
          <w:szCs w:val="24"/>
          <w:rtl/>
        </w:rPr>
        <w:t xml:space="preserve">‏ - הנאשם הורשע על פי הודאתו בעבירות של החזקת סמים מסוכנים שלא לצריכה עצמית וניסיון לסחר בסמים מסוכנים. הנאשם תיאם עם אדם אחר מכירת סם מסוג קנבוס במשקל של כ-20 </w:t>
      </w:r>
      <w:r w:rsidR="00A152A3">
        <w:rPr>
          <w:rFonts w:ascii="David" w:hAnsi="David" w:cs="David"/>
          <w:color w:val="000000"/>
          <w:sz w:val="24"/>
          <w:szCs w:val="24"/>
          <w:rtl/>
        </w:rPr>
        <w:t>גרם תמורת 900 ₪. בהתאם לסיכום נפגשו השניים בחניית ביתו של הנאשם. באותו מעמד החזיק הנאשם בסם מסוג קנבוס במשקל כולל של כ-378 גרם נטו וכן החזיק בשני משקלים. הנאשם ניסה לסחור בסם מסוכן מסוג קנבוס אולם בעת שהלך להביא את הסם, נתפס בכף על ידי צוות השוטרים.</w:t>
      </w:r>
      <w:r w:rsidR="00A152A3">
        <w:rPr>
          <w:rFonts w:ascii="David" w:hAnsi="David" w:cs="David"/>
          <w:sz w:val="24"/>
          <w:szCs w:val="24"/>
          <w:rtl/>
        </w:rPr>
        <w:t xml:space="preserve"> </w:t>
      </w:r>
      <w:r w:rsidR="00A152A3" w:rsidRPr="00FE1FE5">
        <w:rPr>
          <w:rFonts w:ascii="David" w:hAnsi="David" w:cs="David"/>
          <w:b/>
          <w:bCs/>
          <w:sz w:val="24"/>
          <w:szCs w:val="24"/>
          <w:rtl/>
        </w:rPr>
        <w:t>בית משפט קמא קבע כי מתחם העונש ההולם בין ענישה טיפולית ומאסר מותנה ועד 8 חודשי מאסר</w:t>
      </w:r>
      <w:r w:rsidR="00A152A3">
        <w:rPr>
          <w:rFonts w:ascii="David" w:hAnsi="David" w:cs="David"/>
          <w:sz w:val="24"/>
          <w:szCs w:val="24"/>
          <w:rtl/>
        </w:rPr>
        <w:t xml:space="preserve"> וגזר את עונשו של הנאשם בתחתית מתחם זה בשים לב לגילו הצעיר, עברו הנקי ומאמציו הטיפוליים לחזרה למ</w:t>
      </w:r>
      <w:r w:rsidR="00A152A3" w:rsidRPr="00DC41DE">
        <w:rPr>
          <w:rFonts w:ascii="David" w:hAnsi="David" w:cs="David"/>
          <w:sz w:val="24"/>
          <w:szCs w:val="24"/>
          <w:rtl/>
        </w:rPr>
        <w:t>וטב</w:t>
      </w:r>
      <w:r w:rsidR="00A152A3" w:rsidRPr="00DC41DE">
        <w:rPr>
          <w:rFonts w:ascii="David" w:hAnsi="David" w:cs="David" w:hint="cs"/>
          <w:sz w:val="24"/>
          <w:szCs w:val="24"/>
          <w:rtl/>
        </w:rPr>
        <w:t>.</w:t>
      </w:r>
      <w:r w:rsidR="00A152A3" w:rsidRPr="00DC41DE">
        <w:rPr>
          <w:rFonts w:ascii="David" w:hAnsi="David" w:cs="David"/>
          <w:sz w:val="24"/>
          <w:szCs w:val="24"/>
          <w:rtl/>
        </w:rPr>
        <w:t xml:space="preserve"> בית המשפט המחוזי קיבל את הערעור מצא </w:t>
      </w:r>
      <w:r w:rsidR="00A152A3">
        <w:rPr>
          <w:rFonts w:ascii="David" w:hAnsi="David" w:cs="David"/>
          <w:sz w:val="24"/>
          <w:szCs w:val="24"/>
          <w:rtl/>
        </w:rPr>
        <w:t>בית המשפט שלערעור לגזור עליו 6 חודשי מאסר בעבודות שירות</w:t>
      </w:r>
      <w:r w:rsidR="00A152A3">
        <w:rPr>
          <w:rFonts w:ascii="David" w:hAnsi="David" w:cs="David" w:hint="cs"/>
          <w:sz w:val="24"/>
          <w:szCs w:val="24"/>
          <w:rtl/>
        </w:rPr>
        <w:t>.</w:t>
      </w:r>
      <w:r w:rsidR="00A152A3">
        <w:rPr>
          <w:rFonts w:ascii="David" w:hAnsi="David" w:cs="David"/>
          <w:sz w:val="24"/>
          <w:szCs w:val="24"/>
          <w:rtl/>
        </w:rPr>
        <w:t xml:space="preserve"> </w:t>
      </w:r>
    </w:p>
    <w:p w14:paraId="53019234" w14:textId="77777777" w:rsidR="00A152A3" w:rsidRPr="00DC41DE" w:rsidRDefault="00A152A3" w:rsidP="00A152A3">
      <w:pPr>
        <w:pStyle w:val="aa"/>
        <w:spacing w:after="120" w:line="360" w:lineRule="auto"/>
        <w:jc w:val="both"/>
        <w:rPr>
          <w:rFonts w:ascii="David" w:hAnsi="David" w:cs="David"/>
          <w:sz w:val="24"/>
          <w:szCs w:val="24"/>
        </w:rPr>
      </w:pPr>
    </w:p>
    <w:p w14:paraId="7E52A67C" w14:textId="77777777" w:rsidR="00A152A3" w:rsidRDefault="002D6C0A" w:rsidP="00A152A3">
      <w:pPr>
        <w:pStyle w:val="aa"/>
        <w:numPr>
          <w:ilvl w:val="0"/>
          <w:numId w:val="4"/>
        </w:numPr>
        <w:spacing w:after="120" w:line="360" w:lineRule="auto"/>
        <w:jc w:val="both"/>
        <w:rPr>
          <w:rFonts w:ascii="David" w:hAnsi="David" w:cs="David"/>
          <w:sz w:val="24"/>
          <w:szCs w:val="24"/>
        </w:rPr>
      </w:pPr>
      <w:hyperlink r:id="rId25" w:history="1">
        <w:r w:rsidRPr="002D6C0A">
          <w:rPr>
            <w:rFonts w:ascii="David" w:hAnsi="David" w:cs="David"/>
            <w:color w:val="0000FF"/>
            <w:sz w:val="24"/>
            <w:szCs w:val="24"/>
            <w:u w:val="single"/>
            <w:rtl/>
          </w:rPr>
          <w:t>עפ"ג (מרכז-לוד) 24923-01-20</w:t>
        </w:r>
      </w:hyperlink>
      <w:r w:rsidR="00A152A3" w:rsidRPr="004A69F3">
        <w:rPr>
          <w:rFonts w:ascii="David" w:hAnsi="David" w:cs="David"/>
          <w:sz w:val="24"/>
          <w:szCs w:val="24"/>
          <w:rtl/>
        </w:rPr>
        <w:t xml:space="preserve"> </w:t>
      </w:r>
      <w:r w:rsidR="00A152A3" w:rsidRPr="004A69F3">
        <w:rPr>
          <w:rFonts w:ascii="David" w:hAnsi="David" w:cs="David"/>
          <w:b/>
          <w:bCs/>
          <w:sz w:val="24"/>
          <w:szCs w:val="24"/>
          <w:rtl/>
        </w:rPr>
        <w:t>מדינת ישראל נ' אלבאז</w:t>
      </w:r>
      <w:r w:rsidR="00A152A3" w:rsidRPr="004A69F3">
        <w:rPr>
          <w:rFonts w:ascii="David" w:hAnsi="David" w:cs="David"/>
          <w:sz w:val="24"/>
          <w:szCs w:val="24"/>
          <w:rtl/>
        </w:rPr>
        <w:t xml:space="preserve"> (22.06.</w:t>
      </w:r>
      <w:r w:rsidR="00A152A3">
        <w:rPr>
          <w:rFonts w:ascii="David" w:hAnsi="David" w:cs="David" w:hint="cs"/>
          <w:sz w:val="24"/>
          <w:szCs w:val="24"/>
          <w:rtl/>
        </w:rPr>
        <w:t>2020</w:t>
      </w:r>
      <w:r w:rsidR="00A152A3" w:rsidRPr="004A69F3">
        <w:rPr>
          <w:rFonts w:ascii="David" w:hAnsi="David" w:cs="David"/>
          <w:sz w:val="24"/>
          <w:szCs w:val="24"/>
          <w:rtl/>
        </w:rPr>
        <w:t xml:space="preserve">) </w:t>
      </w:r>
      <w:r w:rsidR="00A152A3">
        <w:rPr>
          <w:rFonts w:ascii="David" w:hAnsi="David" w:cs="David" w:hint="cs"/>
          <w:sz w:val="24"/>
          <w:szCs w:val="24"/>
          <w:rtl/>
        </w:rPr>
        <w:t xml:space="preserve">- </w:t>
      </w:r>
      <w:r w:rsidR="00A152A3" w:rsidRPr="004A69F3">
        <w:rPr>
          <w:rFonts w:ascii="David" w:hAnsi="David" w:cs="David"/>
          <w:sz w:val="24"/>
          <w:szCs w:val="24"/>
          <w:rtl/>
        </w:rPr>
        <w:t>הנאשם הורשע על יסוד הודאתו בעבירות של סחר בסם מסוג קנבוס באמצעות יישומון הטלגרס  במשך 3 שבועות לבגירים וקטינ</w:t>
      </w:r>
      <w:r w:rsidR="00A152A3">
        <w:rPr>
          <w:rFonts w:ascii="David" w:hAnsi="David" w:cs="David"/>
          <w:sz w:val="24"/>
          <w:szCs w:val="24"/>
          <w:rtl/>
        </w:rPr>
        <w:t>ים, תמורת סכומים שנעו בין 150 ש</w:t>
      </w:r>
      <w:r w:rsidR="00A152A3">
        <w:rPr>
          <w:rFonts w:ascii="David" w:hAnsi="David" w:cs="David" w:hint="cs"/>
          <w:sz w:val="24"/>
          <w:szCs w:val="24"/>
          <w:rtl/>
        </w:rPr>
        <w:t>"</w:t>
      </w:r>
      <w:r w:rsidR="00A152A3" w:rsidRPr="004A69F3">
        <w:rPr>
          <w:rFonts w:ascii="David" w:hAnsi="David" w:cs="David"/>
          <w:sz w:val="24"/>
          <w:szCs w:val="24"/>
          <w:rtl/>
        </w:rPr>
        <w:t>ח ל-2000 ₪. הנאשם נעדר עבר פלילי עבר הליך טיפול משמעותי ועלה על מסלול שיקומי. על אף האמור ערכאת הערעור קיבלה את הערעור על קולת העונש והשיתה עליו עונש של 15 חודשי מאסר.</w:t>
      </w:r>
    </w:p>
    <w:p w14:paraId="43C9DBD5" w14:textId="77777777" w:rsidR="00A152A3" w:rsidRPr="00DC41DE" w:rsidRDefault="00A152A3" w:rsidP="00A152A3">
      <w:pPr>
        <w:rPr>
          <w:rFonts w:ascii="David" w:hAnsi="David"/>
          <w:rtl/>
        </w:rPr>
      </w:pPr>
    </w:p>
    <w:p w14:paraId="32034CBA" w14:textId="77777777" w:rsidR="00A152A3" w:rsidRPr="00DC41DE" w:rsidRDefault="002D6C0A" w:rsidP="00A152A3">
      <w:pPr>
        <w:pStyle w:val="aa"/>
        <w:numPr>
          <w:ilvl w:val="0"/>
          <w:numId w:val="4"/>
        </w:numPr>
        <w:spacing w:after="120" w:line="360" w:lineRule="auto"/>
        <w:jc w:val="both"/>
        <w:rPr>
          <w:rFonts w:ascii="David" w:hAnsi="David" w:cs="David"/>
          <w:sz w:val="24"/>
          <w:szCs w:val="24"/>
          <w:rtl/>
        </w:rPr>
      </w:pPr>
      <w:hyperlink r:id="rId26" w:history="1">
        <w:r w:rsidRPr="002D6C0A">
          <w:rPr>
            <w:rFonts w:ascii="David" w:hAnsi="David" w:cs="David"/>
            <w:color w:val="0000FF"/>
            <w:sz w:val="24"/>
            <w:szCs w:val="24"/>
            <w:u w:val="single"/>
            <w:rtl/>
          </w:rPr>
          <w:t>עפ"ג (תל-אביב) 13736-12-18</w:t>
        </w:r>
      </w:hyperlink>
      <w:r w:rsidR="00A152A3" w:rsidRPr="004A69F3">
        <w:rPr>
          <w:rFonts w:ascii="David" w:hAnsi="David" w:cs="David"/>
          <w:sz w:val="24"/>
          <w:szCs w:val="24"/>
          <w:rtl/>
        </w:rPr>
        <w:t xml:space="preserve"> </w:t>
      </w:r>
      <w:r w:rsidR="00A152A3" w:rsidRPr="004A69F3">
        <w:rPr>
          <w:rFonts w:ascii="David" w:hAnsi="David" w:cs="David"/>
          <w:b/>
          <w:bCs/>
          <w:sz w:val="24"/>
          <w:szCs w:val="24"/>
          <w:rtl/>
        </w:rPr>
        <w:t xml:space="preserve">מדינת ישראל נ' אשכנזי </w:t>
      </w:r>
      <w:r w:rsidR="00A152A3" w:rsidRPr="004A69F3">
        <w:rPr>
          <w:rFonts w:ascii="David" w:hAnsi="David" w:cs="David"/>
          <w:sz w:val="24"/>
          <w:szCs w:val="24"/>
          <w:rtl/>
        </w:rPr>
        <w:t>(25.3.</w:t>
      </w:r>
      <w:r w:rsidR="00A152A3">
        <w:rPr>
          <w:rFonts w:ascii="David" w:hAnsi="David" w:cs="David" w:hint="cs"/>
          <w:sz w:val="24"/>
          <w:szCs w:val="24"/>
          <w:rtl/>
        </w:rPr>
        <w:t>2019</w:t>
      </w:r>
      <w:r w:rsidR="00A152A3" w:rsidRPr="004A69F3">
        <w:rPr>
          <w:rFonts w:ascii="David" w:hAnsi="David" w:cs="David"/>
          <w:sz w:val="24"/>
          <w:szCs w:val="24"/>
          <w:rtl/>
        </w:rPr>
        <w:t>)</w:t>
      </w:r>
      <w:r w:rsidR="00A152A3">
        <w:rPr>
          <w:rFonts w:ascii="David" w:hAnsi="David" w:cs="David" w:hint="cs"/>
          <w:sz w:val="24"/>
          <w:szCs w:val="24"/>
          <w:rtl/>
        </w:rPr>
        <w:t xml:space="preserve"> </w:t>
      </w:r>
      <w:r w:rsidR="00A152A3" w:rsidRPr="004A69F3">
        <w:rPr>
          <w:rFonts w:ascii="David" w:hAnsi="David" w:cs="David"/>
          <w:sz w:val="24"/>
          <w:szCs w:val="24"/>
          <w:rtl/>
        </w:rPr>
        <w:t xml:space="preserve">- הנאשם הודה והורשע בעבירות של החזקת סם מסוכן שלא לצריכה עצמית וסחר בסם מסוכן. על פי עובדות כתב האישום, בשתי הזדמנויות שונות בתחילת שנת 2017 החזיק הנאשם בדירתו, שלא לצריכה עצמית, כ-26 גרם קנבוס (מריחואנה), אותם רכש משכנו תמורת 4,000 ₪ בכל פעם. ביום 26.3.17 החזיק הנאשם בדירתו, שלא לצריכה עצמית, 37.49 גרם קנבוס ועוד 2.32 גרם קנבוס כחשיש, יחד עם משקל אלקטרוני ושקיות קטנות היכולות לשמש לאריזת הסם. במהלכה של תקופה החל מיום 9.11.16 ועד ליום 18.3.17, בשש-עשרה הזדמנויות שונות, מכר הנאשם לאחרים – ארבעה במספר – קנביס במשקלים שנעו בין שני גרם לשבעה-עשר גרם, תמורת מאה ₪ לגרם. </w:t>
      </w:r>
      <w:r w:rsidR="00A152A3" w:rsidRPr="004A69F3">
        <w:rPr>
          <w:rFonts w:ascii="David" w:hAnsi="David" w:cs="David"/>
          <w:b/>
          <w:bCs/>
          <w:sz w:val="24"/>
          <w:szCs w:val="24"/>
          <w:rtl/>
        </w:rPr>
        <w:t>בית משפט קמא קבע כי מתחם העונש ההולם לגבי כל עבירת סחר בין מאסר קצר לריצוי בעבודות שירות לבין עשרה חודשי מאסר בפועל, כעונש עיקרי</w:t>
      </w:r>
      <w:r w:rsidR="00A152A3" w:rsidRPr="004A69F3">
        <w:rPr>
          <w:rFonts w:ascii="David" w:hAnsi="David" w:cs="David"/>
          <w:sz w:val="24"/>
          <w:szCs w:val="24"/>
          <w:rtl/>
        </w:rPr>
        <w:t xml:space="preserve">. כמו כן קבע כי מתחם העונש ההולם לגבי כל עבירת החזקה ייקבע אפוא בין מאסר מותנה לבין שמונה חודשי מאסר בפועל, כעונש עיקרי. בית המשפט קמא סטה ממתחם העונש ההולם משיקולי שיקום וגזר על הנאשם, בן 36, נעדר עבר פלילי, תוך התחשבות בנסיבותיו האישיות, ההליך הטיפולי שעבר וגמילתו מסם, עונש של צו של"צ בהיקף של 400 שעות לצד מע"ת, קנס בסך 2,000 ₪, התחייבות בסך 2,000 ₪, פסילה על תנאי, חילוט כספים וצו מבחן. בערעור שהוגש לבית המשפט המחוזי </w:t>
      </w:r>
      <w:r w:rsidR="00A152A3">
        <w:rPr>
          <w:rFonts w:ascii="David" w:hAnsi="David" w:cs="David" w:hint="cs"/>
          <w:sz w:val="24"/>
          <w:szCs w:val="24"/>
          <w:rtl/>
        </w:rPr>
        <w:t>נגזרו</w:t>
      </w:r>
      <w:r w:rsidR="00A152A3" w:rsidRPr="004A69F3">
        <w:rPr>
          <w:rFonts w:ascii="David" w:hAnsi="David" w:cs="David"/>
          <w:sz w:val="24"/>
          <w:szCs w:val="24"/>
          <w:rtl/>
        </w:rPr>
        <w:t xml:space="preserve"> על הנאשם עונש של 6 חודשי מאסר שירוצה בדרך של עבודות שירות וביטלו את צו השל"צ. יתר רכיבי הענישה נותרו בעינם.</w:t>
      </w:r>
    </w:p>
    <w:p w14:paraId="43A346F3" w14:textId="77777777" w:rsidR="00A152A3" w:rsidRPr="00DC41DE" w:rsidRDefault="00A152A3" w:rsidP="00A152A3">
      <w:pPr>
        <w:pStyle w:val="aa"/>
        <w:spacing w:line="360" w:lineRule="auto"/>
        <w:ind w:left="502"/>
        <w:jc w:val="both"/>
        <w:rPr>
          <w:rFonts w:ascii="David" w:hAnsi="David" w:cs="David"/>
          <w:sz w:val="24"/>
          <w:szCs w:val="24"/>
          <w:rtl/>
        </w:rPr>
      </w:pPr>
    </w:p>
    <w:p w14:paraId="69E5A7C6" w14:textId="77777777" w:rsidR="00A152A3" w:rsidRDefault="00A152A3" w:rsidP="00A152A3">
      <w:pPr>
        <w:pStyle w:val="aa"/>
        <w:numPr>
          <w:ilvl w:val="0"/>
          <w:numId w:val="4"/>
        </w:numPr>
        <w:spacing w:line="360" w:lineRule="auto"/>
        <w:jc w:val="both"/>
        <w:rPr>
          <w:rFonts w:ascii="David" w:hAnsi="David" w:cs="David"/>
          <w:sz w:val="24"/>
          <w:szCs w:val="24"/>
        </w:rPr>
      </w:pPr>
      <w:r w:rsidRPr="00DC41DE">
        <w:rPr>
          <w:rFonts w:ascii="David" w:hAnsi="David" w:cs="David"/>
          <w:sz w:val="24"/>
          <w:szCs w:val="24"/>
          <w:rtl/>
        </w:rPr>
        <w:t>ב</w:t>
      </w:r>
      <w:hyperlink r:id="rId27" w:history="1">
        <w:r w:rsidR="002D6C0A" w:rsidRPr="002D6C0A">
          <w:rPr>
            <w:rFonts w:ascii="David" w:hAnsi="David" w:cs="David"/>
            <w:color w:val="0000FF"/>
            <w:sz w:val="24"/>
            <w:szCs w:val="24"/>
            <w:u w:val="single"/>
            <w:rtl/>
          </w:rPr>
          <w:t>ת"פ (תל-אביב) 12807-02-20</w:t>
        </w:r>
      </w:hyperlink>
      <w:r w:rsidRPr="00DC41DE">
        <w:rPr>
          <w:rFonts w:ascii="David" w:hAnsi="David" w:cs="David"/>
          <w:sz w:val="24"/>
          <w:szCs w:val="24"/>
          <w:rtl/>
        </w:rPr>
        <w:t xml:space="preserve"> </w:t>
      </w:r>
      <w:r w:rsidRPr="00DC41DE">
        <w:rPr>
          <w:rFonts w:ascii="David" w:hAnsi="David" w:cs="David"/>
          <w:b/>
          <w:bCs/>
          <w:sz w:val="24"/>
          <w:szCs w:val="24"/>
          <w:rtl/>
        </w:rPr>
        <w:t>מדינת ישראל נ' אביתן</w:t>
      </w:r>
      <w:r w:rsidRPr="00DC41DE">
        <w:rPr>
          <w:rFonts w:ascii="David" w:hAnsi="David" w:cs="David"/>
          <w:sz w:val="24"/>
          <w:szCs w:val="24"/>
          <w:rtl/>
        </w:rPr>
        <w:t xml:space="preserve"> (4.10.</w:t>
      </w:r>
      <w:r>
        <w:rPr>
          <w:rFonts w:ascii="David" w:hAnsi="David" w:cs="David" w:hint="cs"/>
          <w:sz w:val="24"/>
          <w:szCs w:val="24"/>
          <w:rtl/>
        </w:rPr>
        <w:t>2021</w:t>
      </w:r>
      <w:r w:rsidRPr="00DC41DE">
        <w:rPr>
          <w:rFonts w:ascii="David" w:hAnsi="David" w:cs="David"/>
          <w:sz w:val="24"/>
          <w:szCs w:val="24"/>
          <w:rtl/>
        </w:rPr>
        <w:t>)</w:t>
      </w:r>
      <w:r>
        <w:rPr>
          <w:rFonts w:ascii="David" w:hAnsi="David" w:cs="David" w:hint="cs"/>
          <w:sz w:val="24"/>
          <w:szCs w:val="24"/>
          <w:rtl/>
        </w:rPr>
        <w:t xml:space="preserve"> </w:t>
      </w:r>
      <w:r w:rsidRPr="00DC41DE">
        <w:rPr>
          <w:rFonts w:ascii="David" w:hAnsi="David" w:cs="David"/>
          <w:sz w:val="24"/>
          <w:szCs w:val="24"/>
          <w:rtl/>
        </w:rPr>
        <w:t>- הנאשם מכר לאחר סם מסוכן מסוג קנבוס במשקל 10 גרם בתמורה ל- 500 ₪. באותן הנסיבות, החזיק באופנועו סם מסוכן מסוג קנבוס במשקל של כ-130 גרם מחולק לשקיות.</w:t>
      </w:r>
      <w:r w:rsidRPr="00DC41DE">
        <w:rPr>
          <w:rFonts w:ascii="David" w:hAnsi="David" w:cs="David"/>
          <w:b/>
          <w:bCs/>
          <w:sz w:val="24"/>
          <w:szCs w:val="24"/>
          <w:rtl/>
        </w:rPr>
        <w:t xml:space="preserve"> בית המשפט קבע מתחם עונשי הולם הנע בין מספר חודשי מאסר שיכול וירוצו בעבודות שירות ועד ל-12 חודשי מאסר לריצוי בפועל, לצד ענישה נלווית</w:t>
      </w:r>
      <w:r w:rsidRPr="00DC41DE">
        <w:rPr>
          <w:rFonts w:ascii="David" w:hAnsi="David" w:cs="David"/>
          <w:sz w:val="24"/>
          <w:szCs w:val="24"/>
          <w:rtl/>
        </w:rPr>
        <w:t xml:space="preserve">. </w:t>
      </w:r>
      <w:r>
        <w:rPr>
          <w:rFonts w:ascii="David" w:hAnsi="David" w:cs="David" w:hint="cs"/>
          <w:sz w:val="24"/>
          <w:szCs w:val="24"/>
          <w:rtl/>
        </w:rPr>
        <w:t xml:space="preserve">נגזרו על הנאשם 65 ימי מעצר בדרך של עבודות שירות. </w:t>
      </w:r>
    </w:p>
    <w:p w14:paraId="2A624C6B" w14:textId="77777777" w:rsidR="00A152A3" w:rsidRPr="0002524A" w:rsidRDefault="00A152A3" w:rsidP="00A152A3">
      <w:pPr>
        <w:pStyle w:val="aa"/>
        <w:rPr>
          <w:rFonts w:ascii="David" w:hAnsi="David" w:cs="David"/>
          <w:sz w:val="24"/>
          <w:szCs w:val="24"/>
          <w:rtl/>
        </w:rPr>
      </w:pPr>
    </w:p>
    <w:p w14:paraId="181A7785" w14:textId="77777777" w:rsidR="00A152A3" w:rsidRPr="0002524A" w:rsidRDefault="002D6C0A" w:rsidP="00A152A3">
      <w:pPr>
        <w:pStyle w:val="aa"/>
        <w:numPr>
          <w:ilvl w:val="0"/>
          <w:numId w:val="4"/>
        </w:numPr>
        <w:spacing w:line="360" w:lineRule="auto"/>
        <w:jc w:val="both"/>
        <w:rPr>
          <w:rFonts w:ascii="David" w:hAnsi="David" w:cs="David"/>
          <w:sz w:val="24"/>
          <w:szCs w:val="24"/>
          <w:rtl/>
        </w:rPr>
      </w:pPr>
      <w:hyperlink r:id="rId28" w:history="1">
        <w:r w:rsidRPr="002D6C0A">
          <w:rPr>
            <w:rFonts w:ascii="David" w:hAnsi="David" w:cs="David"/>
            <w:color w:val="0000FF"/>
            <w:sz w:val="24"/>
            <w:szCs w:val="24"/>
            <w:u w:val="single"/>
            <w:shd w:val="clear" w:color="auto" w:fill="FFFFFF"/>
            <w:rtl/>
          </w:rPr>
          <w:t>ת"פ (י-ם) 38382-09-17</w:t>
        </w:r>
      </w:hyperlink>
      <w:r>
        <w:rPr>
          <w:rFonts w:ascii="David" w:hAnsi="David" w:cs="David"/>
          <w:color w:val="000000"/>
          <w:sz w:val="24"/>
          <w:szCs w:val="24"/>
          <w:shd w:val="clear" w:color="auto" w:fill="FFFFFF"/>
        </w:rPr>
        <w:t xml:space="preserve"> </w:t>
      </w:r>
      <w:r w:rsidR="00A152A3" w:rsidRPr="0002524A">
        <w:rPr>
          <w:rFonts w:ascii="David" w:hAnsi="David" w:cs="David"/>
          <w:b/>
          <w:bCs/>
          <w:color w:val="000000"/>
          <w:sz w:val="24"/>
          <w:szCs w:val="24"/>
          <w:shd w:val="clear" w:color="auto" w:fill="FFFFFF"/>
          <w:rtl/>
        </w:rPr>
        <w:t>מדינת ישראל נ' וקנין ואח</w:t>
      </w:r>
      <w:r w:rsidR="00A152A3">
        <w:rPr>
          <w:rFonts w:ascii="David" w:hAnsi="David" w:cs="David" w:hint="cs"/>
          <w:b/>
          <w:bCs/>
          <w:color w:val="000000"/>
          <w:sz w:val="24"/>
          <w:szCs w:val="24"/>
          <w:shd w:val="clear" w:color="auto" w:fill="FFFFFF"/>
          <w:rtl/>
        </w:rPr>
        <w:t>'</w:t>
      </w:r>
      <w:r w:rsidR="00A152A3" w:rsidRPr="0002524A">
        <w:rPr>
          <w:rFonts w:ascii="David" w:hAnsi="David" w:cs="David"/>
          <w:color w:val="000000"/>
          <w:sz w:val="24"/>
          <w:szCs w:val="24"/>
          <w:shd w:val="clear" w:color="auto" w:fill="FFFFFF"/>
        </w:rPr>
        <w:t>-</w:t>
      </w:r>
      <w:r>
        <w:rPr>
          <w:rFonts w:ascii="David" w:hAnsi="David" w:cs="David"/>
          <w:color w:val="000000"/>
          <w:sz w:val="24"/>
          <w:szCs w:val="24"/>
          <w:shd w:val="clear" w:color="auto" w:fill="FFFFFF"/>
        </w:rPr>
        <w:t xml:space="preserve"> </w:t>
      </w:r>
      <w:r w:rsidR="00A152A3">
        <w:rPr>
          <w:rFonts w:ascii="David" w:hAnsi="David" w:cs="David"/>
          <w:color w:val="000000"/>
          <w:sz w:val="24"/>
          <w:szCs w:val="24"/>
          <w:shd w:val="clear" w:color="auto" w:fill="FFFFFF"/>
        </w:rPr>
        <w:t>(23.9.2019)</w:t>
      </w:r>
      <w:r w:rsidR="00A152A3">
        <w:rPr>
          <w:rFonts w:ascii="David" w:hAnsi="David" w:cs="David" w:hint="cs"/>
          <w:color w:val="000000"/>
          <w:sz w:val="24"/>
          <w:szCs w:val="24"/>
          <w:shd w:val="clear" w:color="auto" w:fill="FFFFFF"/>
          <w:rtl/>
        </w:rPr>
        <w:t xml:space="preserve"> </w:t>
      </w:r>
      <w:r w:rsidR="00A152A3" w:rsidRPr="0002524A">
        <w:rPr>
          <w:rFonts w:ascii="David" w:hAnsi="David" w:cs="David"/>
          <w:color w:val="000000"/>
          <w:sz w:val="24"/>
          <w:szCs w:val="24"/>
          <w:shd w:val="clear" w:color="auto" w:fill="FFFFFF"/>
          <w:rtl/>
        </w:rPr>
        <w:t>הורשעו הנאשמים בעבירות של סחר בסם מסוכן והחזקת סם. נאשם 1 מכר בצוותא עם אחר 9.18 גרם קוקאין לסוכן משטרתי תמורת 6,500 ₪ (אישום ראשון); שני הנאשמים מכרו 19.67 גרם קוקאין לסוכן משטרתי תמורת 11,800 ₪ (אישום שני); שני הנאשמים מכרו 15.0190 גרם קוקאין תמורת 8,550 ₪ (אישום רביעי); החזיקו קוקאין במשקל 49.69 גרם ונעצרו בטרם בוצעה מכירה(אישום חמישי)</w:t>
      </w:r>
      <w:r w:rsidR="00A152A3" w:rsidRPr="0002524A">
        <w:rPr>
          <w:rFonts w:ascii="David" w:hAnsi="David" w:cs="David"/>
          <w:color w:val="000000"/>
          <w:sz w:val="24"/>
          <w:szCs w:val="24"/>
          <w:shd w:val="clear" w:color="auto" w:fill="FFFFFF"/>
        </w:rPr>
        <w:t>.</w:t>
      </w:r>
      <w:r>
        <w:rPr>
          <w:rFonts w:ascii="David" w:hAnsi="David" w:cs="David"/>
          <w:color w:val="000000"/>
          <w:sz w:val="24"/>
          <w:szCs w:val="24"/>
          <w:shd w:val="clear" w:color="auto" w:fill="FFFFFF"/>
        </w:rPr>
        <w:t xml:space="preserve"> </w:t>
      </w:r>
      <w:r w:rsidR="00A152A3" w:rsidRPr="0002524A">
        <w:rPr>
          <w:rFonts w:ascii="David" w:hAnsi="David" w:cs="David"/>
          <w:b/>
          <w:bCs/>
          <w:color w:val="000000"/>
          <w:sz w:val="24"/>
          <w:szCs w:val="24"/>
          <w:shd w:val="clear" w:color="auto" w:fill="FFFFFF"/>
          <w:rtl/>
        </w:rPr>
        <w:t>עבור האישום הראשון נקבע מתחם ענישה הנע בין 8 ועד 20 חודשי מאסר</w:t>
      </w:r>
      <w:r w:rsidR="00A152A3" w:rsidRPr="0002524A">
        <w:rPr>
          <w:rFonts w:ascii="David" w:hAnsi="David" w:cs="David"/>
          <w:b/>
          <w:bCs/>
          <w:color w:val="000000"/>
          <w:sz w:val="24"/>
          <w:szCs w:val="24"/>
          <w:shd w:val="clear" w:color="auto" w:fill="FFFFFF"/>
        </w:rPr>
        <w:t>;</w:t>
      </w:r>
      <w:r>
        <w:rPr>
          <w:rFonts w:ascii="David" w:hAnsi="David" w:cs="David"/>
          <w:b/>
          <w:bCs/>
          <w:color w:val="000000"/>
          <w:sz w:val="24"/>
          <w:szCs w:val="24"/>
          <w:shd w:val="clear" w:color="auto" w:fill="FFFFFF"/>
        </w:rPr>
        <w:t xml:space="preserve"> </w:t>
      </w:r>
      <w:r w:rsidR="00A152A3" w:rsidRPr="0002524A">
        <w:rPr>
          <w:rFonts w:ascii="David" w:hAnsi="David" w:cs="David"/>
          <w:b/>
          <w:bCs/>
          <w:color w:val="000000"/>
          <w:sz w:val="24"/>
          <w:szCs w:val="24"/>
          <w:shd w:val="clear" w:color="auto" w:fill="FFFFFF"/>
          <w:rtl/>
        </w:rPr>
        <w:t>עבור האישום השני נקבע מתחם ענישה הנע בין 10 ועד 22 חודשי מאסר בפועל; עבור האישום הרביעי נקבע מתחם ענישה הנע בין 10 ועד 20 חודשי מאסר בפועל; עבור האישום החמישי נקבע מתחם ענישה הנע בין 10 ועד 20 חודשי מאסר בפועל</w:t>
      </w:r>
      <w:r w:rsidR="00A152A3" w:rsidRPr="0002524A">
        <w:rPr>
          <w:rFonts w:ascii="David" w:hAnsi="David" w:cs="David"/>
          <w:b/>
          <w:bCs/>
          <w:color w:val="000000"/>
          <w:sz w:val="24"/>
          <w:szCs w:val="24"/>
          <w:shd w:val="clear" w:color="auto" w:fill="FFFFFF"/>
        </w:rPr>
        <w:t>.</w:t>
      </w:r>
      <w:r>
        <w:rPr>
          <w:rFonts w:ascii="David" w:hAnsi="David" w:cs="David"/>
          <w:color w:val="000000"/>
          <w:sz w:val="24"/>
          <w:szCs w:val="24"/>
          <w:shd w:val="clear" w:color="auto" w:fill="FFFFFF"/>
        </w:rPr>
        <w:t xml:space="preserve"> </w:t>
      </w:r>
      <w:r w:rsidR="00A152A3" w:rsidRPr="0002524A">
        <w:rPr>
          <w:rFonts w:ascii="David" w:hAnsi="David" w:cs="David"/>
          <w:color w:val="000000"/>
          <w:sz w:val="24"/>
          <w:szCs w:val="24"/>
          <w:shd w:val="clear" w:color="auto" w:fill="FFFFFF"/>
          <w:rtl/>
        </w:rPr>
        <w:t xml:space="preserve"> בית המשפט החליט לחרוג לקולה מהמתחם משיקולי</w:t>
      </w:r>
      <w:r w:rsidR="00A152A3">
        <w:rPr>
          <w:rFonts w:ascii="David" w:hAnsi="David" w:cs="David" w:hint="cs"/>
          <w:color w:val="000000"/>
          <w:sz w:val="24"/>
          <w:szCs w:val="24"/>
          <w:shd w:val="clear" w:color="auto" w:fill="FFFFFF"/>
          <w:rtl/>
        </w:rPr>
        <w:t xml:space="preserve"> שיקום</w:t>
      </w:r>
      <w:r w:rsidR="00A152A3" w:rsidRPr="0002524A">
        <w:rPr>
          <w:rFonts w:ascii="David" w:hAnsi="David" w:cs="David"/>
          <w:color w:val="000000"/>
          <w:sz w:val="24"/>
          <w:szCs w:val="24"/>
          <w:shd w:val="clear" w:color="auto" w:fill="FFFFFF"/>
          <w:rtl/>
        </w:rPr>
        <w:t xml:space="preserve"> וגזר על נאשם 1 צו של"צ בהיקף של 600 שעות, צו מבחן למשך שנה, מאסר מותנה, קנס בסך 5,000 ₪, התחייבות להימנע מעבירה בסך 5,000; נאשם 2, צו של"צ בהיקף של 500 שעות, צו מבחן למשך שנה, מאסר מותנה, קנס בסך</w:t>
      </w:r>
      <w:r>
        <w:rPr>
          <w:rFonts w:ascii="David" w:hAnsi="David" w:cs="David"/>
          <w:color w:val="000000"/>
          <w:sz w:val="24"/>
          <w:szCs w:val="24"/>
          <w:shd w:val="clear" w:color="auto" w:fill="FFFFFF"/>
        </w:rPr>
        <w:t xml:space="preserve"> </w:t>
      </w:r>
      <w:r w:rsidR="00A152A3" w:rsidRPr="0002524A">
        <w:rPr>
          <w:rFonts w:ascii="David" w:hAnsi="David" w:cs="David"/>
          <w:color w:val="000000"/>
          <w:sz w:val="24"/>
          <w:szCs w:val="24"/>
          <w:shd w:val="clear" w:color="auto" w:fill="FFFFFF"/>
        </w:rPr>
        <w:t>4,000</w:t>
      </w:r>
      <w:r w:rsidR="00A152A3" w:rsidRPr="0002524A">
        <w:rPr>
          <w:rFonts w:ascii="David" w:hAnsi="David" w:cs="David"/>
          <w:color w:val="000000"/>
          <w:sz w:val="24"/>
          <w:szCs w:val="24"/>
          <w:shd w:val="clear" w:color="auto" w:fill="FFFFFF"/>
          <w:rtl/>
        </w:rPr>
        <w:t xml:space="preserve"> ₪</w:t>
      </w:r>
      <w:r w:rsidR="00A152A3" w:rsidRPr="0002524A">
        <w:rPr>
          <w:rFonts w:ascii="David" w:hAnsi="David" w:cs="David"/>
          <w:color w:val="000000"/>
          <w:sz w:val="24"/>
          <w:szCs w:val="24"/>
          <w:shd w:val="clear" w:color="auto" w:fill="FFFFFF"/>
        </w:rPr>
        <w:t xml:space="preserve">, </w:t>
      </w:r>
      <w:r w:rsidR="00A152A3" w:rsidRPr="0002524A">
        <w:rPr>
          <w:rFonts w:ascii="David" w:hAnsi="David" w:cs="David"/>
          <w:color w:val="000000"/>
          <w:sz w:val="24"/>
          <w:szCs w:val="24"/>
          <w:shd w:val="clear" w:color="auto" w:fill="FFFFFF"/>
          <w:rtl/>
        </w:rPr>
        <w:t>התחייבות להימנע מעבירה בסך 5,000. שני הנאשמים הוכרזו כסוחרי סמים (ערעור שהוגש מטעם המדינה על קולת העונש נדחה בשל העובדה שהוגש באיחור של 4 ימים)</w:t>
      </w:r>
      <w:r w:rsidR="00A152A3" w:rsidRPr="0002524A">
        <w:rPr>
          <w:rFonts w:ascii="David" w:hAnsi="David" w:cs="David"/>
          <w:color w:val="000000"/>
          <w:sz w:val="24"/>
          <w:szCs w:val="24"/>
          <w:shd w:val="clear" w:color="auto" w:fill="FFFFFF"/>
        </w:rPr>
        <w:t>.</w:t>
      </w:r>
    </w:p>
    <w:p w14:paraId="4A67EA34" w14:textId="77777777" w:rsidR="00A152A3" w:rsidRPr="0002524A" w:rsidRDefault="00A152A3" w:rsidP="00A152A3">
      <w:pPr>
        <w:pStyle w:val="aa"/>
        <w:spacing w:line="360" w:lineRule="auto"/>
        <w:jc w:val="both"/>
        <w:rPr>
          <w:rFonts w:ascii="David" w:hAnsi="David" w:cs="David"/>
          <w:sz w:val="24"/>
          <w:szCs w:val="24"/>
        </w:rPr>
      </w:pPr>
    </w:p>
    <w:p w14:paraId="0F90B246" w14:textId="77777777" w:rsidR="00A152A3" w:rsidRPr="0002524A" w:rsidRDefault="00A152A3" w:rsidP="00A152A3">
      <w:pPr>
        <w:pStyle w:val="aa"/>
        <w:rPr>
          <w:rFonts w:ascii="David" w:hAnsi="David" w:cs="David"/>
          <w:sz w:val="24"/>
          <w:szCs w:val="24"/>
        </w:rPr>
      </w:pPr>
    </w:p>
    <w:p w14:paraId="3D13D1B1" w14:textId="77777777" w:rsidR="00A152A3" w:rsidRDefault="00A152A3" w:rsidP="00A152A3">
      <w:pPr>
        <w:spacing w:line="360" w:lineRule="auto"/>
        <w:jc w:val="both"/>
        <w:rPr>
          <w:rFonts w:ascii="David" w:eastAsia="Calibri" w:hAnsi="David"/>
          <w:b/>
          <w:bCs/>
          <w:rtl/>
        </w:rPr>
      </w:pPr>
      <w:r>
        <w:rPr>
          <w:rFonts w:ascii="David" w:eastAsia="Calibri" w:hAnsi="David"/>
          <w:b/>
          <w:bCs/>
          <w:rtl/>
        </w:rPr>
        <w:t>נוכח כל האמור לעיל, כמות הסם, סוגו ונסיבות ההחזקה, אני קובעת כי מתחם העונש ההולם מתחיל מ</w:t>
      </w:r>
      <w:r>
        <w:rPr>
          <w:rFonts w:ascii="David" w:eastAsia="Calibri" w:hAnsi="David" w:hint="cs"/>
          <w:b/>
          <w:bCs/>
          <w:rtl/>
        </w:rPr>
        <w:t xml:space="preserve">מספר </w:t>
      </w:r>
      <w:r>
        <w:rPr>
          <w:rFonts w:ascii="David" w:eastAsia="Calibri" w:hAnsi="David"/>
          <w:b/>
          <w:bCs/>
          <w:rtl/>
        </w:rPr>
        <w:t xml:space="preserve">חודשי מאסר שניתן לרצות בעבודות שירות ועד </w:t>
      </w:r>
      <w:r>
        <w:rPr>
          <w:rFonts w:ascii="David" w:eastAsia="Calibri" w:hAnsi="David" w:hint="cs"/>
          <w:b/>
          <w:bCs/>
          <w:rtl/>
        </w:rPr>
        <w:t>12</w:t>
      </w:r>
      <w:r>
        <w:rPr>
          <w:rFonts w:ascii="David" w:eastAsia="Calibri" w:hAnsi="David"/>
          <w:b/>
          <w:bCs/>
          <w:rtl/>
        </w:rPr>
        <w:t xml:space="preserve"> חודשי מאסר בפועל, לצד ענישה נלווית. </w:t>
      </w:r>
    </w:p>
    <w:p w14:paraId="3C6037DC" w14:textId="77777777" w:rsidR="00A152A3" w:rsidRDefault="00A152A3" w:rsidP="00A152A3">
      <w:pPr>
        <w:spacing w:line="360" w:lineRule="auto"/>
        <w:jc w:val="both"/>
        <w:rPr>
          <w:b/>
          <w:bCs/>
          <w:u w:val="single"/>
          <w:rtl/>
        </w:rPr>
      </w:pPr>
    </w:p>
    <w:p w14:paraId="524BD47A" w14:textId="77777777" w:rsidR="00A152A3" w:rsidRDefault="00A152A3" w:rsidP="00A152A3">
      <w:pPr>
        <w:spacing w:line="360" w:lineRule="auto"/>
        <w:jc w:val="both"/>
        <w:rPr>
          <w:b/>
          <w:bCs/>
          <w:u w:val="single"/>
          <w:rtl/>
        </w:rPr>
      </w:pPr>
      <w:r>
        <w:rPr>
          <w:b/>
          <w:bCs/>
          <w:u w:val="single"/>
          <w:rtl/>
        </w:rPr>
        <w:t>שיקולי שיקום – סטייה לקולא</w:t>
      </w:r>
    </w:p>
    <w:p w14:paraId="42233931" w14:textId="77777777" w:rsidR="00A152A3" w:rsidRPr="00B52177" w:rsidRDefault="00A152A3" w:rsidP="00A152A3">
      <w:pPr>
        <w:jc w:val="both"/>
        <w:rPr>
          <w:b/>
          <w:bCs/>
          <w:u w:val="single"/>
        </w:rPr>
      </w:pPr>
    </w:p>
    <w:p w14:paraId="5C55E3B7" w14:textId="77777777" w:rsidR="00A152A3" w:rsidRDefault="00AF3497" w:rsidP="00A152A3">
      <w:pPr>
        <w:spacing w:line="360" w:lineRule="auto"/>
        <w:jc w:val="both"/>
      </w:pPr>
      <w:hyperlink r:id="rId29" w:history="1">
        <w:r w:rsidRPr="00AF3497">
          <w:rPr>
            <w:rStyle w:val="Hyperlink"/>
            <w:color w:val="0000FF"/>
            <w:rtl/>
          </w:rPr>
          <w:t>סעיף 40ד'(א)</w:t>
        </w:r>
      </w:hyperlink>
      <w:r w:rsidR="00A152A3">
        <w:rPr>
          <w:rtl/>
        </w:rPr>
        <w:t xml:space="preserve"> ל</w:t>
      </w:r>
      <w:hyperlink r:id="rId30" w:history="1">
        <w:r w:rsidR="002D6C0A" w:rsidRPr="002D6C0A">
          <w:rPr>
            <w:color w:val="0000FF"/>
            <w:u w:val="single"/>
            <w:rtl/>
          </w:rPr>
          <w:t>חוק העונשין</w:t>
        </w:r>
      </w:hyperlink>
      <w:r w:rsidR="00A152A3">
        <w:rPr>
          <w:rtl/>
        </w:rPr>
        <w:t>, מאפשר לבית המשפט לשקול חריגה לקולא מן המתחם ההולם שנקבע לעבירה המיוחסת. נקבע כי השימוש בסעיף זה יהא במשורה ורק אם מצא, כי הנאשם השתקם או שסיכוייו להשתקם הינ</w:t>
      </w:r>
      <w:r w:rsidR="00A152A3">
        <w:rPr>
          <w:rFonts w:hint="cs"/>
          <w:rtl/>
        </w:rPr>
        <w:t>ם</w:t>
      </w:r>
      <w:r w:rsidR="00A152A3">
        <w:rPr>
          <w:rtl/>
        </w:rPr>
        <w:t xml:space="preserve"> ממשי</w:t>
      </w:r>
      <w:r w:rsidR="00A152A3">
        <w:rPr>
          <w:rFonts w:hint="cs"/>
          <w:rtl/>
        </w:rPr>
        <w:t>ים</w:t>
      </w:r>
      <w:r w:rsidR="00A152A3">
        <w:rPr>
          <w:rtl/>
        </w:rPr>
        <w:t xml:space="preserve"> (</w:t>
      </w:r>
      <w:hyperlink r:id="rId31" w:history="1">
        <w:r w:rsidR="002D6C0A" w:rsidRPr="002D6C0A">
          <w:rPr>
            <w:color w:val="0000FF"/>
            <w:u w:val="single"/>
            <w:rtl/>
          </w:rPr>
          <w:t>ע"פ 7757/21</w:t>
        </w:r>
      </w:hyperlink>
      <w:r w:rsidR="00A152A3">
        <w:rPr>
          <w:rtl/>
        </w:rPr>
        <w:t xml:space="preserve"> </w:t>
      </w:r>
      <w:r w:rsidR="00A152A3">
        <w:rPr>
          <w:b/>
          <w:bCs/>
          <w:rtl/>
        </w:rPr>
        <w:t>מרזוקי נ' מדינת ישראל</w:t>
      </w:r>
      <w:r w:rsidR="00A152A3">
        <w:rPr>
          <w:rtl/>
        </w:rPr>
        <w:t xml:space="preserve"> (24.05.2022). ועוד נאמר בעניין זה, כי החריגה תעשה רק מקום ש"</w:t>
      </w:r>
      <w:r w:rsidR="00A152A3">
        <w:rPr>
          <w:b/>
          <w:bCs/>
          <w:rtl/>
        </w:rPr>
        <w:t>ניכרים בפועל</w:t>
      </w:r>
      <w:r w:rsidR="00A152A3">
        <w:rPr>
          <w:rtl/>
        </w:rPr>
        <w:t xml:space="preserve">" אותו שיקום או סיכוי (ראה </w:t>
      </w:r>
      <w:hyperlink r:id="rId32" w:history="1">
        <w:r w:rsidR="002D6C0A" w:rsidRPr="002D6C0A">
          <w:rPr>
            <w:color w:val="0000FF"/>
            <w:u w:val="single"/>
            <w:rtl/>
          </w:rPr>
          <w:t>ע"פ 671/22</w:t>
        </w:r>
      </w:hyperlink>
      <w:r w:rsidR="00A152A3">
        <w:rPr>
          <w:rtl/>
        </w:rPr>
        <w:t xml:space="preserve"> </w:t>
      </w:r>
      <w:r w:rsidR="00A152A3">
        <w:rPr>
          <w:b/>
          <w:bCs/>
          <w:rtl/>
        </w:rPr>
        <w:t>אחמד אבו תנהא נ' מדינת ישראל</w:t>
      </w:r>
      <w:r w:rsidR="00A152A3">
        <w:rPr>
          <w:rtl/>
        </w:rPr>
        <w:t xml:space="preserve"> (20.10.2022), כאשר, גם אם שוכנע שהשיקום או הפוטנציאל מתקיימים בנאשם, עדיין (לפי סעיף קטן </w:t>
      </w:r>
      <w:hyperlink r:id="rId33" w:history="1">
        <w:r w:rsidRPr="00AF3497">
          <w:rPr>
            <w:rStyle w:val="Hyperlink"/>
            <w:color w:val="0000FF"/>
            <w:rtl/>
          </w:rPr>
          <w:t>ב</w:t>
        </w:r>
      </w:hyperlink>
      <w:r w:rsidR="00A152A3">
        <w:rPr>
          <w:rtl/>
        </w:rPr>
        <w:t>' לסעיף זה). בין כלל השיקולים, יש אף לשקול את חומרת העבירות ונסיבות ביצוען על מנת לקבוע שאירוע זה והנאשם יהיו זכאים לאותה הקלה, שכ</w:t>
      </w:r>
      <w:r w:rsidR="00A152A3">
        <w:rPr>
          <w:rFonts w:hint="cs"/>
          <w:rtl/>
        </w:rPr>
        <w:t>ן</w:t>
      </w:r>
      <w:r w:rsidR="00A152A3">
        <w:rPr>
          <w:rtl/>
        </w:rPr>
        <w:t>, "</w:t>
      </w:r>
      <w:r w:rsidR="00A152A3">
        <w:rPr>
          <w:b/>
          <w:bCs/>
          <w:rtl/>
        </w:rPr>
        <w:t>שיקולי השיקום, על אף חשיבותם, אינם חזות הכל ולצדם יש להתחשב בשיקולים נוספים, כדוגמת גמול והרתעה"</w:t>
      </w:r>
      <w:r w:rsidR="00A152A3">
        <w:rPr>
          <w:rtl/>
        </w:rPr>
        <w:t xml:space="preserve"> (שם ובפסיקה המאוזכרת).</w:t>
      </w:r>
    </w:p>
    <w:p w14:paraId="660DD84B" w14:textId="77777777" w:rsidR="00A152A3" w:rsidRDefault="00A152A3" w:rsidP="00A152A3">
      <w:pPr>
        <w:spacing w:line="360" w:lineRule="auto"/>
        <w:jc w:val="both"/>
        <w:rPr>
          <w:rtl/>
        </w:rPr>
      </w:pPr>
    </w:p>
    <w:p w14:paraId="3C2F95E7" w14:textId="77777777" w:rsidR="00A152A3" w:rsidRDefault="00A152A3" w:rsidP="00A152A3">
      <w:pPr>
        <w:spacing w:line="360" w:lineRule="auto"/>
        <w:jc w:val="both"/>
        <w:rPr>
          <w:rFonts w:ascii="David" w:hAnsi="David"/>
          <w:color w:val="000000"/>
        </w:rPr>
      </w:pPr>
      <w:r>
        <w:rPr>
          <w:rtl/>
        </w:rPr>
        <w:t>עתירת ההגנה לעונש של מאסר מותנה ושל"צ מהווה סטייה לקולא מהמתחם אותו קבעתי ו</w:t>
      </w:r>
      <w:r>
        <w:rPr>
          <w:rFonts w:ascii="David" w:hAnsi="David"/>
          <w:rtl/>
        </w:rPr>
        <w:t xml:space="preserve">חריגה מטעמי שיקום נעשית על פי רוב בעקבות תסקיר של שירות המבחן המצביע על סיכוי ממשי לשיקום (ראו </w:t>
      </w:r>
      <w:hyperlink r:id="rId34" w:history="1">
        <w:r w:rsidR="002D6C0A" w:rsidRPr="002D6C0A">
          <w:rPr>
            <w:rFonts w:ascii="David" w:hAnsi="David"/>
            <w:color w:val="0000FF"/>
            <w:u w:val="single"/>
            <w:rtl/>
          </w:rPr>
          <w:t>ע"פ 6637/17</w:t>
        </w:r>
      </w:hyperlink>
      <w:r>
        <w:rPr>
          <w:rFonts w:ascii="David" w:hAnsi="David"/>
          <w:color w:val="000000"/>
          <w:rtl/>
        </w:rPr>
        <w:t xml:space="preserve"> </w:t>
      </w:r>
      <w:r>
        <w:rPr>
          <w:rFonts w:ascii="David" w:hAnsi="David"/>
          <w:b/>
          <w:bCs/>
          <w:color w:val="000000"/>
          <w:rtl/>
        </w:rPr>
        <w:t>קרנדל נ' מדינת ישראל</w:t>
      </w:r>
      <w:r>
        <w:rPr>
          <w:rFonts w:ascii="David" w:hAnsi="David"/>
          <w:color w:val="000000"/>
          <w:rtl/>
        </w:rPr>
        <w:t xml:space="preserve"> (18.4.2018). </w:t>
      </w:r>
    </w:p>
    <w:p w14:paraId="0896A4E6" w14:textId="77777777" w:rsidR="00A152A3" w:rsidRDefault="00A152A3" w:rsidP="00A152A3">
      <w:pPr>
        <w:spacing w:line="360" w:lineRule="auto"/>
        <w:jc w:val="both"/>
        <w:rPr>
          <w:rFonts w:ascii="David" w:hAnsi="David"/>
          <w:color w:val="000000"/>
          <w:rtl/>
        </w:rPr>
      </w:pPr>
    </w:p>
    <w:p w14:paraId="1640C733" w14:textId="77777777" w:rsidR="00A152A3" w:rsidRDefault="00A152A3" w:rsidP="00A152A3">
      <w:pPr>
        <w:spacing w:line="360" w:lineRule="auto"/>
        <w:jc w:val="both"/>
        <w:rPr>
          <w:rtl/>
        </w:rPr>
      </w:pPr>
      <w:r>
        <w:rPr>
          <w:rFonts w:ascii="David" w:hAnsi="David"/>
          <w:color w:val="000000"/>
          <w:rtl/>
        </w:rPr>
        <w:t>בעניינו</w:t>
      </w:r>
      <w:r>
        <w:rPr>
          <w:rtl/>
        </w:rPr>
        <w:t xml:space="preserve"> של הנאשם, כפי שפורט, הוגש תסקיר שירות מבחן אשר מלמד על כך שהנאשם החל בצריכת סמים בתקופת נערותו </w:t>
      </w:r>
      <w:r>
        <w:rPr>
          <w:rFonts w:hint="cs"/>
          <w:rtl/>
        </w:rPr>
        <w:t xml:space="preserve">באופן יום יומי, </w:t>
      </w:r>
      <w:r>
        <w:rPr>
          <w:rtl/>
        </w:rPr>
        <w:t xml:space="preserve">ולאחר מכן, השימוש התגבר, והעמיק אף לשימוש אינטנסיבי בסם מסוג </w:t>
      </w:r>
      <w:r>
        <w:rPr>
          <w:rFonts w:hint="cs"/>
          <w:rtl/>
        </w:rPr>
        <w:t>אקסטזי, קוקאין</w:t>
      </w:r>
      <w:r>
        <w:rPr>
          <w:rtl/>
        </w:rPr>
        <w:t>. הנאשם הפסיק את השימוש בסמים</w:t>
      </w:r>
      <w:r>
        <w:rPr>
          <w:rFonts w:hint="cs"/>
          <w:rtl/>
        </w:rPr>
        <w:t xml:space="preserve"> לאחר מעצרו, בכוחות עצמו ובתמיכת אביו</w:t>
      </w:r>
      <w:r>
        <w:rPr>
          <w:rtl/>
        </w:rPr>
        <w:t xml:space="preserve">, </w:t>
      </w:r>
      <w:r>
        <w:rPr>
          <w:rFonts w:hint="cs"/>
          <w:rtl/>
        </w:rPr>
        <w:t>ומאז נמצא בטיפול הן בפן הנפשי בשל בעיות בתחום זה והן בפן הטיפולי הקבוצתי והפרטני (משך כשנה וארבעה חודשים).</w:t>
      </w:r>
      <w:r>
        <w:rPr>
          <w:rtl/>
        </w:rPr>
        <w:t xml:space="preserve"> עוד, התרשם שירות המבחן שהנאשם </w:t>
      </w:r>
      <w:r>
        <w:rPr>
          <w:rFonts w:hint="cs"/>
          <w:rtl/>
        </w:rPr>
        <w:t xml:space="preserve">נמצא בהליך טיפולי משמעותי, נמנע משימוש בסמים ומוסר בדיקות שתן נקיות, משתף פעולה בטיפולים וכן מגלה מוטיבציה לשינוי אורחות חייו. לכך יש להוסיף את דברי אביו, כפי שנשמעו בדיון שבפניי, אשר חווה את השינוי שעבר על בנו ופירט אודות הדרך החדשה בה נמצא הנאשם ועל הנחת שמסב לו האחרון בעקבות כך. לאור כל המפורט לעיל, </w:t>
      </w:r>
      <w:r>
        <w:rPr>
          <w:rtl/>
        </w:rPr>
        <w:t xml:space="preserve">הומלץ על ענישה בדמות של"צ שתאפשר לנאשם להמשיך </w:t>
      </w:r>
      <w:r>
        <w:rPr>
          <w:rFonts w:hint="cs"/>
          <w:rtl/>
        </w:rPr>
        <w:t xml:space="preserve">בתהליך הטיפולי והרפואי וכן צו מבחן. לכך יש להוסיף את המכתב שהוגש מהעו"ס המטפלת בנאשם ביחידה לטיפול בהתמכרויות (עי\1), ממנו עולה כי הנאשם מסור ומחויב לתהליך הטיפולי ולנוכח כך מבקשת להימנע מהטלת עונש שיפגע בתהליך שעובר הנאשם. </w:t>
      </w:r>
    </w:p>
    <w:p w14:paraId="4E26B97B" w14:textId="77777777" w:rsidR="00A152A3" w:rsidRDefault="00A152A3" w:rsidP="00A152A3">
      <w:pPr>
        <w:spacing w:line="360" w:lineRule="auto"/>
        <w:jc w:val="both"/>
        <w:rPr>
          <w:rtl/>
        </w:rPr>
      </w:pPr>
    </w:p>
    <w:p w14:paraId="3EA6883D" w14:textId="77777777" w:rsidR="00A152A3" w:rsidRDefault="00A152A3" w:rsidP="00A152A3">
      <w:pPr>
        <w:spacing w:line="360" w:lineRule="auto"/>
        <w:jc w:val="both"/>
        <w:rPr>
          <w:rtl/>
        </w:rPr>
      </w:pPr>
    </w:p>
    <w:p w14:paraId="15C55CDC" w14:textId="77777777" w:rsidR="00A152A3" w:rsidRDefault="00A152A3" w:rsidP="00A152A3">
      <w:pPr>
        <w:spacing w:line="360" w:lineRule="auto"/>
        <w:jc w:val="both"/>
        <w:rPr>
          <w:rtl/>
        </w:rPr>
      </w:pPr>
    </w:p>
    <w:p w14:paraId="4F882F73" w14:textId="77777777" w:rsidR="00A152A3" w:rsidRDefault="00A152A3" w:rsidP="00A152A3">
      <w:pPr>
        <w:spacing w:line="360" w:lineRule="auto"/>
        <w:jc w:val="both"/>
        <w:rPr>
          <w:rtl/>
        </w:rPr>
      </w:pPr>
      <w:r>
        <w:rPr>
          <w:b/>
          <w:bCs/>
          <w:u w:val="single"/>
          <w:rtl/>
        </w:rPr>
        <w:t>נסיבות שאינן קשורות לביצוע העבירה</w:t>
      </w:r>
      <w:r>
        <w:rPr>
          <w:rtl/>
        </w:rPr>
        <w:t>:</w:t>
      </w:r>
    </w:p>
    <w:p w14:paraId="36912C37" w14:textId="77777777" w:rsidR="00A152A3" w:rsidRDefault="00A152A3" w:rsidP="00A152A3">
      <w:pPr>
        <w:spacing w:line="360" w:lineRule="auto"/>
        <w:jc w:val="both"/>
        <w:rPr>
          <w:rtl/>
        </w:rPr>
      </w:pPr>
    </w:p>
    <w:p w14:paraId="7A5A00DC" w14:textId="77777777" w:rsidR="00A152A3" w:rsidRPr="00DA10C2" w:rsidRDefault="00A152A3" w:rsidP="00A152A3">
      <w:pPr>
        <w:spacing w:line="360" w:lineRule="auto"/>
        <w:jc w:val="both"/>
        <w:rPr>
          <w:rtl/>
        </w:rPr>
      </w:pPr>
      <w:r>
        <w:rPr>
          <w:rtl/>
        </w:rPr>
        <w:t xml:space="preserve">הנאשם, בן </w:t>
      </w:r>
      <w:r>
        <w:rPr>
          <w:rFonts w:hint="cs"/>
          <w:rtl/>
        </w:rPr>
        <w:t>27</w:t>
      </w:r>
      <w:r>
        <w:rPr>
          <w:rtl/>
        </w:rPr>
        <w:t xml:space="preserve">, הודה בהזדמנות הראשונה ולקח אחריות מלאה על מעשיו. עוד עולה מתסקיר שירות המבחן שהמעצר וההליך הפלילי היוו גבול ברור עבורו. מדובר בעבירה ראשונה בחייו של הנאשם, העבירה בוצעה לפני </w:t>
      </w:r>
      <w:r>
        <w:rPr>
          <w:rFonts w:hint="cs"/>
          <w:rtl/>
        </w:rPr>
        <w:t>כשנתיים</w:t>
      </w:r>
      <w:r>
        <w:rPr>
          <w:rtl/>
        </w:rPr>
        <w:t xml:space="preserve">, </w:t>
      </w:r>
      <w:r>
        <w:rPr>
          <w:rFonts w:hint="cs"/>
          <w:rtl/>
        </w:rPr>
        <w:t>כאשר מאז עבר הנאשם הליך טיפולי ומעקב רפואי בנוגע למצבו</w:t>
      </w:r>
      <w:r>
        <w:rPr>
          <w:rtl/>
        </w:rPr>
        <w:t xml:space="preserve">.  כיום, אינו צורך סמים </w:t>
      </w:r>
      <w:r>
        <w:rPr>
          <w:rFonts w:hint="cs"/>
          <w:rtl/>
        </w:rPr>
        <w:t xml:space="preserve">והחל בלימודים במכון וינגייט על מנת לעבוד כמאמן כושר בסופו של יום. עוד יש להוסיף את מצבו הבריאותי של הנאשם וכן מצבו הנפשי, כפי שעולה מתסקיר שירות המבחן ומדברי סנגורו בפניי. שקלתי את התקופה בה היה עצור הנאשם וכן את השפעת המעצר עליו עד כדי אסיפת כוחות לשיקום עצמאי. הנאשם מביע רצון להתקדם בחייו, חרף מצבו הבריאותי (נכות בהיקף של 100%), על דרך של לימודי מקצוע ובכך יש לחזק את הנאשם. </w:t>
      </w:r>
      <w:r>
        <w:rPr>
          <w:rFonts w:ascii="David" w:hAnsi="David" w:hint="cs"/>
          <w:color w:val="000000"/>
          <w:shd w:val="clear" w:color="auto" w:fill="FFFFFF"/>
          <w:rtl/>
        </w:rPr>
        <w:t xml:space="preserve">חשיבות יתרה לסיכויי הנאשם לשיקום היא </w:t>
      </w:r>
      <w:r>
        <w:rPr>
          <w:rFonts w:ascii="David" w:hAnsi="David"/>
          <w:color w:val="000000"/>
          <w:shd w:val="clear" w:color="auto" w:fill="FFFFFF"/>
          <w:rtl/>
        </w:rPr>
        <w:t xml:space="preserve"> מקום בו מדובר באדם צעיר </w:t>
      </w:r>
      <w:r>
        <w:rPr>
          <w:rFonts w:ascii="David" w:hAnsi="David" w:hint="cs"/>
          <w:color w:val="000000"/>
          <w:shd w:val="clear" w:color="auto" w:fill="FFFFFF"/>
          <w:rtl/>
        </w:rPr>
        <w:t>ו</w:t>
      </w:r>
      <w:r>
        <w:rPr>
          <w:rFonts w:ascii="David" w:hAnsi="David"/>
          <w:color w:val="000000"/>
          <w:shd w:val="clear" w:color="auto" w:fill="FFFFFF"/>
          <w:rtl/>
        </w:rPr>
        <w:t>נעדר עבר פלילי</w:t>
      </w:r>
      <w:r>
        <w:rPr>
          <w:rFonts w:ascii="David" w:hAnsi="David" w:hint="cs"/>
          <w:color w:val="000000"/>
          <w:shd w:val="clear" w:color="auto" w:fill="FFFFFF"/>
          <w:rtl/>
        </w:rPr>
        <w:t xml:space="preserve"> (ראו:</w:t>
      </w:r>
      <w:r>
        <w:rPr>
          <w:rFonts w:ascii="David" w:hAnsi="David"/>
          <w:color w:val="000000"/>
          <w:shd w:val="clear" w:color="auto" w:fill="FFFFFF"/>
        </w:rPr>
        <w:t xml:space="preserve"> </w:t>
      </w:r>
      <w:r>
        <w:rPr>
          <w:rFonts w:ascii="David" w:hAnsi="David"/>
          <w:shd w:val="clear" w:color="auto" w:fill="FFFFFF"/>
        </w:rPr>
        <w:t xml:space="preserve"> </w:t>
      </w:r>
      <w:hyperlink r:id="rId35" w:history="1">
        <w:r w:rsidR="002D6C0A" w:rsidRPr="002D6C0A">
          <w:rPr>
            <w:rFonts w:ascii="David" w:hAnsi="David"/>
            <w:color w:val="0000FF"/>
            <w:u w:val="single"/>
            <w:shd w:val="clear" w:color="auto" w:fill="FFFFFF"/>
            <w:rtl/>
          </w:rPr>
          <w:t>ע"פ 6637/17</w:t>
        </w:r>
      </w:hyperlink>
      <w:r w:rsidR="002D6C0A">
        <w:rPr>
          <w:rFonts w:ascii="David" w:hAnsi="David"/>
          <w:shd w:val="clear" w:color="auto" w:fill="FFFFFF"/>
        </w:rPr>
        <w:t xml:space="preserve"> </w:t>
      </w:r>
      <w:r w:rsidRPr="00DA10C2">
        <w:rPr>
          <w:rFonts w:ascii="David" w:hAnsi="David"/>
          <w:shd w:val="clear" w:color="auto" w:fill="FFFFFF"/>
          <w:rtl/>
        </w:rPr>
        <w:t>‏</w:t>
      </w:r>
      <w:r>
        <w:rPr>
          <w:rFonts w:ascii="David" w:hAnsi="David"/>
          <w:b/>
          <w:bCs/>
          <w:color w:val="000000"/>
          <w:shd w:val="clear" w:color="auto" w:fill="FFFFFF"/>
          <w:rtl/>
        </w:rPr>
        <w:t>קרנדל נ' מדינת ישראל</w:t>
      </w:r>
      <w:r>
        <w:rPr>
          <w:rFonts w:ascii="David" w:hAnsi="David" w:hint="cs"/>
          <w:b/>
          <w:bCs/>
          <w:color w:val="000000"/>
          <w:shd w:val="clear" w:color="auto" w:fill="FFFFFF"/>
          <w:rtl/>
        </w:rPr>
        <w:t xml:space="preserve"> </w:t>
      </w:r>
      <w:r>
        <w:rPr>
          <w:rFonts w:ascii="David" w:hAnsi="David" w:hint="cs"/>
          <w:color w:val="000000"/>
          <w:shd w:val="clear" w:color="auto" w:fill="FFFFFF"/>
          <w:rtl/>
        </w:rPr>
        <w:t>(</w:t>
      </w:r>
      <w:r>
        <w:rPr>
          <w:rFonts w:ascii="David" w:hAnsi="David"/>
          <w:color w:val="000000"/>
          <w:shd w:val="clear" w:color="auto" w:fill="FFFFFF"/>
        </w:rPr>
        <w:t xml:space="preserve"> (18.4.2018</w:t>
      </w:r>
      <w:r>
        <w:rPr>
          <w:rFonts w:ascii="David" w:hAnsi="David" w:hint="cs"/>
          <w:color w:val="000000"/>
          <w:shd w:val="clear" w:color="auto" w:fill="FFFFFF"/>
          <w:rtl/>
        </w:rPr>
        <w:t>.</w:t>
      </w:r>
    </w:p>
    <w:p w14:paraId="69DFF1AE" w14:textId="77777777" w:rsidR="00A152A3" w:rsidRDefault="00A152A3" w:rsidP="00A152A3">
      <w:pPr>
        <w:spacing w:line="360" w:lineRule="auto"/>
        <w:jc w:val="both"/>
        <w:rPr>
          <w:rtl/>
        </w:rPr>
      </w:pPr>
    </w:p>
    <w:p w14:paraId="4F47807E" w14:textId="77777777" w:rsidR="00A152A3" w:rsidRDefault="00A152A3" w:rsidP="00A152A3">
      <w:pPr>
        <w:spacing w:line="360" w:lineRule="auto"/>
        <w:jc w:val="both"/>
        <w:rPr>
          <w:rtl/>
        </w:rPr>
      </w:pPr>
      <w:r>
        <w:rPr>
          <w:rtl/>
        </w:rPr>
        <w:t xml:space="preserve">בסופו של יום, יש לקבוע האם יש </w:t>
      </w:r>
      <w:r>
        <w:rPr>
          <w:rFonts w:hint="cs"/>
          <w:rtl/>
        </w:rPr>
        <w:t xml:space="preserve">בתסקיר </w:t>
      </w:r>
      <w:r>
        <w:rPr>
          <w:rtl/>
        </w:rPr>
        <w:t xml:space="preserve">אשר הוגש כדי לשקף תהליך שיקום משמעותי וניכר </w:t>
      </w:r>
      <w:r>
        <w:rPr>
          <w:rFonts w:hint="cs"/>
          <w:rtl/>
        </w:rPr>
        <w:t>ש</w:t>
      </w:r>
      <w:r>
        <w:rPr>
          <w:rtl/>
        </w:rPr>
        <w:t>אותו עבר הנאשם, כמו כן יש לקבוע האם יש בכך נימוק מהותי לשינוי מתחם הענישה, אך גם אם ייקבע שאכן כך, יש לקבוע האם הסטייה לקולא אמורה להיות בדמות של"צ או סטייה שונה מידתית יותר. לטעמי, האיזון בין חומרת העביר</w:t>
      </w:r>
      <w:r>
        <w:rPr>
          <w:rFonts w:hint="cs"/>
          <w:rtl/>
        </w:rPr>
        <w:t>ות, עבירת סחר בודדת ועבירת ההחזקה,</w:t>
      </w:r>
      <w:r>
        <w:rPr>
          <w:rtl/>
        </w:rPr>
        <w:t xml:space="preserve"> מחד, אל מול אותו תהליך שעבר הנאשם</w:t>
      </w:r>
      <w:r>
        <w:rPr>
          <w:rFonts w:hint="cs"/>
          <w:rtl/>
        </w:rPr>
        <w:t>,</w:t>
      </w:r>
      <w:r>
        <w:rPr>
          <w:rtl/>
        </w:rPr>
        <w:t xml:space="preserve"> מצדיק את הסטייה </w:t>
      </w:r>
      <w:r>
        <w:rPr>
          <w:rFonts w:hint="cs"/>
          <w:rtl/>
        </w:rPr>
        <w:t xml:space="preserve">אותה ביקשה ההגנה ועליה המליץ שירות המבחן אולם ראיתי לנכון להגדיל את היקף השעות לתועלת הציבור. בשאלת פסילת רישיון הנהיגה של הנאשם, לקחתי בחשבון את עברו התעבורתי של הנאשם אך יחד עם זאת, החלטתי להסתפק בפסילת רישיונו על תנאי. </w:t>
      </w:r>
    </w:p>
    <w:p w14:paraId="05194B47" w14:textId="77777777" w:rsidR="00A152A3" w:rsidRDefault="00A152A3" w:rsidP="00A152A3">
      <w:pPr>
        <w:spacing w:line="360" w:lineRule="auto"/>
        <w:jc w:val="both"/>
        <w:rPr>
          <w:rtl/>
        </w:rPr>
      </w:pPr>
    </w:p>
    <w:p w14:paraId="36698CAE" w14:textId="77777777" w:rsidR="00A152A3" w:rsidRPr="00803AD0" w:rsidRDefault="00A152A3" w:rsidP="00A152A3">
      <w:pPr>
        <w:spacing w:line="360" w:lineRule="auto"/>
        <w:jc w:val="both"/>
      </w:pPr>
      <w:r>
        <w:rPr>
          <w:b/>
          <w:bCs/>
          <w:u w:val="single"/>
          <w:rtl/>
        </w:rPr>
        <w:t>הכרזת הנאשם כ'סוחר סמים'</w:t>
      </w:r>
      <w:r>
        <w:rPr>
          <w:rFonts w:hint="cs"/>
          <w:rtl/>
        </w:rPr>
        <w:t>:</w:t>
      </w:r>
    </w:p>
    <w:p w14:paraId="0A46B74C" w14:textId="77777777" w:rsidR="00A152A3" w:rsidRDefault="00A152A3" w:rsidP="00A152A3">
      <w:pPr>
        <w:jc w:val="both"/>
        <w:rPr>
          <w:b/>
          <w:bCs/>
          <w:rtl/>
        </w:rPr>
      </w:pPr>
    </w:p>
    <w:p w14:paraId="55F2880B" w14:textId="77777777" w:rsidR="00A152A3" w:rsidRDefault="00A152A3" w:rsidP="00A152A3">
      <w:pPr>
        <w:spacing w:line="360" w:lineRule="auto"/>
        <w:jc w:val="both"/>
        <w:rPr>
          <w:rtl/>
        </w:rPr>
      </w:pPr>
      <w:r>
        <w:rPr>
          <w:rtl/>
        </w:rPr>
        <w:t xml:space="preserve">המאשימה עתרה להכריז על הנאשם כ'סוחר סמים' ולהורות על </w:t>
      </w:r>
      <w:r>
        <w:rPr>
          <w:rFonts w:hint="cs"/>
          <w:rtl/>
        </w:rPr>
        <w:t xml:space="preserve">החילוט כפי שהוסכם בין הצדדים. </w:t>
      </w:r>
    </w:p>
    <w:p w14:paraId="5459F8FE" w14:textId="77777777" w:rsidR="00A152A3" w:rsidRDefault="00A152A3" w:rsidP="00A152A3">
      <w:pPr>
        <w:jc w:val="both"/>
        <w:rPr>
          <w:rtl/>
        </w:rPr>
      </w:pPr>
    </w:p>
    <w:p w14:paraId="1AB210CD" w14:textId="77777777" w:rsidR="00A152A3" w:rsidRDefault="00AF3497" w:rsidP="00A152A3">
      <w:pPr>
        <w:spacing w:line="360" w:lineRule="auto"/>
        <w:jc w:val="both"/>
        <w:rPr>
          <w:rtl/>
        </w:rPr>
      </w:pPr>
      <w:hyperlink r:id="rId36" w:history="1">
        <w:r w:rsidRPr="00AF3497">
          <w:rPr>
            <w:rStyle w:val="Hyperlink"/>
            <w:color w:val="0000FF"/>
            <w:rtl/>
          </w:rPr>
          <w:t>סעיף 36א</w:t>
        </w:r>
      </w:hyperlink>
      <w:r w:rsidR="00A152A3">
        <w:rPr>
          <w:rtl/>
        </w:rPr>
        <w:t xml:space="preserve"> ל</w:t>
      </w:r>
      <w:hyperlink r:id="rId37" w:history="1">
        <w:r w:rsidR="002D6C0A" w:rsidRPr="002D6C0A">
          <w:rPr>
            <w:color w:val="0000FF"/>
            <w:u w:val="single"/>
            <w:rtl/>
          </w:rPr>
          <w:t>פקודת הסמים המסוכנים</w:t>
        </w:r>
      </w:hyperlink>
      <w:r w:rsidR="00A152A3">
        <w:rPr>
          <w:rtl/>
        </w:rPr>
        <w:t xml:space="preserve"> קובע כי "</w:t>
      </w:r>
      <w:r w:rsidR="002D6C0A">
        <w:rPr>
          <w:rtl/>
        </w:rPr>
        <w:t xml:space="preserve"> </w:t>
      </w:r>
      <w:r w:rsidR="00A152A3">
        <w:rPr>
          <w:rtl/>
        </w:rPr>
        <w:t>(ב)</w:t>
      </w:r>
      <w:r w:rsidR="002D6C0A">
        <w:rPr>
          <w:rtl/>
        </w:rPr>
        <w:t xml:space="preserve"> </w:t>
      </w:r>
      <w:r w:rsidR="00A152A3">
        <w:rPr>
          <w:rtl/>
        </w:rPr>
        <w:t xml:space="preserve"> </w:t>
      </w:r>
      <w:r w:rsidR="00A152A3">
        <w:rPr>
          <w:b/>
          <w:bCs/>
          <w:rtl/>
        </w:rPr>
        <w:t xml:space="preserve">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w:t>
      </w:r>
      <w:r w:rsidR="00A152A3">
        <w:rPr>
          <w:rFonts w:hint="cs"/>
          <w:b/>
          <w:bCs/>
          <w:rtl/>
        </w:rPr>
        <w:t>-</w:t>
      </w:r>
      <w:r w:rsidR="00A152A3">
        <w:rPr>
          <w:b/>
          <w:bCs/>
          <w:rtl/>
        </w:rPr>
        <w:t xml:space="preserve">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00A152A3">
        <w:rPr>
          <w:rtl/>
        </w:rPr>
        <w:t>".</w:t>
      </w:r>
    </w:p>
    <w:p w14:paraId="3C3B4ADC" w14:textId="77777777" w:rsidR="00A152A3" w:rsidRDefault="00A152A3" w:rsidP="00A152A3">
      <w:pPr>
        <w:spacing w:line="360" w:lineRule="auto"/>
        <w:jc w:val="both"/>
        <w:rPr>
          <w:rtl/>
        </w:rPr>
      </w:pPr>
    </w:p>
    <w:p w14:paraId="49B3B137" w14:textId="77777777" w:rsidR="00A152A3" w:rsidRDefault="00A152A3" w:rsidP="00A152A3">
      <w:pPr>
        <w:spacing w:after="120" w:line="360" w:lineRule="auto"/>
        <w:jc w:val="both"/>
        <w:rPr>
          <w:rtl/>
        </w:rPr>
      </w:pPr>
      <w:r>
        <w:rPr>
          <w:rtl/>
        </w:rPr>
        <w:t xml:space="preserve">מכאן, שעל מנת שבית משפט יקבע שנאשם הינו "סוחר סמים" על התביעה להוכיח שני תנאים מצטברים: </w:t>
      </w:r>
      <w:r w:rsidRPr="00B52177">
        <w:rPr>
          <w:b/>
          <w:bCs/>
          <w:rtl/>
        </w:rPr>
        <w:t>האחד</w:t>
      </w:r>
      <w:r>
        <w:rPr>
          <w:rtl/>
        </w:rPr>
        <w:t>, שהעבירה בה הורשע הנאשם מהווה עבירה של "עסקת סמים</w:t>
      </w:r>
      <w:r w:rsidRPr="00A152A3">
        <w:rPr>
          <w:color w:val="000000"/>
          <w:rtl/>
        </w:rPr>
        <w:t xml:space="preserve">" שמוגדרת </w:t>
      </w:r>
      <w:hyperlink r:id="rId38" w:history="1">
        <w:r w:rsidR="00AF3497" w:rsidRPr="00AF3497">
          <w:rPr>
            <w:rStyle w:val="Hyperlink"/>
            <w:color w:val="0000FF"/>
            <w:rtl/>
          </w:rPr>
          <w:t>בסעיף 1</w:t>
        </w:r>
      </w:hyperlink>
      <w:r w:rsidRPr="00A152A3">
        <w:rPr>
          <w:color w:val="000000"/>
          <w:rtl/>
        </w:rPr>
        <w:t xml:space="preserve"> ל</w:t>
      </w:r>
      <w:hyperlink r:id="rId39" w:history="1">
        <w:r w:rsidR="002D6C0A" w:rsidRPr="002D6C0A">
          <w:rPr>
            <w:color w:val="0000FF"/>
            <w:u w:val="single"/>
            <w:rtl/>
          </w:rPr>
          <w:t>פקודת הסמים המסוכנים</w:t>
        </w:r>
      </w:hyperlink>
      <w:r w:rsidRPr="00A152A3">
        <w:rPr>
          <w:color w:val="000000"/>
          <w:rtl/>
        </w:rPr>
        <w:t xml:space="preserve"> "כעבירה לפי פקודה זו שעונשה מאסר עשרים שנה ויותר". ו</w:t>
      </w:r>
      <w:r w:rsidRPr="00A152A3">
        <w:rPr>
          <w:b/>
          <w:bCs/>
          <w:color w:val="000000"/>
          <w:rtl/>
        </w:rPr>
        <w:t>השני</w:t>
      </w:r>
      <w:r w:rsidRPr="00A152A3">
        <w:rPr>
          <w:color w:val="000000"/>
          <w:rtl/>
        </w:rPr>
        <w:t xml:space="preserve">, על המאשימה להוכיח שהנאשם הפיק רווח מהעבירה או היה אמור להפיק רווח, ולא די בהעלאת השערה הגיונית או אפשרות סבירה שכך היה (ראו </w:t>
      </w:r>
      <w:hyperlink r:id="rId40" w:history="1">
        <w:r w:rsidR="002D6C0A" w:rsidRPr="002D6C0A">
          <w:rPr>
            <w:color w:val="0000FF"/>
            <w:u w:val="single"/>
            <w:rtl/>
          </w:rPr>
          <w:t>ע"פ (מח' ת"א) 70441/04</w:t>
        </w:r>
      </w:hyperlink>
      <w:r w:rsidRPr="00A152A3">
        <w:rPr>
          <w:color w:val="000000"/>
          <w:rtl/>
        </w:rPr>
        <w:t xml:space="preserve"> </w:t>
      </w:r>
      <w:r>
        <w:rPr>
          <w:rFonts w:hint="cs"/>
          <w:b/>
          <w:bCs/>
          <w:rtl/>
        </w:rPr>
        <w:t>מ"י נ' מסלואווי</w:t>
      </w:r>
      <w:r>
        <w:rPr>
          <w:rFonts w:hint="cs"/>
          <w:rtl/>
        </w:rPr>
        <w:t xml:space="preserve"> (9.2.2006)).</w:t>
      </w:r>
      <w:r w:rsidR="002D6C0A">
        <w:rPr>
          <w:rFonts w:hint="cs"/>
          <w:rtl/>
        </w:rPr>
        <w:t xml:space="preserve"> </w:t>
      </w:r>
      <w:r>
        <w:rPr>
          <w:rFonts w:hint="cs"/>
          <w:rtl/>
        </w:rPr>
        <w:t xml:space="preserve">הנאשם הורשע על פי הודאתו בעבירה של סחר בסם ויחד עם הסמים נתפס כסף מזומן בסך של 10,840 ₪. אמנם, לא מדובר בכמות גדולה של סם, אך נתפס סכום כסף משמעותי. </w:t>
      </w:r>
    </w:p>
    <w:p w14:paraId="0DA255EA" w14:textId="77777777" w:rsidR="00A152A3" w:rsidRDefault="00A152A3" w:rsidP="00A152A3">
      <w:pPr>
        <w:spacing w:line="360" w:lineRule="auto"/>
        <w:jc w:val="both"/>
        <w:rPr>
          <w:rFonts w:ascii="David" w:hAnsi="David"/>
          <w:rtl/>
        </w:rPr>
      </w:pPr>
    </w:p>
    <w:p w14:paraId="27C697B3" w14:textId="77777777" w:rsidR="00A152A3" w:rsidRDefault="00A152A3" w:rsidP="00A152A3">
      <w:pPr>
        <w:spacing w:line="360" w:lineRule="auto"/>
        <w:jc w:val="both"/>
        <w:rPr>
          <w:rtl/>
        </w:rPr>
      </w:pPr>
      <w:r>
        <w:rPr>
          <w:b/>
          <w:bCs/>
          <w:rtl/>
        </w:rPr>
        <w:t xml:space="preserve">בנסיבות האמורות, </w:t>
      </w:r>
      <w:r>
        <w:rPr>
          <w:rFonts w:hint="cs"/>
          <w:b/>
          <w:bCs/>
          <w:rtl/>
        </w:rPr>
        <w:t>בקשת המאשימה מתקבלת ואני מכריזה על הנאשם סוחר סמים.</w:t>
      </w:r>
    </w:p>
    <w:p w14:paraId="08B66F85" w14:textId="77777777" w:rsidR="00A152A3" w:rsidRDefault="00A152A3" w:rsidP="00A152A3">
      <w:pPr>
        <w:spacing w:line="360" w:lineRule="auto"/>
        <w:jc w:val="both"/>
        <w:rPr>
          <w:rFonts w:ascii="David" w:hAnsi="David"/>
          <w:color w:val="000000"/>
          <w:shd w:val="clear" w:color="auto" w:fill="FFFFFF"/>
          <w:rtl/>
        </w:rPr>
      </w:pPr>
    </w:p>
    <w:p w14:paraId="59E0EB5A" w14:textId="77777777" w:rsidR="00A152A3" w:rsidRDefault="00A152A3" w:rsidP="00A152A3">
      <w:pPr>
        <w:spacing w:line="360" w:lineRule="auto"/>
        <w:jc w:val="both"/>
        <w:rPr>
          <w:rFonts w:ascii="David" w:hAnsi="David"/>
          <w:b/>
          <w:bCs/>
          <w:u w:val="single"/>
          <w:rtl/>
        </w:rPr>
      </w:pPr>
      <w:r>
        <w:rPr>
          <w:rFonts w:ascii="David" w:hAnsi="David"/>
          <w:b/>
          <w:bCs/>
          <w:u w:val="single"/>
          <w:rtl/>
        </w:rPr>
        <w:t>אשר על כן, אני גוזרת על הנאשם את העונשים הבאים</w:t>
      </w:r>
      <w:r>
        <w:rPr>
          <w:rFonts w:ascii="David" w:hAnsi="David"/>
          <w:rtl/>
        </w:rPr>
        <w:t>:</w:t>
      </w:r>
    </w:p>
    <w:p w14:paraId="24B1B1B7" w14:textId="77777777" w:rsidR="00A152A3" w:rsidRDefault="00A152A3" w:rsidP="00A152A3">
      <w:pPr>
        <w:spacing w:line="360" w:lineRule="auto"/>
        <w:jc w:val="both"/>
        <w:rPr>
          <w:rFonts w:ascii="David" w:hAnsi="David"/>
          <w:b/>
          <w:bCs/>
          <w:u w:val="single"/>
          <w:rtl/>
        </w:rPr>
      </w:pPr>
    </w:p>
    <w:p w14:paraId="4FFB8109" w14:textId="77777777" w:rsidR="00A152A3" w:rsidRDefault="00A152A3" w:rsidP="00A152A3">
      <w:pPr>
        <w:pStyle w:val="aa"/>
        <w:numPr>
          <w:ilvl w:val="0"/>
          <w:numId w:val="3"/>
        </w:numPr>
        <w:spacing w:line="360" w:lineRule="auto"/>
        <w:jc w:val="both"/>
        <w:rPr>
          <w:rFonts w:ascii="David" w:eastAsia="David" w:hAnsi="David" w:cs="David"/>
          <w:sz w:val="24"/>
          <w:szCs w:val="24"/>
        </w:rPr>
      </w:pPr>
      <w:r>
        <w:rPr>
          <w:rFonts w:ascii="David" w:hAnsi="David" w:cs="David" w:hint="cs"/>
          <w:b/>
          <w:bCs/>
          <w:sz w:val="24"/>
          <w:szCs w:val="24"/>
          <w:rtl/>
        </w:rPr>
        <w:t>6</w:t>
      </w:r>
      <w:r>
        <w:rPr>
          <w:rFonts w:ascii="David" w:hAnsi="David" w:cs="David"/>
          <w:b/>
          <w:bCs/>
          <w:sz w:val="24"/>
          <w:szCs w:val="24"/>
          <w:rtl/>
        </w:rPr>
        <w:t xml:space="preserve"> חודשי מאסר על תנאי לתקופה של 3 שנים</w:t>
      </w:r>
      <w:r>
        <w:rPr>
          <w:rFonts w:ascii="David" w:hAnsi="David" w:cs="David"/>
          <w:sz w:val="24"/>
          <w:szCs w:val="24"/>
          <w:rtl/>
        </w:rPr>
        <w:t xml:space="preserve"> והתנאי הוא שהנאשם לא יעבור עבירות שהינן פשע, בניגוד לפקודת הסמים.</w:t>
      </w:r>
    </w:p>
    <w:p w14:paraId="7E922203" w14:textId="77777777" w:rsidR="00A152A3" w:rsidRPr="00B52177" w:rsidRDefault="00A152A3" w:rsidP="00A152A3">
      <w:pPr>
        <w:pStyle w:val="aa"/>
        <w:numPr>
          <w:ilvl w:val="0"/>
          <w:numId w:val="3"/>
        </w:numPr>
        <w:spacing w:line="360" w:lineRule="auto"/>
        <w:jc w:val="both"/>
        <w:rPr>
          <w:rFonts w:ascii="David" w:eastAsia="David" w:hAnsi="David" w:cs="David"/>
          <w:sz w:val="24"/>
          <w:szCs w:val="24"/>
        </w:rPr>
      </w:pPr>
      <w:r>
        <w:rPr>
          <w:rFonts w:ascii="David" w:hAnsi="David" w:cs="David" w:hint="cs"/>
          <w:b/>
          <w:bCs/>
          <w:sz w:val="24"/>
          <w:szCs w:val="24"/>
          <w:rtl/>
        </w:rPr>
        <w:t xml:space="preserve">3 חודשי מאסר על תנאי לתקופה של 3 שנים </w:t>
      </w:r>
      <w:r>
        <w:rPr>
          <w:rFonts w:ascii="David" w:hAnsi="David" w:cs="David" w:hint="cs"/>
          <w:sz w:val="24"/>
          <w:szCs w:val="24"/>
          <w:rtl/>
        </w:rPr>
        <w:t xml:space="preserve">והתנאי הוא שהנאשם לא יעבור עבירות שהינן עוון, בניגוד לפקודת הסמים. </w:t>
      </w:r>
    </w:p>
    <w:p w14:paraId="472FD4EF" w14:textId="77777777" w:rsidR="00A152A3" w:rsidRPr="00154E8C" w:rsidRDefault="00A152A3" w:rsidP="00A152A3">
      <w:pPr>
        <w:pStyle w:val="aa"/>
        <w:numPr>
          <w:ilvl w:val="0"/>
          <w:numId w:val="3"/>
        </w:numPr>
        <w:spacing w:line="360" w:lineRule="auto"/>
        <w:jc w:val="both"/>
        <w:rPr>
          <w:rFonts w:ascii="David" w:eastAsia="David" w:hAnsi="David" w:cs="David"/>
          <w:sz w:val="24"/>
          <w:szCs w:val="24"/>
          <w:rtl/>
        </w:rPr>
      </w:pPr>
      <w:r w:rsidRPr="00D83A01">
        <w:rPr>
          <w:rFonts w:ascii="David" w:eastAsia="David" w:hAnsi="David" w:cs="David" w:hint="cs"/>
          <w:b/>
          <w:bCs/>
          <w:sz w:val="24"/>
          <w:szCs w:val="24"/>
          <w:rtl/>
        </w:rPr>
        <w:t>4 חודשי</w:t>
      </w:r>
      <w:r w:rsidRPr="00D83A01">
        <w:rPr>
          <w:rFonts w:ascii="David" w:eastAsia="David" w:hAnsi="David" w:cs="David"/>
          <w:b/>
          <w:bCs/>
          <w:sz w:val="24"/>
          <w:szCs w:val="24"/>
          <w:rtl/>
        </w:rPr>
        <w:t xml:space="preserve"> פסילת רישיון וזאת על תנאי לש</w:t>
      </w:r>
      <w:r w:rsidRPr="00D83A01">
        <w:rPr>
          <w:rFonts w:ascii="David" w:eastAsia="David" w:hAnsi="David" w:cs="David" w:hint="cs"/>
          <w:b/>
          <w:bCs/>
          <w:sz w:val="24"/>
          <w:szCs w:val="24"/>
          <w:rtl/>
        </w:rPr>
        <w:t>לוש שנים</w:t>
      </w:r>
      <w:r>
        <w:rPr>
          <w:rFonts w:ascii="David" w:eastAsia="David" w:hAnsi="David" w:cs="David" w:hint="cs"/>
          <w:sz w:val="24"/>
          <w:szCs w:val="24"/>
          <w:rtl/>
        </w:rPr>
        <w:t>.</w:t>
      </w:r>
    </w:p>
    <w:p w14:paraId="1108BACE" w14:textId="77777777" w:rsidR="00A152A3" w:rsidRDefault="00A152A3" w:rsidP="00A152A3">
      <w:pPr>
        <w:pStyle w:val="aa"/>
        <w:numPr>
          <w:ilvl w:val="0"/>
          <w:numId w:val="3"/>
        </w:numPr>
        <w:spacing w:line="360" w:lineRule="auto"/>
        <w:jc w:val="both"/>
        <w:rPr>
          <w:rFonts w:ascii="David" w:eastAsia="David" w:hAnsi="David" w:cs="David"/>
          <w:sz w:val="24"/>
          <w:szCs w:val="24"/>
        </w:rPr>
      </w:pPr>
      <w:r w:rsidRPr="00196307">
        <w:rPr>
          <w:rFonts w:ascii="David" w:eastAsia="David" w:hAnsi="David" w:cs="David" w:hint="cs"/>
          <w:b/>
          <w:bCs/>
          <w:sz w:val="24"/>
          <w:szCs w:val="24"/>
          <w:rtl/>
        </w:rPr>
        <w:t>צו שעות לתועלת הציבור בהיקף של 300 שעות</w:t>
      </w:r>
      <w:r>
        <w:rPr>
          <w:rFonts w:ascii="David" w:eastAsia="David" w:hAnsi="David" w:cs="David" w:hint="cs"/>
          <w:sz w:val="24"/>
          <w:szCs w:val="24"/>
          <w:rtl/>
        </w:rPr>
        <w:t xml:space="preserve"> בהתאם לתכנית שהוגשה על ידי שירות המבחן </w:t>
      </w:r>
      <w:r>
        <w:rPr>
          <w:rFonts w:ascii="David" w:eastAsia="David" w:hAnsi="David" w:cs="David"/>
          <w:sz w:val="24"/>
          <w:szCs w:val="24"/>
          <w:rtl/>
        </w:rPr>
        <w:t>–</w:t>
      </w:r>
      <w:r>
        <w:rPr>
          <w:rFonts w:ascii="David" w:eastAsia="David" w:hAnsi="David" w:cs="David" w:hint="cs"/>
          <w:sz w:val="24"/>
          <w:szCs w:val="24"/>
          <w:rtl/>
        </w:rPr>
        <w:t xml:space="preserve"> במסגרת מט"ב מרכז יום לקשיש בשכונת כפר שלם בתל אביב, בתפקידי סיוע לצוות וביצוע עבודות אחזקה.</w:t>
      </w:r>
    </w:p>
    <w:p w14:paraId="16F32C7B" w14:textId="77777777" w:rsidR="00A152A3" w:rsidRPr="00196307" w:rsidRDefault="00A152A3" w:rsidP="00A152A3">
      <w:pPr>
        <w:pStyle w:val="aa"/>
        <w:rPr>
          <w:rFonts w:ascii="David" w:eastAsia="David" w:hAnsi="David" w:cs="David"/>
          <w:b/>
          <w:bCs/>
          <w:sz w:val="24"/>
          <w:szCs w:val="24"/>
          <w:rtl/>
        </w:rPr>
      </w:pPr>
    </w:p>
    <w:p w14:paraId="09FE34A4" w14:textId="77777777" w:rsidR="00A152A3" w:rsidRDefault="00A152A3" w:rsidP="00A152A3">
      <w:pPr>
        <w:pStyle w:val="aa"/>
        <w:numPr>
          <w:ilvl w:val="0"/>
          <w:numId w:val="3"/>
        </w:numPr>
        <w:spacing w:line="360" w:lineRule="auto"/>
        <w:jc w:val="both"/>
        <w:rPr>
          <w:rFonts w:ascii="David" w:eastAsia="David" w:hAnsi="David" w:cs="David"/>
          <w:sz w:val="24"/>
          <w:szCs w:val="24"/>
        </w:rPr>
      </w:pPr>
      <w:r w:rsidRPr="00196307">
        <w:rPr>
          <w:rFonts w:ascii="David" w:eastAsia="David" w:hAnsi="David" w:cs="David" w:hint="cs"/>
          <w:b/>
          <w:bCs/>
          <w:sz w:val="24"/>
          <w:szCs w:val="24"/>
          <w:rtl/>
        </w:rPr>
        <w:t xml:space="preserve">צו מבחן למשך </w:t>
      </w:r>
      <w:r>
        <w:rPr>
          <w:rFonts w:ascii="David" w:eastAsia="David" w:hAnsi="David" w:cs="David" w:hint="cs"/>
          <w:b/>
          <w:bCs/>
          <w:sz w:val="24"/>
          <w:szCs w:val="24"/>
          <w:rtl/>
        </w:rPr>
        <w:t>18 חודשים</w:t>
      </w:r>
      <w:r w:rsidRPr="00196307">
        <w:rPr>
          <w:rFonts w:ascii="David" w:eastAsia="David" w:hAnsi="David" w:cs="David" w:hint="cs"/>
          <w:b/>
          <w:bCs/>
          <w:sz w:val="24"/>
          <w:szCs w:val="24"/>
          <w:rtl/>
        </w:rPr>
        <w:t>.</w:t>
      </w:r>
      <w:r>
        <w:rPr>
          <w:rFonts w:ascii="David" w:eastAsia="David" w:hAnsi="David" w:cs="David" w:hint="cs"/>
          <w:sz w:val="24"/>
          <w:szCs w:val="24"/>
          <w:rtl/>
        </w:rPr>
        <w:t xml:space="preserve"> הובהר לנאשם כי אם יפר את הצו ניתן יהיה לגזור עליו עונש שונה או נוסף.</w:t>
      </w:r>
    </w:p>
    <w:p w14:paraId="783635C4" w14:textId="77777777" w:rsidR="00A152A3" w:rsidRDefault="00A152A3" w:rsidP="00A152A3">
      <w:pPr>
        <w:pStyle w:val="aa"/>
        <w:rPr>
          <w:rtl/>
        </w:rPr>
      </w:pPr>
    </w:p>
    <w:p w14:paraId="52B99743" w14:textId="77777777" w:rsidR="00A152A3" w:rsidRPr="00EC310F" w:rsidRDefault="00A152A3" w:rsidP="00A152A3">
      <w:pPr>
        <w:pStyle w:val="aa"/>
        <w:numPr>
          <w:ilvl w:val="0"/>
          <w:numId w:val="3"/>
        </w:numPr>
        <w:spacing w:line="360" w:lineRule="auto"/>
        <w:jc w:val="both"/>
        <w:rPr>
          <w:rFonts w:ascii="David" w:eastAsia="David" w:hAnsi="David" w:cs="David"/>
          <w:sz w:val="28"/>
          <w:szCs w:val="28"/>
        </w:rPr>
      </w:pPr>
      <w:r w:rsidRPr="00EC310F">
        <w:rPr>
          <w:rFonts w:ascii="David" w:hAnsi="David" w:cs="David"/>
          <w:sz w:val="24"/>
          <w:szCs w:val="24"/>
          <w:rtl/>
        </w:rPr>
        <w:t>בית</w:t>
      </w:r>
      <w:r w:rsidRPr="00EC310F">
        <w:rPr>
          <w:rFonts w:ascii="David" w:hAnsi="David" w:cs="David"/>
          <w:sz w:val="24"/>
          <w:szCs w:val="24"/>
        </w:rPr>
        <w:t xml:space="preserve"> </w:t>
      </w:r>
      <w:r w:rsidRPr="00EC310F">
        <w:rPr>
          <w:rFonts w:ascii="David" w:hAnsi="David" w:cs="David"/>
          <w:sz w:val="24"/>
          <w:szCs w:val="24"/>
          <w:rtl/>
        </w:rPr>
        <w:t>המשפט מסביר לנאשם ומזהיר את הנאשם, שאם</w:t>
      </w:r>
      <w:r w:rsidRPr="00EC310F">
        <w:rPr>
          <w:rFonts w:ascii="David" w:hAnsi="David" w:cs="David"/>
          <w:sz w:val="24"/>
          <w:szCs w:val="24"/>
        </w:rPr>
        <w:t xml:space="preserve"> </w:t>
      </w:r>
      <w:r w:rsidRPr="00EC310F">
        <w:rPr>
          <w:rFonts w:ascii="David" w:hAnsi="David" w:cs="David"/>
          <w:sz w:val="24"/>
          <w:szCs w:val="24"/>
          <w:rtl/>
        </w:rPr>
        <w:t>לא</w:t>
      </w:r>
      <w:r w:rsidRPr="00EC310F">
        <w:rPr>
          <w:rFonts w:ascii="David" w:hAnsi="David" w:cs="David"/>
          <w:sz w:val="24"/>
          <w:szCs w:val="24"/>
        </w:rPr>
        <w:t xml:space="preserve"> </w:t>
      </w:r>
      <w:r w:rsidRPr="00EC310F">
        <w:rPr>
          <w:rFonts w:ascii="David" w:hAnsi="David" w:cs="David"/>
          <w:sz w:val="24"/>
          <w:szCs w:val="24"/>
          <w:rtl/>
        </w:rPr>
        <w:t>ימלא</w:t>
      </w:r>
      <w:r w:rsidRPr="00EC310F">
        <w:rPr>
          <w:rFonts w:ascii="David" w:hAnsi="David" w:cs="David"/>
          <w:sz w:val="24"/>
          <w:szCs w:val="24"/>
        </w:rPr>
        <w:t xml:space="preserve"> </w:t>
      </w:r>
      <w:r w:rsidRPr="00EC310F">
        <w:rPr>
          <w:rFonts w:ascii="David" w:hAnsi="David" w:cs="David"/>
          <w:sz w:val="24"/>
          <w:szCs w:val="24"/>
          <w:rtl/>
        </w:rPr>
        <w:t>אחרי צו</w:t>
      </w:r>
      <w:r w:rsidRPr="00EC310F">
        <w:rPr>
          <w:rFonts w:ascii="David" w:hAnsi="David" w:cs="David"/>
          <w:sz w:val="24"/>
          <w:szCs w:val="24"/>
        </w:rPr>
        <w:t xml:space="preserve"> </w:t>
      </w:r>
      <w:r w:rsidRPr="00EC310F">
        <w:rPr>
          <w:rFonts w:ascii="David" w:hAnsi="David" w:cs="David"/>
          <w:sz w:val="24"/>
          <w:szCs w:val="24"/>
          <w:rtl/>
        </w:rPr>
        <w:t>השל"צ</w:t>
      </w:r>
      <w:r w:rsidRPr="00EC310F">
        <w:rPr>
          <w:rFonts w:ascii="David" w:hAnsi="David" w:cs="David"/>
          <w:sz w:val="24"/>
          <w:szCs w:val="24"/>
        </w:rPr>
        <w:t xml:space="preserve"> </w:t>
      </w:r>
      <w:r>
        <w:rPr>
          <w:rFonts w:ascii="David" w:hAnsi="David" w:cs="David" w:hint="cs"/>
          <w:sz w:val="24"/>
          <w:szCs w:val="24"/>
          <w:rtl/>
        </w:rPr>
        <w:t xml:space="preserve">וצו המבחן </w:t>
      </w:r>
      <w:r w:rsidRPr="00EC310F">
        <w:rPr>
          <w:rFonts w:ascii="David" w:hAnsi="David" w:cs="David"/>
          <w:sz w:val="24"/>
          <w:szCs w:val="24"/>
          <w:rtl/>
        </w:rPr>
        <w:t>מכל</w:t>
      </w:r>
      <w:r w:rsidRPr="00EC310F">
        <w:rPr>
          <w:rFonts w:ascii="David" w:hAnsi="David" w:cs="David"/>
          <w:sz w:val="24"/>
          <w:szCs w:val="24"/>
        </w:rPr>
        <w:t xml:space="preserve"> </w:t>
      </w:r>
      <w:r w:rsidRPr="00EC310F">
        <w:rPr>
          <w:rFonts w:ascii="David" w:hAnsi="David" w:cs="David"/>
          <w:sz w:val="24"/>
          <w:szCs w:val="24"/>
          <w:rtl/>
        </w:rPr>
        <w:t>בחינה</w:t>
      </w:r>
      <w:r w:rsidRPr="00EC310F">
        <w:rPr>
          <w:rFonts w:ascii="David" w:hAnsi="David" w:cs="David"/>
          <w:sz w:val="24"/>
          <w:szCs w:val="24"/>
        </w:rPr>
        <w:t xml:space="preserve"> </w:t>
      </w:r>
      <w:r w:rsidRPr="00EC310F">
        <w:rPr>
          <w:rFonts w:ascii="David" w:hAnsi="David" w:cs="David"/>
          <w:sz w:val="24"/>
          <w:szCs w:val="24"/>
          <w:rtl/>
        </w:rPr>
        <w:t>שהיא</w:t>
      </w:r>
      <w:r w:rsidRPr="00EC310F">
        <w:rPr>
          <w:rFonts w:ascii="David" w:hAnsi="David" w:cs="David"/>
          <w:sz w:val="24"/>
          <w:szCs w:val="24"/>
        </w:rPr>
        <w:t xml:space="preserve"> </w:t>
      </w:r>
      <w:r w:rsidRPr="00EC310F">
        <w:rPr>
          <w:rFonts w:ascii="David" w:hAnsi="David" w:cs="David"/>
          <w:sz w:val="24"/>
          <w:szCs w:val="24"/>
          <w:rtl/>
        </w:rPr>
        <w:t>או</w:t>
      </w:r>
      <w:r w:rsidRPr="00EC310F">
        <w:rPr>
          <w:rFonts w:ascii="David" w:hAnsi="David" w:cs="David"/>
          <w:sz w:val="24"/>
          <w:szCs w:val="24"/>
        </w:rPr>
        <w:t xml:space="preserve"> </w:t>
      </w:r>
      <w:r w:rsidRPr="00EC310F">
        <w:rPr>
          <w:rFonts w:ascii="David" w:hAnsi="David" w:cs="David"/>
          <w:sz w:val="24"/>
          <w:szCs w:val="24"/>
          <w:rtl/>
        </w:rPr>
        <w:t>יעבור</w:t>
      </w:r>
      <w:r w:rsidRPr="00EC310F">
        <w:rPr>
          <w:rFonts w:ascii="David" w:hAnsi="David" w:cs="David"/>
          <w:sz w:val="24"/>
          <w:szCs w:val="24"/>
        </w:rPr>
        <w:t xml:space="preserve"> </w:t>
      </w:r>
      <w:r w:rsidRPr="00EC310F">
        <w:rPr>
          <w:rFonts w:ascii="David" w:hAnsi="David" w:cs="David"/>
          <w:sz w:val="24"/>
          <w:szCs w:val="24"/>
          <w:rtl/>
        </w:rPr>
        <w:t>עבירה</w:t>
      </w:r>
      <w:r w:rsidRPr="00EC310F">
        <w:rPr>
          <w:rFonts w:ascii="David" w:hAnsi="David" w:cs="David"/>
          <w:sz w:val="24"/>
          <w:szCs w:val="24"/>
        </w:rPr>
        <w:t xml:space="preserve"> </w:t>
      </w:r>
      <w:r w:rsidRPr="00EC310F">
        <w:rPr>
          <w:rFonts w:ascii="David" w:hAnsi="David" w:cs="David"/>
          <w:sz w:val="24"/>
          <w:szCs w:val="24"/>
          <w:rtl/>
        </w:rPr>
        <w:t>נוספת, בית המשפט יהיה רשאי לבטל את צו השל"צ</w:t>
      </w:r>
      <w:r>
        <w:rPr>
          <w:rFonts w:ascii="David" w:hAnsi="David" w:cs="David" w:hint="cs"/>
          <w:sz w:val="24"/>
          <w:szCs w:val="24"/>
          <w:rtl/>
        </w:rPr>
        <w:t xml:space="preserve"> או צו המבחן</w:t>
      </w:r>
      <w:r w:rsidRPr="00EC310F">
        <w:rPr>
          <w:rFonts w:ascii="David" w:hAnsi="David" w:cs="David"/>
          <w:sz w:val="24"/>
          <w:szCs w:val="24"/>
          <w:rtl/>
        </w:rPr>
        <w:t xml:space="preserve"> ולשפוט אותו מחדש, לרבות הטלת עונש נוסף על</w:t>
      </w:r>
      <w:r w:rsidRPr="00EC310F">
        <w:rPr>
          <w:rFonts w:ascii="David" w:hAnsi="David" w:cs="David"/>
          <w:sz w:val="24"/>
          <w:szCs w:val="24"/>
        </w:rPr>
        <w:t xml:space="preserve"> </w:t>
      </w:r>
      <w:r w:rsidRPr="00EC310F">
        <w:rPr>
          <w:rFonts w:ascii="David" w:hAnsi="David" w:cs="David"/>
          <w:sz w:val="24"/>
          <w:szCs w:val="24"/>
          <w:rtl/>
        </w:rPr>
        <w:t>העבירה</w:t>
      </w:r>
      <w:r w:rsidRPr="00EC310F">
        <w:rPr>
          <w:rFonts w:ascii="David" w:hAnsi="David" w:cs="David"/>
          <w:sz w:val="24"/>
          <w:szCs w:val="24"/>
        </w:rPr>
        <w:t xml:space="preserve"> </w:t>
      </w:r>
      <w:r w:rsidRPr="00EC310F">
        <w:rPr>
          <w:rFonts w:ascii="David" w:hAnsi="David" w:cs="David"/>
          <w:sz w:val="24"/>
          <w:szCs w:val="24"/>
          <w:rtl/>
        </w:rPr>
        <w:t>שבגינה ניתן</w:t>
      </w:r>
      <w:r w:rsidRPr="00EC310F">
        <w:rPr>
          <w:rFonts w:ascii="David" w:hAnsi="David" w:cs="David"/>
          <w:sz w:val="24"/>
          <w:szCs w:val="24"/>
        </w:rPr>
        <w:t xml:space="preserve"> </w:t>
      </w:r>
      <w:r w:rsidRPr="00EC310F">
        <w:rPr>
          <w:rFonts w:ascii="David" w:hAnsi="David" w:cs="David"/>
          <w:sz w:val="24"/>
          <w:szCs w:val="24"/>
          <w:rtl/>
        </w:rPr>
        <w:t>הצו</w:t>
      </w:r>
      <w:r>
        <w:rPr>
          <w:rFonts w:ascii="David" w:hAnsi="David" w:cs="David" w:hint="cs"/>
          <w:sz w:val="24"/>
          <w:szCs w:val="24"/>
          <w:rtl/>
        </w:rPr>
        <w:t>וים</w:t>
      </w:r>
      <w:r w:rsidRPr="00EC310F">
        <w:rPr>
          <w:rFonts w:ascii="David" w:hAnsi="David" w:cs="David"/>
          <w:sz w:val="24"/>
          <w:szCs w:val="24"/>
          <w:rtl/>
        </w:rPr>
        <w:t>. הנאשם הביע</w:t>
      </w:r>
      <w:r w:rsidRPr="00EC310F">
        <w:rPr>
          <w:rFonts w:ascii="David" w:hAnsi="David" w:cs="David"/>
          <w:sz w:val="24"/>
          <w:szCs w:val="24"/>
        </w:rPr>
        <w:t xml:space="preserve"> </w:t>
      </w:r>
      <w:r w:rsidRPr="00EC310F">
        <w:rPr>
          <w:rFonts w:ascii="David" w:hAnsi="David" w:cs="David"/>
          <w:sz w:val="24"/>
          <w:szCs w:val="24"/>
          <w:rtl/>
        </w:rPr>
        <w:t>את</w:t>
      </w:r>
      <w:r w:rsidRPr="00EC310F">
        <w:rPr>
          <w:rFonts w:ascii="David" w:hAnsi="David" w:cs="David"/>
          <w:sz w:val="24"/>
          <w:szCs w:val="24"/>
        </w:rPr>
        <w:t xml:space="preserve"> </w:t>
      </w:r>
      <w:r w:rsidRPr="00EC310F">
        <w:rPr>
          <w:rFonts w:ascii="David" w:hAnsi="David" w:cs="David"/>
          <w:sz w:val="24"/>
          <w:szCs w:val="24"/>
          <w:rtl/>
        </w:rPr>
        <w:t>נכונותו</w:t>
      </w:r>
      <w:r w:rsidRPr="00EC310F">
        <w:rPr>
          <w:rFonts w:ascii="David" w:hAnsi="David" w:cs="David"/>
          <w:sz w:val="24"/>
          <w:szCs w:val="24"/>
        </w:rPr>
        <w:t xml:space="preserve"> </w:t>
      </w:r>
      <w:r w:rsidRPr="00EC310F">
        <w:rPr>
          <w:rFonts w:ascii="David" w:hAnsi="David" w:cs="David"/>
          <w:sz w:val="24"/>
          <w:szCs w:val="24"/>
          <w:rtl/>
        </w:rPr>
        <w:t>למלא</w:t>
      </w:r>
      <w:r w:rsidRPr="00EC310F">
        <w:rPr>
          <w:rFonts w:ascii="David" w:hAnsi="David" w:cs="David"/>
          <w:sz w:val="24"/>
          <w:szCs w:val="24"/>
        </w:rPr>
        <w:t xml:space="preserve"> </w:t>
      </w:r>
      <w:r w:rsidRPr="00EC310F">
        <w:rPr>
          <w:rFonts w:ascii="David" w:hAnsi="David" w:cs="David"/>
          <w:sz w:val="24"/>
          <w:szCs w:val="24"/>
          <w:rtl/>
        </w:rPr>
        <w:t>אחר</w:t>
      </w:r>
      <w:r w:rsidRPr="00EC310F">
        <w:rPr>
          <w:rFonts w:ascii="David" w:hAnsi="David" w:cs="David"/>
          <w:sz w:val="24"/>
          <w:szCs w:val="24"/>
        </w:rPr>
        <w:t xml:space="preserve"> </w:t>
      </w:r>
      <w:r w:rsidRPr="00EC310F">
        <w:rPr>
          <w:rFonts w:ascii="David" w:hAnsi="David" w:cs="David"/>
          <w:sz w:val="24"/>
          <w:szCs w:val="24"/>
          <w:rtl/>
        </w:rPr>
        <w:t>הוראות</w:t>
      </w:r>
      <w:r w:rsidRPr="00EC310F">
        <w:rPr>
          <w:rFonts w:ascii="David" w:hAnsi="David" w:cs="David"/>
          <w:sz w:val="24"/>
          <w:szCs w:val="24"/>
        </w:rPr>
        <w:t xml:space="preserve"> </w:t>
      </w:r>
      <w:r w:rsidRPr="00EC310F">
        <w:rPr>
          <w:rFonts w:ascii="David" w:hAnsi="David" w:cs="David"/>
          <w:sz w:val="24"/>
          <w:szCs w:val="24"/>
          <w:rtl/>
        </w:rPr>
        <w:t>הצו</w:t>
      </w:r>
      <w:r>
        <w:rPr>
          <w:rFonts w:ascii="David" w:hAnsi="David" w:cs="David" w:hint="cs"/>
          <w:sz w:val="24"/>
          <w:szCs w:val="24"/>
          <w:rtl/>
        </w:rPr>
        <w:t>וים</w:t>
      </w:r>
      <w:r w:rsidRPr="00EC310F">
        <w:rPr>
          <w:rFonts w:ascii="David" w:hAnsi="David" w:cs="David"/>
          <w:sz w:val="24"/>
          <w:szCs w:val="24"/>
          <w:rtl/>
        </w:rPr>
        <w:t>.</w:t>
      </w:r>
    </w:p>
    <w:p w14:paraId="34ECD74F" w14:textId="77777777" w:rsidR="00A152A3" w:rsidRPr="00EC310F" w:rsidRDefault="00A152A3" w:rsidP="00A152A3">
      <w:pPr>
        <w:pStyle w:val="aa"/>
        <w:rPr>
          <w:rFonts w:ascii="David" w:hAnsi="David" w:cs="David"/>
          <w:sz w:val="24"/>
          <w:szCs w:val="24"/>
          <w:rtl/>
        </w:rPr>
      </w:pPr>
    </w:p>
    <w:p w14:paraId="7D0CAFBD" w14:textId="77777777" w:rsidR="00A152A3" w:rsidRDefault="00A152A3" w:rsidP="00A152A3">
      <w:pPr>
        <w:pStyle w:val="aa"/>
        <w:spacing w:line="360" w:lineRule="auto"/>
        <w:ind w:left="360"/>
        <w:jc w:val="both"/>
        <w:rPr>
          <w:sz w:val="24"/>
          <w:szCs w:val="24"/>
          <w:rtl/>
          <w:lang w:eastAsia="he-IL"/>
        </w:rPr>
      </w:pPr>
      <w:r w:rsidRPr="00EC310F">
        <w:rPr>
          <w:rFonts w:ascii="David" w:hAnsi="David" w:cs="David"/>
          <w:sz w:val="24"/>
          <w:szCs w:val="24"/>
          <w:rtl/>
        </w:rPr>
        <w:t>מתוקף סמכותי לפי 71א(ד) ל</w:t>
      </w:r>
      <w:hyperlink r:id="rId41" w:history="1">
        <w:r w:rsidR="002D6C0A" w:rsidRPr="002D6C0A">
          <w:rPr>
            <w:rFonts w:ascii="David" w:hAnsi="David" w:cs="David"/>
            <w:color w:val="0000FF"/>
            <w:sz w:val="24"/>
            <w:szCs w:val="24"/>
            <w:u w:val="single"/>
            <w:rtl/>
          </w:rPr>
          <w:t>חוק העונשין</w:t>
        </w:r>
      </w:hyperlink>
      <w:r w:rsidRPr="00EC310F">
        <w:rPr>
          <w:rFonts w:ascii="David" w:hAnsi="David" w:cs="David"/>
          <w:sz w:val="24"/>
          <w:szCs w:val="24"/>
          <w:rtl/>
        </w:rPr>
        <w:t xml:space="preserve"> התשל"ז</w:t>
      </w:r>
      <w:r w:rsidRPr="00EC310F">
        <w:rPr>
          <w:rFonts w:ascii="David" w:hAnsi="David" w:cs="David"/>
          <w:position w:val="4"/>
          <w:sz w:val="24"/>
          <w:szCs w:val="24"/>
          <w:rtl/>
        </w:rPr>
        <w:t>-</w:t>
      </w:r>
      <w:r w:rsidRPr="00EC310F">
        <w:rPr>
          <w:rFonts w:ascii="David" w:hAnsi="David" w:cs="David"/>
          <w:sz w:val="24"/>
          <w:szCs w:val="24"/>
          <w:rtl/>
        </w:rPr>
        <w:t>1977 אני מורה לנאשם לבצע בדיקות שתן לצורך איתור שרידי סם בתקופה בה יהיה בפיקוח שירות המבחן בצו השל"צ</w:t>
      </w:r>
      <w:r>
        <w:rPr>
          <w:rFonts w:ascii="David" w:hAnsi="David" w:cs="David" w:hint="cs"/>
          <w:sz w:val="24"/>
          <w:szCs w:val="24"/>
          <w:rtl/>
        </w:rPr>
        <w:t xml:space="preserve"> וצו המבחן</w:t>
      </w:r>
      <w:r w:rsidRPr="00EC310F">
        <w:rPr>
          <w:rFonts w:ascii="David" w:hAnsi="David" w:cs="David"/>
          <w:sz w:val="24"/>
          <w:szCs w:val="24"/>
          <w:rtl/>
        </w:rPr>
        <w:t>. מועדי הבדיקה יהיו על פי הזמנת שירות המבחן ולפי שיקול דעתו. מובהר לנאשם כי מילוי ההוראה או שימצאו שרידי סם בבדיקת שתן, יהיה רשאי שירות המבחן לפנות לבית המשפט לצורך הפקעת צו השל"צ</w:t>
      </w:r>
      <w:r>
        <w:rPr>
          <w:rFonts w:ascii="David" w:hAnsi="David" w:cs="David" w:hint="cs"/>
          <w:sz w:val="24"/>
          <w:szCs w:val="24"/>
          <w:rtl/>
        </w:rPr>
        <w:t xml:space="preserve"> וצו המבחן</w:t>
      </w:r>
      <w:r w:rsidRPr="00EC310F">
        <w:rPr>
          <w:rFonts w:ascii="David" w:hAnsi="David" w:cs="David"/>
          <w:sz w:val="24"/>
          <w:szCs w:val="24"/>
          <w:rtl/>
        </w:rPr>
        <w:t>. דין אי מילוי הוראה זו כדין הפרת צו השל"צ</w:t>
      </w:r>
      <w:r>
        <w:rPr>
          <w:rFonts w:ascii="David" w:hAnsi="David" w:cs="David" w:hint="cs"/>
          <w:sz w:val="24"/>
          <w:szCs w:val="24"/>
          <w:rtl/>
        </w:rPr>
        <w:t xml:space="preserve"> וצו המבחן</w:t>
      </w:r>
      <w:r w:rsidRPr="00EC310F">
        <w:rPr>
          <w:rFonts w:ascii="David" w:hAnsi="David" w:cs="David"/>
          <w:sz w:val="24"/>
          <w:szCs w:val="24"/>
          <w:rtl/>
        </w:rPr>
        <w:t>. בית המשפט יהיה רשאי לבטל את צו השל"צ</w:t>
      </w:r>
      <w:r>
        <w:rPr>
          <w:rFonts w:ascii="David" w:hAnsi="David" w:cs="David" w:hint="cs"/>
          <w:sz w:val="24"/>
          <w:szCs w:val="24"/>
          <w:rtl/>
        </w:rPr>
        <w:t xml:space="preserve"> וצו המבחן</w:t>
      </w:r>
      <w:r w:rsidRPr="00EC310F">
        <w:rPr>
          <w:rFonts w:ascii="David" w:hAnsi="David" w:cs="David"/>
          <w:sz w:val="24"/>
          <w:szCs w:val="24"/>
          <w:rtl/>
        </w:rPr>
        <w:t xml:space="preserve"> ולשפוט אותו מחדש, לרבות הטלת עונש נוסף על</w:t>
      </w:r>
      <w:r w:rsidRPr="00EC310F">
        <w:rPr>
          <w:rFonts w:ascii="David" w:hAnsi="David" w:cs="David"/>
          <w:sz w:val="24"/>
          <w:szCs w:val="24"/>
        </w:rPr>
        <w:t xml:space="preserve"> </w:t>
      </w:r>
      <w:r w:rsidRPr="00EC310F">
        <w:rPr>
          <w:rFonts w:ascii="David" w:hAnsi="David" w:cs="David"/>
          <w:sz w:val="24"/>
          <w:szCs w:val="24"/>
          <w:rtl/>
        </w:rPr>
        <w:t>העבירה</w:t>
      </w:r>
      <w:r w:rsidRPr="00EC310F">
        <w:rPr>
          <w:rFonts w:ascii="David" w:hAnsi="David" w:cs="David"/>
          <w:sz w:val="24"/>
          <w:szCs w:val="24"/>
        </w:rPr>
        <w:t xml:space="preserve"> </w:t>
      </w:r>
      <w:r w:rsidRPr="00EC310F">
        <w:rPr>
          <w:rFonts w:ascii="David" w:hAnsi="David" w:cs="David"/>
          <w:sz w:val="24"/>
          <w:szCs w:val="24"/>
          <w:rtl/>
        </w:rPr>
        <w:t>שבגינה ניתן</w:t>
      </w:r>
      <w:r w:rsidRPr="00EC310F">
        <w:rPr>
          <w:rFonts w:ascii="David" w:hAnsi="David" w:cs="David"/>
          <w:sz w:val="24"/>
          <w:szCs w:val="24"/>
        </w:rPr>
        <w:t xml:space="preserve"> </w:t>
      </w:r>
      <w:r w:rsidRPr="00EC310F">
        <w:rPr>
          <w:rFonts w:ascii="David" w:hAnsi="David" w:cs="David"/>
          <w:sz w:val="24"/>
          <w:szCs w:val="24"/>
          <w:rtl/>
        </w:rPr>
        <w:t>הצו.</w:t>
      </w:r>
    </w:p>
    <w:p w14:paraId="6ABECEC8" w14:textId="77777777" w:rsidR="00A152A3" w:rsidRDefault="00A152A3" w:rsidP="00A152A3">
      <w:pPr>
        <w:spacing w:line="360" w:lineRule="auto"/>
        <w:jc w:val="both"/>
        <w:rPr>
          <w:rFonts w:ascii="David" w:eastAsia="David" w:hAnsi="David"/>
          <w:rtl/>
        </w:rPr>
      </w:pPr>
    </w:p>
    <w:p w14:paraId="350FC8DE" w14:textId="77777777" w:rsidR="00A152A3" w:rsidRPr="0065433F" w:rsidRDefault="00A152A3" w:rsidP="00A152A3">
      <w:pPr>
        <w:pStyle w:val="aa"/>
        <w:numPr>
          <w:ilvl w:val="0"/>
          <w:numId w:val="3"/>
        </w:numPr>
        <w:spacing w:line="360" w:lineRule="auto"/>
        <w:jc w:val="both"/>
        <w:rPr>
          <w:rFonts w:ascii="David" w:eastAsia="David" w:hAnsi="David" w:cs="David"/>
          <w:sz w:val="24"/>
          <w:szCs w:val="24"/>
        </w:rPr>
      </w:pPr>
      <w:r w:rsidRPr="004300E2">
        <w:rPr>
          <w:rFonts w:ascii="David" w:eastAsia="David" w:hAnsi="David" w:cs="David"/>
          <w:b/>
          <w:bCs/>
          <w:sz w:val="24"/>
          <w:szCs w:val="24"/>
          <w:rtl/>
        </w:rPr>
        <w:t>מורה על חילוט</w:t>
      </w:r>
      <w:r>
        <w:rPr>
          <w:rFonts w:ascii="David" w:eastAsia="David" w:hAnsi="David" w:cs="David"/>
          <w:sz w:val="24"/>
          <w:szCs w:val="24"/>
          <w:rtl/>
        </w:rPr>
        <w:t xml:space="preserve"> </w:t>
      </w:r>
      <w:r w:rsidRPr="004300E2">
        <w:rPr>
          <w:rFonts w:ascii="David" w:eastAsia="David" w:hAnsi="David" w:cs="David" w:hint="cs"/>
          <w:b/>
          <w:bCs/>
          <w:sz w:val="24"/>
          <w:szCs w:val="24"/>
          <w:rtl/>
        </w:rPr>
        <w:t>בהסכמת הצדדים</w:t>
      </w:r>
      <w:r>
        <w:rPr>
          <w:rFonts w:ascii="David" w:eastAsia="David" w:hAnsi="David" w:cs="David" w:hint="cs"/>
          <w:sz w:val="24"/>
          <w:szCs w:val="24"/>
          <w:rtl/>
        </w:rPr>
        <w:t xml:space="preserve"> </w:t>
      </w:r>
      <w:r>
        <w:rPr>
          <w:rFonts w:ascii="David" w:eastAsia="David" w:hAnsi="David" w:cs="David" w:hint="cs"/>
          <w:b/>
          <w:bCs/>
          <w:sz w:val="24"/>
          <w:szCs w:val="24"/>
          <w:rtl/>
        </w:rPr>
        <w:t xml:space="preserve">של הסכומים </w:t>
      </w:r>
      <w:r w:rsidRPr="0065433F">
        <w:rPr>
          <w:rFonts w:ascii="David" w:eastAsia="David" w:hAnsi="David" w:cs="David" w:hint="cs"/>
          <w:sz w:val="24"/>
          <w:szCs w:val="24"/>
          <w:rtl/>
        </w:rPr>
        <w:t>10,840 ₪ במזומן</w:t>
      </w:r>
      <w:r>
        <w:rPr>
          <w:rFonts w:ascii="David" w:eastAsia="David" w:hAnsi="David" w:cs="David"/>
          <w:sz w:val="24"/>
          <w:szCs w:val="24"/>
          <w:rtl/>
        </w:rPr>
        <w:t xml:space="preserve"> </w:t>
      </w:r>
      <w:r>
        <w:rPr>
          <w:rFonts w:ascii="David" w:eastAsia="David" w:hAnsi="David" w:cs="David" w:hint="cs"/>
          <w:sz w:val="24"/>
          <w:szCs w:val="24"/>
          <w:rtl/>
        </w:rPr>
        <w:t>שנתפסו</w:t>
      </w:r>
      <w:r>
        <w:rPr>
          <w:rFonts w:ascii="David" w:eastAsia="David" w:hAnsi="David" w:cs="David"/>
          <w:sz w:val="24"/>
          <w:szCs w:val="24"/>
          <w:rtl/>
        </w:rPr>
        <w:t xml:space="preserve"> מהנאשם</w:t>
      </w:r>
      <w:r>
        <w:rPr>
          <w:rFonts w:ascii="David" w:eastAsia="David" w:hAnsi="David" w:cs="David" w:hint="cs"/>
          <w:sz w:val="24"/>
          <w:szCs w:val="24"/>
          <w:rtl/>
        </w:rPr>
        <w:t xml:space="preserve"> וכן סך של 35,000 ₪ שהופקדו בתמורה לשחרורו של הרכב אשר באמצעותו העבירות</w:t>
      </w:r>
      <w:r>
        <w:rPr>
          <w:rFonts w:ascii="David" w:eastAsia="David" w:hAnsi="David" w:cs="David"/>
          <w:sz w:val="24"/>
          <w:szCs w:val="24"/>
          <w:rtl/>
        </w:rPr>
        <w:t>.</w:t>
      </w:r>
    </w:p>
    <w:p w14:paraId="3999A9F1" w14:textId="77777777" w:rsidR="00A152A3" w:rsidRPr="007D3A3B" w:rsidRDefault="00A152A3" w:rsidP="00A152A3">
      <w:pPr>
        <w:pStyle w:val="aa"/>
        <w:spacing w:line="360" w:lineRule="auto"/>
        <w:ind w:left="360"/>
        <w:jc w:val="both"/>
        <w:rPr>
          <w:rFonts w:ascii="David" w:eastAsia="David" w:hAnsi="David"/>
        </w:rPr>
      </w:pPr>
    </w:p>
    <w:p w14:paraId="57194C5B" w14:textId="77777777" w:rsidR="00A152A3" w:rsidRPr="007D3A3B" w:rsidRDefault="00A152A3" w:rsidP="00A152A3">
      <w:pPr>
        <w:spacing w:after="200" w:line="360" w:lineRule="auto"/>
        <w:jc w:val="both"/>
        <w:rPr>
          <w:rFonts w:ascii="David" w:eastAsia="David" w:hAnsi="David"/>
          <w:b/>
          <w:bCs/>
          <w:u w:val="single"/>
          <w:rtl/>
        </w:rPr>
      </w:pPr>
      <w:r>
        <w:rPr>
          <w:rFonts w:ascii="David" w:eastAsia="David" w:hAnsi="David" w:hint="cs"/>
          <w:rtl/>
        </w:rPr>
        <w:t xml:space="preserve">מכיוון שההליך הסתיים ונגזר דינו של הנאשם, </w:t>
      </w:r>
      <w:r>
        <w:rPr>
          <w:rFonts w:ascii="David" w:eastAsia="David" w:hAnsi="David" w:hint="cs"/>
          <w:b/>
          <w:bCs/>
          <w:u w:val="single"/>
          <w:rtl/>
        </w:rPr>
        <w:t>יש לבטל כל הערת אזהרה (דיספוזיציה) שניתנה על הרכב קיה ספורטז', מ.ר. 41805401.</w:t>
      </w:r>
    </w:p>
    <w:p w14:paraId="009315AE" w14:textId="77777777" w:rsidR="00A152A3" w:rsidRPr="007D3A3B" w:rsidRDefault="00A152A3" w:rsidP="00A152A3">
      <w:pPr>
        <w:spacing w:after="200" w:line="360" w:lineRule="auto"/>
        <w:jc w:val="both"/>
      </w:pPr>
      <w:r>
        <w:rPr>
          <w:rFonts w:hint="cs"/>
          <w:rtl/>
        </w:rPr>
        <w:t xml:space="preserve">הסמים יושמדו. יתר המוצגים יחולטו/יושמדו/יושבו לבעליהם על פי החלטת קצין משטרה, </w:t>
      </w:r>
      <w:r>
        <w:rPr>
          <w:rFonts w:hint="cs"/>
          <w:b/>
          <w:bCs/>
          <w:rtl/>
        </w:rPr>
        <w:t>למעט הכסף שנתפס וסכום ההפקדה בתמורה לרכב ששוחרר, אלו יחולטו לטובת אוצר המדינה כפי שנקבע בגזר הדין</w:t>
      </w:r>
      <w:r>
        <w:rPr>
          <w:rFonts w:hint="cs"/>
          <w:rtl/>
        </w:rPr>
        <w:t xml:space="preserve">. </w:t>
      </w:r>
    </w:p>
    <w:p w14:paraId="25B366CA" w14:textId="77777777" w:rsidR="00A152A3" w:rsidRDefault="00A152A3" w:rsidP="00A152A3">
      <w:pPr>
        <w:spacing w:line="360" w:lineRule="auto"/>
        <w:jc w:val="both"/>
      </w:pPr>
      <w:r>
        <w:rPr>
          <w:rFonts w:hint="cs"/>
          <w:b/>
          <w:bCs/>
          <w:u w:val="single"/>
          <w:rtl/>
        </w:rPr>
        <w:t>זכות ערעור לבית המשפט המחוזי בתל אביב</w:t>
      </w:r>
      <w:r>
        <w:rPr>
          <w:rFonts w:hint="cs"/>
          <w:b/>
          <w:bCs/>
          <w:position w:val="4"/>
          <w:u w:val="single"/>
          <w:rtl/>
        </w:rPr>
        <w:t>-</w:t>
      </w:r>
      <w:r>
        <w:rPr>
          <w:rFonts w:hint="cs"/>
          <w:b/>
          <w:bCs/>
          <w:u w:val="single"/>
          <w:rtl/>
        </w:rPr>
        <w:t>יפו בתוך 45 ימים מהיום</w:t>
      </w:r>
      <w:r>
        <w:rPr>
          <w:rFonts w:hint="cs"/>
          <w:rtl/>
        </w:rPr>
        <w:t>.</w:t>
      </w:r>
    </w:p>
    <w:p w14:paraId="6E7B1E29" w14:textId="77777777" w:rsidR="00A152A3" w:rsidRDefault="00A152A3" w:rsidP="00A152A3">
      <w:pPr>
        <w:spacing w:line="360" w:lineRule="auto"/>
        <w:jc w:val="both"/>
        <w:rPr>
          <w:rFonts w:ascii="David" w:hAnsi="David"/>
          <w:b/>
          <w:bCs/>
          <w:rtl/>
        </w:rPr>
      </w:pPr>
    </w:p>
    <w:p w14:paraId="0440FAE1" w14:textId="77777777" w:rsidR="00A152A3" w:rsidRPr="003872D4" w:rsidRDefault="002D6C0A" w:rsidP="00A152A3">
      <w:pPr>
        <w:rPr>
          <w:rFonts w:ascii="David" w:hAnsi="David"/>
          <w:b/>
          <w:bCs/>
          <w:u w:val="single"/>
          <w:rtl/>
        </w:rPr>
      </w:pPr>
      <w:r w:rsidRPr="002D6C0A">
        <w:rPr>
          <w:rFonts w:ascii="David" w:hAnsi="David"/>
          <w:b/>
          <w:bCs/>
          <w:color w:val="FFFFFF"/>
          <w:sz w:val="2"/>
          <w:szCs w:val="2"/>
          <w:u w:val="single"/>
          <w:rtl/>
        </w:rPr>
        <w:t>5129371</w:t>
      </w:r>
      <w:r w:rsidR="00A152A3" w:rsidRPr="003872D4">
        <w:rPr>
          <w:rFonts w:ascii="David" w:hAnsi="David"/>
          <w:b/>
          <w:bCs/>
          <w:u w:val="single"/>
          <w:rtl/>
        </w:rPr>
        <w:t xml:space="preserve">המזכירות תעביר העתק </w:t>
      </w:r>
      <w:r w:rsidR="00A152A3" w:rsidRPr="003872D4">
        <w:rPr>
          <w:rFonts w:ascii="David" w:hAnsi="David" w:hint="cs"/>
          <w:b/>
          <w:bCs/>
          <w:u w:val="single"/>
          <w:rtl/>
        </w:rPr>
        <w:t>לשירות המבחן.</w:t>
      </w:r>
    </w:p>
    <w:p w14:paraId="4BE53BDD" w14:textId="77777777" w:rsidR="00A152A3" w:rsidRPr="002D6C0A" w:rsidRDefault="002D6C0A" w:rsidP="00A152A3">
      <w:pPr>
        <w:rPr>
          <w:rFonts w:ascii="Arial" w:hAnsi="Arial"/>
          <w:b/>
          <w:bCs/>
          <w:color w:val="FFFFFF"/>
          <w:sz w:val="2"/>
          <w:szCs w:val="2"/>
          <w:rtl/>
        </w:rPr>
      </w:pPr>
      <w:r w:rsidRPr="002D6C0A">
        <w:rPr>
          <w:rFonts w:ascii="Arial" w:hAnsi="Arial"/>
          <w:b/>
          <w:bCs/>
          <w:color w:val="FFFFFF"/>
          <w:sz w:val="2"/>
          <w:szCs w:val="2"/>
          <w:rtl/>
        </w:rPr>
        <w:t>54678313</w:t>
      </w:r>
    </w:p>
    <w:p w14:paraId="34367AFB" w14:textId="77777777" w:rsidR="00A152A3" w:rsidRPr="000F2247" w:rsidRDefault="00A152A3" w:rsidP="00A152A3">
      <w:pPr>
        <w:rPr>
          <w:rFonts w:ascii="Arial" w:hAnsi="Arial"/>
          <w:b/>
          <w:bCs/>
          <w:sz w:val="26"/>
          <w:szCs w:val="26"/>
          <w:rtl/>
        </w:rPr>
      </w:pPr>
    </w:p>
    <w:p w14:paraId="2918C607" w14:textId="77777777" w:rsidR="00A152A3" w:rsidRPr="000F2247" w:rsidRDefault="002D6C0A" w:rsidP="00A152A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טבת תשפ"ה, 29 ינואר 2025, במעמד הצדדים. </w:t>
      </w:r>
      <w:bookmarkEnd w:id="8"/>
      <w:r w:rsidR="00A152A3">
        <w:rPr>
          <w:rFonts w:ascii="Arial" w:hAnsi="Arial"/>
          <w:b/>
          <w:bCs/>
          <w:sz w:val="26"/>
          <w:szCs w:val="26"/>
          <w:rtl/>
        </w:rPr>
        <w:tab/>
      </w:r>
      <w:r w:rsidR="00A152A3">
        <w:rPr>
          <w:rFonts w:ascii="Arial" w:hAnsi="Arial"/>
          <w:b/>
          <w:bCs/>
          <w:sz w:val="26"/>
          <w:szCs w:val="26"/>
          <w:rtl/>
        </w:rPr>
        <w:tab/>
      </w:r>
      <w:r w:rsidR="00A152A3">
        <w:rPr>
          <w:rFonts w:ascii="Arial" w:hAnsi="Arial"/>
          <w:b/>
          <w:bCs/>
          <w:sz w:val="26"/>
          <w:szCs w:val="26"/>
          <w:rtl/>
        </w:rPr>
        <w:tab/>
      </w:r>
      <w:r w:rsidR="00A152A3">
        <w:rPr>
          <w:rFonts w:ascii="Arial" w:hAnsi="Arial"/>
          <w:b/>
          <w:bCs/>
          <w:sz w:val="26"/>
          <w:szCs w:val="26"/>
          <w:rtl/>
        </w:rPr>
        <w:tab/>
      </w:r>
      <w:r w:rsidR="00A152A3">
        <w:rPr>
          <w:rFonts w:ascii="Arial" w:hAnsi="Arial"/>
          <w:b/>
          <w:bCs/>
          <w:sz w:val="26"/>
          <w:szCs w:val="26"/>
          <w:rtl/>
        </w:rPr>
        <w:tab/>
      </w:r>
      <w:r w:rsidR="00A152A3">
        <w:rPr>
          <w:rFonts w:ascii="Arial" w:hAnsi="Arial"/>
          <w:b/>
          <w:bCs/>
          <w:sz w:val="26"/>
          <w:szCs w:val="26"/>
          <w:rtl/>
        </w:rPr>
        <w:tab/>
      </w:r>
      <w:r w:rsidR="00A152A3">
        <w:rPr>
          <w:rFonts w:ascii="Arial" w:hAnsi="Arial"/>
          <w:b/>
          <w:bCs/>
          <w:sz w:val="26"/>
          <w:szCs w:val="26"/>
          <w:rtl/>
        </w:rPr>
        <w:tab/>
      </w:r>
      <w:r w:rsidR="00A152A3">
        <w:rPr>
          <w:rFonts w:ascii="Arial" w:hAnsi="Arial" w:hint="cs"/>
          <w:b/>
          <w:bCs/>
          <w:sz w:val="26"/>
          <w:szCs w:val="26"/>
          <w:rtl/>
        </w:rPr>
        <w:t xml:space="preserve">         </w:t>
      </w:r>
    </w:p>
    <w:p w14:paraId="3671C207" w14:textId="77777777" w:rsidR="00A152A3" w:rsidRPr="000F2247" w:rsidRDefault="00A152A3" w:rsidP="002D6C0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52D44F5" w14:textId="77777777" w:rsidR="00A152A3" w:rsidRPr="000F2247" w:rsidRDefault="00A152A3" w:rsidP="00A152A3">
      <w:pPr>
        <w:jc w:val="center"/>
        <w:rPr>
          <w:rFonts w:ascii="Arial" w:hAnsi="Arial"/>
          <w:b/>
          <w:bCs/>
          <w:sz w:val="26"/>
          <w:szCs w:val="26"/>
          <w:rtl/>
        </w:rPr>
      </w:pPr>
    </w:p>
    <w:p w14:paraId="74BB509B" w14:textId="77777777" w:rsidR="007B0CB5" w:rsidRPr="002D6C0A" w:rsidRDefault="007B0CB5" w:rsidP="002D6C0A">
      <w:pPr>
        <w:keepNext/>
        <w:rPr>
          <w:rFonts w:ascii="David" w:hAnsi="David"/>
          <w:color w:val="000000"/>
          <w:sz w:val="22"/>
          <w:szCs w:val="22"/>
          <w:rtl/>
        </w:rPr>
      </w:pPr>
    </w:p>
    <w:p w14:paraId="51102FD6" w14:textId="77777777" w:rsidR="002D6C0A" w:rsidRPr="002D6C0A" w:rsidRDefault="002D6C0A" w:rsidP="002D6C0A">
      <w:pPr>
        <w:keepNext/>
        <w:rPr>
          <w:rFonts w:ascii="David" w:hAnsi="David"/>
          <w:color w:val="000000"/>
          <w:sz w:val="22"/>
          <w:szCs w:val="22"/>
          <w:rtl/>
        </w:rPr>
      </w:pPr>
      <w:r w:rsidRPr="002D6C0A">
        <w:rPr>
          <w:rFonts w:ascii="David" w:hAnsi="David"/>
          <w:color w:val="000000"/>
          <w:sz w:val="22"/>
          <w:szCs w:val="22"/>
          <w:rtl/>
        </w:rPr>
        <w:t>ענת יהב 54678313</w:t>
      </w:r>
    </w:p>
    <w:p w14:paraId="75080360" w14:textId="77777777" w:rsidR="002D6C0A" w:rsidRDefault="002D6C0A" w:rsidP="002D6C0A">
      <w:r w:rsidRPr="002D6C0A">
        <w:rPr>
          <w:color w:val="000000"/>
          <w:rtl/>
        </w:rPr>
        <w:t>נוסח מסמך זה כפוף לשינויי ניסוח ועריכה</w:t>
      </w:r>
    </w:p>
    <w:p w14:paraId="4F766386" w14:textId="77777777" w:rsidR="002D6C0A" w:rsidRDefault="002D6C0A" w:rsidP="002D6C0A">
      <w:pPr>
        <w:rPr>
          <w:rtl/>
        </w:rPr>
      </w:pPr>
    </w:p>
    <w:p w14:paraId="0BD4EA05" w14:textId="77777777" w:rsidR="002D6C0A" w:rsidRDefault="002D6C0A" w:rsidP="002D6C0A">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222693C" w14:textId="77777777" w:rsidR="002D6C0A" w:rsidRPr="002D6C0A" w:rsidRDefault="002D6C0A" w:rsidP="002D6C0A">
      <w:pPr>
        <w:jc w:val="center"/>
        <w:rPr>
          <w:color w:val="0000FF"/>
          <w:u w:val="single"/>
        </w:rPr>
      </w:pPr>
    </w:p>
    <w:sectPr w:rsidR="002D6C0A" w:rsidRPr="002D6C0A" w:rsidSect="002D6C0A">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8123B" w14:textId="77777777" w:rsidR="008F2251" w:rsidRDefault="008F2251" w:rsidP="00025128">
      <w:r>
        <w:separator/>
      </w:r>
    </w:p>
  </w:endnote>
  <w:endnote w:type="continuationSeparator" w:id="0">
    <w:p w14:paraId="6BA33437" w14:textId="77777777" w:rsidR="008F2251" w:rsidRDefault="008F2251" w:rsidP="00025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5213C" w14:textId="77777777" w:rsidR="002D6C0A" w:rsidRDefault="002D6C0A" w:rsidP="002D6C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08F933" w14:textId="77777777" w:rsidR="001D3170" w:rsidRPr="002D6C0A" w:rsidRDefault="002D6C0A" w:rsidP="002D6C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6B2A6" w14:textId="77777777" w:rsidR="002D6C0A" w:rsidRDefault="002D6C0A" w:rsidP="002D6C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50AE">
      <w:rPr>
        <w:rFonts w:ascii="FrankRuehl" w:hAnsi="FrankRuehl" w:cs="FrankRuehl"/>
        <w:noProof/>
        <w:rtl/>
      </w:rPr>
      <w:t>1</w:t>
    </w:r>
    <w:r>
      <w:rPr>
        <w:rFonts w:ascii="FrankRuehl" w:hAnsi="FrankRuehl" w:cs="FrankRuehl"/>
        <w:rtl/>
      </w:rPr>
      <w:fldChar w:fldCharType="end"/>
    </w:r>
  </w:p>
  <w:p w14:paraId="21505D7B" w14:textId="77777777" w:rsidR="001D3170" w:rsidRPr="002D6C0A" w:rsidRDefault="002D6C0A" w:rsidP="002D6C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C2A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76B5F" w14:textId="77777777" w:rsidR="008F2251" w:rsidRDefault="008F2251" w:rsidP="00025128">
      <w:r>
        <w:separator/>
      </w:r>
    </w:p>
  </w:footnote>
  <w:footnote w:type="continuationSeparator" w:id="0">
    <w:p w14:paraId="6AD523AF" w14:textId="77777777" w:rsidR="008F2251" w:rsidRDefault="008F2251" w:rsidP="00025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58171" w14:textId="77777777" w:rsidR="002D6C0A" w:rsidRPr="002D6C0A" w:rsidRDefault="002D6C0A" w:rsidP="002D6C0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15315-06-23</w:t>
    </w:r>
    <w:r>
      <w:rPr>
        <w:rFonts w:ascii="David" w:hAnsi="David"/>
        <w:color w:val="000000"/>
        <w:sz w:val="22"/>
        <w:szCs w:val="22"/>
        <w:rtl/>
      </w:rPr>
      <w:tab/>
      <w:t xml:space="preserve"> מדינת ישראל נ' אלעד מנצור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F3F77" w14:textId="77777777" w:rsidR="002D6C0A" w:rsidRPr="002D6C0A" w:rsidRDefault="002D6C0A" w:rsidP="002D6C0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15315-06-23</w:t>
    </w:r>
    <w:r>
      <w:rPr>
        <w:rFonts w:ascii="David" w:hAnsi="David"/>
        <w:color w:val="000000"/>
        <w:sz w:val="22"/>
        <w:szCs w:val="22"/>
        <w:rtl/>
      </w:rPr>
      <w:tab/>
      <w:t xml:space="preserve"> מדינת ישראל נ' אלעד מנצור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3E"/>
    <w:multiLevelType w:val="hybridMultilevel"/>
    <w:tmpl w:val="C9B48E16"/>
    <w:lvl w:ilvl="0" w:tplc="6AE2DC1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55491"/>
    <w:multiLevelType w:val="hybridMultilevel"/>
    <w:tmpl w:val="988E01B0"/>
    <w:lvl w:ilvl="0" w:tplc="204C5F18">
      <w:start w:val="1"/>
      <w:numFmt w:val="hebrew1"/>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58D1B34"/>
    <w:multiLevelType w:val="hybridMultilevel"/>
    <w:tmpl w:val="6F00C2B8"/>
    <w:lvl w:ilvl="0" w:tplc="B614914E">
      <w:start w:val="1"/>
      <w:numFmt w:val="hebrew1"/>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FBF3DB0"/>
    <w:multiLevelType w:val="hybridMultilevel"/>
    <w:tmpl w:val="930A48E2"/>
    <w:lvl w:ilvl="0" w:tplc="7DDCF9B2">
      <w:start w:val="1"/>
      <w:numFmt w:val="decimal"/>
      <w:lvlText w:val="%1."/>
      <w:lvlJc w:val="left"/>
      <w:pPr>
        <w:ind w:left="720" w:hanging="36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60656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7434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7402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149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52A3"/>
    <w:rsid w:val="00025128"/>
    <w:rsid w:val="001D3170"/>
    <w:rsid w:val="002D6C0A"/>
    <w:rsid w:val="004E50AE"/>
    <w:rsid w:val="00560F8B"/>
    <w:rsid w:val="007B0CB5"/>
    <w:rsid w:val="008F2251"/>
    <w:rsid w:val="009A4E4C"/>
    <w:rsid w:val="00A152A3"/>
    <w:rsid w:val="00AA6880"/>
    <w:rsid w:val="00AF3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90FB4F"/>
  <w15:chartTrackingRefBased/>
  <w15:docId w15:val="{EA011F7F-59F4-415F-B56A-964EE283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52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52A3"/>
    <w:pPr>
      <w:tabs>
        <w:tab w:val="center" w:pos="4153"/>
        <w:tab w:val="right" w:pos="8306"/>
      </w:tabs>
    </w:pPr>
  </w:style>
  <w:style w:type="character" w:customStyle="1" w:styleId="a4">
    <w:name w:val="כותרת עליונה תו"/>
    <w:link w:val="a3"/>
    <w:rsid w:val="00A152A3"/>
    <w:rPr>
      <w:rFonts w:ascii="Times New Roman" w:eastAsia="Times New Roman" w:hAnsi="Times New Roman" w:cs="David"/>
      <w:sz w:val="24"/>
      <w:szCs w:val="24"/>
    </w:rPr>
  </w:style>
  <w:style w:type="paragraph" w:styleId="a5">
    <w:name w:val="footer"/>
    <w:basedOn w:val="a"/>
    <w:link w:val="a6"/>
    <w:rsid w:val="00A152A3"/>
    <w:pPr>
      <w:tabs>
        <w:tab w:val="center" w:pos="4153"/>
        <w:tab w:val="right" w:pos="8306"/>
      </w:tabs>
    </w:pPr>
  </w:style>
  <w:style w:type="character" w:customStyle="1" w:styleId="a6">
    <w:name w:val="כותרת תחתונה תו"/>
    <w:link w:val="a5"/>
    <w:rsid w:val="00A152A3"/>
    <w:rPr>
      <w:rFonts w:ascii="Times New Roman" w:eastAsia="Times New Roman" w:hAnsi="Times New Roman" w:cs="David"/>
      <w:sz w:val="24"/>
      <w:szCs w:val="24"/>
    </w:rPr>
  </w:style>
  <w:style w:type="table" w:styleId="a7">
    <w:name w:val="Table Grid"/>
    <w:basedOn w:val="a1"/>
    <w:rsid w:val="00A152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52A3"/>
  </w:style>
  <w:style w:type="character" w:styleId="Hyperlink">
    <w:name w:val="Hyperlink"/>
    <w:rsid w:val="00A152A3"/>
    <w:rPr>
      <w:color w:val="0563C1"/>
      <w:u w:val="single"/>
    </w:rPr>
  </w:style>
  <w:style w:type="character" w:customStyle="1" w:styleId="a9">
    <w:name w:val="פיסקת רשימה תו"/>
    <w:link w:val="aa"/>
    <w:locked/>
    <w:rsid w:val="00A152A3"/>
    <w:rPr>
      <w:rFonts w:ascii="Calibri" w:eastAsia="Calibri" w:hAnsi="Calibri" w:cs="Arial"/>
    </w:rPr>
  </w:style>
  <w:style w:type="paragraph" w:styleId="aa">
    <w:name w:val="List Paragraph"/>
    <w:basedOn w:val="a"/>
    <w:link w:val="a9"/>
    <w:qFormat/>
    <w:rsid w:val="00A152A3"/>
    <w:pPr>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5207995" TargetMode="External"/><Relationship Id="rId39" Type="http://schemas.openxmlformats.org/officeDocument/2006/relationships/hyperlink" Target="http://www.nevo.co.il/law/4216" TargetMode="External"/><Relationship Id="rId21" Type="http://schemas.openxmlformats.org/officeDocument/2006/relationships/hyperlink" Target="http://www.nevo.co.il/case/6987521" TargetMode="External"/><Relationship Id="rId34" Type="http://schemas.openxmlformats.org/officeDocument/2006/relationships/hyperlink" Target="http://www.nevo.co.il/case/22938500"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b" TargetMode="External"/><Relationship Id="rId29"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s://www.nevo.co.il/psika_html/mechozi/ME-22-09-10519-862.htm" TargetMode="External"/><Relationship Id="rId32" Type="http://schemas.openxmlformats.org/officeDocument/2006/relationships/hyperlink" Target="http://www.nevo.co.il/case/28280788" TargetMode="External"/><Relationship Id="rId37" Type="http://schemas.openxmlformats.org/officeDocument/2006/relationships/hyperlink" Target="http://www.nevo.co.il/law/4216" TargetMode="External"/><Relationship Id="rId40" Type="http://schemas.openxmlformats.org/officeDocument/2006/relationships/hyperlink" Target="http://www.nevo.co.il/case/223730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case/26222649" TargetMode="External"/><Relationship Id="rId28" Type="http://schemas.openxmlformats.org/officeDocument/2006/relationships/hyperlink" Target="http://www.nevo.co.il/case/22997635" TargetMode="External"/><Relationship Id="rId36" Type="http://schemas.openxmlformats.org/officeDocument/2006/relationships/hyperlink" Target="http://www.nevo.co.il/law/4216/36a"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809239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987521" TargetMode="External"/><Relationship Id="rId27" Type="http://schemas.openxmlformats.org/officeDocument/2006/relationships/hyperlink" Target="http://www.nevo.co.il/case/26428467"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938500"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1"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6351617" TargetMode="External"/><Relationship Id="rId33" Type="http://schemas.openxmlformats.org/officeDocument/2006/relationships/hyperlink" Target="http://www.nevo.co.il/law/70301/40d.b" TargetMode="External"/><Relationship Id="rId38" Type="http://schemas.openxmlformats.org/officeDocument/2006/relationships/hyperlink" Target="http://www.nevo.co.il/law/4216/1" TargetMode="External"/><Relationship Id="rId46" Type="http://schemas.openxmlformats.org/officeDocument/2006/relationships/footer" Target="footer2.xml"/><Relationship Id="rId20" Type="http://schemas.openxmlformats.org/officeDocument/2006/relationships/hyperlink" Target="http://www.nevo.co.il/law/4216/7.a.;7.c"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3458</Words>
  <Characters>17295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20712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3473521</vt:i4>
      </vt:variant>
      <vt:variant>
        <vt:i4>99</vt:i4>
      </vt:variant>
      <vt:variant>
        <vt:i4>0</vt:i4>
      </vt:variant>
      <vt:variant>
        <vt:i4>5</vt:i4>
      </vt:variant>
      <vt:variant>
        <vt:lpwstr>http://www.nevo.co.il/case/2237307</vt:lpwstr>
      </vt:variant>
      <vt:variant>
        <vt:lpwstr/>
      </vt:variant>
      <vt:variant>
        <vt:i4>8257637</vt:i4>
      </vt:variant>
      <vt:variant>
        <vt:i4>96</vt:i4>
      </vt:variant>
      <vt:variant>
        <vt:i4>0</vt:i4>
      </vt:variant>
      <vt:variant>
        <vt:i4>5</vt:i4>
      </vt:variant>
      <vt:variant>
        <vt:lpwstr>http://www.nevo.co.il/law/4216</vt:lpwstr>
      </vt:variant>
      <vt:variant>
        <vt:lpwstr/>
      </vt:variant>
      <vt:variant>
        <vt:i4>5177418</vt:i4>
      </vt:variant>
      <vt:variant>
        <vt:i4>93</vt:i4>
      </vt:variant>
      <vt:variant>
        <vt:i4>0</vt:i4>
      </vt:variant>
      <vt:variant>
        <vt:i4>5</vt:i4>
      </vt:variant>
      <vt:variant>
        <vt:lpwstr>http://www.nevo.co.il/law/4216/1</vt:lpwstr>
      </vt:variant>
      <vt:variant>
        <vt:lpwstr/>
      </vt:variant>
      <vt:variant>
        <vt:i4>8257637</vt:i4>
      </vt:variant>
      <vt:variant>
        <vt:i4>90</vt:i4>
      </vt:variant>
      <vt:variant>
        <vt:i4>0</vt:i4>
      </vt:variant>
      <vt:variant>
        <vt:i4>5</vt:i4>
      </vt:variant>
      <vt:variant>
        <vt:lpwstr>http://www.nevo.co.il/law/4216</vt:lpwstr>
      </vt:variant>
      <vt:variant>
        <vt:lpwstr/>
      </vt:variant>
      <vt:variant>
        <vt:i4>2883708</vt:i4>
      </vt:variant>
      <vt:variant>
        <vt:i4>87</vt:i4>
      </vt:variant>
      <vt:variant>
        <vt:i4>0</vt:i4>
      </vt:variant>
      <vt:variant>
        <vt:i4>5</vt:i4>
      </vt:variant>
      <vt:variant>
        <vt:lpwstr>http://www.nevo.co.il/law/4216/36a</vt:lpwstr>
      </vt:variant>
      <vt:variant>
        <vt:lpwstr/>
      </vt:variant>
      <vt:variant>
        <vt:i4>3342448</vt:i4>
      </vt:variant>
      <vt:variant>
        <vt:i4>84</vt:i4>
      </vt:variant>
      <vt:variant>
        <vt:i4>0</vt:i4>
      </vt:variant>
      <vt:variant>
        <vt:i4>5</vt:i4>
      </vt:variant>
      <vt:variant>
        <vt:lpwstr>http://www.nevo.co.il/case/22938500</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4915205</vt:i4>
      </vt:variant>
      <vt:variant>
        <vt:i4>78</vt:i4>
      </vt:variant>
      <vt:variant>
        <vt:i4>0</vt:i4>
      </vt:variant>
      <vt:variant>
        <vt:i4>5</vt:i4>
      </vt:variant>
      <vt:variant>
        <vt:lpwstr>http://www.nevo.co.il/law/70301/40d.b</vt:lpwstr>
      </vt:variant>
      <vt:variant>
        <vt:lpwstr/>
      </vt:variant>
      <vt:variant>
        <vt:i4>3670131</vt:i4>
      </vt:variant>
      <vt:variant>
        <vt:i4>75</vt:i4>
      </vt:variant>
      <vt:variant>
        <vt:i4>0</vt:i4>
      </vt:variant>
      <vt:variant>
        <vt:i4>5</vt:i4>
      </vt:variant>
      <vt:variant>
        <vt:lpwstr>http://www.nevo.co.il/case/28280788</vt:lpwstr>
      </vt:variant>
      <vt:variant>
        <vt:lpwstr/>
      </vt:variant>
      <vt:variant>
        <vt:i4>3735670</vt:i4>
      </vt:variant>
      <vt:variant>
        <vt:i4>72</vt:i4>
      </vt:variant>
      <vt:variant>
        <vt:i4>0</vt:i4>
      </vt:variant>
      <vt:variant>
        <vt:i4>5</vt:i4>
      </vt:variant>
      <vt:variant>
        <vt:lpwstr>http://www.nevo.co.il/case/28092391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4128889</vt:i4>
      </vt:variant>
      <vt:variant>
        <vt:i4>63</vt:i4>
      </vt:variant>
      <vt:variant>
        <vt:i4>0</vt:i4>
      </vt:variant>
      <vt:variant>
        <vt:i4>5</vt:i4>
      </vt:variant>
      <vt:variant>
        <vt:lpwstr>http://www.nevo.co.il/case/22997635</vt:lpwstr>
      </vt:variant>
      <vt:variant>
        <vt:lpwstr/>
      </vt:variant>
      <vt:variant>
        <vt:i4>3670132</vt:i4>
      </vt:variant>
      <vt:variant>
        <vt:i4>60</vt:i4>
      </vt:variant>
      <vt:variant>
        <vt:i4>0</vt:i4>
      </vt:variant>
      <vt:variant>
        <vt:i4>5</vt:i4>
      </vt:variant>
      <vt:variant>
        <vt:lpwstr>http://www.nevo.co.il/case/26428467</vt:lpwstr>
      </vt:variant>
      <vt:variant>
        <vt:lpwstr/>
      </vt:variant>
      <vt:variant>
        <vt:i4>4063352</vt:i4>
      </vt:variant>
      <vt:variant>
        <vt:i4>57</vt:i4>
      </vt:variant>
      <vt:variant>
        <vt:i4>0</vt:i4>
      </vt:variant>
      <vt:variant>
        <vt:i4>5</vt:i4>
      </vt:variant>
      <vt:variant>
        <vt:lpwstr>http://www.nevo.co.il/case/25207995</vt:lpwstr>
      </vt:variant>
      <vt:variant>
        <vt:lpwstr/>
      </vt:variant>
      <vt:variant>
        <vt:i4>3211377</vt:i4>
      </vt:variant>
      <vt:variant>
        <vt:i4>54</vt:i4>
      </vt:variant>
      <vt:variant>
        <vt:i4>0</vt:i4>
      </vt:variant>
      <vt:variant>
        <vt:i4>5</vt:i4>
      </vt:variant>
      <vt:variant>
        <vt:lpwstr>http://www.nevo.co.il/case/26351617</vt:lpwstr>
      </vt:variant>
      <vt:variant>
        <vt:lpwstr/>
      </vt:variant>
      <vt:variant>
        <vt:i4>1572903</vt:i4>
      </vt:variant>
      <vt:variant>
        <vt:i4>51</vt:i4>
      </vt:variant>
      <vt:variant>
        <vt:i4>0</vt:i4>
      </vt:variant>
      <vt:variant>
        <vt:i4>5</vt:i4>
      </vt:variant>
      <vt:variant>
        <vt:lpwstr>https://www.nevo.co.il/psika_html/mechozi/ME-22-09-10519-862.htm</vt:lpwstr>
      </vt:variant>
      <vt:variant>
        <vt:lpwstr/>
      </vt:variant>
      <vt:variant>
        <vt:i4>3539062</vt:i4>
      </vt:variant>
      <vt:variant>
        <vt:i4>48</vt:i4>
      </vt:variant>
      <vt:variant>
        <vt:i4>0</vt:i4>
      </vt:variant>
      <vt:variant>
        <vt:i4>5</vt:i4>
      </vt:variant>
      <vt:variant>
        <vt:lpwstr>http://www.nevo.co.il/case/26222649</vt:lpwstr>
      </vt:variant>
      <vt:variant>
        <vt:lpwstr/>
      </vt:variant>
      <vt:variant>
        <vt:i4>3801208</vt:i4>
      </vt:variant>
      <vt:variant>
        <vt:i4>45</vt:i4>
      </vt:variant>
      <vt:variant>
        <vt:i4>0</vt:i4>
      </vt:variant>
      <vt:variant>
        <vt:i4>5</vt:i4>
      </vt:variant>
      <vt:variant>
        <vt:lpwstr>http://www.nevo.co.il/case/6987521</vt:lpwstr>
      </vt:variant>
      <vt:variant>
        <vt:lpwstr/>
      </vt:variant>
      <vt:variant>
        <vt:i4>3801208</vt:i4>
      </vt:variant>
      <vt:variant>
        <vt:i4>42</vt:i4>
      </vt:variant>
      <vt:variant>
        <vt:i4>0</vt:i4>
      </vt:variant>
      <vt:variant>
        <vt:i4>5</vt:i4>
      </vt:variant>
      <vt:variant>
        <vt:lpwstr>http://www.nevo.co.il/case/6987521</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4915205</vt:i4>
      </vt:variant>
      <vt:variant>
        <vt:i4>27</vt:i4>
      </vt:variant>
      <vt:variant>
        <vt:i4>0</vt:i4>
      </vt:variant>
      <vt:variant>
        <vt:i4>5</vt:i4>
      </vt:variant>
      <vt:variant>
        <vt:lpwstr>http://www.nevo.co.il/law/70301/40d.b</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7995492</vt:i4>
      </vt:variant>
      <vt:variant>
        <vt:i4>21</vt:i4>
      </vt:variant>
      <vt:variant>
        <vt:i4>0</vt:i4>
      </vt:variant>
      <vt:variant>
        <vt:i4>5</vt:i4>
      </vt:variant>
      <vt:variant>
        <vt:lpwstr>http://www.nevo.co.il/law/70301</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2025-04-23T01:47:00Z</dcterms:created>
  <dcterms:modified xsi:type="dcterms:W3CDTF">2025-04-23T01:47:00Z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15315</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אלעד מנצור</vt:lpwstr>
  </property>
  <property fmtid="{D5CDD505-2E9C-101B-9397-08002B2CF9AE}" pid="10" name="LAWYER">
    <vt:lpwstr>איציק אמיר; ליהי אזולאי;צפריר יגור</vt:lpwstr>
  </property>
  <property fmtid="{D5CDD505-2E9C-101B-9397-08002B2CF9AE}" pid="11" name="JUDGE">
    <vt:lpwstr>ענת יהב</vt:lpwstr>
  </property>
  <property fmtid="{D5CDD505-2E9C-101B-9397-08002B2CF9AE}" pid="12" name="CITY">
    <vt:lpwstr>ת"א</vt:lpwstr>
  </property>
  <property fmtid="{D5CDD505-2E9C-101B-9397-08002B2CF9AE}" pid="13" name="DATE">
    <vt:lpwstr>20250129</vt:lpwstr>
  </property>
  <property fmtid="{D5CDD505-2E9C-101B-9397-08002B2CF9AE}" pid="14" name="TYPE_N_DATE">
    <vt:lpwstr>38020250129</vt:lpwstr>
  </property>
  <property fmtid="{D5CDD505-2E9C-101B-9397-08002B2CF9AE}" pid="15" name="CASESLISTTMP1">
    <vt:lpwstr>6987521:2;26222649;26351617;25207995;26428467;22997635;28092391;28280788;22938500:2;2237307</vt:lpwstr>
  </property>
  <property fmtid="{D5CDD505-2E9C-101B-9397-08002B2CF9AE}" pid="16" name="CASENOTES1">
    <vt:lpwstr>ProcID=174;;;133;209&amp;PartA=35301&amp;PartB=10&amp;PartC=24</vt:lpwstr>
  </property>
  <property fmtid="{D5CDD505-2E9C-101B-9397-08002B2CF9AE}" pid="17" name="WORDNUMPAGES">
    <vt:lpwstr>10</vt:lpwstr>
  </property>
  <property fmtid="{D5CDD505-2E9C-101B-9397-08002B2CF9AE}" pid="18" name="TYPE_ABS_DATE">
    <vt:lpwstr>380020250129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4216/013;019a;007.a;007.c;036a;001</vt:lpwstr>
  </property>
  <property fmtid="{D5CDD505-2E9C-101B-9397-08002B2CF9AE}" pid="38" name="LAWLISTTMP2">
    <vt:lpwstr>70301/040d.a;040d.b</vt:lpwstr>
  </property>
</Properties>
</file>