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231"/>
        <w:gridCol w:w="3305"/>
        <w:gridCol w:w="416"/>
        <w:gridCol w:w="3553"/>
        <w:gridCol w:w="18"/>
      </w:tblGrid>
      <w:tr w:rsidR="00522154" w:rsidRPr="0003425E" w14:paraId="61EC3DEE" w14:textId="77777777" w:rsidTr="0003181C">
        <w:trPr>
          <w:trHeight w:hRule="exact" w:val="418"/>
          <w:jc w:val="center"/>
        </w:trPr>
        <w:tc>
          <w:tcPr>
            <w:tcW w:w="8523" w:type="dxa"/>
            <w:gridSpan w:val="5"/>
          </w:tcPr>
          <w:p w14:paraId="1D08492E" w14:textId="77777777" w:rsidR="00522154" w:rsidRPr="0003425E" w:rsidRDefault="00522154" w:rsidP="00465C3A">
            <w:pPr>
              <w:pStyle w:val="a3"/>
              <w:jc w:val="center"/>
              <w:rPr>
                <w:rFonts w:ascii="Tahoma" w:hAnsi="Tahoma" w:cs="Tahoma"/>
                <w:color w:val="000080"/>
                <w:rtl/>
              </w:rPr>
            </w:pPr>
            <w:bookmarkStart w:id="0" w:name="FirstLawyer"/>
            <w:r w:rsidRPr="0003425E">
              <w:rPr>
                <w:rFonts w:ascii="Tahoma" w:hAnsi="Tahoma" w:cs="Tahoma"/>
                <w:b/>
                <w:bCs/>
                <w:color w:val="000080"/>
                <w:rtl/>
              </w:rPr>
              <w:t>בית משפט השלום בנתניה</w:t>
            </w:r>
          </w:p>
        </w:tc>
      </w:tr>
      <w:tr w:rsidR="00522154" w:rsidRPr="0003425E" w14:paraId="20661737" w14:textId="77777777" w:rsidTr="0003181C">
        <w:trPr>
          <w:trHeight w:val="337"/>
          <w:jc w:val="center"/>
        </w:trPr>
        <w:tc>
          <w:tcPr>
            <w:tcW w:w="4952" w:type="dxa"/>
            <w:gridSpan w:val="3"/>
          </w:tcPr>
          <w:p w14:paraId="3F10B398" w14:textId="77777777" w:rsidR="00522154" w:rsidRPr="0003425E" w:rsidRDefault="00522154" w:rsidP="00465C3A">
            <w:pPr>
              <w:rPr>
                <w:rFonts w:cs="FrankRuehl"/>
                <w:sz w:val="28"/>
                <w:szCs w:val="28"/>
                <w:rtl/>
              </w:rPr>
            </w:pPr>
            <w:r w:rsidRPr="0003425E">
              <w:rPr>
                <w:rFonts w:cs="FrankRuehl"/>
                <w:sz w:val="28"/>
                <w:szCs w:val="28"/>
                <w:rtl/>
              </w:rPr>
              <w:t>ת"פ</w:t>
            </w:r>
            <w:r w:rsidRPr="0003425E">
              <w:rPr>
                <w:rFonts w:cs="FrankRuehl" w:hint="cs"/>
                <w:sz w:val="28"/>
                <w:szCs w:val="28"/>
                <w:rtl/>
              </w:rPr>
              <w:t xml:space="preserve"> </w:t>
            </w:r>
            <w:r w:rsidRPr="0003425E">
              <w:rPr>
                <w:rFonts w:cs="FrankRuehl"/>
                <w:sz w:val="28"/>
                <w:szCs w:val="28"/>
                <w:rtl/>
              </w:rPr>
              <w:t>21503-07-23</w:t>
            </w:r>
            <w:r w:rsidRPr="0003425E">
              <w:rPr>
                <w:rFonts w:cs="FrankRuehl" w:hint="cs"/>
                <w:sz w:val="28"/>
                <w:szCs w:val="28"/>
                <w:rtl/>
              </w:rPr>
              <w:t xml:space="preserve"> </w:t>
            </w:r>
            <w:r w:rsidRPr="0003425E">
              <w:rPr>
                <w:rFonts w:cs="FrankRuehl"/>
                <w:sz w:val="28"/>
                <w:szCs w:val="28"/>
                <w:rtl/>
              </w:rPr>
              <w:t>מדינת ישראל נ' דרור(עציר)</w:t>
            </w:r>
          </w:p>
          <w:p w14:paraId="7EC6A9C7" w14:textId="77777777" w:rsidR="00522154" w:rsidRPr="0003425E" w:rsidRDefault="00522154" w:rsidP="00465C3A">
            <w:pPr>
              <w:pStyle w:val="a3"/>
              <w:rPr>
                <w:rFonts w:cs="FrankRuehl"/>
                <w:sz w:val="28"/>
                <w:szCs w:val="28"/>
                <w:rtl/>
              </w:rPr>
            </w:pPr>
          </w:p>
        </w:tc>
        <w:tc>
          <w:tcPr>
            <w:tcW w:w="3571" w:type="dxa"/>
            <w:gridSpan w:val="2"/>
          </w:tcPr>
          <w:p w14:paraId="266C3626" w14:textId="77777777" w:rsidR="00522154" w:rsidRPr="0003425E" w:rsidRDefault="00522154" w:rsidP="00465C3A">
            <w:pPr>
              <w:pStyle w:val="a3"/>
              <w:jc w:val="right"/>
              <w:rPr>
                <w:rFonts w:cs="FrankRuehl"/>
                <w:sz w:val="28"/>
                <w:szCs w:val="28"/>
                <w:rtl/>
              </w:rPr>
            </w:pPr>
          </w:p>
        </w:tc>
      </w:tr>
      <w:tr w:rsidR="00522154" w:rsidRPr="0003425E" w14:paraId="036763C7" w14:textId="77777777" w:rsidTr="000318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8" w:type="dxa"/>
          <w:trHeight w:val="295"/>
          <w:jc w:val="center"/>
        </w:trPr>
        <w:tc>
          <w:tcPr>
            <w:tcW w:w="1231" w:type="dxa"/>
            <w:tcBorders>
              <w:top w:val="nil"/>
              <w:left w:val="nil"/>
              <w:bottom w:val="nil"/>
              <w:right w:val="nil"/>
            </w:tcBorders>
            <w:shd w:val="clear" w:color="auto" w:fill="auto"/>
          </w:tcPr>
          <w:p w14:paraId="0795506E" w14:textId="77777777" w:rsidR="00522154" w:rsidRPr="0003425E" w:rsidRDefault="00522154" w:rsidP="00522154">
            <w:pPr>
              <w:jc w:val="both"/>
              <w:rPr>
                <w:rFonts w:ascii="David" w:hAnsi="David"/>
                <w:sz w:val="26"/>
                <w:szCs w:val="26"/>
              </w:rPr>
            </w:pPr>
            <w:r w:rsidRPr="0003425E">
              <w:rPr>
                <w:rFonts w:hint="cs"/>
                <w:rtl/>
              </w:rPr>
              <w:t xml:space="preserve"> </w:t>
            </w:r>
            <w:r w:rsidRPr="0003425E">
              <w:rPr>
                <w:rFonts w:ascii="David" w:hAnsi="David" w:hint="cs"/>
                <w:sz w:val="26"/>
                <w:szCs w:val="26"/>
                <w:rtl/>
              </w:rPr>
              <w:t>ל</w:t>
            </w:r>
            <w:r w:rsidRPr="0003425E">
              <w:rPr>
                <w:rFonts w:ascii="David" w:hAnsi="David"/>
                <w:sz w:val="26"/>
                <w:szCs w:val="26"/>
                <w:rtl/>
              </w:rPr>
              <w:t xml:space="preserve">פני </w:t>
            </w:r>
          </w:p>
        </w:tc>
        <w:tc>
          <w:tcPr>
            <w:tcW w:w="7274" w:type="dxa"/>
            <w:gridSpan w:val="3"/>
            <w:tcBorders>
              <w:top w:val="nil"/>
              <w:left w:val="nil"/>
              <w:bottom w:val="nil"/>
              <w:right w:val="nil"/>
            </w:tcBorders>
            <w:shd w:val="clear" w:color="auto" w:fill="auto"/>
          </w:tcPr>
          <w:p w14:paraId="063B4F53" w14:textId="77777777" w:rsidR="00522154" w:rsidRPr="0003425E" w:rsidRDefault="00522154" w:rsidP="00465C3A">
            <w:pPr>
              <w:rPr>
                <w:rFonts w:ascii="David" w:hAnsi="David"/>
                <w:b/>
                <w:bCs/>
                <w:sz w:val="26"/>
                <w:szCs w:val="26"/>
                <w:rtl/>
              </w:rPr>
            </w:pPr>
            <w:r w:rsidRPr="0003425E">
              <w:rPr>
                <w:rFonts w:ascii="David" w:hAnsi="David"/>
                <w:b/>
                <w:bCs/>
                <w:sz w:val="26"/>
                <w:szCs w:val="26"/>
                <w:rtl/>
              </w:rPr>
              <w:t>כבוד השופטת, סגנית הנשיא זהר דיבון סגל</w:t>
            </w:r>
          </w:p>
          <w:p w14:paraId="2C5EE1F2" w14:textId="77777777" w:rsidR="00522154" w:rsidRPr="0003425E" w:rsidRDefault="00522154" w:rsidP="00465C3A">
            <w:pPr>
              <w:rPr>
                <w:rFonts w:ascii="David" w:hAnsi="David"/>
                <w:sz w:val="26"/>
                <w:szCs w:val="26"/>
                <w:rtl/>
              </w:rPr>
            </w:pPr>
          </w:p>
          <w:p w14:paraId="4F0EBCA2" w14:textId="77777777" w:rsidR="00522154" w:rsidRPr="0003425E" w:rsidRDefault="00522154" w:rsidP="00522154">
            <w:pPr>
              <w:jc w:val="both"/>
              <w:rPr>
                <w:rFonts w:ascii="David" w:hAnsi="David"/>
                <w:sz w:val="26"/>
                <w:szCs w:val="26"/>
              </w:rPr>
            </w:pPr>
          </w:p>
        </w:tc>
      </w:tr>
      <w:tr w:rsidR="00522154" w:rsidRPr="0003425E" w14:paraId="568C2339" w14:textId="77777777" w:rsidTr="000318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8" w:type="dxa"/>
          <w:trHeight w:val="355"/>
          <w:jc w:val="center"/>
        </w:trPr>
        <w:tc>
          <w:tcPr>
            <w:tcW w:w="1231" w:type="dxa"/>
            <w:tcBorders>
              <w:top w:val="nil"/>
              <w:left w:val="nil"/>
              <w:bottom w:val="nil"/>
              <w:right w:val="nil"/>
            </w:tcBorders>
            <w:shd w:val="clear" w:color="auto" w:fill="auto"/>
          </w:tcPr>
          <w:p w14:paraId="306B835D" w14:textId="77777777" w:rsidR="00522154" w:rsidRPr="0003425E" w:rsidRDefault="00522154" w:rsidP="00522154">
            <w:pPr>
              <w:jc w:val="both"/>
              <w:rPr>
                <w:rFonts w:ascii="David" w:hAnsi="David"/>
                <w:sz w:val="26"/>
                <w:szCs w:val="26"/>
                <w:rtl/>
              </w:rPr>
            </w:pPr>
            <w:bookmarkStart w:id="1" w:name="FirstAppellant"/>
            <w:bookmarkStart w:id="2" w:name="LastJudge"/>
            <w:bookmarkEnd w:id="2"/>
            <w:r w:rsidRPr="0003425E">
              <w:rPr>
                <w:rFonts w:ascii="David" w:hAnsi="David"/>
                <w:sz w:val="26"/>
                <w:szCs w:val="26"/>
                <w:rtl/>
              </w:rPr>
              <w:t>בעניין:</w:t>
            </w:r>
          </w:p>
          <w:p w14:paraId="279B57DC" w14:textId="77777777" w:rsidR="00522154" w:rsidRPr="0003425E" w:rsidRDefault="00522154" w:rsidP="00522154">
            <w:pPr>
              <w:suppressLineNumbers/>
              <w:rPr>
                <w:rFonts w:ascii="David" w:hAnsi="David"/>
                <w:sz w:val="26"/>
                <w:szCs w:val="26"/>
              </w:rPr>
            </w:pPr>
            <w:r w:rsidRPr="0003425E">
              <w:rPr>
                <w:rFonts w:ascii="Arial" w:hAnsi="Arial" w:hint="cs"/>
                <w:b/>
                <w:bCs/>
                <w:sz w:val="26"/>
                <w:szCs w:val="26"/>
                <w:rtl/>
              </w:rPr>
              <w:t>המאשימה</w:t>
            </w:r>
            <w:r w:rsidRPr="0003425E">
              <w:rPr>
                <w:rFonts w:ascii="David" w:hAnsi="David" w:hint="cs"/>
                <w:sz w:val="26"/>
                <w:szCs w:val="26"/>
                <w:rtl/>
              </w:rPr>
              <w:t xml:space="preserve"> </w:t>
            </w:r>
          </w:p>
        </w:tc>
        <w:tc>
          <w:tcPr>
            <w:tcW w:w="3305" w:type="dxa"/>
            <w:tcBorders>
              <w:top w:val="nil"/>
              <w:left w:val="nil"/>
              <w:bottom w:val="nil"/>
              <w:right w:val="nil"/>
            </w:tcBorders>
            <w:shd w:val="clear" w:color="auto" w:fill="auto"/>
          </w:tcPr>
          <w:p w14:paraId="0D865AEE" w14:textId="77777777" w:rsidR="00522154" w:rsidRPr="0003425E" w:rsidRDefault="00522154" w:rsidP="00522154">
            <w:pPr>
              <w:suppressLineNumbers/>
            </w:pPr>
            <w:r w:rsidRPr="0003425E">
              <w:rPr>
                <w:rFonts w:ascii="Arial" w:hAnsi="Arial"/>
                <w:b/>
                <w:bCs/>
                <w:sz w:val="26"/>
                <w:szCs w:val="26"/>
                <w:rtl/>
              </w:rPr>
              <w:br/>
              <w:t xml:space="preserve">מדינת ישראל </w:t>
            </w:r>
            <w:r w:rsidRPr="0003425E">
              <w:rPr>
                <w:rFonts w:ascii="Arial" w:hAnsi="Arial"/>
                <w:b/>
                <w:bCs/>
                <w:sz w:val="26"/>
                <w:szCs w:val="26"/>
                <w:rtl/>
              </w:rPr>
              <w:br/>
            </w:r>
            <w:r w:rsidRPr="0003425E">
              <w:rPr>
                <w:rFonts w:ascii="Arial" w:hAnsi="Arial" w:hint="cs"/>
                <w:b/>
                <w:bCs/>
                <w:sz w:val="26"/>
                <w:szCs w:val="26"/>
                <w:rtl/>
              </w:rPr>
              <w:t xml:space="preserve">יחידת תביעות שלוחת נתניה </w:t>
            </w:r>
            <w:r w:rsidRPr="0003425E">
              <w:rPr>
                <w:rFonts w:ascii="Arial" w:hAnsi="Arial"/>
                <w:b/>
                <w:bCs/>
                <w:sz w:val="26"/>
                <w:szCs w:val="26"/>
                <w:rtl/>
              </w:rPr>
              <w:br/>
              <w:t>ע"י ב"כ עוה"ד</w:t>
            </w:r>
            <w:r w:rsidRPr="0003425E">
              <w:rPr>
                <w:rFonts w:ascii="Arial" w:hAnsi="Arial" w:hint="cs"/>
                <w:b/>
                <w:bCs/>
                <w:sz w:val="26"/>
                <w:szCs w:val="26"/>
                <w:rtl/>
              </w:rPr>
              <w:t xml:space="preserve"> דור כהן </w:t>
            </w:r>
          </w:p>
          <w:p w14:paraId="765B254A" w14:textId="77777777" w:rsidR="00522154" w:rsidRPr="0003425E" w:rsidRDefault="00522154" w:rsidP="00465C3A">
            <w:pPr>
              <w:rPr>
                <w:rFonts w:ascii="David" w:hAnsi="David"/>
                <w:sz w:val="26"/>
                <w:szCs w:val="26"/>
              </w:rPr>
            </w:pPr>
          </w:p>
        </w:tc>
        <w:tc>
          <w:tcPr>
            <w:tcW w:w="3969" w:type="dxa"/>
            <w:gridSpan w:val="2"/>
            <w:tcBorders>
              <w:top w:val="nil"/>
              <w:left w:val="nil"/>
              <w:bottom w:val="nil"/>
              <w:right w:val="nil"/>
            </w:tcBorders>
            <w:shd w:val="clear" w:color="auto" w:fill="auto"/>
            <w:vAlign w:val="center"/>
          </w:tcPr>
          <w:p w14:paraId="21B27701" w14:textId="77777777" w:rsidR="00522154" w:rsidRPr="0003425E" w:rsidRDefault="00522154" w:rsidP="00522154">
            <w:pPr>
              <w:suppressLineNumbers/>
              <w:rPr>
                <w:rFonts w:ascii="David" w:hAnsi="David"/>
                <w:sz w:val="26"/>
                <w:szCs w:val="26"/>
              </w:rPr>
            </w:pPr>
          </w:p>
        </w:tc>
      </w:tr>
      <w:bookmarkEnd w:id="1"/>
      <w:tr w:rsidR="00522154" w:rsidRPr="0003425E" w14:paraId="6A2D5215" w14:textId="77777777" w:rsidTr="000318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8" w:type="dxa"/>
          <w:trHeight w:val="355"/>
          <w:jc w:val="center"/>
        </w:trPr>
        <w:tc>
          <w:tcPr>
            <w:tcW w:w="1231" w:type="dxa"/>
            <w:tcBorders>
              <w:top w:val="nil"/>
              <w:left w:val="nil"/>
              <w:bottom w:val="nil"/>
              <w:right w:val="nil"/>
            </w:tcBorders>
            <w:shd w:val="clear" w:color="auto" w:fill="auto"/>
          </w:tcPr>
          <w:p w14:paraId="593034F2" w14:textId="77777777" w:rsidR="00522154" w:rsidRPr="0003425E" w:rsidRDefault="00522154" w:rsidP="00522154">
            <w:pPr>
              <w:jc w:val="both"/>
              <w:rPr>
                <w:rFonts w:ascii="David" w:hAnsi="David"/>
                <w:sz w:val="26"/>
                <w:szCs w:val="26"/>
                <w:rtl/>
              </w:rPr>
            </w:pPr>
          </w:p>
        </w:tc>
        <w:tc>
          <w:tcPr>
            <w:tcW w:w="7274" w:type="dxa"/>
            <w:gridSpan w:val="3"/>
            <w:tcBorders>
              <w:top w:val="nil"/>
              <w:left w:val="nil"/>
              <w:bottom w:val="nil"/>
              <w:right w:val="nil"/>
            </w:tcBorders>
            <w:shd w:val="clear" w:color="auto" w:fill="auto"/>
          </w:tcPr>
          <w:p w14:paraId="296C0FB1" w14:textId="77777777" w:rsidR="00522154" w:rsidRPr="0003425E" w:rsidRDefault="00522154" w:rsidP="00522154">
            <w:pPr>
              <w:jc w:val="center"/>
              <w:rPr>
                <w:rFonts w:ascii="David" w:hAnsi="David"/>
                <w:b/>
                <w:bCs/>
                <w:sz w:val="26"/>
                <w:szCs w:val="26"/>
                <w:rtl/>
              </w:rPr>
            </w:pPr>
          </w:p>
          <w:p w14:paraId="31A2C2BB" w14:textId="77777777" w:rsidR="00522154" w:rsidRPr="0003425E" w:rsidRDefault="00522154" w:rsidP="00465C3A">
            <w:pPr>
              <w:rPr>
                <w:rFonts w:ascii="David" w:hAnsi="David"/>
                <w:b/>
                <w:bCs/>
                <w:sz w:val="26"/>
                <w:szCs w:val="26"/>
                <w:rtl/>
              </w:rPr>
            </w:pPr>
            <w:r w:rsidRPr="0003425E">
              <w:rPr>
                <w:rFonts w:ascii="David" w:hAnsi="David" w:hint="cs"/>
                <w:b/>
                <w:bCs/>
                <w:sz w:val="26"/>
                <w:szCs w:val="26"/>
                <w:rtl/>
              </w:rPr>
              <w:t xml:space="preserve">                        </w:t>
            </w:r>
            <w:r w:rsidRPr="0003425E">
              <w:rPr>
                <w:rFonts w:ascii="David" w:hAnsi="David"/>
                <w:b/>
                <w:bCs/>
                <w:sz w:val="26"/>
                <w:szCs w:val="26"/>
                <w:rtl/>
              </w:rPr>
              <w:t>נגד</w:t>
            </w:r>
          </w:p>
          <w:p w14:paraId="4C155A12" w14:textId="77777777" w:rsidR="00522154" w:rsidRPr="0003425E" w:rsidRDefault="00522154" w:rsidP="00522154">
            <w:pPr>
              <w:jc w:val="both"/>
              <w:rPr>
                <w:rFonts w:ascii="David" w:hAnsi="David"/>
                <w:sz w:val="26"/>
                <w:szCs w:val="26"/>
              </w:rPr>
            </w:pPr>
          </w:p>
        </w:tc>
      </w:tr>
      <w:tr w:rsidR="00522154" w:rsidRPr="0003425E" w14:paraId="73A35856" w14:textId="77777777" w:rsidTr="000318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8" w:type="dxa"/>
          <w:trHeight w:val="355"/>
          <w:jc w:val="center"/>
        </w:trPr>
        <w:tc>
          <w:tcPr>
            <w:tcW w:w="1231" w:type="dxa"/>
            <w:tcBorders>
              <w:top w:val="nil"/>
              <w:left w:val="nil"/>
              <w:bottom w:val="nil"/>
              <w:right w:val="nil"/>
            </w:tcBorders>
            <w:shd w:val="clear" w:color="auto" w:fill="auto"/>
          </w:tcPr>
          <w:p w14:paraId="67B2DEE5" w14:textId="77777777" w:rsidR="00522154" w:rsidRPr="0003425E" w:rsidRDefault="00522154" w:rsidP="00522154">
            <w:pPr>
              <w:suppressLineNumbers/>
              <w:rPr>
                <w:rFonts w:ascii="David" w:hAnsi="David"/>
                <w:sz w:val="26"/>
                <w:szCs w:val="26"/>
                <w:rtl/>
              </w:rPr>
            </w:pPr>
            <w:r w:rsidRPr="0003425E">
              <w:rPr>
                <w:rFonts w:ascii="Arial" w:hAnsi="Arial" w:hint="cs"/>
                <w:b/>
                <w:bCs/>
                <w:sz w:val="26"/>
                <w:szCs w:val="26"/>
                <w:rtl/>
              </w:rPr>
              <w:t>הנאשם</w:t>
            </w:r>
            <w:r w:rsidRPr="0003425E">
              <w:rPr>
                <w:rFonts w:ascii="David" w:hAnsi="David" w:hint="cs"/>
                <w:sz w:val="26"/>
                <w:szCs w:val="26"/>
                <w:rtl/>
              </w:rPr>
              <w:t xml:space="preserve"> </w:t>
            </w:r>
          </w:p>
        </w:tc>
        <w:tc>
          <w:tcPr>
            <w:tcW w:w="3305" w:type="dxa"/>
            <w:tcBorders>
              <w:top w:val="nil"/>
              <w:left w:val="nil"/>
              <w:bottom w:val="nil"/>
              <w:right w:val="nil"/>
            </w:tcBorders>
            <w:shd w:val="clear" w:color="auto" w:fill="auto"/>
          </w:tcPr>
          <w:p w14:paraId="541DED47" w14:textId="77777777" w:rsidR="00522154" w:rsidRPr="0003425E" w:rsidRDefault="00522154" w:rsidP="00522154">
            <w:pPr>
              <w:suppressLineNumbers/>
              <w:rPr>
                <w:rFonts w:ascii="Arial" w:hAnsi="Arial"/>
                <w:b/>
                <w:bCs/>
                <w:sz w:val="26"/>
                <w:szCs w:val="26"/>
                <w:rtl/>
              </w:rPr>
            </w:pPr>
            <w:r w:rsidRPr="0003425E">
              <w:rPr>
                <w:rFonts w:ascii="Arial" w:hAnsi="Arial"/>
                <w:b/>
                <w:bCs/>
                <w:sz w:val="26"/>
                <w:szCs w:val="26"/>
                <w:rtl/>
              </w:rPr>
              <w:t>נתנאל דרור (עציר)</w:t>
            </w:r>
            <w:r w:rsidRPr="0003425E">
              <w:rPr>
                <w:rFonts w:ascii="Arial" w:hAnsi="Arial" w:hint="cs"/>
                <w:b/>
                <w:bCs/>
                <w:sz w:val="26"/>
                <w:szCs w:val="26"/>
                <w:rtl/>
              </w:rPr>
              <w:t xml:space="preserve"> </w:t>
            </w:r>
          </w:p>
          <w:p w14:paraId="1B24A0D3" w14:textId="77777777" w:rsidR="00522154" w:rsidRPr="0003425E" w:rsidRDefault="00522154" w:rsidP="00522154">
            <w:pPr>
              <w:suppressLineNumbers/>
            </w:pPr>
            <w:r w:rsidRPr="0003425E">
              <w:rPr>
                <w:rFonts w:ascii="Arial" w:hAnsi="Arial"/>
                <w:b/>
                <w:bCs/>
                <w:sz w:val="26"/>
                <w:szCs w:val="26"/>
                <w:rtl/>
              </w:rPr>
              <w:t>ע"י ב"כ עוה"ד</w:t>
            </w:r>
            <w:r w:rsidRPr="0003425E">
              <w:rPr>
                <w:rFonts w:ascii="Arial" w:hAnsi="Arial" w:hint="cs"/>
                <w:b/>
                <w:bCs/>
                <w:sz w:val="26"/>
                <w:szCs w:val="26"/>
                <w:rtl/>
              </w:rPr>
              <w:t xml:space="preserve"> אריאלה גואטה </w:t>
            </w:r>
          </w:p>
          <w:p w14:paraId="673A84EF" w14:textId="77777777" w:rsidR="00522154" w:rsidRPr="0003425E" w:rsidRDefault="00522154" w:rsidP="00465C3A">
            <w:pPr>
              <w:rPr>
                <w:rFonts w:ascii="Arial" w:hAnsi="Arial"/>
                <w:b/>
                <w:bCs/>
                <w:sz w:val="26"/>
                <w:szCs w:val="26"/>
                <w:rtl/>
              </w:rPr>
            </w:pPr>
          </w:p>
        </w:tc>
        <w:tc>
          <w:tcPr>
            <w:tcW w:w="3969" w:type="dxa"/>
            <w:gridSpan w:val="2"/>
            <w:tcBorders>
              <w:top w:val="nil"/>
              <w:left w:val="nil"/>
              <w:bottom w:val="nil"/>
              <w:right w:val="nil"/>
            </w:tcBorders>
            <w:shd w:val="clear" w:color="auto" w:fill="auto"/>
            <w:vAlign w:val="center"/>
          </w:tcPr>
          <w:p w14:paraId="4B0AAD33" w14:textId="77777777" w:rsidR="00522154" w:rsidRPr="0003425E" w:rsidRDefault="00522154" w:rsidP="00522154">
            <w:pPr>
              <w:suppressLineNumbers/>
              <w:rPr>
                <w:rFonts w:ascii="David" w:hAnsi="David"/>
                <w:sz w:val="26"/>
                <w:szCs w:val="26"/>
              </w:rPr>
            </w:pPr>
          </w:p>
        </w:tc>
      </w:tr>
    </w:tbl>
    <w:p w14:paraId="5C80E123" w14:textId="77777777" w:rsidR="0003425E" w:rsidRPr="0003181C" w:rsidRDefault="0003425E" w:rsidP="0003181C">
      <w:pPr>
        <w:pStyle w:val="aa"/>
        <w:tabs>
          <w:tab w:val="left" w:pos="-58"/>
        </w:tabs>
        <w:spacing w:before="100" w:beforeAutospacing="1" w:after="120" w:line="360" w:lineRule="auto"/>
        <w:ind w:left="360"/>
        <w:jc w:val="both"/>
        <w:rPr>
          <w:rFonts w:ascii="FrankRuehl" w:hAnsi="FrankRuehl" w:cs="FrankRuehl"/>
          <w:noProof/>
          <w:color w:val="0000FF"/>
          <w:sz w:val="28"/>
          <w:szCs w:val="28"/>
          <w:rtl/>
        </w:rPr>
      </w:pPr>
    </w:p>
    <w:p w14:paraId="5749EC55" w14:textId="77777777" w:rsidR="0003181C" w:rsidRPr="0003181C" w:rsidRDefault="0003181C" w:rsidP="0003181C">
      <w:pPr>
        <w:pStyle w:val="aa"/>
        <w:tabs>
          <w:tab w:val="left" w:pos="-58"/>
        </w:tabs>
        <w:spacing w:before="120" w:beforeAutospacing="1" w:after="120" w:line="240" w:lineRule="exact"/>
        <w:ind w:left="283" w:hanging="283"/>
        <w:jc w:val="both"/>
        <w:rPr>
          <w:rFonts w:ascii="FrankRuehl" w:hAnsi="FrankRuehl" w:cs="FrankRuehl"/>
          <w:noProof/>
          <w:rtl/>
        </w:rPr>
      </w:pPr>
    </w:p>
    <w:p w14:paraId="49FC52F1" w14:textId="77777777" w:rsidR="00FC6B34" w:rsidRPr="00FC6B34" w:rsidRDefault="00FC6B34" w:rsidP="00FC6B34">
      <w:pPr>
        <w:pStyle w:val="aa"/>
        <w:tabs>
          <w:tab w:val="left" w:pos="-58"/>
        </w:tabs>
        <w:spacing w:before="120" w:beforeAutospacing="1" w:after="120" w:line="240" w:lineRule="exact"/>
        <w:ind w:left="283" w:hanging="283"/>
        <w:jc w:val="both"/>
        <w:rPr>
          <w:rFonts w:ascii="FrankRuehl" w:hAnsi="FrankRuehl" w:cs="FrankRuehl"/>
          <w:noProof/>
          <w:rtl/>
        </w:rPr>
      </w:pPr>
    </w:p>
    <w:p w14:paraId="7006CE20" w14:textId="77777777" w:rsidR="00F12315" w:rsidRDefault="00F12315" w:rsidP="00F12315">
      <w:pPr>
        <w:pStyle w:val="aa"/>
        <w:tabs>
          <w:tab w:val="left" w:pos="-58"/>
        </w:tabs>
        <w:spacing w:before="100" w:beforeAutospacing="1" w:after="120" w:line="360" w:lineRule="auto"/>
        <w:ind w:left="360"/>
        <w:jc w:val="both"/>
        <w:rPr>
          <w:rFonts w:ascii="FrankRuehl" w:hAnsi="FrankRuehl" w:cs="FrankRuehl"/>
          <w:noProof/>
          <w:sz w:val="28"/>
          <w:szCs w:val="28"/>
          <w:rtl/>
        </w:rPr>
      </w:pPr>
      <w:bookmarkStart w:id="3" w:name="LawTable"/>
      <w:bookmarkEnd w:id="3"/>
    </w:p>
    <w:p w14:paraId="501E9504" w14:textId="77777777" w:rsidR="00F12315" w:rsidRPr="00F12315" w:rsidRDefault="00F12315" w:rsidP="00F12315">
      <w:pPr>
        <w:pStyle w:val="aa"/>
        <w:tabs>
          <w:tab w:val="left" w:pos="-58"/>
        </w:tabs>
        <w:spacing w:before="120" w:beforeAutospacing="1" w:after="120" w:line="240" w:lineRule="exact"/>
        <w:ind w:left="283" w:hanging="283"/>
        <w:jc w:val="both"/>
        <w:rPr>
          <w:rFonts w:ascii="FrankRuehl" w:hAnsi="FrankRuehl" w:cs="FrankRuehl"/>
          <w:noProof/>
          <w:rtl/>
        </w:rPr>
      </w:pPr>
    </w:p>
    <w:p w14:paraId="404789CD" w14:textId="77777777" w:rsidR="00F12315" w:rsidRPr="00F12315" w:rsidRDefault="00F12315" w:rsidP="00F12315">
      <w:pPr>
        <w:pStyle w:val="aa"/>
        <w:tabs>
          <w:tab w:val="left" w:pos="-58"/>
        </w:tabs>
        <w:spacing w:before="120" w:beforeAutospacing="1" w:after="120" w:line="240" w:lineRule="exact"/>
        <w:ind w:left="283" w:hanging="283"/>
        <w:jc w:val="both"/>
        <w:rPr>
          <w:rFonts w:ascii="FrankRuehl" w:hAnsi="FrankRuehl" w:cs="FrankRuehl"/>
          <w:noProof/>
          <w:rtl/>
        </w:rPr>
      </w:pPr>
    </w:p>
    <w:p w14:paraId="137E6507" w14:textId="77777777" w:rsidR="00F12315" w:rsidRPr="00F12315" w:rsidRDefault="00F12315" w:rsidP="00F12315">
      <w:pPr>
        <w:pStyle w:val="aa"/>
        <w:tabs>
          <w:tab w:val="left" w:pos="-58"/>
        </w:tabs>
        <w:spacing w:before="120" w:beforeAutospacing="1" w:after="120" w:line="240" w:lineRule="exact"/>
        <w:ind w:left="283" w:hanging="283"/>
        <w:jc w:val="both"/>
        <w:rPr>
          <w:rFonts w:ascii="FrankRuehl" w:hAnsi="FrankRuehl" w:cs="FrankRuehl"/>
          <w:noProof/>
          <w:rtl/>
        </w:rPr>
      </w:pPr>
      <w:r w:rsidRPr="00F12315">
        <w:rPr>
          <w:rFonts w:ascii="FrankRuehl" w:hAnsi="FrankRuehl" w:cs="FrankRuehl"/>
          <w:noProof/>
          <w:rtl/>
        </w:rPr>
        <w:t xml:space="preserve">חקיקה שאוזכרה: </w:t>
      </w:r>
    </w:p>
    <w:p w14:paraId="72F67211" w14:textId="77777777" w:rsidR="00F12315" w:rsidRPr="00F12315" w:rsidRDefault="00F12315" w:rsidP="00F12315">
      <w:pPr>
        <w:pStyle w:val="aa"/>
        <w:tabs>
          <w:tab w:val="left" w:pos="-58"/>
        </w:tabs>
        <w:spacing w:before="120" w:beforeAutospacing="1" w:after="120" w:line="240" w:lineRule="exact"/>
        <w:ind w:left="283" w:hanging="283"/>
        <w:jc w:val="both"/>
        <w:rPr>
          <w:rFonts w:ascii="FrankRuehl" w:hAnsi="FrankRuehl" w:cs="FrankRuehl"/>
          <w:noProof/>
          <w:rtl/>
        </w:rPr>
      </w:pPr>
      <w:hyperlink r:id="rId7" w:history="1">
        <w:r w:rsidRPr="00F12315">
          <w:rPr>
            <w:rFonts w:ascii="FrankRuehl" w:hAnsi="FrankRuehl" w:cs="FrankRuehl"/>
            <w:noProof/>
            <w:color w:val="0000FF"/>
            <w:rtl/>
          </w:rPr>
          <w:t>פקודת הסמים המסוכנים [נוסח חדש], תשל"ג-1973</w:t>
        </w:r>
      </w:hyperlink>
      <w:r w:rsidRPr="00F12315">
        <w:rPr>
          <w:rFonts w:ascii="FrankRuehl" w:hAnsi="FrankRuehl" w:cs="FrankRuehl"/>
          <w:noProof/>
          <w:rtl/>
        </w:rPr>
        <w:t xml:space="preserve">: סע'  </w:t>
      </w:r>
      <w:hyperlink r:id="rId8" w:history="1">
        <w:r w:rsidRPr="00F12315">
          <w:rPr>
            <w:rFonts w:ascii="FrankRuehl" w:hAnsi="FrankRuehl" w:cs="FrankRuehl"/>
            <w:noProof/>
            <w:color w:val="0000FF"/>
            <w:rtl/>
          </w:rPr>
          <w:t>7(א)</w:t>
        </w:r>
      </w:hyperlink>
      <w:r w:rsidRPr="00F12315">
        <w:rPr>
          <w:rFonts w:ascii="FrankRuehl" w:hAnsi="FrankRuehl" w:cs="FrankRuehl"/>
          <w:noProof/>
          <w:rtl/>
        </w:rPr>
        <w:t xml:space="preserve">, </w:t>
      </w:r>
      <w:hyperlink r:id="rId9" w:history="1">
        <w:r w:rsidRPr="00F12315">
          <w:rPr>
            <w:rFonts w:ascii="FrankRuehl" w:hAnsi="FrankRuehl" w:cs="FrankRuehl"/>
            <w:noProof/>
            <w:color w:val="0000FF"/>
            <w:rtl/>
          </w:rPr>
          <w:t>7(ג)</w:t>
        </w:r>
      </w:hyperlink>
      <w:r w:rsidRPr="00F12315">
        <w:rPr>
          <w:rFonts w:ascii="FrankRuehl" w:hAnsi="FrankRuehl" w:cs="FrankRuehl"/>
          <w:noProof/>
          <w:rtl/>
        </w:rPr>
        <w:t xml:space="preserve">, </w:t>
      </w:r>
      <w:hyperlink r:id="rId10" w:history="1">
        <w:r w:rsidRPr="00F12315">
          <w:rPr>
            <w:rFonts w:ascii="FrankRuehl" w:hAnsi="FrankRuehl" w:cs="FrankRuehl"/>
            <w:noProof/>
            <w:color w:val="0000FF"/>
            <w:rtl/>
          </w:rPr>
          <w:t>13</w:t>
        </w:r>
      </w:hyperlink>
      <w:r w:rsidRPr="00F12315">
        <w:rPr>
          <w:rFonts w:ascii="FrankRuehl" w:hAnsi="FrankRuehl" w:cs="FrankRuehl"/>
          <w:noProof/>
          <w:rtl/>
        </w:rPr>
        <w:t xml:space="preserve">, </w:t>
      </w:r>
      <w:hyperlink r:id="rId11" w:history="1">
        <w:r w:rsidRPr="00F12315">
          <w:rPr>
            <w:rFonts w:ascii="FrankRuehl" w:hAnsi="FrankRuehl" w:cs="FrankRuehl"/>
            <w:noProof/>
            <w:color w:val="0000FF"/>
            <w:rtl/>
          </w:rPr>
          <w:t>19.א</w:t>
        </w:r>
      </w:hyperlink>
      <w:r w:rsidRPr="00F12315">
        <w:rPr>
          <w:rFonts w:ascii="FrankRuehl" w:hAnsi="FrankRuehl" w:cs="FrankRuehl"/>
          <w:noProof/>
          <w:rtl/>
        </w:rPr>
        <w:t xml:space="preserve">, </w:t>
      </w:r>
      <w:hyperlink r:id="rId12" w:history="1">
        <w:r w:rsidRPr="00F12315">
          <w:rPr>
            <w:rFonts w:ascii="FrankRuehl" w:hAnsi="FrankRuehl" w:cs="FrankRuehl"/>
            <w:noProof/>
            <w:color w:val="0000FF"/>
            <w:rtl/>
          </w:rPr>
          <w:t>36 א(ב)</w:t>
        </w:r>
      </w:hyperlink>
    </w:p>
    <w:p w14:paraId="7382DCAD" w14:textId="77777777" w:rsidR="00F12315" w:rsidRPr="00F12315" w:rsidRDefault="00F12315" w:rsidP="00F12315">
      <w:pPr>
        <w:pStyle w:val="aa"/>
        <w:tabs>
          <w:tab w:val="left" w:pos="-58"/>
        </w:tabs>
        <w:spacing w:before="120" w:beforeAutospacing="1" w:after="120" w:line="240" w:lineRule="exact"/>
        <w:ind w:left="283" w:hanging="283"/>
        <w:jc w:val="both"/>
        <w:rPr>
          <w:rFonts w:ascii="FrankRuehl" w:hAnsi="FrankRuehl" w:cs="FrankRuehl"/>
          <w:noProof/>
          <w:rtl/>
        </w:rPr>
      </w:pPr>
      <w:hyperlink r:id="rId13" w:history="1">
        <w:r w:rsidRPr="00F12315">
          <w:rPr>
            <w:rFonts w:ascii="FrankRuehl" w:hAnsi="FrankRuehl" w:cs="FrankRuehl"/>
            <w:noProof/>
            <w:color w:val="0000FF"/>
            <w:rtl/>
          </w:rPr>
          <w:t>חוק העונשין, תשל"ז-1977</w:t>
        </w:r>
      </w:hyperlink>
      <w:r w:rsidRPr="00F12315">
        <w:rPr>
          <w:rFonts w:ascii="FrankRuehl" w:hAnsi="FrankRuehl" w:cs="FrankRuehl"/>
          <w:noProof/>
          <w:rtl/>
        </w:rPr>
        <w:t xml:space="preserve">: סע'  </w:t>
      </w:r>
      <w:hyperlink r:id="rId14" w:history="1">
        <w:r w:rsidRPr="00F12315">
          <w:rPr>
            <w:rFonts w:ascii="FrankRuehl" w:hAnsi="FrankRuehl" w:cs="FrankRuehl"/>
            <w:noProof/>
            <w:color w:val="0000FF"/>
            <w:rtl/>
          </w:rPr>
          <w:t>40יא'</w:t>
        </w:r>
      </w:hyperlink>
      <w:r w:rsidRPr="00F12315">
        <w:rPr>
          <w:rFonts w:ascii="FrankRuehl" w:hAnsi="FrankRuehl" w:cs="FrankRuehl"/>
          <w:noProof/>
          <w:rtl/>
        </w:rPr>
        <w:t xml:space="preserve">, </w:t>
      </w:r>
      <w:hyperlink r:id="rId15" w:history="1">
        <w:r w:rsidRPr="00F12315">
          <w:rPr>
            <w:rFonts w:ascii="FrankRuehl" w:hAnsi="FrankRuehl" w:cs="FrankRuehl"/>
            <w:noProof/>
            <w:color w:val="0000FF"/>
            <w:rtl/>
          </w:rPr>
          <w:t>40יג'</w:t>
        </w:r>
      </w:hyperlink>
    </w:p>
    <w:p w14:paraId="7E58C544" w14:textId="77777777" w:rsidR="00F12315" w:rsidRPr="00F12315" w:rsidRDefault="00F12315" w:rsidP="00F12315">
      <w:pPr>
        <w:pStyle w:val="aa"/>
        <w:tabs>
          <w:tab w:val="left" w:pos="-58"/>
        </w:tabs>
        <w:spacing w:before="100" w:beforeAutospacing="1" w:after="120" w:line="360" w:lineRule="auto"/>
        <w:ind w:left="360"/>
        <w:jc w:val="both"/>
        <w:rPr>
          <w:rFonts w:ascii="FrankRuehl" w:hAnsi="FrankRuehl" w:cs="FrankRuehl"/>
          <w:noProof/>
          <w:sz w:val="28"/>
          <w:szCs w:val="28"/>
          <w:rtl/>
        </w:rPr>
      </w:pPr>
      <w:bookmarkStart w:id="4" w:name="LawTable_End"/>
      <w:bookmarkEnd w:id="4"/>
    </w:p>
    <w:p w14:paraId="2E94BB9D" w14:textId="77777777" w:rsidR="00522154" w:rsidRPr="00FC6B34" w:rsidRDefault="00522154" w:rsidP="00FC6B34">
      <w:pPr>
        <w:pStyle w:val="aa"/>
        <w:tabs>
          <w:tab w:val="left" w:pos="-58"/>
        </w:tabs>
        <w:spacing w:before="100" w:beforeAutospacing="1" w:after="120" w:line="360" w:lineRule="auto"/>
        <w:ind w:left="360"/>
        <w:jc w:val="both"/>
        <w:rPr>
          <w:rFonts w:ascii="FrankRuehl" w:hAnsi="FrankRuehl" w:cs="FrankRuehl"/>
          <w:noProof/>
          <w:sz w:val="28"/>
          <w:szCs w:val="28"/>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522154" w14:paraId="02065DFE" w14:textId="77777777" w:rsidTr="00522154">
        <w:trPr>
          <w:trHeight w:val="355"/>
          <w:jc w:val="center"/>
        </w:trPr>
        <w:tc>
          <w:tcPr>
            <w:tcW w:w="8505" w:type="dxa"/>
            <w:tcBorders>
              <w:top w:val="nil"/>
              <w:left w:val="nil"/>
              <w:bottom w:val="nil"/>
              <w:right w:val="nil"/>
            </w:tcBorders>
            <w:shd w:val="clear" w:color="auto" w:fill="auto"/>
          </w:tcPr>
          <w:p w14:paraId="1AEE3DE5" w14:textId="77777777" w:rsidR="0003425E" w:rsidRPr="0003425E" w:rsidRDefault="0003425E" w:rsidP="0003425E">
            <w:pPr>
              <w:jc w:val="center"/>
              <w:rPr>
                <w:rFonts w:ascii="David" w:hAnsi="David"/>
                <w:b/>
                <w:bCs/>
                <w:sz w:val="32"/>
                <w:szCs w:val="32"/>
                <w:u w:val="single"/>
                <w:rtl/>
              </w:rPr>
            </w:pPr>
            <w:bookmarkStart w:id="5" w:name="PsakDin" w:colFirst="0" w:colLast="0"/>
            <w:bookmarkEnd w:id="0"/>
            <w:r w:rsidRPr="0003425E">
              <w:rPr>
                <w:rFonts w:ascii="David" w:hAnsi="David"/>
                <w:b/>
                <w:bCs/>
                <w:sz w:val="32"/>
                <w:szCs w:val="32"/>
                <w:u w:val="single"/>
                <w:rtl/>
              </w:rPr>
              <w:t>גזר דין</w:t>
            </w:r>
          </w:p>
          <w:p w14:paraId="40C93516" w14:textId="77777777" w:rsidR="00522154" w:rsidRPr="0003425E" w:rsidRDefault="00522154" w:rsidP="0003425E">
            <w:pPr>
              <w:jc w:val="center"/>
              <w:rPr>
                <w:rFonts w:ascii="David" w:hAnsi="David"/>
                <w:bCs/>
                <w:sz w:val="32"/>
                <w:szCs w:val="32"/>
                <w:u w:val="single"/>
                <w:rtl/>
              </w:rPr>
            </w:pPr>
          </w:p>
        </w:tc>
      </w:tr>
    </w:tbl>
    <w:p w14:paraId="49509A50"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bookmarkStart w:id="6" w:name="ABSTRACT_START"/>
      <w:bookmarkEnd w:id="5"/>
      <w:bookmarkEnd w:id="6"/>
      <w:r>
        <w:rPr>
          <w:rFonts w:cs="FrankRuehl"/>
          <w:sz w:val="28"/>
          <w:szCs w:val="28"/>
          <w:rtl/>
        </w:rPr>
        <w:t xml:space="preserve">הנאשם הורשע על פי הודאתו בביצוע ריבוי עבירות של </w:t>
      </w:r>
      <w:r>
        <w:rPr>
          <w:rFonts w:ascii="Miriam" w:hAnsi="Miriam" w:cs="Miriam"/>
          <w:rtl/>
        </w:rPr>
        <w:t>סחר בסם מסוכן</w:t>
      </w:r>
      <w:r>
        <w:rPr>
          <w:rFonts w:cs="FrankRuehl"/>
          <w:sz w:val="28"/>
          <w:szCs w:val="28"/>
          <w:rtl/>
        </w:rPr>
        <w:t xml:space="preserve"> – לפי סעיפים </w:t>
      </w:r>
      <w:hyperlink r:id="rId16" w:history="1">
        <w:r w:rsidR="0003181C" w:rsidRPr="0003181C">
          <w:rPr>
            <w:rStyle w:val="Hyperlink"/>
            <w:rFonts w:cs="FrankRuehl"/>
            <w:sz w:val="28"/>
            <w:szCs w:val="28"/>
            <w:rtl/>
          </w:rPr>
          <w:t>13 + 19(א)</w:t>
        </w:r>
      </w:hyperlink>
      <w:r>
        <w:rPr>
          <w:rFonts w:cs="FrankRuehl"/>
          <w:sz w:val="28"/>
          <w:szCs w:val="28"/>
          <w:rtl/>
        </w:rPr>
        <w:t xml:space="preserve"> ל</w:t>
      </w:r>
      <w:hyperlink r:id="rId17" w:history="1">
        <w:r w:rsidR="0003425E" w:rsidRPr="0003425E">
          <w:rPr>
            <w:rFonts w:cs="FrankRuehl" w:hint="cs"/>
            <w:color w:val="0000FF"/>
            <w:sz w:val="28"/>
            <w:szCs w:val="28"/>
            <w:u w:val="single"/>
            <w:rtl/>
          </w:rPr>
          <w:t>פקודת</w:t>
        </w:r>
        <w:r w:rsidR="0003425E" w:rsidRPr="0003425E">
          <w:rPr>
            <w:rFonts w:cs="FrankRuehl"/>
            <w:color w:val="0000FF"/>
            <w:sz w:val="28"/>
            <w:szCs w:val="28"/>
            <w:u w:val="single"/>
            <w:rtl/>
          </w:rPr>
          <w:t xml:space="preserve"> </w:t>
        </w:r>
        <w:r w:rsidR="0003425E" w:rsidRPr="0003425E">
          <w:rPr>
            <w:rFonts w:cs="FrankRuehl" w:hint="cs"/>
            <w:color w:val="0000FF"/>
            <w:sz w:val="28"/>
            <w:szCs w:val="28"/>
            <w:u w:val="single"/>
            <w:rtl/>
          </w:rPr>
          <w:t>הסמים</w:t>
        </w:r>
        <w:r w:rsidR="0003425E" w:rsidRPr="0003425E">
          <w:rPr>
            <w:rFonts w:cs="FrankRuehl"/>
            <w:color w:val="0000FF"/>
            <w:sz w:val="28"/>
            <w:szCs w:val="28"/>
            <w:u w:val="single"/>
            <w:rtl/>
          </w:rPr>
          <w:t xml:space="preserve"> </w:t>
        </w:r>
        <w:r w:rsidR="0003425E" w:rsidRPr="0003425E">
          <w:rPr>
            <w:rFonts w:cs="FrankRuehl" w:hint="cs"/>
            <w:color w:val="0000FF"/>
            <w:sz w:val="28"/>
            <w:szCs w:val="28"/>
            <w:u w:val="single"/>
            <w:rtl/>
          </w:rPr>
          <w:t>המסוכנים</w:t>
        </w:r>
      </w:hyperlink>
      <w:r>
        <w:rPr>
          <w:rFonts w:cs="FrankRuehl"/>
          <w:sz w:val="28"/>
          <w:szCs w:val="28"/>
        </w:rPr>
        <w:t xml:space="preserve">] </w:t>
      </w:r>
      <w:r>
        <w:rPr>
          <w:rFonts w:cs="FrankRuehl"/>
          <w:sz w:val="28"/>
          <w:szCs w:val="28"/>
          <w:rtl/>
        </w:rPr>
        <w:t>נוסח חדש], התשל"ג–1973</w:t>
      </w:r>
      <w:r>
        <w:rPr>
          <w:rFonts w:ascii="Miriam" w:hAnsi="Miriam" w:cs="Miriam"/>
          <w:rtl/>
        </w:rPr>
        <w:t xml:space="preserve"> (</w:t>
      </w:r>
      <w:r>
        <w:rPr>
          <w:rFonts w:cs="FrankRuehl"/>
          <w:sz w:val="28"/>
          <w:szCs w:val="28"/>
          <w:rtl/>
        </w:rPr>
        <w:t xml:space="preserve">להלן: </w:t>
      </w:r>
      <w:r>
        <w:rPr>
          <w:rFonts w:ascii="Miriam" w:hAnsi="Miriam" w:cs="Miriam"/>
          <w:rtl/>
        </w:rPr>
        <w:t>פקודת הסמים המסוכנים</w:t>
      </w:r>
      <w:r>
        <w:rPr>
          <w:rFonts w:cs="FrankRuehl"/>
          <w:sz w:val="28"/>
          <w:szCs w:val="28"/>
          <w:rtl/>
        </w:rPr>
        <w:t xml:space="preserve">); </w:t>
      </w:r>
      <w:r>
        <w:rPr>
          <w:rFonts w:ascii="Miriam" w:hAnsi="Miriam" w:cs="Miriam"/>
          <w:rtl/>
        </w:rPr>
        <w:t>החזקת סם שלא לצריכה עצמית</w:t>
      </w:r>
      <w:r>
        <w:rPr>
          <w:rFonts w:cs="FrankRuehl"/>
          <w:sz w:val="28"/>
          <w:szCs w:val="28"/>
          <w:rtl/>
        </w:rPr>
        <w:t xml:space="preserve"> – לפי </w:t>
      </w:r>
      <w:hyperlink r:id="rId18" w:history="1">
        <w:r w:rsidR="0003181C" w:rsidRPr="0003181C">
          <w:rPr>
            <w:rStyle w:val="Hyperlink"/>
            <w:rFonts w:cs="FrankRuehl"/>
            <w:sz w:val="28"/>
            <w:szCs w:val="28"/>
            <w:rtl/>
          </w:rPr>
          <w:t>סעיף 7(א)</w:t>
        </w:r>
      </w:hyperlink>
      <w:r>
        <w:rPr>
          <w:rFonts w:cs="FrankRuehl"/>
          <w:sz w:val="28"/>
          <w:szCs w:val="28"/>
          <w:rtl/>
        </w:rPr>
        <w:t xml:space="preserve"> + </w:t>
      </w:r>
      <w:hyperlink r:id="rId19" w:history="1">
        <w:r w:rsidR="0003181C" w:rsidRPr="0003181C">
          <w:rPr>
            <w:rStyle w:val="Hyperlink"/>
            <w:rFonts w:cs="FrankRuehl"/>
            <w:sz w:val="28"/>
            <w:szCs w:val="28"/>
            <w:rtl/>
          </w:rPr>
          <w:t>7(ג)</w:t>
        </w:r>
      </w:hyperlink>
      <w:r>
        <w:rPr>
          <w:rFonts w:cs="FrankRuehl"/>
          <w:sz w:val="28"/>
          <w:szCs w:val="28"/>
          <w:rtl/>
        </w:rPr>
        <w:t xml:space="preserve"> סייפא לפקודת הסמים המסוכנים. </w:t>
      </w:r>
    </w:p>
    <w:p w14:paraId="343CBC04" w14:textId="77777777" w:rsidR="00522154" w:rsidRDefault="00522154" w:rsidP="00522154">
      <w:pPr>
        <w:pStyle w:val="aa"/>
        <w:tabs>
          <w:tab w:val="left" w:pos="-58"/>
        </w:tabs>
        <w:spacing w:before="100" w:beforeAutospacing="1" w:after="120"/>
        <w:ind w:left="-58"/>
        <w:jc w:val="both"/>
        <w:rPr>
          <w:rFonts w:ascii="FrankRuehl" w:hAnsi="FrankRuehl" w:cs="FrankRuehl"/>
          <w:noProof/>
          <w:sz w:val="28"/>
          <w:szCs w:val="28"/>
        </w:rPr>
      </w:pPr>
      <w:bookmarkStart w:id="7" w:name="ABSTRACT_END"/>
      <w:bookmarkEnd w:id="7"/>
    </w:p>
    <w:p w14:paraId="1905C4D7"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בין הצדדים לא גובשה הסכמה לעניין העונש שראוי שיושת על הנאשם וכל צד טען כראות עיניו וכמיטב שיקול דעתו המקצועי. </w:t>
      </w:r>
    </w:p>
    <w:p w14:paraId="0D5D285A" w14:textId="77777777" w:rsidR="00522154" w:rsidRPr="00E77075" w:rsidRDefault="00522154" w:rsidP="00522154">
      <w:pPr>
        <w:pStyle w:val="aa"/>
        <w:rPr>
          <w:rFonts w:ascii="FrankRuehl" w:hAnsi="FrankRuehl" w:cs="FrankRuehl"/>
          <w:noProof/>
          <w:sz w:val="28"/>
          <w:szCs w:val="28"/>
          <w:rtl/>
        </w:rPr>
      </w:pPr>
    </w:p>
    <w:p w14:paraId="49E1B9AB" w14:textId="77777777" w:rsidR="00522154" w:rsidRDefault="00522154" w:rsidP="00522154">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עובדות כתב האישום המתוקן ובתמצית </w:t>
      </w:r>
    </w:p>
    <w:p w14:paraId="739CBF11" w14:textId="77777777" w:rsidR="00522154" w:rsidRDefault="00522154" w:rsidP="00522154">
      <w:pPr>
        <w:pStyle w:val="aa"/>
        <w:tabs>
          <w:tab w:val="left" w:pos="-58"/>
        </w:tabs>
        <w:spacing w:before="100" w:beforeAutospacing="1" w:after="120"/>
        <w:ind w:left="-58"/>
        <w:jc w:val="both"/>
        <w:rPr>
          <w:rFonts w:ascii="Miriam" w:hAnsi="Miriam" w:cs="Miriam"/>
          <w:rtl/>
        </w:rPr>
      </w:pPr>
    </w:p>
    <w:p w14:paraId="5F5AE93B"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Miriam" w:hAnsi="Miriam" w:cs="Miriam"/>
          <w:rtl/>
        </w:rPr>
      </w:pPr>
      <w:r>
        <w:rPr>
          <w:rFonts w:ascii="FrankRuehl" w:hAnsi="FrankRuehl" w:cs="FrankRuehl"/>
          <w:noProof/>
          <w:sz w:val="28"/>
          <w:szCs w:val="28"/>
          <w:rtl/>
        </w:rPr>
        <w:lastRenderedPageBreak/>
        <w:t xml:space="preserve">לפי כתב האישום, ביום 10.6.2023 וביום 11.6.2023, פנו לנאשם 8 קונים באמצעות היישומון הטלגרם, ביקשו לרכוש ממנו סם מסוכן מסוג קנבוס, תיאמו עמו את פרטי עסקת הסמים ובכלל זה, כמות הסם, מחיר הסם וכן כתובת לאספקת המשלוח. סמוך לאחר ביצוע ההזמנות, הגיע הנאשם ברכבו לכתובות שמסרו לו הקונים באמצעות ומסר להם את הסם בתמורה לתשלום במזומן. בשיטה זו מכר הנאשם בסה"כ 80-90 גרם נטו סם מסוכן מסוג קנבוס וקיבל בתמורה סך 6,000 ₪. </w:t>
      </w:r>
    </w:p>
    <w:p w14:paraId="3DB27897" w14:textId="77777777" w:rsidR="00522154" w:rsidRDefault="00522154" w:rsidP="00522154">
      <w:pPr>
        <w:pStyle w:val="aa"/>
        <w:tabs>
          <w:tab w:val="left" w:pos="-58"/>
        </w:tabs>
        <w:spacing w:before="100" w:beforeAutospacing="1" w:after="120"/>
        <w:ind w:left="-58"/>
        <w:jc w:val="both"/>
        <w:rPr>
          <w:rFonts w:ascii="Miriam" w:hAnsi="Miriam" w:cs="Miriam"/>
        </w:rPr>
      </w:pPr>
    </w:p>
    <w:p w14:paraId="02C911E0"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FrankRuehl" w:hAnsi="FrankRuehl" w:cs="FrankRuehl"/>
          <w:noProof/>
          <w:sz w:val="28"/>
          <w:szCs w:val="28"/>
          <w:rtl/>
        </w:rPr>
        <w:t xml:space="preserve">ביום 11.6.2023 בשעה 23:20 או בסמוך, החזיק הנאשם ברכב סם מסוכן מסוג קנביס במשקל 191.88 גרם מחולק לשקיות במושב הימני הקדמי, מתחת למושב הנהג ומתחת למושב הימני הקדמי ברכב. כמו כן, בתוך משענת היד הצמודה למושב הנהג החזיק הנאשם כסף מזומן בסך 6,620 ₪. </w:t>
      </w:r>
    </w:p>
    <w:p w14:paraId="76BF69C1" w14:textId="77777777" w:rsidR="00522154" w:rsidRDefault="00522154" w:rsidP="00522154">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ראיות לעונש </w:t>
      </w:r>
    </w:p>
    <w:p w14:paraId="284917D7" w14:textId="77777777" w:rsidR="00522154" w:rsidRDefault="00522154" w:rsidP="00522154">
      <w:pPr>
        <w:pStyle w:val="aa"/>
        <w:rPr>
          <w:rFonts w:ascii="Miriam" w:hAnsi="Miriam" w:cs="Miriam"/>
        </w:rPr>
      </w:pPr>
    </w:p>
    <w:p w14:paraId="17244DED"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tl/>
        </w:rPr>
      </w:pPr>
      <w:r>
        <w:rPr>
          <w:rFonts w:ascii="FrankRuehl" w:hAnsi="FrankRuehl" w:cs="FrankRuehl"/>
          <w:noProof/>
          <w:sz w:val="28"/>
          <w:szCs w:val="28"/>
          <w:rtl/>
        </w:rPr>
        <w:t xml:space="preserve">אביו של הנאשם העיד בשבחו של הנאשם וסיפר על תפקודו התקין עובר למעצרו, והסביר את ביצוע העבירות על רקע התמכרות להימורים. האב ביקש את התחשבות בית המשפט בגזירת הדין. </w:t>
      </w:r>
    </w:p>
    <w:p w14:paraId="66CE4720" w14:textId="77777777" w:rsidR="00522154" w:rsidRDefault="00522154" w:rsidP="00522154">
      <w:pPr>
        <w:tabs>
          <w:tab w:val="left" w:pos="-58"/>
        </w:tabs>
        <w:spacing w:before="100" w:beforeAutospacing="1" w:after="120" w:line="360" w:lineRule="auto"/>
        <w:ind w:left="-58"/>
        <w:jc w:val="both"/>
        <w:rPr>
          <w:rFonts w:ascii="Miriam" w:hAnsi="Miriam" w:cs="Miriam"/>
        </w:rPr>
      </w:pPr>
      <w:r>
        <w:rPr>
          <w:rFonts w:ascii="Miriam" w:hAnsi="Miriam" w:cs="Miriam"/>
          <w:rtl/>
        </w:rPr>
        <w:t>טיעוני הצדדים לעונש</w:t>
      </w:r>
    </w:p>
    <w:p w14:paraId="128B8226"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ב"כ המאשימה</w:t>
      </w:r>
      <w:r>
        <w:rPr>
          <w:rFonts w:cs="FrankRuehl"/>
          <w:sz w:val="28"/>
          <w:szCs w:val="28"/>
          <w:rtl/>
        </w:rPr>
        <w:t xml:space="preserve"> עמדה בטיעוניה על הערכים החברתיים המוגנים שנפגעו כתוצאה מביצוע העבירות בהן הורשע הנאשם ובהם הגנה על שלמות גופו ובטחונו ובריאותו של הציבור בפרט נוכח היותו של נגע הסמים כמחולל פשיעה. חומרה יתרה ביקשה המאשימה לראות במעשיו של הנאשם אשר ממוקם בראש שרשרת הפצת הסם, בעל נגישות לכמויות סמים גדולות, ומכירת הסמים בהזדמנויות שונות, לקונים שונים, תמורת סכומי כסף משתנים, וכל זאת מתאוות בצע. בנסיבות העניין ובהינתן ריבוי המקרים, סבורה המאשימה כי נכון וראוי לקבוע מתחם ענישה בגין כל אישום בנפרד שיעמוד על 12-6 חודשים ועתרה לגזור עליו עונש מאסר כולל בן 22 חודשים וענישה נלווית. עמדתה זו תמכה בפסקי דין שעוסקים בעבירות סחר בסמים בנסיבות דומות.  </w:t>
      </w:r>
    </w:p>
    <w:p w14:paraId="0D0CB863" w14:textId="77777777" w:rsidR="00522154" w:rsidRPr="00E77075" w:rsidRDefault="00522154" w:rsidP="00522154">
      <w:pPr>
        <w:pStyle w:val="aa"/>
        <w:tabs>
          <w:tab w:val="left" w:pos="-58"/>
        </w:tabs>
        <w:spacing w:before="100" w:beforeAutospacing="1" w:after="120"/>
        <w:ind w:left="-58"/>
        <w:jc w:val="both"/>
        <w:rPr>
          <w:rFonts w:cs="FrankRuehl"/>
          <w:sz w:val="28"/>
          <w:szCs w:val="28"/>
        </w:rPr>
      </w:pPr>
    </w:p>
    <w:p w14:paraId="3C0A5381"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ב"כ הנאשם</w:t>
      </w:r>
      <w:r>
        <w:rPr>
          <w:rFonts w:ascii="Corbel" w:hAnsi="Corbel" w:cs="FrankRuehl"/>
          <w:rtl/>
        </w:rPr>
        <w:t xml:space="preserve"> </w:t>
      </w:r>
      <w:r>
        <w:rPr>
          <w:rFonts w:cs="FrankRuehl"/>
          <w:sz w:val="28"/>
          <w:szCs w:val="28"/>
          <w:rtl/>
        </w:rPr>
        <w:t xml:space="preserve">הסתייגה מהמתחם לו עותרת המאשימה בהיותו מחמיר יתר על המידה ואינו הולם את נסיבות ביצוע העבירה ומדיניות הענישה הנהוגה. בתוך כך נטען כי לנוכח הזיקה בין המעשים וסמיכות הזמנים בין מקרה סחר למשנהו, יש לקבוע מתחם ענישה אחד. כן ביקשה ב"כ הנאשם לשים דגש על זהות הקונים, סוג הסם והסכומים שהתקבלו בגינם. בנסיבות אלו, אליבא ההגנה את מתחם הענישה יש לקבוע בין 6 ועד 24 חודשי מאסר וענישה נלווית. </w:t>
      </w:r>
    </w:p>
    <w:p w14:paraId="733255C6" w14:textId="77777777" w:rsidR="00522154" w:rsidRPr="00E77075" w:rsidRDefault="00522154" w:rsidP="00522154">
      <w:pPr>
        <w:pStyle w:val="aa"/>
        <w:tabs>
          <w:tab w:val="left" w:pos="-58"/>
        </w:tabs>
        <w:spacing w:before="100" w:beforeAutospacing="1" w:after="120"/>
        <w:ind w:left="-58"/>
        <w:jc w:val="both"/>
        <w:rPr>
          <w:rFonts w:cs="FrankRuehl"/>
          <w:sz w:val="28"/>
          <w:szCs w:val="28"/>
        </w:rPr>
      </w:pPr>
    </w:p>
    <w:p w14:paraId="6D118BEE"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באשר לקביעת העונש בגדרי המתחם, הפנתה ב</w:t>
      </w:r>
      <w:r>
        <w:rPr>
          <w:rFonts w:cs="FrankRuehl" w:hint="cs"/>
          <w:sz w:val="28"/>
          <w:szCs w:val="28"/>
          <w:rtl/>
        </w:rPr>
        <w:t xml:space="preserve">"כ </w:t>
      </w:r>
      <w:r>
        <w:rPr>
          <w:rFonts w:cs="FrankRuehl"/>
          <w:sz w:val="28"/>
          <w:szCs w:val="28"/>
          <w:rtl/>
        </w:rPr>
        <w:t xml:space="preserve">הנאשם לנסיבות המצדיקות השתת עונש מתון הנמצא בתחתית המתחם, ובין אלו מנתה את ההודאה ולקיחת האחריות, החיסכון בזמן שיפוטי, גילו של הנאשם, העדר הרשעות קודמות, תפקודו התקין בין כותלי הכלא והמאמץ שמשקיע לקדם את מצבו לטובה. </w:t>
      </w:r>
    </w:p>
    <w:p w14:paraId="5532252B" w14:textId="77777777" w:rsidR="00522154" w:rsidRPr="00E77075" w:rsidRDefault="00522154" w:rsidP="00522154">
      <w:pPr>
        <w:pStyle w:val="aa"/>
        <w:rPr>
          <w:rFonts w:cs="FrankRuehl"/>
          <w:sz w:val="28"/>
          <w:szCs w:val="28"/>
          <w:rtl/>
        </w:rPr>
      </w:pPr>
    </w:p>
    <w:p w14:paraId="7FC8B843"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מטעמים אלו, העונש הראוי לנאשם, כך לדברי באת כוחו, מצוי בתחתית המתחם והוא אינו צריך לעלות על תקופת מעצרו, דהיינו כ- 6 חודשים.   </w:t>
      </w:r>
    </w:p>
    <w:p w14:paraId="5251D3C8" w14:textId="77777777" w:rsidR="00522154" w:rsidRPr="00E77075" w:rsidRDefault="00522154" w:rsidP="00522154">
      <w:pPr>
        <w:pStyle w:val="aa"/>
        <w:rPr>
          <w:rFonts w:cs="FrankRuehl"/>
          <w:sz w:val="28"/>
          <w:szCs w:val="28"/>
          <w:rtl/>
        </w:rPr>
      </w:pPr>
    </w:p>
    <w:p w14:paraId="283679CC"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הנאשם בדברו האחרון</w:t>
      </w:r>
      <w:r>
        <w:rPr>
          <w:rFonts w:cs="FrankRuehl"/>
          <w:sz w:val="28"/>
          <w:szCs w:val="28"/>
          <w:rtl/>
        </w:rPr>
        <w:t xml:space="preserve"> אמר את הדברים הבאים: "אני לוקח אחריות, מצטער על זה, אני עושה טיפול בבית הסוהר ומחוץ לבית הסוהר".</w:t>
      </w:r>
    </w:p>
    <w:p w14:paraId="4CEB4E4A" w14:textId="77777777" w:rsidR="00522154" w:rsidRDefault="00522154" w:rsidP="00522154">
      <w:pPr>
        <w:pStyle w:val="aa"/>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7A275C26" w14:textId="77777777" w:rsidR="00522154" w:rsidRPr="00E77075" w:rsidRDefault="00522154" w:rsidP="00522154">
      <w:pPr>
        <w:pStyle w:val="aa"/>
        <w:tabs>
          <w:tab w:val="left" w:pos="-58"/>
        </w:tabs>
        <w:spacing w:before="100" w:beforeAutospacing="1" w:after="120"/>
        <w:ind w:left="-58"/>
        <w:jc w:val="both"/>
        <w:rPr>
          <w:rFonts w:cs="FrankRuehl"/>
          <w:sz w:val="28"/>
          <w:szCs w:val="28"/>
        </w:rPr>
      </w:pPr>
    </w:p>
    <w:p w14:paraId="530713E4"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טרם אדרש לקביעת מתחם העונש ההולם, יש לבחון האם העבירות שביצע הנאשם מהוות אירוע אחד או שמא עסקינן במספר אירועים נפרדים. ככל שייקבע כי מדובר בכמה אירועים, יש לקבוע מתחם עונש הולם לכל אירוע בנפרד ולאחר מכן רשאי בית המשפט לקבוע עונש נפרד לכל אירוע (יחד עם הקביעה האם ירוצו העונשים בחופף או במצטבר) או לחלופין, עונש אחד לכלל האירועים שבנידון (</w:t>
      </w:r>
      <w:hyperlink r:id="rId20" w:history="1">
        <w:r w:rsidR="0003181C" w:rsidRPr="0003181C">
          <w:rPr>
            <w:rStyle w:val="Hyperlink"/>
            <w:rFonts w:ascii="FrankRuehl" w:hAnsi="FrankRuehl" w:cs="FrankRuehl"/>
            <w:sz w:val="28"/>
            <w:szCs w:val="28"/>
            <w:rtl/>
          </w:rPr>
          <w:t>סעיף 40יג'</w:t>
        </w:r>
      </w:hyperlink>
      <w:r>
        <w:rPr>
          <w:rFonts w:ascii="FrankRuehl" w:hAnsi="FrankRuehl" w:cs="FrankRuehl"/>
          <w:sz w:val="28"/>
          <w:szCs w:val="28"/>
          <w:rtl/>
        </w:rPr>
        <w:t xml:space="preserve"> ל</w:t>
      </w:r>
      <w:hyperlink r:id="rId21" w:history="1">
        <w:r w:rsidR="0003425E" w:rsidRPr="0003425E">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ההלכות שנקבעו בעניין הגדרת המונח "אירוע" ידועות ומוכרות ולא מצאתי לחזור על הדברים (ראו </w:t>
      </w:r>
      <w:hyperlink r:id="rId22" w:history="1">
        <w:r w:rsidR="0003425E" w:rsidRPr="0003425E">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rtl/>
        </w:rPr>
        <w:t>ג'אבר נ' מדינת ישראל</w:t>
      </w:r>
      <w:r>
        <w:rPr>
          <w:rFonts w:ascii="FrankRuehl" w:hAnsi="FrankRuehl" w:cs="FrankRuehl"/>
          <w:rtl/>
        </w:rPr>
        <w:t xml:space="preserve"> </w:t>
      </w:r>
      <w:r>
        <w:rPr>
          <w:rFonts w:ascii="FrankRuehl" w:hAnsi="FrankRuehl" w:cs="FrankRuehl"/>
          <w:sz w:val="28"/>
          <w:szCs w:val="28"/>
          <w:rtl/>
        </w:rPr>
        <w:t xml:space="preserve">(29.10.2021), </w:t>
      </w:r>
      <w:hyperlink r:id="rId23" w:history="1">
        <w:r w:rsidR="0003425E" w:rsidRPr="0003425E">
          <w:rPr>
            <w:rFonts w:ascii="FrankRuehl" w:hAnsi="FrankRuehl" w:cs="FrankRuehl"/>
            <w:color w:val="0000FF"/>
            <w:sz w:val="28"/>
            <w:szCs w:val="28"/>
            <w:u w:val="single"/>
            <w:rtl/>
          </w:rPr>
          <w:t>ע"פ 5643/14</w:t>
        </w:r>
      </w:hyperlink>
      <w:r>
        <w:rPr>
          <w:rFonts w:ascii="FrankRuehl" w:hAnsi="FrankRuehl" w:cs="FrankRuehl"/>
          <w:sz w:val="28"/>
          <w:szCs w:val="28"/>
          <w:rtl/>
        </w:rPr>
        <w:t xml:space="preserve"> </w:t>
      </w:r>
      <w:r>
        <w:rPr>
          <w:rFonts w:ascii="Miriam" w:hAnsi="Miriam" w:cs="Miriam"/>
          <w:rtl/>
        </w:rPr>
        <w:t>עיסא נ' מדינת ישראל</w:t>
      </w:r>
      <w:r>
        <w:rPr>
          <w:rFonts w:ascii="FrankRuehl" w:hAnsi="FrankRuehl" w:cs="FrankRuehl"/>
          <w:rtl/>
        </w:rPr>
        <w:t xml:space="preserve"> </w:t>
      </w:r>
      <w:r>
        <w:rPr>
          <w:rFonts w:ascii="FrankRuehl" w:hAnsi="FrankRuehl" w:cs="FrankRuehl"/>
          <w:sz w:val="28"/>
          <w:szCs w:val="28"/>
          <w:rtl/>
        </w:rPr>
        <w:t xml:space="preserve">(24.6.2015), </w:t>
      </w:r>
      <w:hyperlink r:id="rId24" w:history="1">
        <w:r w:rsidR="0003425E" w:rsidRPr="0003425E">
          <w:rPr>
            <w:rFonts w:ascii="FrankRuehl" w:hAnsi="FrankRuehl" w:cs="FrankRuehl"/>
            <w:color w:val="0000FF"/>
            <w:sz w:val="28"/>
            <w:szCs w:val="28"/>
            <w:u w:val="single"/>
            <w:rtl/>
          </w:rPr>
          <w:t>ע"פ 2519/14</w:t>
        </w:r>
      </w:hyperlink>
      <w:r>
        <w:rPr>
          <w:rFonts w:ascii="FrankRuehl" w:hAnsi="FrankRuehl" w:cs="FrankRuehl"/>
          <w:sz w:val="28"/>
          <w:szCs w:val="28"/>
          <w:rtl/>
        </w:rPr>
        <w:t xml:space="preserve"> </w:t>
      </w:r>
      <w:r>
        <w:rPr>
          <w:rFonts w:ascii="Miriam" w:hAnsi="Miriam" w:cs="Miriam"/>
          <w:rtl/>
        </w:rPr>
        <w:t>אבו קיעאן נ' מדינת ישראל</w:t>
      </w:r>
      <w:r>
        <w:rPr>
          <w:rFonts w:ascii="FrankRuehl" w:hAnsi="FrankRuehl" w:cs="FrankRuehl"/>
          <w:sz w:val="28"/>
          <w:szCs w:val="28"/>
          <w:rtl/>
        </w:rPr>
        <w:t xml:space="preserve"> (29.12.2014), 1261/15 </w:t>
      </w:r>
      <w:r>
        <w:rPr>
          <w:rFonts w:ascii="Miriam" w:hAnsi="Miriam" w:cs="Miriam"/>
          <w:rtl/>
        </w:rPr>
        <w:t xml:space="preserve">דלאל נ' מדינת ישראל </w:t>
      </w:r>
      <w:r>
        <w:rPr>
          <w:rFonts w:ascii="FrankRuehl" w:hAnsi="FrankRuehl" w:cs="FrankRuehl"/>
          <w:sz w:val="28"/>
          <w:szCs w:val="28"/>
          <w:rtl/>
        </w:rPr>
        <w:t>(13.9.2015)).</w:t>
      </w:r>
      <w:r>
        <w:rPr>
          <w:rFonts w:ascii="Miriam" w:hAnsi="Miriam" w:cs="Miriam"/>
          <w:rtl/>
        </w:rPr>
        <w:t xml:space="preserve"> </w:t>
      </w:r>
    </w:p>
    <w:p w14:paraId="5192F5DB" w14:textId="77777777" w:rsidR="00522154" w:rsidRPr="00E77075" w:rsidRDefault="00522154" w:rsidP="00522154">
      <w:pPr>
        <w:pStyle w:val="aa"/>
        <w:tabs>
          <w:tab w:val="left" w:pos="-58"/>
        </w:tabs>
        <w:spacing w:before="100" w:beforeAutospacing="1" w:after="120"/>
        <w:ind w:left="-58"/>
        <w:jc w:val="both"/>
        <w:rPr>
          <w:rFonts w:cs="FrankRuehl"/>
          <w:sz w:val="28"/>
          <w:szCs w:val="28"/>
        </w:rPr>
      </w:pPr>
    </w:p>
    <w:p w14:paraId="0DEEBF35"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במחלוקת בין הצדדים, מצאתי להעדיף את עמדת ההגנה ולקבוע מתחם ענישה אחד לכלל האישומים. עסקינן במספר עסקאות סמים שבוצעו בסמיכות זמנים, בעלות מאפיינים דומים ובוצעו ובאותה שיטה. לנוכח הזיקה בין העסקאות השונות יש לראות בהן אירוע עברייני אחד תוך התחשבות לצורך קביעת גבולות המתחם </w:t>
      </w:r>
      <w:r>
        <w:rPr>
          <w:rFonts w:ascii="FrankRuehl" w:hAnsi="FrankRuehl" w:cs="Miriam"/>
          <w:rtl/>
        </w:rPr>
        <w:t>במספר המעשים העברייניים</w:t>
      </w:r>
      <w:r>
        <w:rPr>
          <w:rFonts w:ascii="FrankRuehl" w:hAnsi="FrankRuehl" w:cs="FrankRuehl"/>
          <w:sz w:val="28"/>
          <w:szCs w:val="28"/>
          <w:rtl/>
        </w:rPr>
        <w:t xml:space="preserve"> המרכיבים את אותו "אירוע" תוך התחשבות במספר העסקאות, סוג הסם, מספר הקונים, זהות הקונים (בגירים או קטינים) ואורך התקופה בה בוצעו העסקאות. במובן זה, העובדה שהאירוע כולל כמה מעשים משווה לו מידה נוספת של חומרה. </w:t>
      </w:r>
    </w:p>
    <w:p w14:paraId="1B2A1645" w14:textId="77777777" w:rsidR="00522154" w:rsidRPr="00E77075" w:rsidRDefault="00522154" w:rsidP="00522154">
      <w:pPr>
        <w:pStyle w:val="aa"/>
        <w:tabs>
          <w:tab w:val="left" w:pos="-58"/>
        </w:tabs>
        <w:spacing w:before="100" w:beforeAutospacing="1" w:after="120"/>
        <w:ind w:left="-58"/>
        <w:jc w:val="both"/>
        <w:rPr>
          <w:rFonts w:cs="FrankRuehl"/>
          <w:sz w:val="28"/>
          <w:szCs w:val="28"/>
        </w:rPr>
      </w:pPr>
    </w:p>
    <w:p w14:paraId="38A50984"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FrankRuehl" w:hAnsi="FrankRuehl" w:cs="FrankRuehl"/>
          <w:sz w:val="28"/>
          <w:szCs w:val="28"/>
          <w:rtl/>
        </w:rPr>
        <w:t xml:space="preserve">זאת ועוד, כאשר ישנו דמיון רב בין המקרים, קביעת מתחמים נפרדים נראית מלאכותית ועשויה להביא לסרבול גזר הדין, ליצור תחושה של "התחשבנות" וקביעת תעריפון לכל עבירה ובאופן שיהיה בו לטעמי להחטיא את עקרון ההלימה. דברים אלו נכונים בפרט שעתירתם המשותפת של הצדדים היא להשתת עונש אחד שיהלום את מעשיו של הנאשם בכללותם.  </w:t>
      </w:r>
    </w:p>
    <w:p w14:paraId="2E6AEC7D" w14:textId="77777777" w:rsidR="00522154" w:rsidRDefault="00522154" w:rsidP="00522154">
      <w:pPr>
        <w:pStyle w:val="aa"/>
        <w:tabs>
          <w:tab w:val="left" w:pos="-58"/>
        </w:tabs>
        <w:spacing w:before="100" w:beforeAutospacing="1" w:after="120"/>
        <w:ind w:left="-58"/>
        <w:jc w:val="both"/>
        <w:rPr>
          <w:rFonts w:ascii="Miriam" w:hAnsi="Miriam" w:cs="Miriam"/>
          <w:rtl/>
        </w:rPr>
      </w:pPr>
    </w:p>
    <w:p w14:paraId="56FF4197" w14:textId="77777777" w:rsidR="00522154" w:rsidRDefault="00522154" w:rsidP="00522154">
      <w:pPr>
        <w:pStyle w:val="aa"/>
        <w:tabs>
          <w:tab w:val="left" w:pos="-58"/>
        </w:tabs>
        <w:spacing w:before="100" w:beforeAutospacing="1" w:after="120" w:line="360" w:lineRule="auto"/>
        <w:ind w:left="-58"/>
        <w:jc w:val="both"/>
        <w:rPr>
          <w:rFonts w:ascii="Miriam" w:hAnsi="Miriam" w:cs="Miriam"/>
        </w:rPr>
      </w:pPr>
      <w:r>
        <w:rPr>
          <w:rFonts w:ascii="Miriam" w:hAnsi="Miriam" w:cs="Miriam"/>
          <w:rtl/>
        </w:rPr>
        <w:t>מתחם העונש ההולם</w:t>
      </w:r>
    </w:p>
    <w:p w14:paraId="198410F4" w14:textId="77777777" w:rsidR="00522154" w:rsidRPr="00E77075" w:rsidRDefault="00522154" w:rsidP="00522154">
      <w:pPr>
        <w:pStyle w:val="aa"/>
        <w:tabs>
          <w:tab w:val="left" w:pos="-58"/>
        </w:tabs>
        <w:spacing w:before="100" w:beforeAutospacing="1" w:after="120"/>
        <w:ind w:left="-58"/>
        <w:jc w:val="both"/>
        <w:rPr>
          <w:rFonts w:cs="FrankRuehl"/>
          <w:sz w:val="28"/>
          <w:szCs w:val="28"/>
        </w:rPr>
      </w:pPr>
    </w:p>
    <w:p w14:paraId="7A8B24F9"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47165779" w14:textId="77777777" w:rsidR="00522154" w:rsidRDefault="00522154" w:rsidP="00522154">
      <w:pPr>
        <w:pStyle w:val="aa"/>
        <w:tabs>
          <w:tab w:val="left" w:pos="-58"/>
        </w:tabs>
        <w:spacing w:before="100" w:beforeAutospacing="1" w:after="120"/>
        <w:ind w:left="-58"/>
        <w:jc w:val="both"/>
        <w:rPr>
          <w:rFonts w:ascii="FrankRuehl" w:hAnsi="FrankRuehl" w:cs="FrankRuehl"/>
          <w:sz w:val="28"/>
          <w:szCs w:val="28"/>
        </w:rPr>
      </w:pPr>
    </w:p>
    <w:p w14:paraId="3F268FE7"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במעשיו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לרבות ההגנה על הביטחון האישי ורכוש הציבור. </w:t>
      </w:r>
    </w:p>
    <w:p w14:paraId="456B6DAE"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בית המשפט העליון עמד פעמים רבות על ההכרח במדיניות ענישה מרתיעה כלפי אלה הלוקחים חלק בהפצתם של סמים מסוכנים. ראו מיני רבים</w:t>
      </w:r>
      <w:r>
        <w:rPr>
          <w:rFonts w:cs="FrankRuehl"/>
          <w:sz w:val="28"/>
          <w:szCs w:val="28"/>
          <w:rtl/>
        </w:rPr>
        <w:t xml:space="preserve">. </w:t>
      </w:r>
      <w:r>
        <w:rPr>
          <w:rFonts w:ascii="FrankRuehl" w:hAnsi="FrankRuehl" w:cs="FrankRuehl"/>
          <w:sz w:val="28"/>
          <w:szCs w:val="28"/>
          <w:rtl/>
        </w:rPr>
        <w:t xml:space="preserve">ע"פ 1274/21 </w:t>
      </w:r>
      <w:r>
        <w:rPr>
          <w:rFonts w:ascii="Miriam" w:hAnsi="Miriam" w:cs="Miriam"/>
          <w:b/>
          <w:rtl/>
        </w:rPr>
        <w:t>עווד נ' מדינת ישראל</w:t>
      </w:r>
      <w:r>
        <w:rPr>
          <w:rFonts w:ascii="FrankRuehl" w:hAnsi="FrankRuehl" w:cs="FrankRuehl"/>
          <w:sz w:val="28"/>
          <w:szCs w:val="28"/>
          <w:rtl/>
        </w:rPr>
        <w:t xml:space="preserve"> (6.10.2016); </w:t>
      </w:r>
      <w:hyperlink r:id="rId25" w:history="1">
        <w:r w:rsidR="0003425E" w:rsidRPr="0003425E">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26" w:history="1">
        <w:r w:rsidR="0003425E" w:rsidRPr="0003425E">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7" w:history="1">
        <w:r w:rsidR="0003425E" w:rsidRPr="0003425E">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xml:space="preserve">, פ"ד מב (4) 242 (11.12.1988)). </w:t>
      </w:r>
    </w:p>
    <w:p w14:paraId="455B811B" w14:textId="77777777" w:rsidR="00522154" w:rsidRDefault="00522154" w:rsidP="00522154">
      <w:pPr>
        <w:pStyle w:val="aa"/>
        <w:tabs>
          <w:tab w:val="left" w:pos="-58"/>
        </w:tabs>
        <w:spacing w:before="100" w:beforeAutospacing="1" w:after="120"/>
        <w:ind w:left="-58"/>
        <w:jc w:val="both"/>
        <w:rPr>
          <w:rFonts w:ascii="FrankRuehl" w:hAnsi="FrankRuehl" w:cs="FrankRuehl"/>
          <w:sz w:val="28"/>
          <w:szCs w:val="28"/>
        </w:rPr>
      </w:pPr>
    </w:p>
    <w:p w14:paraId="6274BAEE" w14:textId="77777777" w:rsidR="00522154" w:rsidRDefault="00522154" w:rsidP="00522154">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במיוחד ראו </w:t>
      </w:r>
      <w:hyperlink r:id="rId28" w:history="1">
        <w:r w:rsidR="0003425E" w:rsidRPr="0003425E">
          <w:rPr>
            <w:rFonts w:ascii="FrankRuehl" w:hAnsi="FrankRuehl" w:cs="FrankRuehl"/>
            <w:color w:val="0000FF"/>
            <w:sz w:val="28"/>
            <w:szCs w:val="28"/>
            <w:u w:val="single"/>
            <w:rtl/>
          </w:rPr>
          <w:t>ע"פ 6990/13</w:t>
        </w:r>
      </w:hyperlink>
      <w:r>
        <w:rPr>
          <w:rFonts w:ascii="FrankRuehl" w:hAnsi="FrankRuehl" w:cs="FrankRuehl" w:hint="cs"/>
          <w:sz w:val="28"/>
          <w:szCs w:val="28"/>
          <w:rtl/>
        </w:rPr>
        <w:t xml:space="preserve"> </w:t>
      </w:r>
      <w:r>
        <w:rPr>
          <w:rFonts w:ascii="Miriam" w:hAnsi="Miriam" w:cs="Miriam"/>
          <w:rtl/>
        </w:rPr>
        <w:t>חט</w:t>
      </w:r>
      <w:r>
        <w:rPr>
          <w:rFonts w:ascii="Miriam" w:hAnsi="Miriam" w:cs="Miriam"/>
        </w:rPr>
        <w:t>'</w:t>
      </w:r>
      <w:r>
        <w:rPr>
          <w:rFonts w:ascii="Miriam" w:hAnsi="Miriam" w:cs="Miriam"/>
          <w:rtl/>
        </w:rPr>
        <w:t>יב נ' מדינת ישראל</w:t>
      </w:r>
      <w:r>
        <w:rPr>
          <w:rFonts w:ascii="FrankRuehl" w:hAnsi="FrankRuehl" w:cs="FrankRuehl"/>
          <w:sz w:val="28"/>
          <w:szCs w:val="28"/>
          <w:rtl/>
        </w:rPr>
        <w:t xml:space="preserve"> (24.2.2014):</w:t>
      </w:r>
    </w:p>
    <w:p w14:paraId="3334194C" w14:textId="77777777" w:rsidR="00522154" w:rsidRPr="009D3D13" w:rsidRDefault="00522154" w:rsidP="00522154">
      <w:pPr>
        <w:pStyle w:val="aa"/>
        <w:rPr>
          <w:rFonts w:ascii="FrankRuehl" w:hAnsi="FrankRuehl" w:cs="FrankRuehl"/>
          <w:sz w:val="28"/>
          <w:szCs w:val="28"/>
          <w:rtl/>
        </w:rPr>
      </w:pPr>
    </w:p>
    <w:p w14:paraId="70BB5478" w14:textId="77777777" w:rsidR="00522154" w:rsidRDefault="00522154" w:rsidP="00522154">
      <w:pPr>
        <w:pStyle w:val="aa"/>
        <w:tabs>
          <w:tab w:val="left" w:pos="-58"/>
        </w:tabs>
        <w:spacing w:before="100" w:beforeAutospacing="1" w:after="120" w:line="360" w:lineRule="auto"/>
        <w:ind w:left="651" w:right="851"/>
        <w:jc w:val="both"/>
        <w:rPr>
          <w:rFonts w:ascii="FrankRuehl" w:hAnsi="FrankRuehl" w:cs="FrankRuehl"/>
          <w:sz w:val="28"/>
          <w:szCs w:val="28"/>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5DA473F5" w14:textId="77777777" w:rsidR="00522154" w:rsidRPr="009D3D13"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sidRPr="009D3D13">
        <w:rPr>
          <w:rFonts w:ascii="FrankRuehl" w:hAnsi="FrankRuehl" w:cs="FrankRuehl"/>
          <w:sz w:val="28"/>
          <w:szCs w:val="28"/>
          <w:rtl/>
        </w:rPr>
        <w:t xml:space="preserve">עסקינן בעבירות סחר בסם מסוכן מסוג קנבוס שחומרתו פחותה בהשוואה לסוגי סמים אחרים, כגון הרואין או קוקאין. כאשר האחרונים נחשבים לסמים קשים במיוחד לנוכח ההשפעות על גוף האדם וכן לנוכח פוטנציאל ההתמכרות. עם זאת, וחרף העובדה כי בשנים האחרונות ננקטת מדיניות ענישה מקלה עם משתמשי הסמים ה"קלים", הרי מדיניות הענישה הנוהגת כלפי אלו החוטאים ונוטלים חלק בשרשרת ההפצה, נותרה ועודנה ממשית ומרתיעה. </w:t>
      </w:r>
      <w:r w:rsidRPr="009D3D13">
        <w:rPr>
          <w:rFonts w:cs="FrankRuehl"/>
          <w:szCs w:val="28"/>
          <w:rtl/>
        </w:rPr>
        <w:t>ראו</w:t>
      </w:r>
      <w:r w:rsidRPr="009D3D13">
        <w:rPr>
          <w:rFonts w:cs="FrankRuehl" w:hint="cs"/>
          <w:szCs w:val="28"/>
          <w:rtl/>
        </w:rPr>
        <w:t xml:space="preserve">: </w:t>
      </w:r>
      <w:hyperlink r:id="rId29" w:history="1">
        <w:r w:rsidR="0003425E" w:rsidRPr="0003425E">
          <w:rPr>
            <w:rFonts w:cs="FrankRuehl" w:hint="cs"/>
            <w:color w:val="0000FF"/>
            <w:szCs w:val="28"/>
            <w:u w:val="single"/>
            <w:rtl/>
          </w:rPr>
          <w:t>רע</w:t>
        </w:r>
        <w:r w:rsidR="0003425E" w:rsidRPr="0003425E">
          <w:rPr>
            <w:rFonts w:cs="FrankRuehl"/>
            <w:color w:val="0000FF"/>
            <w:szCs w:val="28"/>
            <w:u w:val="single"/>
            <w:rtl/>
          </w:rPr>
          <w:t>"</w:t>
        </w:r>
        <w:r w:rsidR="0003425E" w:rsidRPr="0003425E">
          <w:rPr>
            <w:rFonts w:cs="FrankRuehl" w:hint="cs"/>
            <w:color w:val="0000FF"/>
            <w:szCs w:val="28"/>
            <w:u w:val="single"/>
            <w:rtl/>
          </w:rPr>
          <w:t>פ</w:t>
        </w:r>
        <w:r w:rsidR="0003425E" w:rsidRPr="0003425E">
          <w:rPr>
            <w:rFonts w:cs="FrankRuehl"/>
            <w:color w:val="0000FF"/>
            <w:szCs w:val="28"/>
            <w:u w:val="single"/>
            <w:rtl/>
          </w:rPr>
          <w:t xml:space="preserve"> 174/21</w:t>
        </w:r>
      </w:hyperlink>
      <w:r w:rsidRPr="009D3D13">
        <w:rPr>
          <w:rFonts w:cs="FrankRuehl" w:hint="cs"/>
          <w:szCs w:val="28"/>
          <w:rtl/>
        </w:rPr>
        <w:t xml:space="preserve"> </w:t>
      </w:r>
      <w:r w:rsidRPr="009D3D13">
        <w:rPr>
          <w:rFonts w:cs="Miriam"/>
          <w:sz w:val="22"/>
          <w:rtl/>
        </w:rPr>
        <w:t>סויסה נ' מדינת ישראל</w:t>
      </w:r>
      <w:r w:rsidRPr="009D3D13">
        <w:rPr>
          <w:rFonts w:cs="FrankRuehl"/>
          <w:szCs w:val="28"/>
          <w:rtl/>
        </w:rPr>
        <w:t xml:space="preserve"> (25.2.2021); </w:t>
      </w:r>
      <w:hyperlink r:id="rId30" w:history="1">
        <w:r w:rsidR="0003425E" w:rsidRPr="0003425E">
          <w:rPr>
            <w:rFonts w:cs="FrankRuehl" w:hint="cs"/>
            <w:color w:val="0000FF"/>
            <w:szCs w:val="28"/>
            <w:u w:val="single"/>
            <w:rtl/>
          </w:rPr>
          <w:t>ע</w:t>
        </w:r>
        <w:r w:rsidR="0003425E" w:rsidRPr="0003425E">
          <w:rPr>
            <w:rFonts w:cs="FrankRuehl"/>
            <w:color w:val="0000FF"/>
            <w:szCs w:val="28"/>
            <w:u w:val="single"/>
            <w:rtl/>
          </w:rPr>
          <w:t>"</w:t>
        </w:r>
        <w:r w:rsidR="0003425E" w:rsidRPr="0003425E">
          <w:rPr>
            <w:rFonts w:cs="FrankRuehl" w:hint="cs"/>
            <w:color w:val="0000FF"/>
            <w:szCs w:val="28"/>
            <w:u w:val="single"/>
            <w:rtl/>
          </w:rPr>
          <w:t>פ</w:t>
        </w:r>
        <w:r w:rsidR="0003425E" w:rsidRPr="0003425E">
          <w:rPr>
            <w:rFonts w:cs="FrankRuehl"/>
            <w:color w:val="0000FF"/>
            <w:szCs w:val="28"/>
            <w:u w:val="single"/>
            <w:rtl/>
          </w:rPr>
          <w:t xml:space="preserve"> 6299/20</w:t>
        </w:r>
      </w:hyperlink>
      <w:r w:rsidRPr="009D3D13">
        <w:rPr>
          <w:rFonts w:cs="FrankRuehl" w:hint="cs"/>
          <w:szCs w:val="28"/>
          <w:rtl/>
        </w:rPr>
        <w:t xml:space="preserve"> </w:t>
      </w:r>
      <w:r w:rsidRPr="009D3D13">
        <w:rPr>
          <w:rFonts w:cs="Miriam"/>
          <w:sz w:val="22"/>
          <w:rtl/>
        </w:rPr>
        <w:t>חן נ' מדינת ישראל</w:t>
      </w:r>
      <w:r w:rsidRPr="009D3D13">
        <w:rPr>
          <w:rFonts w:cs="FrankRuehl"/>
          <w:szCs w:val="28"/>
          <w:rtl/>
        </w:rPr>
        <w:t xml:space="preserve"> (4.2.2021);</w:t>
      </w:r>
      <w:r w:rsidRPr="009D3D13">
        <w:rPr>
          <w:rFonts w:cs="FrankRuehl" w:hint="cs"/>
          <w:szCs w:val="28"/>
          <w:rtl/>
        </w:rPr>
        <w:t xml:space="preserve"> </w:t>
      </w:r>
      <w:hyperlink r:id="rId31" w:history="1">
        <w:r w:rsidR="0003425E" w:rsidRPr="0003425E">
          <w:rPr>
            <w:rFonts w:cs="FrankRuehl" w:hint="cs"/>
            <w:color w:val="0000FF"/>
            <w:szCs w:val="28"/>
            <w:u w:val="single"/>
            <w:rtl/>
          </w:rPr>
          <w:t>ע</w:t>
        </w:r>
        <w:r w:rsidR="0003425E" w:rsidRPr="0003425E">
          <w:rPr>
            <w:rFonts w:cs="FrankRuehl"/>
            <w:color w:val="0000FF"/>
            <w:szCs w:val="28"/>
            <w:u w:val="single"/>
            <w:rtl/>
          </w:rPr>
          <w:t>"</w:t>
        </w:r>
        <w:r w:rsidR="0003425E" w:rsidRPr="0003425E">
          <w:rPr>
            <w:rFonts w:cs="FrankRuehl" w:hint="cs"/>
            <w:color w:val="0000FF"/>
            <w:szCs w:val="28"/>
            <w:u w:val="single"/>
            <w:rtl/>
          </w:rPr>
          <w:t>פ</w:t>
        </w:r>
        <w:r w:rsidR="0003425E" w:rsidRPr="0003425E">
          <w:rPr>
            <w:rFonts w:cs="FrankRuehl"/>
            <w:color w:val="0000FF"/>
            <w:szCs w:val="28"/>
            <w:u w:val="single"/>
            <w:rtl/>
          </w:rPr>
          <w:t xml:space="preserve"> 5807/17</w:t>
        </w:r>
      </w:hyperlink>
      <w:r w:rsidRPr="009D3D13">
        <w:rPr>
          <w:rFonts w:cs="FrankRuehl" w:hint="cs"/>
          <w:szCs w:val="28"/>
          <w:rtl/>
        </w:rPr>
        <w:t xml:space="preserve"> </w:t>
      </w:r>
      <w:r w:rsidRPr="009D3D13">
        <w:rPr>
          <w:rFonts w:cs="Miriam"/>
          <w:sz w:val="22"/>
          <w:rtl/>
        </w:rPr>
        <w:t>דרחי נ' מדינת ישראל</w:t>
      </w:r>
      <w:r w:rsidRPr="009D3D13">
        <w:rPr>
          <w:rFonts w:cs="FrankRuehl"/>
          <w:szCs w:val="28"/>
          <w:rtl/>
        </w:rPr>
        <w:t xml:space="preserve"> (18.6.2018)</w:t>
      </w:r>
      <w:r w:rsidRPr="009D3D13">
        <w:rPr>
          <w:rFonts w:cs="FrankRuehl" w:hint="cs"/>
          <w:szCs w:val="28"/>
          <w:rtl/>
        </w:rPr>
        <w:t xml:space="preserve"> ובמיוחד </w:t>
      </w:r>
      <w:hyperlink r:id="rId32" w:history="1">
        <w:r w:rsidR="0003425E" w:rsidRPr="0003425E">
          <w:rPr>
            <w:rFonts w:cs="FrankRuehl" w:hint="cs"/>
            <w:color w:val="0000FF"/>
            <w:szCs w:val="28"/>
            <w:u w:val="single"/>
            <w:rtl/>
          </w:rPr>
          <w:t>ע</w:t>
        </w:r>
        <w:r w:rsidR="0003425E" w:rsidRPr="0003425E">
          <w:rPr>
            <w:rFonts w:cs="FrankRuehl"/>
            <w:color w:val="0000FF"/>
            <w:szCs w:val="28"/>
            <w:u w:val="single"/>
            <w:rtl/>
          </w:rPr>
          <w:t>"</w:t>
        </w:r>
        <w:r w:rsidR="0003425E" w:rsidRPr="0003425E">
          <w:rPr>
            <w:rFonts w:cs="FrankRuehl" w:hint="cs"/>
            <w:color w:val="0000FF"/>
            <w:szCs w:val="28"/>
            <w:u w:val="single"/>
            <w:rtl/>
          </w:rPr>
          <w:t>פ</w:t>
        </w:r>
        <w:r w:rsidR="0003425E" w:rsidRPr="0003425E">
          <w:rPr>
            <w:rFonts w:cs="FrankRuehl"/>
            <w:color w:val="0000FF"/>
            <w:szCs w:val="28"/>
            <w:u w:val="single"/>
            <w:rtl/>
          </w:rPr>
          <w:t xml:space="preserve"> 2596/18</w:t>
        </w:r>
      </w:hyperlink>
      <w:r>
        <w:rPr>
          <w:rFonts w:cs="FrankRuehl" w:hint="cs"/>
          <w:szCs w:val="28"/>
          <w:rtl/>
        </w:rPr>
        <w:t xml:space="preserve"> </w:t>
      </w:r>
      <w:r w:rsidRPr="009D3D13">
        <w:rPr>
          <w:rFonts w:cs="Miriam"/>
          <w:sz w:val="22"/>
          <w:rtl/>
        </w:rPr>
        <w:t>זנזורי</w:t>
      </w:r>
      <w:r w:rsidRPr="009D3D13">
        <w:rPr>
          <w:rFonts w:cs="FrankRuehl"/>
          <w:szCs w:val="28"/>
          <w:rtl/>
        </w:rPr>
        <w:t xml:space="preserve"> </w:t>
      </w:r>
      <w:r w:rsidRPr="009D3D13">
        <w:rPr>
          <w:rFonts w:cs="Miriam"/>
          <w:sz w:val="22"/>
          <w:rtl/>
        </w:rPr>
        <w:t>נ' מדינת ישראל</w:t>
      </w:r>
      <w:r w:rsidRPr="009D3D13">
        <w:rPr>
          <w:rFonts w:cs="FrankRuehl"/>
          <w:szCs w:val="28"/>
          <w:rtl/>
        </w:rPr>
        <w:t xml:space="preserve"> (12.8.2018):</w:t>
      </w:r>
    </w:p>
    <w:p w14:paraId="09015B4B" w14:textId="77777777" w:rsidR="00522154" w:rsidRDefault="00522154" w:rsidP="00522154">
      <w:pPr>
        <w:tabs>
          <w:tab w:val="left" w:pos="-58"/>
        </w:tabs>
        <w:spacing w:before="100" w:beforeAutospacing="1" w:after="120" w:line="360" w:lineRule="auto"/>
        <w:ind w:left="651" w:right="851"/>
        <w:jc w:val="both"/>
        <w:rPr>
          <w:rFonts w:cs="FrankRuehl"/>
          <w:szCs w:val="28"/>
          <w:rtl/>
        </w:rPr>
      </w:pPr>
      <w:r>
        <w:rPr>
          <w:rFonts w:cs="FrankRuehl"/>
          <w:szCs w:val="28"/>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14180532"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Pr>
          <w:rFonts w:ascii="Corbel" w:hAnsi="Corbel" w:cs="FrankRuehl"/>
          <w:sz w:val="28"/>
          <w:szCs w:val="28"/>
          <w:rtl/>
        </w:rPr>
        <w:t xml:space="preserve">טרם נידרש לפרטי המקרה הקונקרטי נתייחס למדיניות הענישה הנהוגה </w:t>
      </w:r>
      <w:r>
        <w:rPr>
          <w:rFonts w:ascii="Corbel" w:hAnsi="Corbel" w:cs="FrankRuehl" w:hint="cs"/>
          <w:sz w:val="28"/>
          <w:szCs w:val="28"/>
          <w:rtl/>
        </w:rPr>
        <w:t>המהווה פרמטר ב</w:t>
      </w:r>
      <w:r>
        <w:rPr>
          <w:rFonts w:ascii="Corbel" w:hAnsi="Corbel" w:cs="FrankRuehl"/>
          <w:sz w:val="28"/>
          <w:szCs w:val="28"/>
          <w:rtl/>
        </w:rPr>
        <w:t>קביעת מתחם העונש ההולם. עיון בפסיקה המקובלת מלמד כי נעשה שימוש בכלי עזר רציונליים כגון התחשבות בסוג הסם וכמותו, ונלקחים בחשבון גם אופי יצירת הקשר עם הקונים, זהותם של האחרונים והקשר לסוחר הסמים. לפי שיקולים אלו נ</w:t>
      </w:r>
      <w:r>
        <w:rPr>
          <w:rFonts w:ascii="Corbel" w:hAnsi="Corbel" w:cs="FrankRuehl" w:hint="cs"/>
          <w:sz w:val="28"/>
          <w:szCs w:val="28"/>
          <w:rtl/>
        </w:rPr>
        <w:t xml:space="preserve">הוג </w:t>
      </w:r>
      <w:r>
        <w:rPr>
          <w:rFonts w:ascii="Corbel" w:hAnsi="Corbel" w:cs="FrankRuehl"/>
          <w:sz w:val="28"/>
          <w:szCs w:val="28"/>
          <w:rtl/>
        </w:rPr>
        <w:t xml:space="preserve">לקבוע את גבולו התחתון של המתחם בין 10 ועד 12 חודשים, בעוד הגבול העליון </w:t>
      </w:r>
      <w:r>
        <w:rPr>
          <w:rFonts w:ascii="Corbel" w:hAnsi="Corbel" w:cs="FrankRuehl" w:hint="cs"/>
          <w:sz w:val="28"/>
          <w:szCs w:val="28"/>
          <w:rtl/>
        </w:rPr>
        <w:t>משתנה ו</w:t>
      </w:r>
      <w:r>
        <w:rPr>
          <w:rFonts w:ascii="Corbel" w:hAnsi="Corbel" w:cs="FrankRuehl"/>
          <w:sz w:val="28"/>
          <w:szCs w:val="28"/>
          <w:rtl/>
        </w:rPr>
        <w:t xml:space="preserve">בין 24 ועד 30 חודשים. מטבע הדברים, קשת העונשים בעבירות אלו היא רחבה ותלויה גם בנסיבותיו האינדיבידואליות של הנאשם אשר נותן את הדין. </w:t>
      </w:r>
      <w:r>
        <w:rPr>
          <w:rFonts w:cs="FrankRuehl"/>
          <w:sz w:val="28"/>
          <w:szCs w:val="28"/>
          <w:rtl/>
        </w:rPr>
        <w:t xml:space="preserve">להלן פסקי הדין אותם מצאתי כרלבנטיים לקביעת המתחם. </w:t>
      </w:r>
    </w:p>
    <w:p w14:paraId="788C046F" w14:textId="77777777" w:rsidR="00522154" w:rsidRDefault="00522154" w:rsidP="00522154">
      <w:pPr>
        <w:pStyle w:val="aa"/>
        <w:tabs>
          <w:tab w:val="left" w:pos="-58"/>
        </w:tabs>
        <w:spacing w:before="100" w:beforeAutospacing="1" w:after="120"/>
        <w:ind w:left="84"/>
        <w:jc w:val="both"/>
        <w:rPr>
          <w:rFonts w:cs="FrankRuehl"/>
          <w:szCs w:val="28"/>
          <w:rtl/>
        </w:rPr>
      </w:pPr>
    </w:p>
    <w:p w14:paraId="2E931C26" w14:textId="77777777" w:rsidR="00522154" w:rsidRDefault="0003425E" w:rsidP="00522154">
      <w:pPr>
        <w:pStyle w:val="aa"/>
        <w:numPr>
          <w:ilvl w:val="0"/>
          <w:numId w:val="1"/>
        </w:numPr>
        <w:tabs>
          <w:tab w:val="left" w:pos="-58"/>
        </w:tabs>
        <w:spacing w:before="100" w:beforeAutospacing="1" w:after="120" w:line="360" w:lineRule="auto"/>
        <w:ind w:left="84" w:firstLine="0"/>
        <w:jc w:val="both"/>
        <w:rPr>
          <w:rFonts w:cs="FrankRuehl"/>
          <w:szCs w:val="28"/>
        </w:rPr>
      </w:pPr>
      <w:hyperlink r:id="rId33" w:history="1">
        <w:r w:rsidRPr="0003425E">
          <w:rPr>
            <w:rFonts w:cs="FrankRuehl" w:hint="cs"/>
            <w:color w:val="0000FF"/>
            <w:szCs w:val="28"/>
            <w:u w:val="single"/>
            <w:rtl/>
          </w:rPr>
          <w:t>רע</w:t>
        </w:r>
        <w:r w:rsidRPr="0003425E">
          <w:rPr>
            <w:rFonts w:cs="FrankRuehl"/>
            <w:color w:val="0000FF"/>
            <w:szCs w:val="28"/>
            <w:u w:val="single"/>
            <w:rtl/>
          </w:rPr>
          <w:t>"</w:t>
        </w:r>
        <w:r w:rsidRPr="0003425E">
          <w:rPr>
            <w:rFonts w:cs="FrankRuehl" w:hint="cs"/>
            <w:color w:val="0000FF"/>
            <w:szCs w:val="28"/>
            <w:u w:val="single"/>
            <w:rtl/>
          </w:rPr>
          <w:t>פ</w:t>
        </w:r>
        <w:r w:rsidRPr="0003425E">
          <w:rPr>
            <w:rFonts w:cs="FrankRuehl"/>
            <w:color w:val="0000FF"/>
            <w:szCs w:val="28"/>
            <w:u w:val="single"/>
            <w:rtl/>
          </w:rPr>
          <w:t xml:space="preserve"> 2302/22</w:t>
        </w:r>
      </w:hyperlink>
      <w:r w:rsidR="00522154">
        <w:rPr>
          <w:rFonts w:cs="FrankRuehl"/>
          <w:szCs w:val="28"/>
          <w:rtl/>
        </w:rPr>
        <w:t xml:space="preserve"> </w:t>
      </w:r>
      <w:r w:rsidR="00522154">
        <w:rPr>
          <w:rFonts w:cs="Miriam"/>
          <w:sz w:val="22"/>
          <w:rtl/>
        </w:rPr>
        <w:t>חסיד נ' מדינת ישראל</w:t>
      </w:r>
      <w:r w:rsidR="00522154">
        <w:rPr>
          <w:rFonts w:cs="FrankRuehl"/>
          <w:szCs w:val="28"/>
          <w:rtl/>
        </w:rPr>
        <w:t xml:space="preserve"> (6.4.2022) – נדחתה בקשת רשות ערעור על פסק דינו של בית המשפט המחוזי בגדרו נדחה ערעור המבקש על גזר דינו של בית המשפט השלום. המבקש </w:t>
      </w:r>
      <w:bookmarkStart w:id="8" w:name="Writer_Name"/>
      <w:bookmarkEnd w:id="8"/>
      <w:r w:rsidR="00522154">
        <w:rPr>
          <w:rFonts w:cs="FrankRuehl"/>
          <w:szCs w:val="28"/>
          <w:rtl/>
        </w:rPr>
        <w:t xml:space="preserve">הורשע, על פי הודאתו בכתב אישום מתוקן, בעבירה של החזקת סם מסוכן שלא לצריכה עצמית ובריבוי עבירות של סחר בסם מסוכן. לפי עובדות כתב האישום, המונה 16 אישומים, החזיק המבקש בסם מסוכן מסוג קנבוס במשקל כולל של כ-140 גרם, וכן מכר סם מסוכן מסוג קנבוס ל-15 לקוחות שונים, לרבות קטינה אחת, במסגרת למעלה מ-50 עסקאות, שהתבצעו לאורך תקופה של למעלה משנה וחצי. בית המשפט קבע ארבעה מתחמי ענישה נפרדים הנעים ממאסר בעבודות שירות ברף התחתון ושמונה עשר חודשי מאסר לריצוי בפועל ברף העליון. בית המשפט העמיד את עונשו של המבקש בשליש התחתון של מתחמי הענישה, והשית עליו 24 חודשי מאסר בפועל, לצד ענישה נלווית. </w:t>
      </w:r>
    </w:p>
    <w:p w14:paraId="5CABA12A" w14:textId="77777777" w:rsidR="00522154" w:rsidRPr="009D3D13" w:rsidRDefault="00522154" w:rsidP="00522154">
      <w:pPr>
        <w:pStyle w:val="aa"/>
        <w:tabs>
          <w:tab w:val="left" w:pos="-58"/>
        </w:tabs>
        <w:spacing w:before="100" w:beforeAutospacing="1" w:after="120"/>
        <w:ind w:left="84"/>
        <w:jc w:val="both"/>
      </w:pPr>
    </w:p>
    <w:p w14:paraId="3F52AD69" w14:textId="77777777" w:rsidR="00522154" w:rsidRDefault="0003425E" w:rsidP="00522154">
      <w:pPr>
        <w:pStyle w:val="aa"/>
        <w:numPr>
          <w:ilvl w:val="0"/>
          <w:numId w:val="1"/>
        </w:numPr>
        <w:tabs>
          <w:tab w:val="left" w:pos="-58"/>
        </w:tabs>
        <w:spacing w:before="100" w:beforeAutospacing="1" w:after="120" w:line="360" w:lineRule="auto"/>
        <w:ind w:left="84" w:firstLine="0"/>
        <w:jc w:val="both"/>
      </w:pPr>
      <w:hyperlink r:id="rId34" w:history="1">
        <w:r w:rsidRPr="0003425E">
          <w:rPr>
            <w:rFonts w:cs="FrankRuehl" w:hint="cs"/>
            <w:color w:val="0000FF"/>
            <w:szCs w:val="28"/>
            <w:u w:val="single"/>
            <w:rtl/>
          </w:rPr>
          <w:t>רע</w:t>
        </w:r>
        <w:r w:rsidRPr="0003425E">
          <w:rPr>
            <w:rFonts w:cs="FrankRuehl"/>
            <w:color w:val="0000FF"/>
            <w:szCs w:val="28"/>
            <w:u w:val="single"/>
            <w:rtl/>
          </w:rPr>
          <w:t>"</w:t>
        </w:r>
        <w:r w:rsidRPr="0003425E">
          <w:rPr>
            <w:rFonts w:cs="FrankRuehl" w:hint="cs"/>
            <w:color w:val="0000FF"/>
            <w:szCs w:val="28"/>
            <w:u w:val="single"/>
            <w:rtl/>
          </w:rPr>
          <w:t>פ</w:t>
        </w:r>
        <w:r w:rsidRPr="0003425E">
          <w:rPr>
            <w:rFonts w:cs="FrankRuehl"/>
            <w:color w:val="0000FF"/>
            <w:szCs w:val="28"/>
            <w:u w:val="single"/>
            <w:rtl/>
          </w:rPr>
          <w:t xml:space="preserve"> 7088/20</w:t>
        </w:r>
      </w:hyperlink>
      <w:r w:rsidR="00522154">
        <w:rPr>
          <w:rFonts w:cs="FrankRuehl"/>
          <w:szCs w:val="28"/>
          <w:rtl/>
        </w:rPr>
        <w:t xml:space="preserve"> </w:t>
      </w:r>
      <w:r w:rsidR="00522154">
        <w:rPr>
          <w:rFonts w:ascii="Miriam" w:hAnsi="Miriam" w:cs="Miriam"/>
          <w:rtl/>
        </w:rPr>
        <w:t>זוהר נ' מדינת ישראל</w:t>
      </w:r>
      <w:r w:rsidR="00522154">
        <w:rPr>
          <w:rFonts w:cs="FrankRuehl"/>
          <w:szCs w:val="28"/>
          <w:rtl/>
        </w:rPr>
        <w:t xml:space="preserve"> (21.10.2020) – נדחתה בקשת רשות ערעור על פסק דינו של בית המשפט המחוזי בגדרו התקבל ערעור המשיבה על קולת העונש שגזר בית המשפט השלום. על פי עובדות כתב האישום המתוקן, האוחז 50 אישומים, במהלך תקופה של שנה וארבעה חודשים מכר המבקש סם מסוכן מסוג קנבוס ל-49 אנשים שונים ובהם קטין אחד. סך הכל, המבקש מכר בכ-63 הזדמנויות כ-193 גרם קנבוס וקיבל תמורתם כ-15,800 ש"ח. כמו כן החזיק המבקש בסמים מסוכנים מסוג קנבוס שלא לצריכה עצמית. בית המשפט קבע מתחמי עונש הולם לעבירת סחר בודדת בין מספר חודשי מאסר ועד ל-10 חודשי מאסר בפועל ולעבירת מכירת סם לקטין 14-8 חודשי מאסר. בית המשפט מצא לסטות ממתחם הענישה מטעמי שיקום. ערעור המאשימה על קולת העונש התקבל ונקבע כי ניתן משקל יתר לשיקולי השיקום על פני האינטרס הציבורי. עונשו של הנאשם הועמד על 18 חודשי מאסר בפועל. </w:t>
      </w:r>
    </w:p>
    <w:p w14:paraId="61D37739" w14:textId="77777777" w:rsidR="00522154" w:rsidRPr="009D3D13" w:rsidRDefault="00522154" w:rsidP="00522154">
      <w:pPr>
        <w:pStyle w:val="aa"/>
        <w:tabs>
          <w:tab w:val="left" w:pos="-58"/>
        </w:tabs>
        <w:spacing w:before="100" w:beforeAutospacing="1" w:after="120"/>
        <w:ind w:left="84"/>
        <w:jc w:val="both"/>
        <w:rPr>
          <w:rFonts w:cs="FrankRuehl"/>
          <w:szCs w:val="28"/>
        </w:rPr>
      </w:pPr>
    </w:p>
    <w:p w14:paraId="0891BCFF" w14:textId="77777777" w:rsidR="00522154" w:rsidRDefault="0003425E" w:rsidP="00522154">
      <w:pPr>
        <w:pStyle w:val="aa"/>
        <w:numPr>
          <w:ilvl w:val="0"/>
          <w:numId w:val="1"/>
        </w:numPr>
        <w:tabs>
          <w:tab w:val="left" w:pos="-58"/>
        </w:tabs>
        <w:spacing w:before="100" w:beforeAutospacing="1" w:after="120" w:line="360" w:lineRule="auto"/>
        <w:ind w:left="84" w:firstLine="0"/>
        <w:jc w:val="both"/>
        <w:rPr>
          <w:rFonts w:cs="FrankRuehl"/>
          <w:szCs w:val="28"/>
        </w:rPr>
      </w:pPr>
      <w:hyperlink r:id="rId35" w:history="1">
        <w:r w:rsidRPr="0003425E">
          <w:rPr>
            <w:rFonts w:ascii="Corbel" w:hAnsi="Corbel" w:cs="FrankRuehl" w:hint="cs"/>
            <w:color w:val="0000FF"/>
            <w:sz w:val="28"/>
            <w:szCs w:val="28"/>
            <w:u w:val="single"/>
            <w:rtl/>
          </w:rPr>
          <w:t>רע</w:t>
        </w:r>
        <w:r w:rsidRPr="0003425E">
          <w:rPr>
            <w:rFonts w:ascii="Corbel" w:hAnsi="Corbel" w:cs="FrankRuehl"/>
            <w:color w:val="0000FF"/>
            <w:sz w:val="28"/>
            <w:szCs w:val="28"/>
            <w:u w:val="single"/>
            <w:rtl/>
          </w:rPr>
          <w:t>"</w:t>
        </w:r>
        <w:r w:rsidRPr="0003425E">
          <w:rPr>
            <w:rFonts w:ascii="Corbel" w:hAnsi="Corbel" w:cs="FrankRuehl" w:hint="cs"/>
            <w:color w:val="0000FF"/>
            <w:sz w:val="28"/>
            <w:szCs w:val="28"/>
            <w:u w:val="single"/>
            <w:rtl/>
          </w:rPr>
          <w:t>פ</w:t>
        </w:r>
        <w:r w:rsidRPr="0003425E">
          <w:rPr>
            <w:rFonts w:ascii="Corbel" w:hAnsi="Corbel" w:cs="FrankRuehl"/>
            <w:color w:val="0000FF"/>
            <w:sz w:val="28"/>
            <w:szCs w:val="28"/>
            <w:u w:val="single"/>
            <w:rtl/>
          </w:rPr>
          <w:t xml:space="preserve"> 8695/19</w:t>
        </w:r>
      </w:hyperlink>
      <w:r w:rsidR="00522154">
        <w:rPr>
          <w:rFonts w:ascii="Corbel" w:hAnsi="Corbel" w:cs="FrankRuehl"/>
          <w:sz w:val="28"/>
          <w:szCs w:val="28"/>
          <w:rtl/>
        </w:rPr>
        <w:t xml:space="preserve"> </w:t>
      </w:r>
      <w:r w:rsidR="00522154">
        <w:rPr>
          <w:rFonts w:ascii="Miriam" w:hAnsi="Miriam" w:cs="Miriam"/>
          <w:rtl/>
        </w:rPr>
        <w:t xml:space="preserve">פסו נ' מדינת ישראל </w:t>
      </w:r>
      <w:r w:rsidR="00522154">
        <w:rPr>
          <w:rFonts w:ascii="Corbel" w:hAnsi="Corbel" w:cs="FrankRuehl"/>
          <w:sz w:val="28"/>
          <w:szCs w:val="28"/>
          <w:rtl/>
        </w:rPr>
        <w:t xml:space="preserve">(5.1.2020) – נדחתה בקשת רשות ערעור על פסק דינו של בית המשפט המחוזי בגדרו התקבל ערעור המשיב על גזר דינו של בית המשפט השלום. </w:t>
      </w:r>
      <w:bookmarkStart w:id="9" w:name="Start_Write"/>
      <w:bookmarkEnd w:id="9"/>
      <w:r w:rsidR="00522154">
        <w:rPr>
          <w:rFonts w:ascii="Corbel" w:hAnsi="Corbel" w:cs="FrankRuehl"/>
          <w:sz w:val="28"/>
          <w:szCs w:val="28"/>
          <w:rtl/>
        </w:rPr>
        <w:t>המבקש הורשע, על פי הודאתו ב-29 עבירות של סחר בסם מסוכן,</w:t>
      </w:r>
      <w:r w:rsidR="00522154">
        <w:rPr>
          <w:rFonts w:ascii="Corbel" w:hAnsi="Corbel" w:cs="FrankRuehl" w:hint="cs"/>
          <w:sz w:val="28"/>
          <w:szCs w:val="28"/>
          <w:rtl/>
        </w:rPr>
        <w:t xml:space="preserve"> </w:t>
      </w:r>
      <w:r w:rsidR="00522154">
        <w:rPr>
          <w:rFonts w:ascii="Corbel" w:hAnsi="Corbel" w:cs="FrankRuehl"/>
          <w:sz w:val="28"/>
          <w:szCs w:val="28"/>
          <w:rtl/>
        </w:rPr>
        <w:t xml:space="preserve">עבירה של החזקת סם לצריכה עצמית והחזקת כלים להכנת סם לצריכה עצמית. לפי עובדות כתב האישום, במהלך מספר חודשים מכר הנאשם ל-29 אנשים שונים סם מסוכן מסוג קנאביס, במשקל </w:t>
      </w:r>
      <w:r w:rsidR="00522154">
        <w:rPr>
          <w:rFonts w:ascii="Corbel" w:hAnsi="Corbel" w:cs="FrankRuehl" w:hint="cs"/>
          <w:sz w:val="28"/>
          <w:szCs w:val="28"/>
          <w:rtl/>
        </w:rPr>
        <w:t>ש</w:t>
      </w:r>
      <w:r w:rsidR="00522154">
        <w:rPr>
          <w:rFonts w:ascii="Corbel" w:hAnsi="Corbel" w:cs="FrankRuehl"/>
          <w:sz w:val="28"/>
          <w:szCs w:val="28"/>
          <w:rtl/>
        </w:rPr>
        <w:t xml:space="preserve">בין 10-1 גרם נטו לעסקה. לצורך ביצוע עסקאות הסמים נעשה שימוש ביישומון ה-"טלגראס". בסך הכל מכר המבקש בכ-53 הזדמנויות כ-178 גרם נטו מסם מסוג זה, וקיבל תמורתו, בין </w:t>
      </w:r>
      <w:r w:rsidR="00522154">
        <w:rPr>
          <w:rFonts w:ascii="Corbel" w:hAnsi="Corbel" w:cs="FrankRuehl" w:hint="cs"/>
          <w:sz w:val="28"/>
          <w:szCs w:val="28"/>
          <w:rtl/>
        </w:rPr>
        <w:t xml:space="preserve">במישרין </w:t>
      </w:r>
      <w:r w:rsidR="00522154">
        <w:rPr>
          <w:rFonts w:ascii="Corbel" w:hAnsi="Corbel" w:cs="FrankRuehl"/>
          <w:sz w:val="28"/>
          <w:szCs w:val="28"/>
          <w:rtl/>
        </w:rPr>
        <w:t xml:space="preserve">ובין באמצעות נהג מונית, כ-16,450 ₪. במועד נוסף, החזיק הנאשם ברשותו כ-5 גרם נטו של סם מסוכן מסוג קנאביס, ומשקל דיגיטלי. </w:t>
      </w:r>
      <w:r w:rsidR="00522154">
        <w:rPr>
          <w:rFonts w:ascii="Corbel" w:hAnsi="Corbel" w:cs="FrankRuehl" w:hint="cs"/>
          <w:sz w:val="28"/>
          <w:szCs w:val="28"/>
          <w:rtl/>
        </w:rPr>
        <w:t xml:space="preserve">בית משפט השלום קבע </w:t>
      </w:r>
      <w:r w:rsidR="00522154">
        <w:rPr>
          <w:rFonts w:ascii="Corbel" w:hAnsi="Corbel" w:cs="FrankRuehl"/>
          <w:sz w:val="28"/>
          <w:szCs w:val="28"/>
          <w:rtl/>
        </w:rPr>
        <w:t>מתחם ענישה 36-12 חודשים והשית על הנאשם 18 חודשי מאסר בפועל ו</w:t>
      </w:r>
      <w:r w:rsidR="00522154">
        <w:rPr>
          <w:rFonts w:ascii="Corbel" w:hAnsi="Corbel" w:cs="FrankRuehl" w:hint="cs"/>
          <w:sz w:val="28"/>
          <w:szCs w:val="28"/>
          <w:rtl/>
        </w:rPr>
        <w:t xml:space="preserve">ענישה נלווית. </w:t>
      </w:r>
      <w:r w:rsidR="00522154">
        <w:rPr>
          <w:rFonts w:ascii="Corbel" w:hAnsi="Corbel" w:cs="FrankRuehl"/>
          <w:sz w:val="28"/>
          <w:szCs w:val="28"/>
          <w:rtl/>
        </w:rPr>
        <w:t xml:space="preserve">ערעור המאשימה התקבל ונקבע כי המתחם שנקבע "חורג לקוּלא באופן קיצוני". ערכאת הערעור העמידה את עונשו של הנאשם על 28 חודשים </w:t>
      </w:r>
      <w:r w:rsidR="00522154">
        <w:rPr>
          <w:rFonts w:ascii="Corbel" w:hAnsi="Corbel" w:cs="FrankRuehl" w:hint="cs"/>
          <w:sz w:val="28"/>
          <w:szCs w:val="28"/>
          <w:rtl/>
        </w:rPr>
        <w:t>ו</w:t>
      </w:r>
      <w:r w:rsidR="00522154">
        <w:rPr>
          <w:rFonts w:ascii="Corbel" w:hAnsi="Corbel" w:cs="FrankRuehl"/>
          <w:sz w:val="28"/>
          <w:szCs w:val="28"/>
          <w:rtl/>
        </w:rPr>
        <w:t>יתר רכיבי הענישה נותרו על כנם. בקשה למתן רשות ערעור נדחתה</w:t>
      </w:r>
      <w:r w:rsidR="00522154">
        <w:rPr>
          <w:rFonts w:ascii="Corbel" w:hAnsi="Corbel" w:cs="FrankRuehl" w:hint="cs"/>
          <w:sz w:val="28"/>
          <w:szCs w:val="28"/>
          <w:rtl/>
        </w:rPr>
        <w:t xml:space="preserve"> תוך שנקבע כ</w:t>
      </w:r>
      <w:r w:rsidR="00522154">
        <w:rPr>
          <w:rFonts w:ascii="Corbel" w:hAnsi="Corbel" w:cs="FrankRuehl"/>
          <w:sz w:val="28"/>
          <w:szCs w:val="28"/>
          <w:rtl/>
        </w:rPr>
        <w:t xml:space="preserve">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  </w:t>
      </w:r>
    </w:p>
    <w:p w14:paraId="5A0C3CB4" w14:textId="77777777" w:rsidR="00522154" w:rsidRDefault="00522154" w:rsidP="00522154">
      <w:pPr>
        <w:pStyle w:val="aa"/>
        <w:tabs>
          <w:tab w:val="left" w:pos="-58"/>
        </w:tabs>
        <w:spacing w:before="100" w:beforeAutospacing="1" w:after="120"/>
        <w:ind w:left="84"/>
        <w:jc w:val="both"/>
        <w:rPr>
          <w:rFonts w:cs="FrankRuehl"/>
          <w:szCs w:val="28"/>
        </w:rPr>
      </w:pPr>
    </w:p>
    <w:p w14:paraId="2281BCD4" w14:textId="77777777" w:rsidR="00522154" w:rsidRDefault="0003425E" w:rsidP="00522154">
      <w:pPr>
        <w:pStyle w:val="aa"/>
        <w:numPr>
          <w:ilvl w:val="0"/>
          <w:numId w:val="1"/>
        </w:numPr>
        <w:tabs>
          <w:tab w:val="left" w:pos="-58"/>
        </w:tabs>
        <w:spacing w:before="100" w:beforeAutospacing="1" w:after="120" w:line="360" w:lineRule="auto"/>
        <w:ind w:left="84" w:firstLine="0"/>
        <w:jc w:val="both"/>
        <w:rPr>
          <w:rFonts w:cs="FrankRuehl"/>
          <w:szCs w:val="28"/>
        </w:rPr>
      </w:pPr>
      <w:hyperlink r:id="rId36" w:history="1">
        <w:r w:rsidRPr="0003425E">
          <w:rPr>
            <w:rFonts w:cs="FrankRuehl" w:hint="cs"/>
            <w:color w:val="0000FF"/>
            <w:sz w:val="28"/>
            <w:szCs w:val="28"/>
            <w:u w:val="single"/>
            <w:rtl/>
          </w:rPr>
          <w:t>רע</w:t>
        </w:r>
        <w:r w:rsidRPr="0003425E">
          <w:rPr>
            <w:rFonts w:cs="FrankRuehl"/>
            <w:color w:val="0000FF"/>
            <w:sz w:val="28"/>
            <w:szCs w:val="28"/>
            <w:u w:val="single"/>
            <w:rtl/>
          </w:rPr>
          <w:t>"</w:t>
        </w:r>
        <w:r w:rsidRPr="0003425E">
          <w:rPr>
            <w:rFonts w:cs="FrankRuehl" w:hint="cs"/>
            <w:color w:val="0000FF"/>
            <w:sz w:val="28"/>
            <w:szCs w:val="28"/>
            <w:u w:val="single"/>
            <w:rtl/>
          </w:rPr>
          <w:t>פ</w:t>
        </w:r>
        <w:r w:rsidRPr="0003425E">
          <w:rPr>
            <w:rFonts w:cs="FrankRuehl"/>
            <w:color w:val="0000FF"/>
            <w:sz w:val="28"/>
            <w:szCs w:val="28"/>
            <w:u w:val="single"/>
            <w:rtl/>
          </w:rPr>
          <w:t xml:space="preserve"> 7858/19</w:t>
        </w:r>
      </w:hyperlink>
      <w:r w:rsidR="00522154">
        <w:rPr>
          <w:rFonts w:cs="FrankRuehl"/>
          <w:sz w:val="28"/>
          <w:szCs w:val="28"/>
          <w:rtl/>
        </w:rPr>
        <w:t xml:space="preserve"> </w:t>
      </w:r>
      <w:r w:rsidR="00522154">
        <w:rPr>
          <w:rFonts w:ascii="Miriam" w:hAnsi="Miriam" w:cs="Miriam"/>
          <w:rtl/>
        </w:rPr>
        <w:t>וקנין נ' מדינת ישראל</w:t>
      </w:r>
      <w:r w:rsidR="00522154">
        <w:rPr>
          <w:rFonts w:cs="FrankRuehl"/>
          <w:sz w:val="28"/>
          <w:szCs w:val="28"/>
          <w:rtl/>
        </w:rPr>
        <w:t xml:space="preserve"> (28.11.2019) – הנאשם הורשע על פי הודאתו בשתי עבירות של סחר בסמים, </w:t>
      </w:r>
      <w:r w:rsidR="00522154">
        <w:rPr>
          <w:rFonts w:cs="FrankRuehl" w:hint="cs"/>
          <w:sz w:val="28"/>
          <w:szCs w:val="28"/>
          <w:rtl/>
        </w:rPr>
        <w:t>כ</w:t>
      </w:r>
      <w:r w:rsidR="00522154">
        <w:rPr>
          <w:rFonts w:cs="FrankRuehl"/>
          <w:sz w:val="28"/>
          <w:szCs w:val="28"/>
          <w:rtl/>
        </w:rPr>
        <w:t>שמכר בשני מועדים סם מסוכן מסוג קנבוס וחשיש במשקל כולל של כ-5.8 גרם. נקבע מתחם ענישה בין מאסר שיכול וירוצה בעבודות שירות ועד ל-8 חודשי מאסר בפועל. הנאשם נידון ל- 12 חודשי מאסר בפועל הכוללים הפעלת מאסר מותנה בן 5 חודשים ורכיבי ענישה נוספים. ערעור לבית המשפט המחוזי נדחה כך גם בקשת רשות לערער.</w:t>
      </w:r>
    </w:p>
    <w:p w14:paraId="6635D905" w14:textId="77777777" w:rsidR="00522154" w:rsidRPr="00FC6CDF" w:rsidRDefault="00522154" w:rsidP="00522154">
      <w:pPr>
        <w:pStyle w:val="aa"/>
        <w:rPr>
          <w:rFonts w:cs="FrankRuehl"/>
          <w:szCs w:val="28"/>
          <w:rtl/>
        </w:rPr>
      </w:pPr>
    </w:p>
    <w:p w14:paraId="3AD38403" w14:textId="77777777" w:rsidR="00522154" w:rsidRDefault="0003425E" w:rsidP="00522154">
      <w:pPr>
        <w:pStyle w:val="aa"/>
        <w:numPr>
          <w:ilvl w:val="0"/>
          <w:numId w:val="1"/>
        </w:numPr>
        <w:tabs>
          <w:tab w:val="left" w:pos="-58"/>
        </w:tabs>
        <w:spacing w:before="100" w:beforeAutospacing="1" w:after="120" w:line="360" w:lineRule="auto"/>
        <w:ind w:left="84" w:firstLine="0"/>
        <w:jc w:val="both"/>
        <w:rPr>
          <w:rFonts w:cs="FrankRuehl"/>
          <w:szCs w:val="28"/>
        </w:rPr>
      </w:pPr>
      <w:hyperlink r:id="rId37" w:history="1">
        <w:r w:rsidRPr="0003425E">
          <w:rPr>
            <w:rFonts w:ascii="Corbel" w:hAnsi="Corbel" w:cs="FrankRuehl" w:hint="cs"/>
            <w:color w:val="0000FF"/>
            <w:sz w:val="28"/>
            <w:szCs w:val="28"/>
            <w:u w:val="single"/>
            <w:rtl/>
          </w:rPr>
          <w:t>רע</w:t>
        </w:r>
        <w:r w:rsidRPr="0003425E">
          <w:rPr>
            <w:rFonts w:ascii="Corbel" w:hAnsi="Corbel" w:cs="FrankRuehl"/>
            <w:color w:val="0000FF"/>
            <w:sz w:val="28"/>
            <w:szCs w:val="28"/>
            <w:u w:val="single"/>
            <w:rtl/>
          </w:rPr>
          <w:t>"</w:t>
        </w:r>
        <w:r w:rsidRPr="0003425E">
          <w:rPr>
            <w:rFonts w:ascii="Corbel" w:hAnsi="Corbel" w:cs="FrankRuehl" w:hint="cs"/>
            <w:color w:val="0000FF"/>
            <w:sz w:val="28"/>
            <w:szCs w:val="28"/>
            <w:u w:val="single"/>
            <w:rtl/>
          </w:rPr>
          <w:t>פ</w:t>
        </w:r>
        <w:r w:rsidRPr="0003425E">
          <w:rPr>
            <w:rFonts w:ascii="Corbel" w:hAnsi="Corbel" w:cs="FrankRuehl"/>
            <w:color w:val="0000FF"/>
            <w:sz w:val="28"/>
            <w:szCs w:val="28"/>
            <w:u w:val="single"/>
            <w:rtl/>
          </w:rPr>
          <w:t xml:space="preserve"> 6401/18</w:t>
        </w:r>
      </w:hyperlink>
      <w:r w:rsidR="00522154">
        <w:rPr>
          <w:rFonts w:ascii="Corbel" w:hAnsi="Corbel" w:cs="FrankRuehl"/>
          <w:sz w:val="28"/>
          <w:szCs w:val="28"/>
          <w:rtl/>
        </w:rPr>
        <w:t xml:space="preserve"> </w:t>
      </w:r>
      <w:r w:rsidR="00522154">
        <w:rPr>
          <w:rFonts w:ascii="Miriam" w:hAnsi="Miriam" w:cs="Miriam"/>
          <w:rtl/>
        </w:rPr>
        <w:t>ספיר נ' מדינת ישראל</w:t>
      </w:r>
      <w:r w:rsidR="00522154">
        <w:rPr>
          <w:rFonts w:ascii="Corbel" w:hAnsi="Corbel" w:cs="FrankRuehl"/>
          <w:sz w:val="28"/>
          <w:szCs w:val="28"/>
          <w:rtl/>
        </w:rPr>
        <w:t xml:space="preserve"> (17.9.2018) – הנאשם הורשע על פי הודאתו בכתב אישום האוחז בחובו שבעה אישומים, בעבירות סחר בסמים, ניסיון לסחר בסמים, תיווך והחזקה בסמים מסוכנים והפרעה לשוטר במילוי תפקידו. הנאשם בחמישה מועדים שונים לאחר תיאום מוקדם באמצעות מסרונים עם הקונים</w:t>
      </w:r>
      <w:r w:rsidR="00522154">
        <w:rPr>
          <w:rFonts w:ascii="Corbel" w:hAnsi="Corbel" w:cs="FrankRuehl" w:hint="cs"/>
          <w:sz w:val="28"/>
          <w:szCs w:val="28"/>
          <w:rtl/>
        </w:rPr>
        <w:t xml:space="preserve">, מכר להם </w:t>
      </w:r>
      <w:r w:rsidR="00522154">
        <w:rPr>
          <w:rFonts w:ascii="Corbel" w:hAnsi="Corbel" w:cs="FrankRuehl"/>
          <w:sz w:val="28"/>
          <w:szCs w:val="28"/>
          <w:rtl/>
        </w:rPr>
        <w:t xml:space="preserve">סם מסוג קנבוס בכמויות משתנות (בין 5 ל-23 גרם) תמורת 1000 ₪ עבור כל 10 גרם.  נקבע מתחם ענישה </w:t>
      </w:r>
      <w:r w:rsidR="00522154">
        <w:rPr>
          <w:rFonts w:ascii="Corbel" w:hAnsi="Corbel" w:cs="FrankRuehl" w:hint="cs"/>
          <w:sz w:val="28"/>
          <w:szCs w:val="28"/>
          <w:rtl/>
        </w:rPr>
        <w:t>36-16</w:t>
      </w:r>
      <w:r w:rsidR="00522154">
        <w:rPr>
          <w:rFonts w:ascii="Corbel" w:hAnsi="Corbel" w:cs="FrankRuehl"/>
          <w:sz w:val="28"/>
          <w:szCs w:val="28"/>
          <w:rtl/>
        </w:rPr>
        <w:t xml:space="preserve"> חודשי מאסר בפועל. בית המשפט השלום מצא לסטות לקולא ממתחם הענישה משיקולי שיקום ו</w:t>
      </w:r>
      <w:r w:rsidR="00522154">
        <w:rPr>
          <w:rFonts w:ascii="Corbel" w:hAnsi="Corbel" w:cs="FrankRuehl" w:hint="cs"/>
          <w:sz w:val="28"/>
          <w:szCs w:val="28"/>
          <w:rtl/>
        </w:rPr>
        <w:t xml:space="preserve">הנאשם </w:t>
      </w:r>
      <w:r w:rsidR="00522154">
        <w:rPr>
          <w:rFonts w:ascii="Corbel" w:hAnsi="Corbel" w:cs="FrankRuehl"/>
          <w:sz w:val="28"/>
          <w:szCs w:val="28"/>
          <w:rtl/>
        </w:rPr>
        <w:t xml:space="preserve">נידון לשנת מאסר וענישה נלווית. ערעורים שהוגש לבית המשפט המחוזי נדחה וכך גם בקשת רשות לערער. </w:t>
      </w:r>
    </w:p>
    <w:p w14:paraId="5F7C2FD8" w14:textId="77777777" w:rsidR="00522154" w:rsidRDefault="00522154" w:rsidP="00522154">
      <w:pPr>
        <w:pStyle w:val="aa"/>
        <w:tabs>
          <w:tab w:val="left" w:pos="-58"/>
        </w:tabs>
        <w:spacing w:before="100" w:beforeAutospacing="1" w:after="120"/>
        <w:ind w:left="84"/>
        <w:jc w:val="both"/>
        <w:rPr>
          <w:rFonts w:cs="FrankRuehl"/>
          <w:szCs w:val="28"/>
        </w:rPr>
      </w:pPr>
    </w:p>
    <w:p w14:paraId="3A44599F" w14:textId="77777777" w:rsidR="00522154" w:rsidRDefault="0003425E" w:rsidP="00522154">
      <w:pPr>
        <w:pStyle w:val="aa"/>
        <w:numPr>
          <w:ilvl w:val="0"/>
          <w:numId w:val="1"/>
        </w:numPr>
        <w:tabs>
          <w:tab w:val="left" w:pos="-58"/>
        </w:tabs>
        <w:spacing w:before="100" w:beforeAutospacing="1" w:after="120" w:line="360" w:lineRule="auto"/>
        <w:ind w:left="84" w:firstLine="0"/>
        <w:jc w:val="both"/>
        <w:rPr>
          <w:rFonts w:cs="FrankRuehl"/>
          <w:szCs w:val="28"/>
        </w:rPr>
      </w:pPr>
      <w:hyperlink r:id="rId38" w:history="1">
        <w:r w:rsidRPr="0003425E">
          <w:rPr>
            <w:rFonts w:cs="FrankRuehl" w:hint="cs"/>
            <w:color w:val="0000FF"/>
            <w:szCs w:val="28"/>
            <w:u w:val="single"/>
            <w:rtl/>
          </w:rPr>
          <w:t>ת</w:t>
        </w:r>
        <w:r w:rsidRPr="0003425E">
          <w:rPr>
            <w:rFonts w:cs="FrankRuehl"/>
            <w:color w:val="0000FF"/>
            <w:szCs w:val="28"/>
            <w:u w:val="single"/>
            <w:rtl/>
          </w:rPr>
          <w:t>.</w:t>
        </w:r>
        <w:r w:rsidRPr="0003425E">
          <w:rPr>
            <w:rFonts w:cs="FrankRuehl" w:hint="cs"/>
            <w:color w:val="0000FF"/>
            <w:szCs w:val="28"/>
            <w:u w:val="single"/>
            <w:rtl/>
          </w:rPr>
          <w:t>פ</w:t>
        </w:r>
        <w:r w:rsidRPr="0003425E">
          <w:rPr>
            <w:rFonts w:cs="FrankRuehl"/>
            <w:color w:val="0000FF"/>
            <w:szCs w:val="28"/>
            <w:u w:val="single"/>
            <w:rtl/>
          </w:rPr>
          <w:t xml:space="preserve"> 31134-05-18</w:t>
        </w:r>
      </w:hyperlink>
      <w:r w:rsidR="00522154">
        <w:rPr>
          <w:rFonts w:cs="FrankRuehl"/>
          <w:szCs w:val="28"/>
          <w:rtl/>
        </w:rPr>
        <w:t xml:space="preserve"> </w:t>
      </w:r>
      <w:r w:rsidR="00522154">
        <w:rPr>
          <w:rFonts w:ascii="Miriam" w:hAnsi="Miriam" w:cs="Miriam"/>
          <w:rtl/>
        </w:rPr>
        <w:t>מדינת ישראל נ' ורזון</w:t>
      </w:r>
      <w:r w:rsidR="00522154">
        <w:rPr>
          <w:rFonts w:cs="FrankRuehl"/>
          <w:szCs w:val="28"/>
          <w:rtl/>
        </w:rPr>
        <w:t xml:space="preserve"> (20.10.2022) – הנאשם הורשע על פי הודאתו בריבוי עבירות סחר בסמים </w:t>
      </w:r>
      <w:r w:rsidR="00522154">
        <w:rPr>
          <w:rFonts w:cs="FrankRuehl" w:hint="cs"/>
          <w:szCs w:val="28"/>
          <w:rtl/>
        </w:rPr>
        <w:t>ו</w:t>
      </w:r>
      <w:r w:rsidR="00522154">
        <w:rPr>
          <w:rFonts w:cs="FrankRuehl"/>
          <w:szCs w:val="28"/>
          <w:rtl/>
        </w:rPr>
        <w:t>תיווך לסחר בסמים</w:t>
      </w:r>
      <w:r w:rsidR="00522154">
        <w:rPr>
          <w:rFonts w:cs="FrankRuehl" w:hint="cs"/>
          <w:szCs w:val="28"/>
          <w:rtl/>
        </w:rPr>
        <w:t xml:space="preserve"> מסוג </w:t>
      </w:r>
      <w:r w:rsidR="00522154">
        <w:rPr>
          <w:rFonts w:cs="FrankRuehl"/>
          <w:szCs w:val="28"/>
          <w:rtl/>
        </w:rPr>
        <w:t xml:space="preserve">מריחואנה וקאנביס במשקל שבין 5 גרמים לבין כמה עשרות גרמים לעסקה, מרביתן סביב 10 גרם. </w:t>
      </w:r>
      <w:r w:rsidR="00522154">
        <w:rPr>
          <w:rFonts w:ascii="FrankRuehl" w:hAnsi="FrankRuehl" w:cs="FrankRuehl"/>
          <w:sz w:val="28"/>
          <w:szCs w:val="28"/>
          <w:rtl/>
        </w:rPr>
        <w:t>הנאשם היה מעורה בתחום הסמים, שיווק את הסמים באמצעות פרסום מבצעי מכירות והטבות באתרים שונים וכן באפליקציות טלגראס ווואטאפ ולצורך הפצת הסמים נעזר במערך שליחים סדור ומאורגן. סה"כ סחר הנאשם ב-585 גרם סמים כנגד תמורה בסך עשרות אלפי שקלים</w:t>
      </w:r>
      <w:r w:rsidR="00522154">
        <w:rPr>
          <w:rFonts w:ascii="FrankRuehl" w:hAnsi="FrankRuehl" w:cs="FrankRuehl" w:hint="cs"/>
          <w:sz w:val="28"/>
          <w:szCs w:val="28"/>
          <w:rtl/>
        </w:rPr>
        <w:t xml:space="preserve">, וכן </w:t>
      </w:r>
      <w:r w:rsidR="00522154">
        <w:rPr>
          <w:rFonts w:ascii="FrankRuehl" w:hAnsi="FrankRuehl" w:cs="FrankRuehl"/>
          <w:sz w:val="28"/>
          <w:szCs w:val="28"/>
          <w:rtl/>
        </w:rPr>
        <w:t>החזיק הנאשם בביתו סם מסוג קנאביס במשקל כולל כ-1.8 ק"ג וסם מסוג חשיש במשקל כ-4 גרם</w:t>
      </w:r>
      <w:r w:rsidR="00522154">
        <w:rPr>
          <w:rFonts w:ascii="FrankRuehl" w:hAnsi="FrankRuehl" w:cs="FrankRuehl" w:hint="cs"/>
          <w:sz w:val="28"/>
          <w:szCs w:val="28"/>
          <w:rtl/>
        </w:rPr>
        <w:t xml:space="preserve">, </w:t>
      </w:r>
      <w:r w:rsidR="00522154">
        <w:rPr>
          <w:rFonts w:ascii="FrankRuehl" w:hAnsi="FrankRuehl" w:cs="FrankRuehl"/>
          <w:sz w:val="28"/>
          <w:szCs w:val="28"/>
          <w:rtl/>
        </w:rPr>
        <w:t xml:space="preserve">במקומות שונים בבית כשהם מחולקים, חלקם בתוך מעטפות, וכן נתפס משקל דיגיטלי. </w:t>
      </w:r>
      <w:r w:rsidR="00522154">
        <w:rPr>
          <w:rFonts w:cs="FrankRuehl"/>
          <w:szCs w:val="28"/>
          <w:rtl/>
        </w:rPr>
        <w:t xml:space="preserve">בית המשפט קבע מתחם ענישה אחד לכלל עסקאות הסמים 60-30 חודשי מאסר ומצא לסטות מהמתחם משיקולי שיקום. </w:t>
      </w:r>
    </w:p>
    <w:p w14:paraId="6B2EEEAB" w14:textId="77777777" w:rsidR="00522154" w:rsidRPr="00FC6CDF" w:rsidRDefault="00522154" w:rsidP="00522154">
      <w:pPr>
        <w:pStyle w:val="aa"/>
        <w:rPr>
          <w:rFonts w:cs="FrankRuehl"/>
          <w:szCs w:val="28"/>
          <w:rtl/>
        </w:rPr>
      </w:pPr>
    </w:p>
    <w:p w14:paraId="02870206"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Pr>
          <w:rFonts w:ascii="FrankRuehl" w:hAnsi="FrankRuehl" w:cs="FrankRuehl"/>
          <w:sz w:val="28"/>
          <w:szCs w:val="28"/>
          <w:rtl/>
        </w:rPr>
        <w:t xml:space="preserve">בחינת מדיניות הענישה הנוהגת בהחזקה של סמים מסוג קנאבוס במשקל של עשרות גרמים עד מאות בודדות שלא לצריכה עצמית, מלמדת כי לרוב מתחם הענישה נקבע בין מאסר מותנה או מאסר קצר לריצוי בעבודות שירות ועד לתקופת מאסר 8-12 חודשים לצד רכיבי ענישה נוספים. ראו: </w:t>
      </w:r>
      <w:hyperlink r:id="rId39" w:history="1">
        <w:r w:rsidR="0003425E" w:rsidRPr="0003425E">
          <w:rPr>
            <w:rFonts w:ascii="FrankRuehl" w:hAnsi="FrankRuehl" w:cs="FrankRuehl"/>
            <w:color w:val="0000FF"/>
            <w:sz w:val="28"/>
            <w:szCs w:val="28"/>
            <w:u w:val="single"/>
            <w:rtl/>
          </w:rPr>
          <w:t>רע"פ  636/21</w:t>
        </w:r>
      </w:hyperlink>
      <w:r>
        <w:rPr>
          <w:rFonts w:ascii="FrankRuehl" w:hAnsi="FrankRuehl" w:cs="FrankRuehl"/>
          <w:sz w:val="28"/>
          <w:szCs w:val="28"/>
          <w:rtl/>
        </w:rPr>
        <w:t xml:space="preserve"> </w:t>
      </w:r>
      <w:r>
        <w:rPr>
          <w:rFonts w:ascii="Miriam" w:hAnsi="Miriam" w:cs="Miriam"/>
          <w:rtl/>
        </w:rPr>
        <w:t>לוי נ' מדינת ישראל</w:t>
      </w:r>
      <w:r>
        <w:rPr>
          <w:rFonts w:ascii="FrankRuehl" w:hAnsi="FrankRuehl" w:cs="FrankRuehl"/>
          <w:sz w:val="28"/>
          <w:szCs w:val="28"/>
          <w:rtl/>
        </w:rPr>
        <w:t xml:space="preserve"> (16.2.2021); </w:t>
      </w:r>
      <w:hyperlink r:id="rId40" w:history="1">
        <w:r w:rsidR="0003425E" w:rsidRPr="0003425E">
          <w:rPr>
            <w:rFonts w:ascii="FrankRuehl" w:hAnsi="FrankRuehl" w:cs="FrankRuehl"/>
            <w:color w:val="0000FF"/>
            <w:sz w:val="28"/>
            <w:szCs w:val="28"/>
            <w:u w:val="single"/>
            <w:rtl/>
          </w:rPr>
          <w:t>רע"פ 2590/10</w:t>
        </w:r>
      </w:hyperlink>
      <w:r>
        <w:rPr>
          <w:rFonts w:ascii="FrankRuehl" w:hAnsi="FrankRuehl" w:cs="FrankRuehl"/>
          <w:sz w:val="28"/>
          <w:szCs w:val="28"/>
          <w:rtl/>
        </w:rPr>
        <w:t xml:space="preserve"> </w:t>
      </w:r>
      <w:r>
        <w:rPr>
          <w:rFonts w:ascii="Miriam" w:hAnsi="Miriam" w:cs="Miriam"/>
          <w:rtl/>
        </w:rPr>
        <w:t>שגיא נ' מדינת ישראל</w:t>
      </w:r>
      <w:r>
        <w:rPr>
          <w:rFonts w:ascii="FrankRuehl" w:hAnsi="FrankRuehl" w:cs="FrankRuehl"/>
          <w:rtl/>
        </w:rPr>
        <w:t xml:space="preserve"> </w:t>
      </w:r>
      <w:r>
        <w:rPr>
          <w:rFonts w:ascii="FrankRuehl" w:hAnsi="FrankRuehl" w:cs="FrankRuehl"/>
          <w:sz w:val="28"/>
          <w:szCs w:val="28"/>
          <w:rtl/>
        </w:rPr>
        <w:t xml:space="preserve">(8.4.2010); עפ"ג (ת"א) </w:t>
      </w:r>
      <w:hyperlink r:id="rId41" w:history="1">
        <w:r w:rsidR="00FC6B34" w:rsidRPr="00FC6B34">
          <w:rPr>
            <w:rFonts w:ascii="FrankRuehl" w:hAnsi="FrankRuehl" w:cs="FrankRuehl"/>
            <w:color w:val="0000FF"/>
            <w:sz w:val="28"/>
            <w:szCs w:val="28"/>
            <w:u w:val="single"/>
            <w:rtl/>
          </w:rPr>
          <w:t xml:space="preserve">20903-09-19 </w:t>
        </w:r>
      </w:hyperlink>
      <w:r>
        <w:rPr>
          <w:rFonts w:ascii="FrankRuehl" w:hAnsi="FrankRuehl" w:cs="FrankRuehl"/>
          <w:sz w:val="28"/>
          <w:szCs w:val="28"/>
          <w:rtl/>
        </w:rPr>
        <w:t xml:space="preserve"> </w:t>
      </w:r>
      <w:r>
        <w:rPr>
          <w:rFonts w:ascii="Miriam" w:hAnsi="Miriam" w:cs="Miriam"/>
          <w:rtl/>
        </w:rPr>
        <w:t>ברבי נ' מדינת ישראל</w:t>
      </w:r>
      <w:r>
        <w:rPr>
          <w:rFonts w:ascii="FrankRuehl" w:hAnsi="FrankRuehl" w:cs="FrankRuehl"/>
          <w:rtl/>
        </w:rPr>
        <w:t xml:space="preserve"> </w:t>
      </w:r>
      <w:r>
        <w:rPr>
          <w:rFonts w:ascii="FrankRuehl" w:hAnsi="FrankRuehl" w:cs="FrankRuehl"/>
          <w:sz w:val="28"/>
          <w:szCs w:val="28"/>
          <w:rtl/>
        </w:rPr>
        <w:t xml:space="preserve">(11.12.2019); ע"פ (מרכז) </w:t>
      </w:r>
      <w:hyperlink r:id="rId42" w:history="1">
        <w:r w:rsidR="00FC6B34" w:rsidRPr="00FC6B34">
          <w:rPr>
            <w:rFonts w:ascii="FrankRuehl" w:hAnsi="FrankRuehl" w:cs="FrankRuehl"/>
            <w:color w:val="0000FF"/>
            <w:sz w:val="28"/>
            <w:szCs w:val="28"/>
            <w:u w:val="single"/>
            <w:rtl/>
          </w:rPr>
          <w:t xml:space="preserve">44117-05-16 </w:t>
        </w:r>
      </w:hyperlink>
      <w:r>
        <w:rPr>
          <w:rFonts w:ascii="FrankRuehl" w:hAnsi="FrankRuehl" w:cs="FrankRuehl"/>
          <w:sz w:val="28"/>
          <w:szCs w:val="28"/>
          <w:rtl/>
        </w:rPr>
        <w:t xml:space="preserve"> </w:t>
      </w:r>
      <w:r>
        <w:rPr>
          <w:rFonts w:ascii="Miriam" w:hAnsi="Miriam" w:cs="Miriam"/>
          <w:rtl/>
        </w:rPr>
        <w:t>מדהלה נ' מדינת ישראל</w:t>
      </w:r>
      <w:r>
        <w:rPr>
          <w:rFonts w:ascii="FrankRuehl" w:hAnsi="FrankRuehl" w:cs="FrankRuehl"/>
          <w:sz w:val="28"/>
          <w:szCs w:val="28"/>
          <w:rtl/>
        </w:rPr>
        <w:t xml:space="preserve"> (11.12.2016); </w:t>
      </w:r>
      <w:hyperlink r:id="rId43" w:history="1">
        <w:r w:rsidR="0003425E" w:rsidRPr="0003425E">
          <w:rPr>
            <w:rFonts w:ascii="FrankRuehl" w:hAnsi="FrankRuehl" w:cs="FrankRuehl"/>
            <w:color w:val="0000FF"/>
            <w:sz w:val="28"/>
            <w:szCs w:val="28"/>
            <w:u w:val="single"/>
            <w:rtl/>
          </w:rPr>
          <w:t>ת.פ 42107-06-20</w:t>
        </w:r>
      </w:hyperlink>
      <w:r>
        <w:rPr>
          <w:rFonts w:ascii="FrankRuehl" w:hAnsi="FrankRuehl" w:cs="FrankRuehl"/>
          <w:sz w:val="28"/>
          <w:szCs w:val="28"/>
          <w:rtl/>
        </w:rPr>
        <w:t xml:space="preserve"> </w:t>
      </w:r>
      <w:r>
        <w:rPr>
          <w:rFonts w:ascii="Miriam" w:hAnsi="Miriam" w:cs="Miriam"/>
          <w:rtl/>
        </w:rPr>
        <w:t>מדינת ישראל נ' מגבורה</w:t>
      </w:r>
      <w:r>
        <w:rPr>
          <w:rFonts w:ascii="FrankRuehl" w:hAnsi="FrankRuehl" w:cs="FrankRuehl"/>
          <w:sz w:val="28"/>
          <w:szCs w:val="28"/>
          <w:rtl/>
        </w:rPr>
        <w:t xml:space="preserve"> (9.5.2022); </w:t>
      </w:r>
      <w:hyperlink r:id="rId44" w:history="1">
        <w:r w:rsidR="0003425E" w:rsidRPr="0003425E">
          <w:rPr>
            <w:rFonts w:ascii="FrankRuehl" w:hAnsi="FrankRuehl" w:cs="FrankRuehl"/>
            <w:color w:val="0000FF"/>
            <w:sz w:val="28"/>
            <w:szCs w:val="28"/>
            <w:u w:val="single"/>
            <w:rtl/>
          </w:rPr>
          <w:t>ת.פ 33265-09-20</w:t>
        </w:r>
      </w:hyperlink>
      <w:r>
        <w:rPr>
          <w:rFonts w:ascii="FrankRuehl" w:hAnsi="FrankRuehl" w:cs="FrankRuehl"/>
          <w:sz w:val="28"/>
          <w:szCs w:val="28"/>
          <w:rtl/>
        </w:rPr>
        <w:t xml:space="preserve"> </w:t>
      </w:r>
      <w:r>
        <w:rPr>
          <w:rFonts w:ascii="Miriam" w:hAnsi="Miriam" w:cs="Miriam"/>
          <w:rtl/>
        </w:rPr>
        <w:t>מדינת ישראל נ' שמואלי</w:t>
      </w:r>
      <w:r>
        <w:rPr>
          <w:rFonts w:ascii="FrankRuehl" w:hAnsi="FrankRuehl" w:cs="FrankRuehl"/>
          <w:sz w:val="28"/>
          <w:szCs w:val="28"/>
          <w:rtl/>
        </w:rPr>
        <w:t xml:space="preserve"> (22.12.2021); </w:t>
      </w:r>
      <w:hyperlink r:id="rId45" w:history="1">
        <w:r w:rsidR="0003425E" w:rsidRPr="0003425E">
          <w:rPr>
            <w:rFonts w:ascii="FrankRuehl" w:hAnsi="FrankRuehl" w:cs="FrankRuehl"/>
            <w:color w:val="0000FF"/>
            <w:sz w:val="28"/>
            <w:szCs w:val="28"/>
            <w:u w:val="single"/>
            <w:rtl/>
          </w:rPr>
          <w:t>ת.פ (ת"א) 13643-06-20</w:t>
        </w:r>
      </w:hyperlink>
      <w:r>
        <w:rPr>
          <w:rFonts w:ascii="FrankRuehl" w:hAnsi="FrankRuehl" w:cs="FrankRuehl"/>
          <w:sz w:val="28"/>
          <w:szCs w:val="28"/>
          <w:rtl/>
        </w:rPr>
        <w:t xml:space="preserve"> </w:t>
      </w:r>
      <w:r>
        <w:rPr>
          <w:rFonts w:ascii="Miriam" w:hAnsi="Miriam" w:cs="Miriam"/>
          <w:rtl/>
        </w:rPr>
        <w:t>מדינת ישראל נ' דרעי</w:t>
      </w:r>
      <w:r>
        <w:rPr>
          <w:rFonts w:ascii="FrankRuehl" w:hAnsi="FrankRuehl" w:cs="FrankRuehl"/>
          <w:sz w:val="28"/>
          <w:szCs w:val="28"/>
          <w:rtl/>
        </w:rPr>
        <w:t xml:space="preserve"> (13.10.2021);  </w:t>
      </w:r>
      <w:hyperlink r:id="rId46" w:history="1">
        <w:r w:rsidR="0003425E" w:rsidRPr="0003425E">
          <w:rPr>
            <w:rFonts w:ascii="FrankRuehl" w:hAnsi="FrankRuehl" w:cs="FrankRuehl"/>
            <w:color w:val="0000FF"/>
            <w:sz w:val="28"/>
            <w:szCs w:val="28"/>
            <w:u w:val="single"/>
            <w:rtl/>
          </w:rPr>
          <w:t>ת"פ 24763-04-21</w:t>
        </w:r>
      </w:hyperlink>
      <w:r>
        <w:rPr>
          <w:rFonts w:ascii="FrankRuehl" w:hAnsi="FrankRuehl" w:cs="FrankRuehl"/>
          <w:sz w:val="28"/>
          <w:szCs w:val="28"/>
          <w:rtl/>
        </w:rPr>
        <w:t xml:space="preserve"> </w:t>
      </w:r>
      <w:r>
        <w:rPr>
          <w:rFonts w:ascii="Miriam" w:hAnsi="Miriam" w:cs="Miriam"/>
          <w:rtl/>
        </w:rPr>
        <w:t>מדינת ישראל נ' מולה</w:t>
      </w:r>
      <w:r>
        <w:rPr>
          <w:rFonts w:ascii="FrankRuehl" w:hAnsi="FrankRuehl" w:cs="FrankRuehl"/>
          <w:rtl/>
        </w:rPr>
        <w:t xml:space="preserve"> </w:t>
      </w:r>
      <w:r>
        <w:rPr>
          <w:rFonts w:ascii="FrankRuehl" w:hAnsi="FrankRuehl" w:cs="FrankRuehl"/>
          <w:sz w:val="28"/>
          <w:szCs w:val="28"/>
          <w:rtl/>
        </w:rPr>
        <w:t xml:space="preserve">(12.12.2021); </w:t>
      </w:r>
      <w:hyperlink r:id="rId47" w:history="1">
        <w:r w:rsidR="0003425E" w:rsidRPr="0003425E">
          <w:rPr>
            <w:rFonts w:ascii="FrankRuehl" w:hAnsi="FrankRuehl" w:cs="FrankRuehl"/>
            <w:color w:val="0000FF"/>
            <w:sz w:val="28"/>
            <w:szCs w:val="28"/>
            <w:u w:val="single"/>
            <w:rtl/>
          </w:rPr>
          <w:t>ת"פ 37960-03-21</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rtl/>
        </w:rPr>
        <w:t xml:space="preserve"> </w:t>
      </w:r>
      <w:r>
        <w:rPr>
          <w:rFonts w:ascii="FrankRuehl" w:hAnsi="FrankRuehl" w:cs="FrankRuehl"/>
          <w:sz w:val="28"/>
          <w:szCs w:val="28"/>
          <w:rtl/>
        </w:rPr>
        <w:t xml:space="preserve">(13.10.2021); </w:t>
      </w:r>
      <w:hyperlink r:id="rId48" w:history="1">
        <w:r w:rsidR="0003425E" w:rsidRPr="0003425E">
          <w:rPr>
            <w:rFonts w:ascii="FrankRuehl" w:hAnsi="FrankRuehl" w:cs="FrankRuehl"/>
            <w:color w:val="0000FF"/>
            <w:sz w:val="28"/>
            <w:szCs w:val="28"/>
            <w:u w:val="single"/>
            <w:rtl/>
          </w:rPr>
          <w:t>ת"פ 72369-06-20</w:t>
        </w:r>
      </w:hyperlink>
      <w:r>
        <w:rPr>
          <w:rFonts w:ascii="FrankRuehl" w:hAnsi="FrankRuehl" w:cs="FrankRuehl"/>
          <w:sz w:val="28"/>
          <w:szCs w:val="28"/>
          <w:rtl/>
        </w:rPr>
        <w:t xml:space="preserve"> </w:t>
      </w:r>
      <w:r>
        <w:rPr>
          <w:rFonts w:ascii="Miriam" w:hAnsi="Miriam" w:cs="Miriam"/>
          <w:rtl/>
        </w:rPr>
        <w:t>מדינת ישראל נ' טרי</w:t>
      </w:r>
      <w:r>
        <w:rPr>
          <w:rFonts w:ascii="FrankRuehl" w:hAnsi="FrankRuehl" w:cs="FrankRuehl"/>
          <w:sz w:val="28"/>
          <w:szCs w:val="28"/>
          <w:rtl/>
        </w:rPr>
        <w:t xml:space="preserve"> (13.10.2021); </w:t>
      </w:r>
      <w:hyperlink r:id="rId49" w:history="1">
        <w:r w:rsidR="0003425E" w:rsidRPr="0003425E">
          <w:rPr>
            <w:rFonts w:ascii="FrankRuehl" w:hAnsi="FrankRuehl" w:cs="FrankRuehl"/>
            <w:color w:val="0000FF"/>
            <w:sz w:val="28"/>
            <w:szCs w:val="28"/>
            <w:u w:val="single"/>
            <w:rtl/>
          </w:rPr>
          <w:t>ת"פ 46913-07-18</w:t>
        </w:r>
      </w:hyperlink>
      <w:r>
        <w:rPr>
          <w:rFonts w:ascii="FrankRuehl" w:hAnsi="FrankRuehl" w:cs="FrankRuehl"/>
          <w:sz w:val="28"/>
          <w:szCs w:val="28"/>
          <w:rtl/>
        </w:rPr>
        <w:t xml:space="preserve"> </w:t>
      </w:r>
      <w:r>
        <w:rPr>
          <w:rFonts w:ascii="Miriam" w:hAnsi="Miriam" w:cs="Miriam"/>
          <w:rtl/>
        </w:rPr>
        <w:t>מדינת ישראל נ' מקסימוב</w:t>
      </w:r>
      <w:r>
        <w:rPr>
          <w:rFonts w:ascii="FrankRuehl" w:hAnsi="FrankRuehl" w:cs="FrankRuehl"/>
          <w:rtl/>
        </w:rPr>
        <w:t xml:space="preserve"> </w:t>
      </w:r>
      <w:r>
        <w:rPr>
          <w:rFonts w:ascii="FrankRuehl" w:hAnsi="FrankRuehl" w:cs="FrankRuehl"/>
          <w:sz w:val="28"/>
          <w:szCs w:val="28"/>
          <w:rtl/>
        </w:rPr>
        <w:t xml:space="preserve">(10.8.2020); </w:t>
      </w:r>
      <w:hyperlink r:id="rId50" w:history="1">
        <w:r w:rsidR="0003425E" w:rsidRPr="0003425E">
          <w:rPr>
            <w:rFonts w:ascii="FrankRuehl" w:hAnsi="FrankRuehl" w:cs="FrankRuehl"/>
            <w:color w:val="0000FF"/>
            <w:sz w:val="28"/>
            <w:szCs w:val="28"/>
            <w:u w:val="single"/>
            <w:rtl/>
          </w:rPr>
          <w:t>ת"פ 21678-03-18</w:t>
        </w:r>
      </w:hyperlink>
      <w:r>
        <w:rPr>
          <w:rFonts w:ascii="FrankRuehl" w:hAnsi="FrankRuehl" w:cs="FrankRuehl"/>
          <w:sz w:val="28"/>
          <w:szCs w:val="28"/>
          <w:rtl/>
        </w:rPr>
        <w:t xml:space="preserve"> </w:t>
      </w:r>
      <w:r>
        <w:rPr>
          <w:rFonts w:ascii="Miriam" w:hAnsi="Miriam" w:cs="Miriam"/>
          <w:rtl/>
        </w:rPr>
        <w:t>מדינת ישראל נ' בוסטינוב</w:t>
      </w:r>
      <w:r>
        <w:rPr>
          <w:rFonts w:ascii="FrankRuehl" w:hAnsi="FrankRuehl" w:cs="FrankRuehl"/>
          <w:rtl/>
        </w:rPr>
        <w:t xml:space="preserve"> </w:t>
      </w:r>
      <w:r>
        <w:rPr>
          <w:rFonts w:ascii="FrankRuehl" w:hAnsi="FrankRuehl" w:cs="FrankRuehl"/>
          <w:sz w:val="28"/>
          <w:szCs w:val="28"/>
          <w:rtl/>
        </w:rPr>
        <w:t xml:space="preserve">(20.6.2020); </w:t>
      </w:r>
      <w:hyperlink r:id="rId51" w:history="1">
        <w:r w:rsidR="0003425E" w:rsidRPr="0003425E">
          <w:rPr>
            <w:rFonts w:ascii="FrankRuehl" w:hAnsi="FrankRuehl" w:cs="FrankRuehl"/>
            <w:color w:val="0000FF"/>
            <w:sz w:val="28"/>
            <w:szCs w:val="28"/>
            <w:u w:val="single"/>
            <w:rtl/>
          </w:rPr>
          <w:t>ת"פ 53684-05-17</w:t>
        </w:r>
      </w:hyperlink>
      <w:r>
        <w:rPr>
          <w:rFonts w:ascii="FrankRuehl" w:hAnsi="FrankRuehl" w:cs="FrankRuehl"/>
          <w:sz w:val="28"/>
          <w:szCs w:val="28"/>
          <w:rtl/>
        </w:rPr>
        <w:t xml:space="preserve"> </w:t>
      </w:r>
      <w:r>
        <w:rPr>
          <w:rFonts w:ascii="Miriam" w:hAnsi="Miriam" w:cs="Miriam"/>
          <w:rtl/>
        </w:rPr>
        <w:t>מדינת ישראל נ' בלטרמן</w:t>
      </w:r>
      <w:r>
        <w:rPr>
          <w:rFonts w:ascii="FrankRuehl" w:hAnsi="FrankRuehl" w:cs="FrankRuehl"/>
          <w:rtl/>
        </w:rPr>
        <w:t xml:space="preserve"> </w:t>
      </w:r>
      <w:r>
        <w:rPr>
          <w:rFonts w:ascii="FrankRuehl" w:hAnsi="FrankRuehl" w:cs="FrankRuehl"/>
          <w:sz w:val="28"/>
          <w:szCs w:val="28"/>
          <w:rtl/>
        </w:rPr>
        <w:t xml:space="preserve">(4.5.2020); </w:t>
      </w:r>
      <w:hyperlink r:id="rId52" w:history="1">
        <w:r w:rsidR="0003425E" w:rsidRPr="0003425E">
          <w:rPr>
            <w:rFonts w:ascii="FrankRuehl" w:hAnsi="FrankRuehl" w:cs="FrankRuehl"/>
            <w:color w:val="0000FF"/>
            <w:sz w:val="28"/>
            <w:szCs w:val="28"/>
            <w:u w:val="single"/>
            <w:rtl/>
          </w:rPr>
          <w:t>ת"פ (י-ם) 60525-06-18</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rtl/>
        </w:rPr>
        <w:t xml:space="preserve"> </w:t>
      </w:r>
      <w:r>
        <w:rPr>
          <w:rFonts w:ascii="FrankRuehl" w:hAnsi="FrankRuehl" w:cs="FrankRuehl"/>
          <w:sz w:val="28"/>
          <w:szCs w:val="28"/>
          <w:rtl/>
        </w:rPr>
        <w:t xml:space="preserve">(2.1.2020); </w:t>
      </w:r>
      <w:hyperlink r:id="rId53" w:history="1">
        <w:r w:rsidR="0003425E" w:rsidRPr="0003425E">
          <w:rPr>
            <w:rFonts w:ascii="FrankRuehl" w:hAnsi="FrankRuehl" w:cs="FrankRuehl"/>
            <w:color w:val="0000FF"/>
            <w:sz w:val="28"/>
            <w:szCs w:val="28"/>
            <w:u w:val="single"/>
            <w:rtl/>
          </w:rPr>
          <w:t>ת"פ 39357-02-19</w:t>
        </w:r>
      </w:hyperlink>
      <w:r>
        <w:rPr>
          <w:rFonts w:ascii="FrankRuehl" w:hAnsi="FrankRuehl" w:cs="FrankRuehl"/>
          <w:sz w:val="28"/>
          <w:szCs w:val="28"/>
          <w:rtl/>
        </w:rPr>
        <w:t xml:space="preserve"> </w:t>
      </w:r>
      <w:r>
        <w:rPr>
          <w:rFonts w:ascii="Miriam" w:hAnsi="Miriam" w:cs="Miriam"/>
          <w:rtl/>
        </w:rPr>
        <w:t>מדינת ישראל נ' בוקובזה</w:t>
      </w:r>
      <w:r>
        <w:rPr>
          <w:rFonts w:ascii="FrankRuehl" w:hAnsi="FrankRuehl" w:cs="FrankRuehl"/>
          <w:rtl/>
        </w:rPr>
        <w:t xml:space="preserve"> </w:t>
      </w:r>
      <w:r>
        <w:rPr>
          <w:rFonts w:ascii="FrankRuehl" w:hAnsi="FrankRuehl" w:cs="FrankRuehl"/>
          <w:sz w:val="28"/>
          <w:szCs w:val="28"/>
          <w:rtl/>
        </w:rPr>
        <w:t xml:space="preserve">(31.12.2019); </w:t>
      </w:r>
      <w:hyperlink r:id="rId54" w:history="1">
        <w:r w:rsidR="0003425E" w:rsidRPr="0003425E">
          <w:rPr>
            <w:rFonts w:ascii="FrankRuehl" w:hAnsi="FrankRuehl" w:cs="FrankRuehl"/>
            <w:color w:val="0000FF"/>
            <w:sz w:val="28"/>
            <w:szCs w:val="28"/>
            <w:u w:val="single"/>
            <w:rtl/>
          </w:rPr>
          <w:t>ת"פ 61688-02-18</w:t>
        </w:r>
      </w:hyperlink>
      <w:r>
        <w:rPr>
          <w:rFonts w:ascii="FrankRuehl" w:hAnsi="FrankRuehl" w:cs="FrankRuehl"/>
          <w:sz w:val="28"/>
          <w:szCs w:val="28"/>
          <w:rtl/>
        </w:rPr>
        <w:t xml:space="preserve"> </w:t>
      </w:r>
      <w:r>
        <w:rPr>
          <w:rFonts w:ascii="Miriam" w:hAnsi="Miriam" w:cs="Miriam"/>
          <w:rtl/>
        </w:rPr>
        <w:t>מדינת ישראל נ' פיקדו</w:t>
      </w:r>
      <w:r>
        <w:rPr>
          <w:rFonts w:ascii="FrankRuehl" w:hAnsi="FrankRuehl" w:cs="FrankRuehl"/>
          <w:rtl/>
        </w:rPr>
        <w:t xml:space="preserve"> </w:t>
      </w:r>
      <w:r>
        <w:rPr>
          <w:rFonts w:ascii="FrankRuehl" w:hAnsi="FrankRuehl" w:cs="FrankRuehl"/>
          <w:sz w:val="28"/>
          <w:szCs w:val="28"/>
          <w:rtl/>
        </w:rPr>
        <w:t xml:space="preserve">(25.9.2019).  </w:t>
      </w:r>
    </w:p>
    <w:p w14:paraId="106542E0" w14:textId="77777777" w:rsidR="00522154" w:rsidRPr="00FC6CDF" w:rsidRDefault="00522154" w:rsidP="00522154">
      <w:pPr>
        <w:pStyle w:val="aa"/>
        <w:tabs>
          <w:tab w:val="left" w:pos="-58"/>
        </w:tabs>
        <w:bidi w:val="0"/>
        <w:spacing w:before="100" w:beforeAutospacing="1" w:after="120"/>
        <w:ind w:left="84"/>
        <w:jc w:val="both"/>
        <w:rPr>
          <w:rFonts w:cs="FrankRuehl"/>
          <w:szCs w:val="28"/>
        </w:rPr>
      </w:pPr>
    </w:p>
    <w:p w14:paraId="17C342AD"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Pr>
          <w:rFonts w:cs="FrankRuehl"/>
          <w:sz w:val="28"/>
          <w:szCs w:val="28"/>
          <w:rtl/>
        </w:rPr>
        <w:t>להשלמת הפרק העוסק במדיניות הענישה אומר כי לא מצאתי שיש בפסקי דין שהציגו הצדדים להעלות או להוריד מהקו שהוצג מעלה ועל מנת שלא להלאות לא מצאתי לפרטם.</w:t>
      </w:r>
      <w:r>
        <w:rPr>
          <w:rFonts w:cs="FrankRuehl"/>
          <w:szCs w:val="28"/>
          <w:rtl/>
        </w:rPr>
        <w:t xml:space="preserve"> </w:t>
      </w:r>
    </w:p>
    <w:p w14:paraId="38E1B346" w14:textId="77777777" w:rsidR="00522154" w:rsidRPr="00764D82" w:rsidRDefault="00522154" w:rsidP="00522154">
      <w:pPr>
        <w:pStyle w:val="aa"/>
        <w:rPr>
          <w:rFonts w:cs="FrankRuehl"/>
          <w:szCs w:val="28"/>
          <w:rtl/>
        </w:rPr>
      </w:pPr>
    </w:p>
    <w:p w14:paraId="45A768C2" w14:textId="77777777" w:rsidR="00522154" w:rsidRPr="00764D82"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sidRPr="00764D82">
        <w:rPr>
          <w:rFonts w:ascii="FrankRuehl" w:hAnsi="FrankRuehl" w:cs="FrankRuehl"/>
          <w:sz w:val="28"/>
          <w:szCs w:val="28"/>
          <w:rtl/>
        </w:rPr>
        <w:t xml:space="preserve">ובעניינינו, הנאשם נמצא בראש שרשרת הפצת הסמים, פעל במשך פרק זמן קצר להפצת סמים מסוכנים מסוג קנבוס, במקומות שונים במרחב השרון, ביישוב צור משה, בערים כפר סבא, הוד השרון, ג'לג'וליה, רעננה והרצליה. </w:t>
      </w:r>
      <w:r>
        <w:rPr>
          <w:rFonts w:ascii="FrankRuehl" w:hAnsi="FrankRuehl" w:cs="FrankRuehl"/>
          <w:sz w:val="28"/>
          <w:szCs w:val="28"/>
          <w:rtl/>
        </w:rPr>
        <w:t xml:space="preserve">עסקינן בעבירות המצריכות מחשבה, תכנון מוקדם וקשר עם גורמים עברייניים. </w:t>
      </w:r>
    </w:p>
    <w:p w14:paraId="426ABCA2" w14:textId="77777777" w:rsidR="00522154" w:rsidRPr="00764D82" w:rsidRDefault="00522154" w:rsidP="00522154">
      <w:pPr>
        <w:pStyle w:val="aa"/>
        <w:rPr>
          <w:rFonts w:ascii="FrankRuehl" w:hAnsi="FrankRuehl" w:cs="FrankRuehl"/>
          <w:sz w:val="28"/>
          <w:szCs w:val="28"/>
          <w:rtl/>
        </w:rPr>
      </w:pPr>
    </w:p>
    <w:p w14:paraId="13D36ABF" w14:textId="77777777" w:rsidR="00522154" w:rsidRPr="00764D82"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sidRPr="00764D82">
        <w:rPr>
          <w:rFonts w:ascii="FrankRuehl" w:hAnsi="FrankRuehl" w:cs="FrankRuehl"/>
          <w:sz w:val="28"/>
          <w:szCs w:val="28"/>
          <w:rtl/>
        </w:rPr>
        <w:t xml:space="preserve">כחלק מהפעילות הפלילית עשה הנאשם שימוש באפליקציית ה"טלגרם" המהווה פלטפורמה מוצפנת להעברת מסרים לצורך תיאום פרטי העסקה ובכלל זה, כמות, מחיר וכתובת אספקת הסמים. הצדדים לא הרחיבו הדיבור על השימוש בכלי טכנולוגי זה לצורך ביצוען של העבירות. אולי משום שהשימוש ביישומון הפך בשנים האחרונות למציאות נפוצה, ומאפשר הזמנת משלוחי סמים בכמויות גדולות מאוד, באופן אנונימי ובלחיצת כפתור. </w:t>
      </w:r>
      <w:r w:rsidRPr="00764D82">
        <w:rPr>
          <w:rFonts w:cs="FrankRuehl"/>
          <w:b/>
          <w:sz w:val="28"/>
          <w:szCs w:val="28"/>
          <w:rtl/>
        </w:rPr>
        <w:t xml:space="preserve">השימוש בטכנולוגיה המאפשרת מכירה והפצה קלה ו"סטרילית" של סמים לצד הסיכון הנמוך להיתפס, מרחיב את מעגל הסמים באופן ניכר הן מבחינת סוחרי </w:t>
      </w:r>
      <w:r w:rsidRPr="00764D82">
        <w:rPr>
          <w:rFonts w:ascii="FrankRuehl" w:hAnsi="FrankRuehl" w:cs="FrankRuehl"/>
          <w:sz w:val="28"/>
          <w:szCs w:val="28"/>
          <w:rtl/>
        </w:rPr>
        <w:t xml:space="preserve">הסמים המציעים מרכולתם לכל דורש והן מבחינת צרכני ומשתמשי הסמים. הפצת הסמים בשיטה זו, באופן שיטתי ומתוחכם שנועד להסוות את הפעילות האסורה, מקימה משנה חומרה למעשים האסורים. </w:t>
      </w:r>
    </w:p>
    <w:p w14:paraId="30B2D756" w14:textId="77777777" w:rsidR="00522154" w:rsidRPr="00764D82" w:rsidRDefault="00522154" w:rsidP="00522154">
      <w:pPr>
        <w:pStyle w:val="aa"/>
        <w:rPr>
          <w:rFonts w:cs="FrankRuehl"/>
          <w:szCs w:val="28"/>
          <w:rtl/>
        </w:rPr>
      </w:pPr>
    </w:p>
    <w:p w14:paraId="57FBCFB0"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Pr>
          <w:rFonts w:ascii="FrankRuehl" w:hAnsi="FrankRuehl" w:cs="FrankRuehl"/>
          <w:sz w:val="28"/>
          <w:szCs w:val="28"/>
          <w:rtl/>
        </w:rPr>
        <w:t xml:space="preserve">בשיטה זו ובשמונה הזדמנויות שונות, מכר הנאשם סם מסוכן מסוג קנבוס במשקלים שונים, בין 30-5 גרם בכל פעם וזאת תמורת כמה מאות שקלים בכל מכירה. הסכום המצטבר אותו גרף הנאשם לכיסוי מביצוע עסקאות הסמים נאמד בסך של 5,000 ₪. </w:t>
      </w:r>
      <w:r>
        <w:rPr>
          <w:rFonts w:cs="FrankRuehl"/>
          <w:szCs w:val="28"/>
          <w:rtl/>
        </w:rPr>
        <w:t xml:space="preserve">כן החזיק הנאשם ברכב בכמות סמים לא מבוטלת, גם כאן, סם מסוכן מסוג קנבוס, מחולק לשקיות אותם הטמין במקומות שונים ברכב. החזקת הסמים לצד סכומי כסף נכבדים מלמד על כוונה אחת ויחידה, על רצונו להפיץ את הסמים לציבור המשתמשים. ובהקשר זה יש להביא בחשבון הן את הנזק שעלול היה להיגרם כתוצאה מהפצתם של הסמים והן את הרווח שהיה צפוי הנאשם להרוויח כתוצאה ממכירתם לצרכנים.   </w:t>
      </w:r>
    </w:p>
    <w:p w14:paraId="725B7DC8" w14:textId="77777777" w:rsidR="00522154" w:rsidRPr="00764D82" w:rsidRDefault="00522154" w:rsidP="00522154">
      <w:pPr>
        <w:pStyle w:val="aa"/>
        <w:rPr>
          <w:rFonts w:cs="FrankRuehl"/>
          <w:szCs w:val="28"/>
          <w:rtl/>
        </w:rPr>
      </w:pPr>
    </w:p>
    <w:p w14:paraId="3AF5629C"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Pr>
          <w:rFonts w:ascii="FrankRuehl" w:hAnsi="FrankRuehl" w:cs="FrankRuehl"/>
          <w:sz w:val="28"/>
          <w:szCs w:val="28"/>
          <w:rtl/>
        </w:rPr>
        <w:t xml:space="preserve">העובדה כי העסקאות יצאו מהכוח אל הפועל, תוך זמן קצר מרגע ההזמנה באפליקציה ועד לרגע ההספקה לקונה, במקומות שונים במרחב השרון, תוך שימוש ברכב לצורך "שינוע" הסמים, לצד החזקת סמים בכמות בלתי מבוטלת מחולקת לשקיות במקומות שונים ברכב וסכום הכסף הנכבד שנתפס בחזקתו, מלמדים על מיומנותו של הנאשם בביצוע העסקאות, נגישותו לסמים ומעורבותו העמוקה בתחום. </w:t>
      </w:r>
    </w:p>
    <w:p w14:paraId="72D4C55F" w14:textId="77777777" w:rsidR="00522154" w:rsidRPr="00764D82" w:rsidRDefault="00522154" w:rsidP="00522154">
      <w:pPr>
        <w:pStyle w:val="aa"/>
        <w:rPr>
          <w:rFonts w:cs="FrankRuehl"/>
          <w:szCs w:val="28"/>
          <w:rtl/>
        </w:rPr>
      </w:pPr>
    </w:p>
    <w:p w14:paraId="67A4D162"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cs="FrankRuehl"/>
          <w:szCs w:val="28"/>
        </w:rPr>
      </w:pPr>
      <w:r>
        <w:rPr>
          <w:rFonts w:ascii="FrankRuehl" w:hAnsi="FrankRuehl" w:cs="FrankRuehl"/>
          <w:sz w:val="28"/>
          <w:szCs w:val="28"/>
          <w:rtl/>
        </w:rPr>
        <w:t xml:space="preserve">הנאשם ביצע את העבירות מתוך בצע כסף, הרצון לגרוף רווח קל ומהיר על חשבון בריאותו ורווחתו של צרכן הסמים, תוך ניצול תופעות ההתמכרות מבלי לתת את הדעת לנזקים האישיים והחברתיים הנגרמים משימוש בסם. העובדה כי ברקע עומדת התמכרותו של הנאשם להימורים אינה מהווה נסיבה לקולה. ההפך הוא הנכון. </w:t>
      </w:r>
      <w:r>
        <w:rPr>
          <w:rFonts w:cs="FrankRuehl"/>
          <w:szCs w:val="28"/>
          <w:rtl/>
        </w:rPr>
        <w:t xml:space="preserve">הפנייה לפתרון שולי לצורך תשלום חובות מלמדת על כך שבבסיס ביצוע העבירות עומדת מערכת ערכית קלוקלת </w:t>
      </w:r>
      <w:r>
        <w:rPr>
          <w:rFonts w:ascii="FrankRuehl" w:hAnsi="FrankRuehl" w:cs="FrankRuehl"/>
          <w:sz w:val="28"/>
          <w:szCs w:val="28"/>
          <w:rtl/>
        </w:rPr>
        <w:t xml:space="preserve">הנותנת לגיטימציה לשימוש בסמים תוך טשטוש גבולות החוק. </w:t>
      </w:r>
    </w:p>
    <w:p w14:paraId="390190D1" w14:textId="77777777" w:rsidR="00522154" w:rsidRPr="00764D82" w:rsidRDefault="00522154" w:rsidP="00522154">
      <w:pPr>
        <w:pStyle w:val="aa"/>
        <w:tabs>
          <w:tab w:val="left" w:pos="-58"/>
        </w:tabs>
        <w:spacing w:before="100" w:beforeAutospacing="1" w:after="120"/>
        <w:ind w:left="84"/>
        <w:jc w:val="both"/>
        <w:rPr>
          <w:rFonts w:ascii="FrankRuehl" w:hAnsi="FrankRuehl" w:cs="FrankRuehl"/>
          <w:sz w:val="28"/>
          <w:szCs w:val="28"/>
        </w:rPr>
      </w:pPr>
    </w:p>
    <w:p w14:paraId="0C1D7134"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לאור כל האמור ובהתחשב בנסיבות ביצוע העבירות, מידת הפגיעה בערכים המוגנים ומדיניות הענישה הנהוגה, מצאתי לקבוע את מתחם העונש בין 24-12 חודשי מאסר לצד רכיבי ענישה נוספים ובהם קנס. רכיב הקנס נועד ללמד כי </w:t>
      </w:r>
      <w:r>
        <w:rPr>
          <w:rFonts w:ascii="FrankRuehl" w:hAnsi="FrankRuehl" w:cs="FrankRuehl"/>
          <w:sz w:val="28"/>
          <w:szCs w:val="28"/>
          <w:rtl/>
        </w:rPr>
        <w:t xml:space="preserve">אין תועלת בביצוע עבירות מעין אלו. וביחס לשיעור הקנס אביא בחשבון את מצבו הכלכלי של הנאשם, על אף שלא הוצגו מסמכים בהקשר זה. </w:t>
      </w:r>
    </w:p>
    <w:p w14:paraId="608C921C" w14:textId="77777777" w:rsidR="00522154" w:rsidRDefault="00522154" w:rsidP="00522154">
      <w:pPr>
        <w:pStyle w:val="aa"/>
        <w:tabs>
          <w:tab w:val="left" w:pos="-58"/>
        </w:tabs>
        <w:spacing w:before="100" w:beforeAutospacing="1" w:after="120"/>
        <w:ind w:left="84"/>
        <w:jc w:val="both"/>
        <w:rPr>
          <w:rFonts w:ascii="David" w:hAnsi="David" w:cs="Miriam"/>
          <w:rtl/>
        </w:rPr>
      </w:pPr>
    </w:p>
    <w:p w14:paraId="0BCE1B2F" w14:textId="77777777" w:rsidR="00522154" w:rsidRDefault="00522154" w:rsidP="00522154">
      <w:pPr>
        <w:pStyle w:val="aa"/>
        <w:tabs>
          <w:tab w:val="left" w:pos="-58"/>
        </w:tabs>
        <w:spacing w:before="100" w:beforeAutospacing="1" w:after="120" w:line="360" w:lineRule="auto"/>
        <w:ind w:left="84"/>
        <w:jc w:val="both"/>
        <w:rPr>
          <w:rFonts w:ascii="FrankRuehl" w:hAnsi="FrankRuehl" w:cs="FrankRuehl"/>
          <w:sz w:val="28"/>
          <w:szCs w:val="28"/>
        </w:rPr>
      </w:pPr>
      <w:r>
        <w:rPr>
          <w:rFonts w:ascii="David" w:hAnsi="David" w:cs="Miriam"/>
          <w:rtl/>
        </w:rPr>
        <w:t>גזירת העונש המתאים לנאשם</w:t>
      </w:r>
    </w:p>
    <w:p w14:paraId="7CF599D6" w14:textId="77777777" w:rsidR="00522154" w:rsidRPr="00764D82" w:rsidRDefault="00522154" w:rsidP="00522154">
      <w:pPr>
        <w:pStyle w:val="aa"/>
        <w:tabs>
          <w:tab w:val="left" w:pos="-58"/>
        </w:tabs>
        <w:spacing w:before="100" w:beforeAutospacing="1" w:after="120"/>
        <w:ind w:left="84"/>
        <w:jc w:val="both"/>
        <w:rPr>
          <w:rFonts w:ascii="FrankRuehl" w:hAnsi="FrankRuehl" w:cs="FrankRuehl"/>
          <w:sz w:val="28"/>
          <w:szCs w:val="28"/>
        </w:rPr>
      </w:pPr>
    </w:p>
    <w:p w14:paraId="751B96AF"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הצדדים לא טענו ואף 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55" w:history="1">
        <w:r w:rsidR="0003181C" w:rsidRPr="0003181C">
          <w:rPr>
            <w:rStyle w:val="Hyperlink"/>
            <w:rFonts w:ascii="Miriam" w:hAnsi="Miriam" w:cs="Miriam"/>
            <w:rtl/>
          </w:rPr>
          <w:t>סעיף 40יא'</w:t>
        </w:r>
      </w:hyperlink>
      <w:r>
        <w:rPr>
          <w:rFonts w:ascii="Miriam" w:hAnsi="Miriam" w:cs="Miriam"/>
          <w:rtl/>
        </w:rPr>
        <w:t xml:space="preserve"> ל</w:t>
      </w:r>
      <w:hyperlink r:id="rId56" w:history="1">
        <w:r w:rsidR="0003425E" w:rsidRPr="0003425E">
          <w:rPr>
            <w:rFonts w:ascii="Miriam" w:hAnsi="Miriam" w:cs="Miriam"/>
            <w:color w:val="0000FF"/>
            <w:u w:val="single"/>
            <w:rtl/>
          </w:rPr>
          <w:t>חוק העונשין</w:t>
        </w:r>
      </w:hyperlink>
      <w:r>
        <w:rPr>
          <w:rFonts w:cs="FrankRuehl"/>
          <w:sz w:val="28"/>
          <w:szCs w:val="28"/>
          <w:rtl/>
        </w:rPr>
        <w:t xml:space="preserve">) כדלקמן: </w:t>
      </w:r>
    </w:p>
    <w:p w14:paraId="3E709FCD" w14:textId="77777777" w:rsidR="00522154" w:rsidRDefault="00522154" w:rsidP="00522154">
      <w:pPr>
        <w:pStyle w:val="aa"/>
        <w:tabs>
          <w:tab w:val="left" w:pos="-58"/>
        </w:tabs>
        <w:spacing w:before="100" w:beforeAutospacing="1" w:after="120"/>
        <w:ind w:left="84"/>
        <w:jc w:val="both"/>
        <w:rPr>
          <w:rFonts w:ascii="FrankRuehl" w:hAnsi="FrankRuehl" w:cs="FrankRuehl"/>
          <w:sz w:val="28"/>
          <w:szCs w:val="28"/>
        </w:rPr>
      </w:pPr>
    </w:p>
    <w:p w14:paraId="01AF486E" w14:textId="77777777" w:rsidR="00522154" w:rsidRPr="00764D82" w:rsidRDefault="00522154" w:rsidP="00522154">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הנאשם יליד שנת 1998 רווק, בן למשפחה נורמטיבית.</w:t>
      </w:r>
      <w:r>
        <w:rPr>
          <w:rFonts w:ascii="FrankRuehl" w:hAnsi="FrankRuehl" w:cs="FrankRuehl"/>
          <w:sz w:val="28"/>
          <w:szCs w:val="28"/>
          <w:rtl/>
        </w:rPr>
        <w:t xml:space="preserve"> האחרון הודה בכתב האישום המתוקן מבלי שגובש הסדר לעניין העונש ובכך העמיד את עצמו לשבט או לחסד של בית המשפט. הנאשם לקח אחריות על מעשיו, הביע צער וחרטה. </w:t>
      </w:r>
      <w:r>
        <w:rPr>
          <w:rFonts w:cs="FrankRuehl"/>
          <w:sz w:val="28"/>
          <w:szCs w:val="28"/>
          <w:rtl/>
        </w:rPr>
        <w:t xml:space="preserve">בהתאם, היה בהודאה זו לחסוך בזמן שיפוטי ובמשאבי ציבורים רבים. </w:t>
      </w:r>
    </w:p>
    <w:p w14:paraId="3C7A45FB" w14:textId="77777777" w:rsidR="00522154" w:rsidRPr="00764D82" w:rsidRDefault="00522154" w:rsidP="00522154">
      <w:pPr>
        <w:pStyle w:val="aa"/>
        <w:rPr>
          <w:rFonts w:ascii="FrankRuehl" w:hAnsi="FrankRuehl" w:cs="FrankRuehl"/>
          <w:sz w:val="28"/>
          <w:szCs w:val="28"/>
          <w:rtl/>
        </w:rPr>
      </w:pPr>
    </w:p>
    <w:p w14:paraId="39DB737F"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cs="FrankRuehl"/>
          <w:sz w:val="28"/>
          <w:szCs w:val="28"/>
          <w:rtl/>
        </w:rPr>
        <w:t xml:space="preserve">אין לחובת הנאשם הרשעות קודמות, הוא שירת שירות צבאי מלא, עד למעצרו התנהל באופן תקין וניכר כי הוא בעל יכולות תפקודיות טובות. </w:t>
      </w:r>
      <w:r>
        <w:rPr>
          <w:rFonts w:ascii="FrankRuehl" w:hAnsi="FrankRuehl" w:cs="FrankRuehl"/>
          <w:sz w:val="28"/>
          <w:szCs w:val="28"/>
          <w:rtl/>
        </w:rPr>
        <w:t>אביו העיד בשבחו וסיפר על כך שמעורבות בפלילים אינה מאפיינת את הנאשם בדרך כלל, כשברקע התמכרות להימורים וחובות כלכליים, וכן העיד על הצורך בשיקומו והשבתו למסלול חיים נורמטיבי. ההגנה אף הציגה מידע אודות הליך טיפולי בו השתלב הנאשם לפני כשנה (</w:t>
      </w:r>
      <w:r>
        <w:rPr>
          <w:rFonts w:ascii="Miriam" w:hAnsi="Miriam" w:cs="Miriam"/>
          <w:rtl/>
        </w:rPr>
        <w:t>טענ/1</w:t>
      </w:r>
      <w:r>
        <w:rPr>
          <w:rFonts w:ascii="FrankRuehl" w:hAnsi="FrankRuehl" w:cs="FrankRuehl"/>
          <w:sz w:val="28"/>
          <w:szCs w:val="28"/>
          <w:rtl/>
        </w:rPr>
        <w:t xml:space="preserve">). אולם למרבה הצער, ההליך הטיפולי לא הבשיל לכדי סיום והנאשם עזב את המסגרת הטיפולית כעבור חודשיים ימים, לטענתו, בשל חיסרון כיס. כעבור מספר חודשים חלה הדרדרות נוספת במצבו, הוא העמיק את פעילותו העבריינית ונעצר בגין מעשיו כאן. </w:t>
      </w:r>
    </w:p>
    <w:p w14:paraId="32EA9A4A" w14:textId="77777777" w:rsidR="00522154" w:rsidRPr="00764D82" w:rsidRDefault="00522154" w:rsidP="00522154">
      <w:pPr>
        <w:pStyle w:val="aa"/>
        <w:rPr>
          <w:rFonts w:ascii="FrankRuehl" w:hAnsi="FrankRuehl" w:cs="FrankRuehl"/>
          <w:sz w:val="28"/>
          <w:szCs w:val="28"/>
          <w:rtl/>
        </w:rPr>
      </w:pPr>
    </w:p>
    <w:p w14:paraId="6D2DE9D6"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לנוכח המקובץ נראה </w:t>
      </w:r>
      <w:r>
        <w:rPr>
          <w:rFonts w:ascii="FrankRuehl" w:hAnsi="FrankRuehl" w:cs="FrankRuehl"/>
          <w:sz w:val="28"/>
          <w:szCs w:val="28"/>
          <w:rtl/>
        </w:rPr>
        <w:t xml:space="preserve">כי ישנה רמת סיכון לא מבוטלת להישנות עבירות בעתיד. עם זאת, הגם שלא הוצגה אסמכתא מקצינת האסירים המלמדת על התנהלותו של הנאשם בכלא, מצאתי לתת משקל למוטיבציה אותה מביע הנאשם לשינוי, והשתלבותו בתפקיד טבח והתנהגותו התקינה כעולה מדברי באת כוחו. זאת על מנת לעודד את הנאשם ללכת בדרך השיקומית, בין אם בתקופת המאסר ובין אם לאחר סיום ריצוי מאסרו.  </w:t>
      </w:r>
    </w:p>
    <w:p w14:paraId="1570B899" w14:textId="77777777" w:rsidR="00522154" w:rsidRDefault="00522154" w:rsidP="00522154">
      <w:pPr>
        <w:pStyle w:val="aa"/>
        <w:tabs>
          <w:tab w:val="left" w:pos="-58"/>
        </w:tabs>
        <w:spacing w:before="100" w:beforeAutospacing="1" w:after="120"/>
        <w:ind w:left="84"/>
        <w:jc w:val="both"/>
        <w:rPr>
          <w:rFonts w:ascii="FrankRuehl" w:hAnsi="FrankRuehl" w:cs="FrankRuehl"/>
          <w:sz w:val="28"/>
          <w:szCs w:val="28"/>
        </w:rPr>
      </w:pPr>
    </w:p>
    <w:p w14:paraId="206670D1" w14:textId="77777777" w:rsidR="00522154" w:rsidRDefault="00522154" w:rsidP="00522154">
      <w:pPr>
        <w:pStyle w:val="aa"/>
        <w:numPr>
          <w:ilvl w:val="0"/>
          <w:numId w:val="1"/>
        </w:numPr>
        <w:tabs>
          <w:tab w:val="left" w:pos="-58"/>
        </w:tabs>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 xml:space="preserve">לסיום, מעשיו של הנאשם ראויים לענישה ממשית שיהא בה כדי להלום את חומרתם, להמחיש לנאשם את משמעותם והפסול בהם, ולהרתיעו מפני חזרה על מעשיו. אולם, לנוכח גילו הצעיר, העדר הרשעות קודמות ובהינתן ההודאה ונטילת האחריות, לא אמצה עמו את הדין. </w:t>
      </w:r>
    </w:p>
    <w:p w14:paraId="1502D45A" w14:textId="77777777" w:rsidR="00522154" w:rsidRPr="00764D82" w:rsidRDefault="00522154" w:rsidP="00522154">
      <w:pPr>
        <w:pStyle w:val="aa"/>
        <w:rPr>
          <w:rFonts w:ascii="FrankRuehl" w:hAnsi="FrankRuehl" w:cs="FrankRuehl"/>
          <w:sz w:val="28"/>
          <w:szCs w:val="28"/>
          <w:rtl/>
        </w:rPr>
      </w:pPr>
    </w:p>
    <w:p w14:paraId="28992CAE" w14:textId="77777777" w:rsidR="00522154" w:rsidRDefault="00522154" w:rsidP="00522154">
      <w:pPr>
        <w:tabs>
          <w:tab w:val="left" w:pos="84"/>
        </w:tabs>
        <w:spacing w:before="100" w:beforeAutospacing="1" w:after="120" w:line="360" w:lineRule="auto"/>
        <w:jc w:val="both"/>
        <w:rPr>
          <w:rFonts w:ascii="Miriam" w:hAnsi="Miriam" w:cs="Miriam"/>
        </w:rPr>
      </w:pPr>
      <w:r>
        <w:rPr>
          <w:rFonts w:ascii="Miriam" w:hAnsi="Miriam" w:cs="Miriam"/>
          <w:rtl/>
        </w:rPr>
        <w:t xml:space="preserve">תוצאה </w:t>
      </w:r>
    </w:p>
    <w:p w14:paraId="1753DA97" w14:textId="77777777" w:rsidR="00522154" w:rsidRDefault="00522154" w:rsidP="00522154">
      <w:pPr>
        <w:tabs>
          <w:tab w:val="left" w:pos="-58"/>
        </w:tabs>
        <w:spacing w:before="100" w:beforeAutospacing="1" w:after="120" w:line="360" w:lineRule="auto"/>
        <w:jc w:val="both"/>
        <w:rPr>
          <w:rFonts w:cs="FrankRuehl"/>
          <w:szCs w:val="28"/>
          <w:rtl/>
        </w:rPr>
      </w:pPr>
      <w:r>
        <w:rPr>
          <w:rFonts w:cs="FrankRuehl"/>
          <w:szCs w:val="28"/>
          <w:rtl/>
        </w:rPr>
        <w:t>64.</w:t>
      </w:r>
      <w:r>
        <w:rPr>
          <w:rFonts w:cs="FrankRuehl"/>
          <w:szCs w:val="28"/>
          <w:rtl/>
        </w:rPr>
        <w:tab/>
        <w:t xml:space="preserve">לנוכח האמור </w:t>
      </w:r>
      <w:r>
        <w:rPr>
          <w:rFonts w:ascii="FrankRuehl" w:hAnsi="FrankRuehl" w:cs="FrankRuehl"/>
          <w:sz w:val="28"/>
          <w:szCs w:val="28"/>
          <w:rtl/>
        </w:rPr>
        <w:t xml:space="preserve">אני גוזרת על הנאשם את העונשים הבאים: </w:t>
      </w:r>
    </w:p>
    <w:p w14:paraId="06F5A25C" w14:textId="77777777" w:rsidR="00522154" w:rsidRDefault="00522154" w:rsidP="00522154">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12 חודשי מאסר בפועל</w:t>
      </w:r>
      <w:r>
        <w:rPr>
          <w:rFonts w:cs="FrankRuehl" w:hint="cs"/>
          <w:szCs w:val="28"/>
          <w:rtl/>
        </w:rPr>
        <w:t xml:space="preserve"> שימנו מיום מעצרו ובהתאם לרישומי שב"ס. </w:t>
      </w:r>
    </w:p>
    <w:p w14:paraId="18624C30" w14:textId="77777777" w:rsidR="00522154" w:rsidRDefault="00522154" w:rsidP="00522154">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 xml:space="preserve">6 </w:t>
      </w:r>
      <w:r>
        <w:rPr>
          <w:rFonts w:ascii="FrankRuehl" w:hAnsi="FrankRuehl" w:cs="FrankRuehl"/>
          <w:sz w:val="28"/>
          <w:szCs w:val="28"/>
          <w:rtl/>
        </w:rPr>
        <w:t>חודשי מאסר אותם לא ירצה הנאשם אלא אם יעבור תוך שלוש שנים עבירה על פקודת הסמים מסוג פשע.</w:t>
      </w:r>
    </w:p>
    <w:p w14:paraId="0E1179B9" w14:textId="77777777" w:rsidR="00522154" w:rsidRPr="00764D82" w:rsidRDefault="00522154" w:rsidP="00522154">
      <w:pPr>
        <w:pStyle w:val="aa"/>
        <w:numPr>
          <w:ilvl w:val="0"/>
          <w:numId w:val="2"/>
        </w:numPr>
        <w:tabs>
          <w:tab w:val="left" w:pos="-58"/>
        </w:tabs>
        <w:spacing w:before="100" w:beforeAutospacing="1" w:after="120" w:line="360" w:lineRule="auto"/>
        <w:jc w:val="both"/>
        <w:rPr>
          <w:rFonts w:cs="FrankRuehl"/>
          <w:szCs w:val="28"/>
        </w:rPr>
      </w:pPr>
      <w:r>
        <w:rPr>
          <w:rFonts w:ascii="FrankRuehl" w:hAnsi="FrankRuehl" w:cs="FrankRuehl"/>
          <w:sz w:val="28"/>
          <w:szCs w:val="28"/>
          <w:rtl/>
        </w:rPr>
        <w:t>3 חודשי מאסר אותם לא ירצה הנאשם אלא אם יעבור תוך שלוש שנים עבירה על פקודת הסמים מסוג עוון.</w:t>
      </w:r>
    </w:p>
    <w:p w14:paraId="4F776F18" w14:textId="77777777" w:rsidR="00522154" w:rsidRDefault="00522154" w:rsidP="00522154">
      <w:pPr>
        <w:pStyle w:val="aa"/>
        <w:numPr>
          <w:ilvl w:val="0"/>
          <w:numId w:val="2"/>
        </w:numPr>
        <w:tabs>
          <w:tab w:val="left" w:pos="-58"/>
        </w:tabs>
        <w:spacing w:before="100" w:beforeAutospacing="1" w:after="120" w:line="360" w:lineRule="auto"/>
        <w:jc w:val="both"/>
        <w:rPr>
          <w:rFonts w:cs="FrankRuehl"/>
          <w:szCs w:val="28"/>
        </w:rPr>
      </w:pPr>
      <w:r>
        <w:rPr>
          <w:rFonts w:ascii="FrankRuehl" w:hAnsi="FrankRuehl" w:cs="FrankRuehl"/>
          <w:sz w:val="28"/>
          <w:szCs w:val="28"/>
          <w:rtl/>
        </w:rPr>
        <w:t xml:space="preserve">קנס בסך 1,800 ₪ או </w:t>
      </w:r>
      <w:r>
        <w:rPr>
          <w:rFonts w:ascii="FrankRuehl" w:hAnsi="FrankRuehl" w:cs="FrankRuehl" w:hint="cs"/>
          <w:sz w:val="28"/>
          <w:szCs w:val="28"/>
          <w:rtl/>
        </w:rPr>
        <w:t>20</w:t>
      </w:r>
      <w:r>
        <w:rPr>
          <w:rFonts w:ascii="FrankRuehl" w:hAnsi="FrankRuehl" w:cs="FrankRuehl"/>
          <w:sz w:val="28"/>
          <w:szCs w:val="28"/>
          <w:rtl/>
        </w:rPr>
        <w:t xml:space="preserve"> ימי מאסר תמורתו. הקנס ישולם עד לא יאוחר מיום 1.2.24. </w:t>
      </w:r>
    </w:p>
    <w:p w14:paraId="33EDD119" w14:textId="77777777" w:rsidR="00522154" w:rsidRDefault="00522154" w:rsidP="00522154">
      <w:pPr>
        <w:pStyle w:val="aa"/>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457B7CB4" w14:textId="77777777" w:rsidR="00522154" w:rsidRDefault="00522154" w:rsidP="00522154">
      <w:pPr>
        <w:pStyle w:val="aa"/>
        <w:numPr>
          <w:ilvl w:val="0"/>
          <w:numId w:val="3"/>
        </w:numPr>
        <w:tabs>
          <w:tab w:val="left" w:pos="-58"/>
        </w:tabs>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כרטיס אשראי באתר המקוון של רשות האכיפה והגביה </w:t>
      </w:r>
      <w:hyperlink r:id="rId57" w:history="1">
        <w:r>
          <w:rPr>
            <w:rStyle w:val="Hyperlink"/>
            <w:rFonts w:ascii="FrankRuehl" w:hAnsi="FrankRuehl" w:cs="FrankRuehl"/>
            <w:sz w:val="28"/>
            <w:szCs w:val="28"/>
          </w:rPr>
          <w:t>www.eca.gov.il</w:t>
        </w:r>
      </w:hyperlink>
      <w:r>
        <w:rPr>
          <w:rFonts w:ascii="FrankRuehl" w:hAnsi="FrankRuehl" w:cs="FrankRuehl"/>
          <w:sz w:val="28"/>
          <w:szCs w:val="28"/>
          <w:rtl/>
        </w:rPr>
        <w:t xml:space="preserve">; </w:t>
      </w:r>
    </w:p>
    <w:p w14:paraId="2D6BF051" w14:textId="77777777" w:rsidR="00522154" w:rsidRDefault="00522154" w:rsidP="00522154">
      <w:pPr>
        <w:pStyle w:val="aa"/>
        <w:numPr>
          <w:ilvl w:val="0"/>
          <w:numId w:val="3"/>
        </w:numPr>
        <w:tabs>
          <w:tab w:val="left" w:pos="-58"/>
        </w:tabs>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מוקד שירות טלפוני בשירות עצמי (מרכז גביה) 35592* או בטלפון 073-2055000; </w:t>
      </w:r>
    </w:p>
    <w:p w14:paraId="20EF0E9F" w14:textId="77777777" w:rsidR="00522154" w:rsidRDefault="00522154" w:rsidP="00522154">
      <w:pPr>
        <w:pStyle w:val="aa"/>
        <w:numPr>
          <w:ilvl w:val="0"/>
          <w:numId w:val="3"/>
        </w:numPr>
        <w:tabs>
          <w:tab w:val="left" w:pos="-58"/>
        </w:tabs>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במזומן בכל סניף של בנק דואר בהצגת תעודת זהות בלבד (או צורך בשוברים). </w:t>
      </w:r>
    </w:p>
    <w:p w14:paraId="0E10B046" w14:textId="77777777" w:rsidR="00522154" w:rsidRDefault="00522154" w:rsidP="00522154">
      <w:pPr>
        <w:pStyle w:val="aa"/>
        <w:numPr>
          <w:ilvl w:val="0"/>
          <w:numId w:val="2"/>
        </w:numPr>
        <w:tabs>
          <w:tab w:val="left" w:pos="-58"/>
        </w:tabs>
        <w:spacing w:before="100" w:beforeAutospacing="1" w:after="120" w:line="360" w:lineRule="auto"/>
        <w:jc w:val="both"/>
        <w:rPr>
          <w:rFonts w:cs="FrankRuehl"/>
          <w:szCs w:val="28"/>
        </w:rPr>
      </w:pPr>
      <w:r>
        <w:rPr>
          <w:rFonts w:ascii="FrankRuehl" w:hAnsi="FrankRuehl" w:cs="FrankRuehl"/>
          <w:sz w:val="28"/>
          <w:szCs w:val="28"/>
          <w:rtl/>
        </w:rPr>
        <w:t xml:space="preserve">אני מכריזה על הנאשם כסוחר סמים – לפי </w:t>
      </w:r>
      <w:r>
        <w:rPr>
          <w:rFonts w:ascii="Miriam" w:hAnsi="Miriam" w:cs="Miriam"/>
          <w:rtl/>
        </w:rPr>
        <w:t xml:space="preserve">סעיף </w:t>
      </w:r>
      <w:hyperlink r:id="rId58" w:history="1">
        <w:r w:rsidR="0003181C" w:rsidRPr="0003181C">
          <w:rPr>
            <w:rStyle w:val="Hyperlink"/>
            <w:rFonts w:ascii="Miriam" w:hAnsi="Miriam" w:cs="Miriam"/>
            <w:rtl/>
          </w:rPr>
          <w:t>36 א(ב)</w:t>
        </w:r>
      </w:hyperlink>
      <w:r>
        <w:rPr>
          <w:rFonts w:ascii="Miriam" w:hAnsi="Miriam" w:cs="Miriam"/>
          <w:rtl/>
        </w:rPr>
        <w:t xml:space="preserve"> לפקודת הסמים</w:t>
      </w:r>
      <w:r>
        <w:rPr>
          <w:rFonts w:ascii="FrankRuehl" w:hAnsi="FrankRuehl" w:cs="FrankRuehl"/>
          <w:sz w:val="28"/>
          <w:szCs w:val="28"/>
          <w:rtl/>
        </w:rPr>
        <w:t xml:space="preserve"> ומורה על חילוט הרכב והכסף שנתפס בחזקתו לאוצר המדינה – קרן החילוט.</w:t>
      </w:r>
    </w:p>
    <w:p w14:paraId="31471DFC" w14:textId="77777777" w:rsidR="00522154" w:rsidRDefault="00522154" w:rsidP="00522154">
      <w:pPr>
        <w:pStyle w:val="aa"/>
        <w:numPr>
          <w:ilvl w:val="0"/>
          <w:numId w:val="2"/>
        </w:numPr>
        <w:tabs>
          <w:tab w:val="left" w:pos="-58"/>
        </w:tabs>
        <w:spacing w:before="100" w:beforeAutospacing="1" w:after="120" w:line="360" w:lineRule="auto"/>
        <w:jc w:val="both"/>
        <w:rPr>
          <w:rFonts w:cs="FrankRuehl"/>
          <w:szCs w:val="28"/>
        </w:rPr>
      </w:pPr>
      <w:r>
        <w:rPr>
          <w:rFonts w:cs="FrankRuehl"/>
          <w:szCs w:val="28"/>
          <w:rtl/>
        </w:rPr>
        <w:t xml:space="preserve">אני פוסלת את הנאשם מלקבל או להחזיק רישיון נהיגה לתקופה של 6 חודשים. הפסילה תחל לאחר שחרורו של הנאשם ממאסר ובמצטבר לכל עונש פסילה אחר.  </w:t>
      </w:r>
    </w:p>
    <w:p w14:paraId="10561B00" w14:textId="77777777" w:rsidR="00522154" w:rsidRDefault="00522154" w:rsidP="00522154">
      <w:pPr>
        <w:pStyle w:val="aa"/>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הנאשם יפסל מלקבל ומלהחזיק רישיון נהיגה לתקופה של 6 חודשים, ואולם הנאשם לא  יישא בעונש זה אלא אם יעבור תוך 3 שנים עבירה על פקודת הסמים מסוג פשע.</w:t>
      </w:r>
    </w:p>
    <w:p w14:paraId="5256894B" w14:textId="77777777" w:rsidR="00522154" w:rsidRPr="0003425E" w:rsidRDefault="0003425E" w:rsidP="00522154">
      <w:pPr>
        <w:spacing w:line="360" w:lineRule="auto"/>
        <w:ind w:left="226"/>
        <w:jc w:val="both"/>
        <w:rPr>
          <w:rFonts w:ascii="FrankRuehl" w:hAnsi="FrankRuehl" w:cs="FrankRuehl"/>
          <w:color w:val="FFFFFF"/>
          <w:sz w:val="2"/>
          <w:szCs w:val="2"/>
          <w:rtl/>
        </w:rPr>
      </w:pPr>
      <w:r w:rsidRPr="0003425E">
        <w:rPr>
          <w:rFonts w:ascii="FrankRuehl" w:hAnsi="FrankRuehl" w:cs="FrankRuehl"/>
          <w:color w:val="FFFFFF"/>
          <w:sz w:val="2"/>
          <w:szCs w:val="2"/>
          <w:rtl/>
        </w:rPr>
        <w:t>5129371</w:t>
      </w:r>
    </w:p>
    <w:p w14:paraId="5CDDE839" w14:textId="77777777" w:rsidR="00522154" w:rsidRDefault="0003425E" w:rsidP="00522154">
      <w:pPr>
        <w:spacing w:line="360" w:lineRule="auto"/>
        <w:ind w:left="226"/>
        <w:jc w:val="both"/>
        <w:rPr>
          <w:rFonts w:ascii="FrankRuehl" w:hAnsi="FrankRuehl" w:cs="FrankRuehl"/>
          <w:sz w:val="28"/>
          <w:szCs w:val="28"/>
          <w:rtl/>
        </w:rPr>
      </w:pPr>
      <w:r w:rsidRPr="0003425E">
        <w:rPr>
          <w:rFonts w:ascii="FrankRuehl" w:hAnsi="FrankRuehl" w:cs="FrankRuehl"/>
          <w:color w:val="FFFFFF"/>
          <w:sz w:val="2"/>
          <w:szCs w:val="2"/>
          <w:rtl/>
        </w:rPr>
        <w:t>54678313</w:t>
      </w:r>
      <w:r w:rsidR="00522154">
        <w:rPr>
          <w:rFonts w:ascii="FrankRuehl" w:hAnsi="FrankRuehl" w:cs="FrankRuehl"/>
          <w:sz w:val="28"/>
          <w:szCs w:val="28"/>
          <w:rtl/>
        </w:rPr>
        <w:t xml:space="preserve">צו כללי למוצגים. </w:t>
      </w:r>
    </w:p>
    <w:p w14:paraId="4822B4B7" w14:textId="77777777" w:rsidR="00522154" w:rsidRDefault="00522154" w:rsidP="00522154">
      <w:pPr>
        <w:spacing w:line="360" w:lineRule="auto"/>
        <w:ind w:left="226"/>
        <w:jc w:val="both"/>
        <w:rPr>
          <w:rFonts w:ascii="FrankRuehl" w:hAnsi="FrankRuehl" w:cs="FrankRuehl"/>
          <w:sz w:val="28"/>
          <w:szCs w:val="28"/>
          <w:rtl/>
        </w:rPr>
      </w:pPr>
      <w:r>
        <w:rPr>
          <w:rFonts w:ascii="FrankRuehl" w:hAnsi="FrankRuehl" w:cs="FrankRuehl"/>
          <w:sz w:val="28"/>
          <w:szCs w:val="28"/>
          <w:rtl/>
        </w:rPr>
        <w:t xml:space="preserve">זכות ערעור לבית המשפט המחוזי כחוק. </w:t>
      </w:r>
    </w:p>
    <w:p w14:paraId="767B9A6F" w14:textId="77777777" w:rsidR="00522154" w:rsidRPr="000F2247" w:rsidRDefault="0003425E" w:rsidP="00522154">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ה' שבט תשפ"ד, 15 ינואר 2024, בהעדר הצדדים. </w:t>
      </w:r>
      <w:bookmarkEnd w:id="10"/>
      <w:r w:rsidR="00522154">
        <w:rPr>
          <w:rFonts w:ascii="Arial" w:hAnsi="Arial"/>
          <w:b/>
          <w:bCs/>
          <w:sz w:val="26"/>
          <w:szCs w:val="26"/>
          <w:rtl/>
        </w:rPr>
        <w:tab/>
      </w:r>
      <w:r w:rsidR="00522154">
        <w:rPr>
          <w:rFonts w:ascii="Arial" w:hAnsi="Arial"/>
          <w:b/>
          <w:bCs/>
          <w:sz w:val="26"/>
          <w:szCs w:val="26"/>
          <w:rtl/>
        </w:rPr>
        <w:tab/>
      </w:r>
      <w:r w:rsidR="00522154">
        <w:rPr>
          <w:rFonts w:ascii="Arial" w:hAnsi="Arial"/>
          <w:b/>
          <w:bCs/>
          <w:sz w:val="26"/>
          <w:szCs w:val="26"/>
          <w:rtl/>
        </w:rPr>
        <w:tab/>
      </w:r>
      <w:r w:rsidR="00522154">
        <w:rPr>
          <w:rFonts w:ascii="Arial" w:hAnsi="Arial"/>
          <w:b/>
          <w:bCs/>
          <w:sz w:val="26"/>
          <w:szCs w:val="26"/>
          <w:rtl/>
        </w:rPr>
        <w:tab/>
      </w:r>
      <w:r w:rsidR="00522154">
        <w:rPr>
          <w:rFonts w:ascii="Arial" w:hAnsi="Arial"/>
          <w:b/>
          <w:bCs/>
          <w:sz w:val="26"/>
          <w:szCs w:val="26"/>
          <w:rtl/>
        </w:rPr>
        <w:tab/>
      </w:r>
      <w:r w:rsidR="00522154">
        <w:rPr>
          <w:rFonts w:ascii="Arial" w:hAnsi="Arial"/>
          <w:b/>
          <w:bCs/>
          <w:sz w:val="26"/>
          <w:szCs w:val="26"/>
          <w:rtl/>
        </w:rPr>
        <w:tab/>
      </w:r>
      <w:r w:rsidR="00522154">
        <w:rPr>
          <w:rFonts w:ascii="Arial" w:hAnsi="Arial" w:hint="cs"/>
          <w:b/>
          <w:bCs/>
          <w:sz w:val="26"/>
          <w:szCs w:val="26"/>
          <w:rtl/>
        </w:rPr>
        <w:t xml:space="preserve">         </w:t>
      </w:r>
    </w:p>
    <w:p w14:paraId="7EE078E0" w14:textId="77777777" w:rsidR="00522154" w:rsidRPr="000F2247" w:rsidRDefault="00522154" w:rsidP="0003425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8A2097" w14:textId="77777777" w:rsidR="00522154" w:rsidRPr="0003181C" w:rsidRDefault="0003181C" w:rsidP="00522154">
      <w:pPr>
        <w:jc w:val="center"/>
        <w:rPr>
          <w:rFonts w:ascii="Arial" w:hAnsi="Arial"/>
          <w:b/>
          <w:bCs/>
          <w:color w:val="FFFFFF"/>
          <w:sz w:val="2"/>
          <w:szCs w:val="2"/>
          <w:rtl/>
        </w:rPr>
      </w:pPr>
      <w:r w:rsidRPr="0003181C">
        <w:rPr>
          <w:rFonts w:ascii="Arial" w:hAnsi="Arial"/>
          <w:b/>
          <w:bCs/>
          <w:color w:val="FFFFFF"/>
          <w:sz w:val="2"/>
          <w:szCs w:val="2"/>
          <w:rtl/>
        </w:rPr>
        <w:t>5129371</w:t>
      </w:r>
    </w:p>
    <w:p w14:paraId="4210F408" w14:textId="77777777" w:rsidR="00CC0FD9" w:rsidRPr="0003181C" w:rsidRDefault="0003181C" w:rsidP="0003425E">
      <w:pPr>
        <w:keepNext/>
        <w:rPr>
          <w:rFonts w:ascii="David" w:hAnsi="David"/>
          <w:color w:val="FFFFFF"/>
          <w:sz w:val="2"/>
          <w:szCs w:val="2"/>
          <w:rtl/>
        </w:rPr>
      </w:pPr>
      <w:r w:rsidRPr="0003181C">
        <w:rPr>
          <w:rFonts w:ascii="David" w:hAnsi="David"/>
          <w:color w:val="FFFFFF"/>
          <w:sz w:val="2"/>
          <w:szCs w:val="2"/>
          <w:rtl/>
        </w:rPr>
        <w:t>54678313</w:t>
      </w:r>
    </w:p>
    <w:p w14:paraId="1F6EB312" w14:textId="77777777" w:rsidR="0003425E" w:rsidRDefault="0003425E" w:rsidP="0003425E">
      <w:pPr>
        <w:rPr>
          <w:rtl/>
        </w:rPr>
      </w:pPr>
    </w:p>
    <w:p w14:paraId="74D87D0C" w14:textId="77777777" w:rsidR="0003425E" w:rsidRDefault="0003425E" w:rsidP="0003425E">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30422873" w14:textId="77777777" w:rsidR="0003181C" w:rsidRPr="0003181C" w:rsidRDefault="0003181C" w:rsidP="0003181C">
      <w:pPr>
        <w:keepNext/>
        <w:rPr>
          <w:rFonts w:ascii="David" w:hAnsi="David"/>
          <w:color w:val="000000"/>
          <w:sz w:val="22"/>
          <w:szCs w:val="22"/>
          <w:rtl/>
        </w:rPr>
      </w:pPr>
    </w:p>
    <w:p w14:paraId="75169D9D" w14:textId="77777777" w:rsidR="0003181C" w:rsidRPr="0003181C" w:rsidRDefault="0003181C" w:rsidP="0003181C">
      <w:pPr>
        <w:keepNext/>
        <w:rPr>
          <w:rFonts w:ascii="David" w:hAnsi="David"/>
          <w:color w:val="000000"/>
          <w:sz w:val="22"/>
          <w:szCs w:val="22"/>
          <w:rtl/>
        </w:rPr>
      </w:pPr>
      <w:r w:rsidRPr="0003181C">
        <w:rPr>
          <w:rFonts w:ascii="David" w:hAnsi="David"/>
          <w:color w:val="000000"/>
          <w:sz w:val="22"/>
          <w:szCs w:val="22"/>
          <w:rtl/>
        </w:rPr>
        <w:t>זהר דיבון סגל 54678313-/</w:t>
      </w:r>
    </w:p>
    <w:p w14:paraId="7FA98811" w14:textId="77777777" w:rsidR="0003425E" w:rsidRPr="0003425E" w:rsidRDefault="0003181C" w:rsidP="0003181C">
      <w:pPr>
        <w:rPr>
          <w:color w:val="0000FF"/>
          <w:u w:val="single"/>
        </w:rPr>
      </w:pPr>
      <w:r w:rsidRPr="0003181C">
        <w:rPr>
          <w:color w:val="000000"/>
          <w:u w:val="single"/>
          <w:rtl/>
        </w:rPr>
        <w:t>נוסח מסמך זה כפוף לשינויי ניסוח ועריכה</w:t>
      </w:r>
    </w:p>
    <w:sectPr w:rsidR="0003425E" w:rsidRPr="0003425E" w:rsidSect="0003181C">
      <w:headerReference w:type="even" r:id="rId60"/>
      <w:headerReference w:type="default" r:id="rId61"/>
      <w:footerReference w:type="even" r:id="rId62"/>
      <w:footerReference w:type="default" r:id="rId6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C460D" w14:textId="77777777" w:rsidR="00DA34B3" w:rsidRDefault="00DA34B3" w:rsidP="007448DB">
      <w:r>
        <w:separator/>
      </w:r>
    </w:p>
  </w:endnote>
  <w:endnote w:type="continuationSeparator" w:id="0">
    <w:p w14:paraId="227722FB" w14:textId="77777777" w:rsidR="00DA34B3" w:rsidRDefault="00DA34B3" w:rsidP="0074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B00C1" w14:textId="77777777" w:rsidR="0003181C" w:rsidRDefault="0003181C" w:rsidP="000318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48CC2C" w14:textId="77777777" w:rsidR="00465C3A" w:rsidRPr="0003181C" w:rsidRDefault="0003181C" w:rsidP="0003181C">
    <w:pPr>
      <w:pStyle w:val="a5"/>
      <w:pBdr>
        <w:top w:val="single" w:sz="4" w:space="1" w:color="auto"/>
        <w:between w:val="single" w:sz="4" w:space="0" w:color="auto"/>
      </w:pBdr>
      <w:spacing w:after="60"/>
      <w:jc w:val="center"/>
      <w:rPr>
        <w:rFonts w:ascii="FrankRuehl" w:hAnsi="FrankRuehl" w:cs="FrankRuehl"/>
        <w:color w:val="000000"/>
      </w:rPr>
    </w:pPr>
    <w:r w:rsidRPr="000318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D7260" w14:textId="77777777" w:rsidR="0003181C" w:rsidRDefault="0003181C" w:rsidP="000318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04E5">
      <w:rPr>
        <w:rFonts w:ascii="FrankRuehl" w:hAnsi="FrankRuehl" w:cs="FrankRuehl"/>
        <w:noProof/>
        <w:rtl/>
      </w:rPr>
      <w:t>1</w:t>
    </w:r>
    <w:r>
      <w:rPr>
        <w:rFonts w:ascii="FrankRuehl" w:hAnsi="FrankRuehl" w:cs="FrankRuehl"/>
        <w:rtl/>
      </w:rPr>
      <w:fldChar w:fldCharType="end"/>
    </w:r>
  </w:p>
  <w:p w14:paraId="6019BA32" w14:textId="77777777" w:rsidR="00465C3A" w:rsidRPr="0003181C" w:rsidRDefault="0003181C" w:rsidP="0003181C">
    <w:pPr>
      <w:pStyle w:val="a5"/>
      <w:pBdr>
        <w:top w:val="single" w:sz="4" w:space="1" w:color="auto"/>
        <w:between w:val="single" w:sz="4" w:space="0" w:color="auto"/>
      </w:pBdr>
      <w:spacing w:after="60"/>
      <w:jc w:val="center"/>
      <w:rPr>
        <w:rFonts w:ascii="FrankRuehl" w:hAnsi="FrankRuehl" w:cs="FrankRuehl"/>
        <w:color w:val="000000"/>
      </w:rPr>
    </w:pPr>
    <w:r w:rsidRPr="0003181C">
      <w:rPr>
        <w:rFonts w:ascii="FrankRuehl" w:hAnsi="FrankRuehl" w:cs="FrankRuehl"/>
        <w:color w:val="000000"/>
      </w:rPr>
      <w:pict w14:anchorId="1742E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7F81" w14:textId="77777777" w:rsidR="00DA34B3" w:rsidRDefault="00DA34B3" w:rsidP="007448DB">
      <w:r>
        <w:separator/>
      </w:r>
    </w:p>
  </w:footnote>
  <w:footnote w:type="continuationSeparator" w:id="0">
    <w:p w14:paraId="134EF294" w14:textId="77777777" w:rsidR="00DA34B3" w:rsidRDefault="00DA34B3" w:rsidP="00744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03F2D" w14:textId="77777777" w:rsidR="0003425E" w:rsidRPr="0003181C" w:rsidRDefault="0003181C" w:rsidP="000318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21503-07-23</w:t>
    </w:r>
    <w:r>
      <w:rPr>
        <w:rFonts w:ascii="David" w:hAnsi="David"/>
        <w:color w:val="000000"/>
        <w:sz w:val="22"/>
        <w:szCs w:val="22"/>
        <w:rtl/>
      </w:rPr>
      <w:tab/>
      <w:t xml:space="preserve"> מדינת ישראל  נ' נתנאל דרור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B545" w14:textId="77777777" w:rsidR="0003425E" w:rsidRPr="0003181C" w:rsidRDefault="0003181C" w:rsidP="000318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21503-07-23</w:t>
    </w:r>
    <w:r>
      <w:rPr>
        <w:rFonts w:ascii="David" w:hAnsi="David"/>
        <w:color w:val="000000"/>
        <w:sz w:val="22"/>
        <w:szCs w:val="22"/>
        <w:rtl/>
      </w:rPr>
      <w:tab/>
      <w:t xml:space="preserve"> מדינת ישראל  נ' נתנאל דרור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B32A7"/>
    <w:multiLevelType w:val="hybridMultilevel"/>
    <w:tmpl w:val="ECDAE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0BC1FE7"/>
    <w:multiLevelType w:val="hybridMultilevel"/>
    <w:tmpl w:val="FC40A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F6B5CF2"/>
    <w:multiLevelType w:val="hybridMultilevel"/>
    <w:tmpl w:val="1F04331A"/>
    <w:lvl w:ilvl="0" w:tplc="34283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3103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7258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429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2154"/>
    <w:rsid w:val="0003181C"/>
    <w:rsid w:val="0003425E"/>
    <w:rsid w:val="001B5A3B"/>
    <w:rsid w:val="00465C3A"/>
    <w:rsid w:val="005004E5"/>
    <w:rsid w:val="00522154"/>
    <w:rsid w:val="00665068"/>
    <w:rsid w:val="007448DB"/>
    <w:rsid w:val="007F3A13"/>
    <w:rsid w:val="00BD0EF2"/>
    <w:rsid w:val="00BD50EE"/>
    <w:rsid w:val="00CC0FD9"/>
    <w:rsid w:val="00DA34B3"/>
    <w:rsid w:val="00DD0E44"/>
    <w:rsid w:val="00F12315"/>
    <w:rsid w:val="00FC6B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C7A418"/>
  <w15:chartTrackingRefBased/>
  <w15:docId w15:val="{8DF8A1E5-17DE-46C5-B5CD-1BDBC14B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15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2154"/>
    <w:pPr>
      <w:tabs>
        <w:tab w:val="center" w:pos="4153"/>
        <w:tab w:val="right" w:pos="8306"/>
      </w:tabs>
    </w:pPr>
  </w:style>
  <w:style w:type="character" w:customStyle="1" w:styleId="a4">
    <w:name w:val="כותרת עליונה תו"/>
    <w:link w:val="a3"/>
    <w:rsid w:val="00522154"/>
    <w:rPr>
      <w:rFonts w:ascii="Times New Roman" w:eastAsia="Times New Roman" w:hAnsi="Times New Roman" w:cs="David"/>
      <w:sz w:val="24"/>
      <w:szCs w:val="24"/>
    </w:rPr>
  </w:style>
  <w:style w:type="paragraph" w:styleId="a5">
    <w:name w:val="footer"/>
    <w:basedOn w:val="a"/>
    <w:link w:val="a6"/>
    <w:rsid w:val="00522154"/>
    <w:pPr>
      <w:tabs>
        <w:tab w:val="center" w:pos="4153"/>
        <w:tab w:val="right" w:pos="8306"/>
      </w:tabs>
    </w:pPr>
  </w:style>
  <w:style w:type="character" w:customStyle="1" w:styleId="a6">
    <w:name w:val="כותרת תחתונה תו"/>
    <w:link w:val="a5"/>
    <w:rsid w:val="00522154"/>
    <w:rPr>
      <w:rFonts w:ascii="Times New Roman" w:eastAsia="Times New Roman" w:hAnsi="Times New Roman" w:cs="David"/>
      <w:sz w:val="24"/>
      <w:szCs w:val="24"/>
    </w:rPr>
  </w:style>
  <w:style w:type="table" w:styleId="a7">
    <w:name w:val="Table Grid"/>
    <w:basedOn w:val="a1"/>
    <w:rsid w:val="005221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2154"/>
  </w:style>
  <w:style w:type="character" w:customStyle="1" w:styleId="a9">
    <w:name w:val="פיסקת רשימה תו"/>
    <w:link w:val="aa"/>
    <w:locked/>
    <w:rsid w:val="00522154"/>
    <w:rPr>
      <w:rFonts w:cs="David"/>
      <w:sz w:val="24"/>
      <w:szCs w:val="24"/>
    </w:rPr>
  </w:style>
  <w:style w:type="paragraph" w:styleId="aa">
    <w:name w:val="List Paragraph"/>
    <w:basedOn w:val="a"/>
    <w:link w:val="a9"/>
    <w:qFormat/>
    <w:rsid w:val="00522154"/>
    <w:pPr>
      <w:ind w:left="720"/>
      <w:contextualSpacing/>
    </w:pPr>
    <w:rPr>
      <w:rFonts w:ascii="Calibri" w:eastAsia="Calibri" w:hAnsi="Calibri"/>
    </w:rPr>
  </w:style>
  <w:style w:type="character" w:styleId="Hyperlink">
    <w:name w:val="Hyperlink"/>
    <w:rsid w:val="00522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0454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078610" TargetMode="External"/><Relationship Id="rId42" Type="http://schemas.openxmlformats.org/officeDocument/2006/relationships/hyperlink" Target="http://www.nevo.co.il/case/21639429" TargetMode="External"/><Relationship Id="rId47" Type="http://schemas.openxmlformats.org/officeDocument/2006/relationships/hyperlink" Target="http://www.nevo.co.il/case/27481166" TargetMode="External"/><Relationship Id="rId50" Type="http://schemas.openxmlformats.org/officeDocument/2006/relationships/hyperlink" Target="http://www.nevo.co.il/case/23777143" TargetMode="External"/><Relationship Id="rId55" Type="http://schemas.openxmlformats.org/officeDocument/2006/relationships/hyperlink" Target="http://www.nevo.co.il/law/70301/40ja"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case/27313460"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13101134"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4975541" TargetMode="External"/><Relationship Id="rId40" Type="http://schemas.openxmlformats.org/officeDocument/2006/relationships/hyperlink" Target="http://www.nevo.co.il/case/5844852" TargetMode="External"/><Relationship Id="rId45" Type="http://schemas.openxmlformats.org/officeDocument/2006/relationships/hyperlink" Target="http://www.nevo.co.il/case/26732753" TargetMode="External"/><Relationship Id="rId53" Type="http://schemas.openxmlformats.org/officeDocument/2006/relationships/hyperlink" Target="http://www.nevo.co.il/case/25457133" TargetMode="External"/><Relationship Id="rId58" Type="http://schemas.openxmlformats.org/officeDocument/2006/relationships/hyperlink" Target="http://www.nevo.co.il/law/4216/36a.b"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6991436" TargetMode="External"/><Relationship Id="rId35" Type="http://schemas.openxmlformats.org/officeDocument/2006/relationships/hyperlink" Target="http://www.nevo.co.il/case/26318040" TargetMode="External"/><Relationship Id="rId43" Type="http://schemas.openxmlformats.org/officeDocument/2006/relationships/hyperlink" Target="http://www.nevo.co.il/case/26765897" TargetMode="External"/><Relationship Id="rId48" Type="http://schemas.openxmlformats.org/officeDocument/2006/relationships/hyperlink" Target="http://www.nevo.co.il/case/26804829"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2645661"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28463709" TargetMode="External"/><Relationship Id="rId38" Type="http://schemas.openxmlformats.org/officeDocument/2006/relationships/hyperlink" Target="http://www.nevo.co.il/case/24183802" TargetMode="External"/><Relationship Id="rId46" Type="http://schemas.openxmlformats.org/officeDocument/2006/relationships/hyperlink" Target="http://www.nevo.co.il/case/27537984"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case/26022441" TargetMode="External"/><Relationship Id="rId54" Type="http://schemas.openxmlformats.org/officeDocument/2006/relationships/hyperlink" Target="http://www.nevo.co.il/case/23672166"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17954235" TargetMode="External"/><Relationship Id="rId28" Type="http://schemas.openxmlformats.org/officeDocument/2006/relationships/hyperlink" Target="http://www.nevo.co.il/case/11269774" TargetMode="External"/><Relationship Id="rId36" Type="http://schemas.openxmlformats.org/officeDocument/2006/relationships/hyperlink" Target="http://www.nevo.co.il/case/26222649" TargetMode="External"/><Relationship Id="rId49" Type="http://schemas.openxmlformats.org/officeDocument/2006/relationships/hyperlink" Target="http://www.nevo.co.il/case/24398360" TargetMode="External"/><Relationship Id="rId57" Type="http://schemas.openxmlformats.org/officeDocument/2006/relationships/hyperlink" Target="http://www.eca.gov.il"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2841413" TargetMode="External"/><Relationship Id="rId44" Type="http://schemas.openxmlformats.org/officeDocument/2006/relationships/hyperlink" Target="http://www.nevo.co.il/case/27002992" TargetMode="External"/><Relationship Id="rId52" Type="http://schemas.openxmlformats.org/officeDocument/2006/relationships/hyperlink" Target="http://www.nevo.co.il/case/2433546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736114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21484</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5111890</vt:i4>
      </vt:variant>
      <vt:variant>
        <vt:i4>153</vt:i4>
      </vt:variant>
      <vt:variant>
        <vt:i4>0</vt:i4>
      </vt:variant>
      <vt:variant>
        <vt:i4>5</vt:i4>
      </vt:variant>
      <vt:variant>
        <vt:lpwstr>http://www.nevo.co.il/law/4216/36a.b</vt:lpwstr>
      </vt:variant>
      <vt:variant>
        <vt:lpwstr/>
      </vt:variant>
      <vt:variant>
        <vt:i4>7864368</vt:i4>
      </vt:variant>
      <vt:variant>
        <vt:i4>150</vt:i4>
      </vt:variant>
      <vt:variant>
        <vt:i4>0</vt:i4>
      </vt:variant>
      <vt:variant>
        <vt:i4>5</vt:i4>
      </vt:variant>
      <vt:variant>
        <vt:lpwstr>http://www.eca.gov.il/</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3145841</vt:i4>
      </vt:variant>
      <vt:variant>
        <vt:i4>141</vt:i4>
      </vt:variant>
      <vt:variant>
        <vt:i4>0</vt:i4>
      </vt:variant>
      <vt:variant>
        <vt:i4>5</vt:i4>
      </vt:variant>
      <vt:variant>
        <vt:lpwstr>http://www.nevo.co.il/case/23672166</vt:lpwstr>
      </vt:variant>
      <vt:variant>
        <vt:lpwstr/>
      </vt:variant>
      <vt:variant>
        <vt:i4>3276917</vt:i4>
      </vt:variant>
      <vt:variant>
        <vt:i4>138</vt:i4>
      </vt:variant>
      <vt:variant>
        <vt:i4>0</vt:i4>
      </vt:variant>
      <vt:variant>
        <vt:i4>5</vt:i4>
      </vt:variant>
      <vt:variant>
        <vt:lpwstr>http://www.nevo.co.il/case/25457133</vt:lpwstr>
      </vt:variant>
      <vt:variant>
        <vt:lpwstr/>
      </vt:variant>
      <vt:variant>
        <vt:i4>3276919</vt:i4>
      </vt:variant>
      <vt:variant>
        <vt:i4>135</vt:i4>
      </vt:variant>
      <vt:variant>
        <vt:i4>0</vt:i4>
      </vt:variant>
      <vt:variant>
        <vt:i4>5</vt:i4>
      </vt:variant>
      <vt:variant>
        <vt:lpwstr>http://www.nevo.co.il/case/24335465</vt:lpwstr>
      </vt:variant>
      <vt:variant>
        <vt:lpwstr/>
      </vt:variant>
      <vt:variant>
        <vt:i4>3604596</vt:i4>
      </vt:variant>
      <vt:variant>
        <vt:i4>132</vt:i4>
      </vt:variant>
      <vt:variant>
        <vt:i4>0</vt:i4>
      </vt:variant>
      <vt:variant>
        <vt:i4>5</vt:i4>
      </vt:variant>
      <vt:variant>
        <vt:lpwstr>http://www.nevo.co.il/case/22645661</vt:lpwstr>
      </vt:variant>
      <vt:variant>
        <vt:lpwstr/>
      </vt:variant>
      <vt:variant>
        <vt:i4>3539057</vt:i4>
      </vt:variant>
      <vt:variant>
        <vt:i4>129</vt:i4>
      </vt:variant>
      <vt:variant>
        <vt:i4>0</vt:i4>
      </vt:variant>
      <vt:variant>
        <vt:i4>5</vt:i4>
      </vt:variant>
      <vt:variant>
        <vt:lpwstr>http://www.nevo.co.il/case/23777143</vt:lpwstr>
      </vt:variant>
      <vt:variant>
        <vt:lpwstr/>
      </vt:variant>
      <vt:variant>
        <vt:i4>4128890</vt:i4>
      </vt:variant>
      <vt:variant>
        <vt:i4>126</vt:i4>
      </vt:variant>
      <vt:variant>
        <vt:i4>0</vt:i4>
      </vt:variant>
      <vt:variant>
        <vt:i4>5</vt:i4>
      </vt:variant>
      <vt:variant>
        <vt:lpwstr>http://www.nevo.co.il/case/24398360</vt:lpwstr>
      </vt:variant>
      <vt:variant>
        <vt:lpwstr/>
      </vt:variant>
      <vt:variant>
        <vt:i4>3932282</vt:i4>
      </vt:variant>
      <vt:variant>
        <vt:i4>123</vt:i4>
      </vt:variant>
      <vt:variant>
        <vt:i4>0</vt:i4>
      </vt:variant>
      <vt:variant>
        <vt:i4>5</vt:i4>
      </vt:variant>
      <vt:variant>
        <vt:lpwstr>http://www.nevo.co.il/case/26804829</vt:lpwstr>
      </vt:variant>
      <vt:variant>
        <vt:lpwstr/>
      </vt:variant>
      <vt:variant>
        <vt:i4>3211386</vt:i4>
      </vt:variant>
      <vt:variant>
        <vt:i4>120</vt:i4>
      </vt:variant>
      <vt:variant>
        <vt:i4>0</vt:i4>
      </vt:variant>
      <vt:variant>
        <vt:i4>5</vt:i4>
      </vt:variant>
      <vt:variant>
        <vt:lpwstr>http://www.nevo.co.il/case/27481166</vt:lpwstr>
      </vt:variant>
      <vt:variant>
        <vt:lpwstr/>
      </vt:variant>
      <vt:variant>
        <vt:i4>3670137</vt:i4>
      </vt:variant>
      <vt:variant>
        <vt:i4>117</vt:i4>
      </vt:variant>
      <vt:variant>
        <vt:i4>0</vt:i4>
      </vt:variant>
      <vt:variant>
        <vt:i4>5</vt:i4>
      </vt:variant>
      <vt:variant>
        <vt:lpwstr>http://www.nevo.co.il/case/27537984</vt:lpwstr>
      </vt:variant>
      <vt:variant>
        <vt:lpwstr/>
      </vt:variant>
      <vt:variant>
        <vt:i4>3276918</vt:i4>
      </vt:variant>
      <vt:variant>
        <vt:i4>114</vt:i4>
      </vt:variant>
      <vt:variant>
        <vt:i4>0</vt:i4>
      </vt:variant>
      <vt:variant>
        <vt:i4>5</vt:i4>
      </vt:variant>
      <vt:variant>
        <vt:lpwstr>http://www.nevo.co.il/case/26732753</vt:lpwstr>
      </vt:variant>
      <vt:variant>
        <vt:lpwstr/>
      </vt:variant>
      <vt:variant>
        <vt:i4>3735674</vt:i4>
      </vt:variant>
      <vt:variant>
        <vt:i4>111</vt:i4>
      </vt:variant>
      <vt:variant>
        <vt:i4>0</vt:i4>
      </vt:variant>
      <vt:variant>
        <vt:i4>5</vt:i4>
      </vt:variant>
      <vt:variant>
        <vt:lpwstr>http://www.nevo.co.il/case/27002992</vt:lpwstr>
      </vt:variant>
      <vt:variant>
        <vt:lpwstr/>
      </vt:variant>
      <vt:variant>
        <vt:i4>3735676</vt:i4>
      </vt:variant>
      <vt:variant>
        <vt:i4>108</vt:i4>
      </vt:variant>
      <vt:variant>
        <vt:i4>0</vt:i4>
      </vt:variant>
      <vt:variant>
        <vt:i4>5</vt:i4>
      </vt:variant>
      <vt:variant>
        <vt:lpwstr>http://www.nevo.co.il/case/26765897</vt:lpwstr>
      </vt:variant>
      <vt:variant>
        <vt:lpwstr/>
      </vt:variant>
      <vt:variant>
        <vt:i4>4128882</vt:i4>
      </vt:variant>
      <vt:variant>
        <vt:i4>105</vt:i4>
      </vt:variant>
      <vt:variant>
        <vt:i4>0</vt:i4>
      </vt:variant>
      <vt:variant>
        <vt:i4>5</vt:i4>
      </vt:variant>
      <vt:variant>
        <vt:lpwstr>http://www.nevo.co.il/case/21639429</vt:lpwstr>
      </vt:variant>
      <vt:variant>
        <vt:lpwstr/>
      </vt:variant>
      <vt:variant>
        <vt:i4>3407988</vt:i4>
      </vt:variant>
      <vt:variant>
        <vt:i4>102</vt:i4>
      </vt:variant>
      <vt:variant>
        <vt:i4>0</vt:i4>
      </vt:variant>
      <vt:variant>
        <vt:i4>5</vt:i4>
      </vt:variant>
      <vt:variant>
        <vt:lpwstr>http://www.nevo.co.il/case/26022441</vt:lpwstr>
      </vt:variant>
      <vt:variant>
        <vt:lpwstr/>
      </vt:variant>
      <vt:variant>
        <vt:i4>3866749</vt:i4>
      </vt:variant>
      <vt:variant>
        <vt:i4>99</vt:i4>
      </vt:variant>
      <vt:variant>
        <vt:i4>0</vt:i4>
      </vt:variant>
      <vt:variant>
        <vt:i4>5</vt:i4>
      </vt:variant>
      <vt:variant>
        <vt:lpwstr>http://www.nevo.co.il/case/5844852</vt:lpwstr>
      </vt:variant>
      <vt:variant>
        <vt:lpwstr/>
      </vt:variant>
      <vt:variant>
        <vt:i4>3407988</vt:i4>
      </vt:variant>
      <vt:variant>
        <vt:i4>96</vt:i4>
      </vt:variant>
      <vt:variant>
        <vt:i4>0</vt:i4>
      </vt:variant>
      <vt:variant>
        <vt:i4>5</vt:i4>
      </vt:variant>
      <vt:variant>
        <vt:lpwstr>http://www.nevo.co.il/case/27361147</vt:lpwstr>
      </vt:variant>
      <vt:variant>
        <vt:lpwstr/>
      </vt:variant>
      <vt:variant>
        <vt:i4>3145840</vt:i4>
      </vt:variant>
      <vt:variant>
        <vt:i4>93</vt:i4>
      </vt:variant>
      <vt:variant>
        <vt:i4>0</vt:i4>
      </vt:variant>
      <vt:variant>
        <vt:i4>5</vt:i4>
      </vt:variant>
      <vt:variant>
        <vt:lpwstr>http://www.nevo.co.il/case/24183802</vt:lpwstr>
      </vt:variant>
      <vt:variant>
        <vt:lpwstr/>
      </vt:variant>
      <vt:variant>
        <vt:i4>3801202</vt:i4>
      </vt:variant>
      <vt:variant>
        <vt:i4>90</vt:i4>
      </vt:variant>
      <vt:variant>
        <vt:i4>0</vt:i4>
      </vt:variant>
      <vt:variant>
        <vt:i4>5</vt:i4>
      </vt:variant>
      <vt:variant>
        <vt:lpwstr>http://www.nevo.co.il/case/24975541</vt:lpwstr>
      </vt:variant>
      <vt:variant>
        <vt:lpwstr/>
      </vt:variant>
      <vt:variant>
        <vt:i4>3539062</vt:i4>
      </vt:variant>
      <vt:variant>
        <vt:i4>87</vt:i4>
      </vt:variant>
      <vt:variant>
        <vt:i4>0</vt:i4>
      </vt:variant>
      <vt:variant>
        <vt:i4>5</vt:i4>
      </vt:variant>
      <vt:variant>
        <vt:lpwstr>http://www.nevo.co.il/case/26222649</vt:lpwstr>
      </vt:variant>
      <vt:variant>
        <vt:lpwstr/>
      </vt:variant>
      <vt:variant>
        <vt:i4>3997811</vt:i4>
      </vt:variant>
      <vt:variant>
        <vt:i4>84</vt:i4>
      </vt:variant>
      <vt:variant>
        <vt:i4>0</vt:i4>
      </vt:variant>
      <vt:variant>
        <vt:i4>5</vt:i4>
      </vt:variant>
      <vt:variant>
        <vt:lpwstr>http://www.nevo.co.il/case/26318040</vt:lpwstr>
      </vt:variant>
      <vt:variant>
        <vt:lpwstr/>
      </vt:variant>
      <vt:variant>
        <vt:i4>3866738</vt:i4>
      </vt:variant>
      <vt:variant>
        <vt:i4>81</vt:i4>
      </vt:variant>
      <vt:variant>
        <vt:i4>0</vt:i4>
      </vt:variant>
      <vt:variant>
        <vt:i4>5</vt:i4>
      </vt:variant>
      <vt:variant>
        <vt:lpwstr>http://www.nevo.co.il/case/27078610</vt:lpwstr>
      </vt:variant>
      <vt:variant>
        <vt:lpwstr/>
      </vt:variant>
      <vt:variant>
        <vt:i4>3473533</vt:i4>
      </vt:variant>
      <vt:variant>
        <vt:i4>78</vt:i4>
      </vt:variant>
      <vt:variant>
        <vt:i4>0</vt:i4>
      </vt:variant>
      <vt:variant>
        <vt:i4>5</vt:i4>
      </vt:variant>
      <vt:variant>
        <vt:lpwstr>http://www.nevo.co.il/case/28463709</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3801206</vt:i4>
      </vt:variant>
      <vt:variant>
        <vt:i4>72</vt:i4>
      </vt:variant>
      <vt:variant>
        <vt:i4>0</vt:i4>
      </vt:variant>
      <vt:variant>
        <vt:i4>5</vt:i4>
      </vt:variant>
      <vt:variant>
        <vt:lpwstr>http://www.nevo.co.il/case/22841413</vt:lpwstr>
      </vt:variant>
      <vt:variant>
        <vt:lpwstr/>
      </vt:variant>
      <vt:variant>
        <vt:i4>3735679</vt:i4>
      </vt:variant>
      <vt:variant>
        <vt:i4>69</vt:i4>
      </vt:variant>
      <vt:variant>
        <vt:i4>0</vt:i4>
      </vt:variant>
      <vt:variant>
        <vt:i4>5</vt:i4>
      </vt:variant>
      <vt:variant>
        <vt:lpwstr>http://www.nevo.co.il/case/26991436</vt:lpwstr>
      </vt:variant>
      <vt:variant>
        <vt:lpwstr/>
      </vt:variant>
      <vt:variant>
        <vt:i4>3407990</vt:i4>
      </vt:variant>
      <vt:variant>
        <vt:i4>66</vt:i4>
      </vt:variant>
      <vt:variant>
        <vt:i4>0</vt:i4>
      </vt:variant>
      <vt:variant>
        <vt:i4>5</vt:i4>
      </vt:variant>
      <vt:variant>
        <vt:lpwstr>http://www.nevo.co.il/case/27313460</vt:lpwstr>
      </vt:variant>
      <vt:variant>
        <vt:lpwstr/>
      </vt:variant>
      <vt:variant>
        <vt:i4>3997812</vt:i4>
      </vt:variant>
      <vt:variant>
        <vt:i4>63</vt:i4>
      </vt:variant>
      <vt:variant>
        <vt:i4>0</vt:i4>
      </vt:variant>
      <vt:variant>
        <vt:i4>5</vt:i4>
      </vt:variant>
      <vt:variant>
        <vt:lpwstr>http://www.nevo.co.il/case/11269774</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3145840</vt:i4>
      </vt:variant>
      <vt:variant>
        <vt:i4>57</vt:i4>
      </vt:variant>
      <vt:variant>
        <vt:i4>0</vt:i4>
      </vt:variant>
      <vt:variant>
        <vt:i4>5</vt:i4>
      </vt:variant>
      <vt:variant>
        <vt:lpwstr>http://www.nevo.co.il/case/6045416</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3276918</vt:i4>
      </vt:variant>
      <vt:variant>
        <vt:i4>51</vt:i4>
      </vt:variant>
      <vt:variant>
        <vt:i4>0</vt:i4>
      </vt:variant>
      <vt:variant>
        <vt:i4>5</vt:i4>
      </vt:variant>
      <vt:variant>
        <vt:lpwstr>http://www.nevo.co.il/case/13101134</vt:lpwstr>
      </vt:variant>
      <vt:variant>
        <vt:lpwstr/>
      </vt:variant>
      <vt:variant>
        <vt:i4>4128884</vt:i4>
      </vt:variant>
      <vt:variant>
        <vt:i4>48</vt:i4>
      </vt:variant>
      <vt:variant>
        <vt:i4>0</vt:i4>
      </vt:variant>
      <vt:variant>
        <vt:i4>5</vt:i4>
      </vt:variant>
      <vt:variant>
        <vt:lpwstr>http://www.nevo.co.il/case/17954235</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21503</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נתנאל דרור</vt:lpwstr>
  </property>
  <property fmtid="{D5CDD505-2E9C-101B-9397-08002B2CF9AE}" pid="10" name="LAWYER">
    <vt:lpwstr>דור כהן;אריאלה גואטה</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20240115</vt:lpwstr>
  </property>
  <property fmtid="{D5CDD505-2E9C-101B-9397-08002B2CF9AE}" pid="14" name="TYPE_N_DATE">
    <vt:lpwstr>38020240115</vt:lpwstr>
  </property>
  <property fmtid="{D5CDD505-2E9C-101B-9397-08002B2CF9AE}" pid="15" name="WORDNUMPAGES">
    <vt:lpwstr>11</vt:lpwstr>
  </property>
  <property fmtid="{D5CDD505-2E9C-101B-9397-08002B2CF9AE}" pid="16" name="TYPE_ABS_DATE">
    <vt:lpwstr>380020240115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13093721;17954235;13101134;5786821;6045416;17939812;11269774;27313460;26991436;22841413;23827604;28463709;27078610;26318040;26222649;24975541;24183802;27361147;5844852;26022441;21639429;26765897;27002992;26732753;27537984;27481166;26804829;24398360</vt:lpwstr>
  </property>
  <property fmtid="{D5CDD505-2E9C-101B-9397-08002B2CF9AE}" pid="36" name="CASESLISTTMP2">
    <vt:lpwstr>23777143;22645661;24335465;25457133;23672166</vt:lpwstr>
  </property>
  <property fmtid="{D5CDD505-2E9C-101B-9397-08002B2CF9AE}" pid="37" name="LAWLISTTMP1">
    <vt:lpwstr>4216/013;019.a;007.a;007.c;036a.b</vt:lpwstr>
  </property>
  <property fmtid="{D5CDD505-2E9C-101B-9397-08002B2CF9AE}" pid="38" name="LAWLISTTMP2">
    <vt:lpwstr>70301/40jc;40ja</vt:lpwstr>
  </property>
</Properties>
</file>