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12CEA" w:rsidRPr="003C7BD5" w14:paraId="50B8B5B7" w14:textId="77777777" w:rsidTr="00DB2BBD">
        <w:trPr>
          <w:gridAfter w:val="1"/>
          <w:wAfter w:w="99" w:type="dxa"/>
          <w:trHeight w:hRule="exact" w:val="418"/>
          <w:jc w:val="center"/>
        </w:trPr>
        <w:tc>
          <w:tcPr>
            <w:tcW w:w="8721" w:type="dxa"/>
            <w:gridSpan w:val="4"/>
          </w:tcPr>
          <w:p w14:paraId="04D3E9B0" w14:textId="77777777" w:rsidR="00A12CEA" w:rsidRPr="003C7BD5" w:rsidRDefault="00A12CEA" w:rsidP="00161084">
            <w:pPr>
              <w:pStyle w:val="a3"/>
              <w:jc w:val="center"/>
              <w:rPr>
                <w:rFonts w:ascii="Tahoma" w:hAnsi="Tahoma" w:cs="Tahoma"/>
                <w:color w:val="000080"/>
                <w:rtl/>
              </w:rPr>
            </w:pPr>
            <w:bookmarkStart w:id="0" w:name="FirstLawyer"/>
            <w:r w:rsidRPr="003C7BD5">
              <w:rPr>
                <w:rFonts w:ascii="Tahoma" w:hAnsi="Tahoma" w:cs="Tahoma"/>
                <w:b/>
                <w:bCs/>
                <w:color w:val="000080"/>
                <w:rtl/>
              </w:rPr>
              <w:t>בית משפט השלום בחיפה</w:t>
            </w:r>
          </w:p>
        </w:tc>
      </w:tr>
      <w:tr w:rsidR="00A12CEA" w:rsidRPr="003C7BD5" w14:paraId="1CF739F5" w14:textId="77777777" w:rsidTr="00DB2BBD">
        <w:trPr>
          <w:gridAfter w:val="1"/>
          <w:wAfter w:w="99" w:type="dxa"/>
          <w:trHeight w:val="337"/>
          <w:jc w:val="center"/>
        </w:trPr>
        <w:tc>
          <w:tcPr>
            <w:tcW w:w="5054" w:type="dxa"/>
            <w:gridSpan w:val="3"/>
          </w:tcPr>
          <w:p w14:paraId="592010D6" w14:textId="77777777" w:rsidR="00A12CEA" w:rsidRPr="003C7BD5" w:rsidRDefault="00A12CEA" w:rsidP="00161084">
            <w:pPr>
              <w:rPr>
                <w:rFonts w:cs="FrankRuehl"/>
                <w:sz w:val="28"/>
                <w:szCs w:val="28"/>
                <w:rtl/>
              </w:rPr>
            </w:pPr>
            <w:r w:rsidRPr="003C7BD5">
              <w:rPr>
                <w:rFonts w:cs="FrankRuehl"/>
                <w:sz w:val="28"/>
                <w:szCs w:val="28"/>
                <w:rtl/>
              </w:rPr>
              <w:t>ת"פ</w:t>
            </w:r>
            <w:r w:rsidRPr="003C7BD5">
              <w:rPr>
                <w:rFonts w:cs="FrankRuehl" w:hint="cs"/>
                <w:sz w:val="28"/>
                <w:szCs w:val="28"/>
                <w:rtl/>
              </w:rPr>
              <w:t xml:space="preserve"> </w:t>
            </w:r>
            <w:r w:rsidRPr="003C7BD5">
              <w:rPr>
                <w:rFonts w:cs="FrankRuehl"/>
                <w:sz w:val="28"/>
                <w:szCs w:val="28"/>
                <w:rtl/>
              </w:rPr>
              <w:t>26298-07-23</w:t>
            </w:r>
            <w:r w:rsidRPr="003C7BD5">
              <w:rPr>
                <w:rFonts w:cs="FrankRuehl" w:hint="cs"/>
                <w:sz w:val="28"/>
                <w:szCs w:val="28"/>
                <w:rtl/>
              </w:rPr>
              <w:t xml:space="preserve"> </w:t>
            </w:r>
            <w:r w:rsidRPr="003C7BD5">
              <w:rPr>
                <w:rFonts w:cs="FrankRuehl"/>
                <w:sz w:val="28"/>
                <w:szCs w:val="28"/>
                <w:rtl/>
              </w:rPr>
              <w:t>מדינת ישראל נ' אראלי</w:t>
            </w:r>
          </w:p>
          <w:p w14:paraId="3E32B609" w14:textId="77777777" w:rsidR="00A12CEA" w:rsidRPr="003C7BD5" w:rsidRDefault="00A12CEA" w:rsidP="00161084">
            <w:pPr>
              <w:pStyle w:val="a3"/>
              <w:rPr>
                <w:rFonts w:cs="FrankRuehl"/>
                <w:sz w:val="28"/>
                <w:szCs w:val="28"/>
                <w:rtl/>
              </w:rPr>
            </w:pPr>
          </w:p>
        </w:tc>
        <w:tc>
          <w:tcPr>
            <w:tcW w:w="3667" w:type="dxa"/>
          </w:tcPr>
          <w:p w14:paraId="3A7E5E5F" w14:textId="77777777" w:rsidR="00A12CEA" w:rsidRPr="003C7BD5" w:rsidRDefault="00A12CEA" w:rsidP="00161084">
            <w:pPr>
              <w:pStyle w:val="a3"/>
              <w:jc w:val="right"/>
              <w:rPr>
                <w:rFonts w:cs="FrankRuehl"/>
                <w:sz w:val="28"/>
                <w:szCs w:val="28"/>
                <w:rtl/>
              </w:rPr>
            </w:pPr>
          </w:p>
        </w:tc>
      </w:tr>
      <w:tr w:rsidR="00A12CEA" w:rsidRPr="003C7BD5" w14:paraId="10F48F52" w14:textId="77777777" w:rsidTr="00DB2B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3771E81" w14:textId="77777777" w:rsidR="00A12CEA" w:rsidRPr="003C7BD5" w:rsidRDefault="00A12CEA" w:rsidP="00A12CEA">
            <w:pPr>
              <w:jc w:val="both"/>
              <w:rPr>
                <w:rFonts w:ascii="David" w:hAnsi="David"/>
                <w:sz w:val="26"/>
                <w:szCs w:val="26"/>
              </w:rPr>
            </w:pPr>
            <w:r w:rsidRPr="003C7BD5">
              <w:rPr>
                <w:rFonts w:hint="cs"/>
                <w:rtl/>
              </w:rPr>
              <w:t xml:space="preserve"> </w:t>
            </w:r>
            <w:r w:rsidRPr="003C7BD5">
              <w:rPr>
                <w:rFonts w:ascii="David" w:hAnsi="David" w:hint="cs"/>
                <w:sz w:val="26"/>
                <w:szCs w:val="26"/>
                <w:rtl/>
              </w:rPr>
              <w:t>ל</w:t>
            </w:r>
            <w:r w:rsidRPr="003C7BD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BDA250A" w14:textId="77777777" w:rsidR="00A12CEA" w:rsidRPr="003C7BD5" w:rsidRDefault="00A12CEA" w:rsidP="00161084">
            <w:pPr>
              <w:rPr>
                <w:rFonts w:ascii="David" w:hAnsi="David"/>
                <w:b/>
                <w:bCs/>
                <w:sz w:val="26"/>
                <w:szCs w:val="26"/>
                <w:rtl/>
              </w:rPr>
            </w:pPr>
            <w:r w:rsidRPr="003C7BD5">
              <w:rPr>
                <w:rFonts w:ascii="David" w:hAnsi="David"/>
                <w:b/>
                <w:bCs/>
                <w:sz w:val="26"/>
                <w:szCs w:val="26"/>
                <w:rtl/>
              </w:rPr>
              <w:t>כבוד השופטת, סגנית הנשיאה  טל תדמור-זמיר</w:t>
            </w:r>
          </w:p>
          <w:p w14:paraId="1ACBB2DF" w14:textId="77777777" w:rsidR="00A12CEA" w:rsidRPr="003C7BD5" w:rsidRDefault="00A12CEA" w:rsidP="00161084">
            <w:pPr>
              <w:rPr>
                <w:rFonts w:ascii="David" w:hAnsi="David"/>
                <w:sz w:val="26"/>
                <w:szCs w:val="26"/>
                <w:rtl/>
              </w:rPr>
            </w:pPr>
          </w:p>
          <w:p w14:paraId="1399DE5F" w14:textId="77777777" w:rsidR="00A12CEA" w:rsidRPr="003C7BD5" w:rsidRDefault="00A12CEA" w:rsidP="00A12CEA">
            <w:pPr>
              <w:jc w:val="both"/>
              <w:rPr>
                <w:rFonts w:ascii="David" w:hAnsi="David"/>
                <w:sz w:val="26"/>
                <w:szCs w:val="26"/>
              </w:rPr>
            </w:pPr>
          </w:p>
        </w:tc>
      </w:tr>
      <w:tr w:rsidR="00A12CEA" w:rsidRPr="003C7BD5" w14:paraId="4BCD7035" w14:textId="77777777" w:rsidTr="00DB2B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2B0818" w14:textId="77777777" w:rsidR="00A12CEA" w:rsidRPr="003C7BD5" w:rsidRDefault="00A12CEA" w:rsidP="00A12CEA">
            <w:pPr>
              <w:jc w:val="both"/>
              <w:rPr>
                <w:rFonts w:ascii="David" w:hAnsi="David"/>
                <w:sz w:val="26"/>
                <w:szCs w:val="26"/>
              </w:rPr>
            </w:pPr>
            <w:bookmarkStart w:id="1" w:name="FirstAppellant"/>
            <w:bookmarkStart w:id="2" w:name="LastJudge"/>
            <w:bookmarkEnd w:id="2"/>
            <w:r w:rsidRPr="003C7BD5">
              <w:rPr>
                <w:rFonts w:ascii="David" w:hAnsi="David"/>
                <w:sz w:val="26"/>
                <w:szCs w:val="26"/>
                <w:rtl/>
              </w:rPr>
              <w:t>בעניין:</w:t>
            </w:r>
          </w:p>
        </w:tc>
        <w:tc>
          <w:tcPr>
            <w:tcW w:w="3219" w:type="dxa"/>
            <w:tcBorders>
              <w:top w:val="nil"/>
              <w:left w:val="nil"/>
              <w:bottom w:val="nil"/>
              <w:right w:val="nil"/>
            </w:tcBorders>
            <w:shd w:val="clear" w:color="auto" w:fill="auto"/>
          </w:tcPr>
          <w:p w14:paraId="3AE24940" w14:textId="77777777" w:rsidR="00A12CEA" w:rsidRPr="003C7BD5" w:rsidRDefault="00A12CEA" w:rsidP="00A12CEA">
            <w:pPr>
              <w:suppressLineNumbers/>
            </w:pPr>
            <w:r w:rsidRPr="003C7BD5">
              <w:rPr>
                <w:rFonts w:ascii="Arial" w:hAnsi="Arial" w:hint="cs"/>
                <w:b/>
                <w:bCs/>
                <w:sz w:val="26"/>
                <w:szCs w:val="26"/>
                <w:rtl/>
              </w:rPr>
              <w:t>ה</w:t>
            </w:r>
            <w:r w:rsidRPr="003C7BD5">
              <w:rPr>
                <w:rFonts w:ascii="Arial" w:hAnsi="Arial"/>
                <w:b/>
                <w:bCs/>
                <w:sz w:val="26"/>
                <w:szCs w:val="26"/>
                <w:rtl/>
              </w:rPr>
              <w:t>מאשימה</w:t>
            </w:r>
          </w:p>
          <w:p w14:paraId="1620EF80" w14:textId="77777777" w:rsidR="00A12CEA" w:rsidRPr="003C7BD5" w:rsidRDefault="00A12CEA" w:rsidP="0016108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890AD69" w14:textId="77777777" w:rsidR="00A12CEA" w:rsidRPr="003C7BD5" w:rsidRDefault="00A12CEA" w:rsidP="00A12CEA">
            <w:pPr>
              <w:suppressLineNumbers/>
            </w:pPr>
            <w:r w:rsidRPr="003C7BD5">
              <w:rPr>
                <w:rFonts w:ascii="Arial" w:hAnsi="Arial"/>
                <w:b/>
                <w:bCs/>
                <w:sz w:val="26"/>
                <w:szCs w:val="26"/>
                <w:rtl/>
              </w:rPr>
              <w:t>מדינת ישראל</w:t>
            </w:r>
            <w:r w:rsidRPr="003C7BD5">
              <w:rPr>
                <w:rFonts w:ascii="Arial" w:hAnsi="Arial" w:hint="cs"/>
                <w:b/>
                <w:bCs/>
                <w:sz w:val="26"/>
                <w:szCs w:val="26"/>
                <w:rtl/>
              </w:rPr>
              <w:t xml:space="preserve"> </w:t>
            </w:r>
          </w:p>
          <w:p w14:paraId="3159598E" w14:textId="77777777" w:rsidR="00A12CEA" w:rsidRPr="003C7BD5" w:rsidRDefault="00A12CEA" w:rsidP="00161084">
            <w:pPr>
              <w:rPr>
                <w:rFonts w:ascii="David" w:hAnsi="David"/>
                <w:sz w:val="26"/>
                <w:szCs w:val="26"/>
              </w:rPr>
            </w:pPr>
          </w:p>
        </w:tc>
      </w:tr>
      <w:bookmarkEnd w:id="1"/>
      <w:tr w:rsidR="00A12CEA" w:rsidRPr="003C7BD5" w14:paraId="1F78F2AF" w14:textId="77777777" w:rsidTr="00DB2B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567001" w14:textId="77777777" w:rsidR="00A12CEA" w:rsidRPr="003C7BD5" w:rsidRDefault="00A12CEA" w:rsidP="00A12CE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613AC88" w14:textId="77777777" w:rsidR="00A12CEA" w:rsidRPr="003C7BD5" w:rsidRDefault="00A12CEA" w:rsidP="00A12CEA">
            <w:pPr>
              <w:jc w:val="center"/>
              <w:rPr>
                <w:rFonts w:ascii="David" w:hAnsi="David"/>
                <w:b/>
                <w:bCs/>
                <w:sz w:val="26"/>
                <w:szCs w:val="26"/>
                <w:rtl/>
              </w:rPr>
            </w:pPr>
          </w:p>
          <w:p w14:paraId="7BCEB2E5" w14:textId="77777777" w:rsidR="00A12CEA" w:rsidRPr="003C7BD5" w:rsidRDefault="00A12CEA" w:rsidP="00A12CEA">
            <w:pPr>
              <w:jc w:val="center"/>
              <w:rPr>
                <w:rFonts w:ascii="David" w:hAnsi="David"/>
                <w:b/>
                <w:bCs/>
                <w:sz w:val="26"/>
                <w:szCs w:val="26"/>
                <w:rtl/>
              </w:rPr>
            </w:pPr>
            <w:r w:rsidRPr="003C7BD5">
              <w:rPr>
                <w:rFonts w:ascii="David" w:hAnsi="David"/>
                <w:b/>
                <w:bCs/>
                <w:sz w:val="26"/>
                <w:szCs w:val="26"/>
                <w:rtl/>
              </w:rPr>
              <w:t>נגד</w:t>
            </w:r>
          </w:p>
          <w:p w14:paraId="43B2050F" w14:textId="77777777" w:rsidR="00A12CEA" w:rsidRPr="003C7BD5" w:rsidRDefault="00A12CEA" w:rsidP="00A12CEA">
            <w:pPr>
              <w:jc w:val="center"/>
              <w:rPr>
                <w:rFonts w:ascii="David" w:hAnsi="David"/>
                <w:b/>
                <w:bCs/>
                <w:sz w:val="26"/>
                <w:szCs w:val="26"/>
              </w:rPr>
            </w:pPr>
          </w:p>
        </w:tc>
      </w:tr>
      <w:tr w:rsidR="00A12CEA" w:rsidRPr="003C7BD5" w14:paraId="6FAAE2EC" w14:textId="77777777" w:rsidTr="00DB2B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02DC11" w14:textId="77777777" w:rsidR="00A12CEA" w:rsidRPr="003C7BD5" w:rsidRDefault="00A12CEA" w:rsidP="00161084">
            <w:pPr>
              <w:rPr>
                <w:rFonts w:ascii="David" w:hAnsi="David"/>
                <w:sz w:val="26"/>
                <w:szCs w:val="26"/>
                <w:rtl/>
              </w:rPr>
            </w:pPr>
          </w:p>
        </w:tc>
        <w:tc>
          <w:tcPr>
            <w:tcW w:w="3219" w:type="dxa"/>
            <w:tcBorders>
              <w:top w:val="nil"/>
              <w:left w:val="nil"/>
              <w:bottom w:val="nil"/>
              <w:right w:val="nil"/>
            </w:tcBorders>
            <w:shd w:val="clear" w:color="auto" w:fill="auto"/>
          </w:tcPr>
          <w:p w14:paraId="4EC176BB" w14:textId="77777777" w:rsidR="00A12CEA" w:rsidRPr="003C7BD5" w:rsidRDefault="00A12CEA" w:rsidP="00161084">
            <w:pPr>
              <w:rPr>
                <w:rFonts w:ascii="Arial" w:hAnsi="Arial"/>
                <w:b/>
                <w:bCs/>
                <w:sz w:val="26"/>
                <w:szCs w:val="26"/>
                <w:rtl/>
              </w:rPr>
            </w:pPr>
            <w:r w:rsidRPr="003C7BD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EF4B5D4" w14:textId="77777777" w:rsidR="00A12CEA" w:rsidRPr="003C7BD5" w:rsidRDefault="00A12CEA" w:rsidP="00A12CEA">
            <w:pPr>
              <w:suppressLineNumbers/>
            </w:pPr>
            <w:r w:rsidRPr="003C7BD5">
              <w:rPr>
                <w:rFonts w:ascii="Arial" w:hAnsi="Arial"/>
                <w:b/>
                <w:bCs/>
                <w:sz w:val="26"/>
                <w:szCs w:val="26"/>
                <w:rtl/>
              </w:rPr>
              <w:t>עדן אראלי</w:t>
            </w:r>
            <w:r w:rsidRPr="003C7BD5">
              <w:rPr>
                <w:rFonts w:ascii="Arial" w:hAnsi="Arial" w:hint="cs"/>
                <w:b/>
                <w:bCs/>
                <w:sz w:val="26"/>
                <w:szCs w:val="26"/>
                <w:rtl/>
              </w:rPr>
              <w:t xml:space="preserve"> </w:t>
            </w:r>
            <w:r w:rsidRPr="003C7BD5">
              <w:rPr>
                <w:rFonts w:ascii="Arial" w:hAnsi="Arial"/>
                <w:b/>
                <w:bCs/>
                <w:sz w:val="26"/>
                <w:szCs w:val="26"/>
                <w:rtl/>
              </w:rPr>
              <w:t>ע"י ב"כ עוה"ד</w:t>
            </w:r>
            <w:r w:rsidRPr="003C7BD5">
              <w:rPr>
                <w:rFonts w:hint="cs"/>
                <w:rtl/>
              </w:rPr>
              <w:t xml:space="preserve"> </w:t>
            </w:r>
            <w:r w:rsidRPr="003C7BD5">
              <w:rPr>
                <w:rFonts w:hint="cs"/>
                <w:b/>
                <w:bCs/>
                <w:rtl/>
              </w:rPr>
              <w:t>דן אסלנוב</w:t>
            </w:r>
          </w:p>
          <w:p w14:paraId="3CF07450" w14:textId="77777777" w:rsidR="00A12CEA" w:rsidRPr="003C7BD5" w:rsidRDefault="00A12CEA" w:rsidP="00161084">
            <w:pPr>
              <w:rPr>
                <w:rFonts w:ascii="David" w:hAnsi="David"/>
                <w:sz w:val="26"/>
                <w:szCs w:val="26"/>
              </w:rPr>
            </w:pPr>
          </w:p>
        </w:tc>
      </w:tr>
    </w:tbl>
    <w:p w14:paraId="09D06AFA" w14:textId="77777777" w:rsidR="003C7BD5" w:rsidRPr="003C7BD5" w:rsidRDefault="003C7BD5" w:rsidP="003C7BD5">
      <w:pPr>
        <w:spacing w:before="120" w:after="120" w:line="240" w:lineRule="exact"/>
        <w:ind w:left="283" w:hanging="283"/>
        <w:jc w:val="both"/>
        <w:rPr>
          <w:rFonts w:ascii="FrankRuehl" w:hAnsi="FrankRuehl" w:cs="FrankRuehl"/>
          <w:rtl/>
        </w:rPr>
      </w:pPr>
    </w:p>
    <w:p w14:paraId="1BA4BA63" w14:textId="77777777" w:rsidR="003C7BD5" w:rsidRPr="003C7BD5" w:rsidRDefault="003C7BD5" w:rsidP="003C7BD5">
      <w:pPr>
        <w:rPr>
          <w:rtl/>
        </w:rPr>
      </w:pPr>
    </w:p>
    <w:p w14:paraId="198F18F8" w14:textId="77777777" w:rsidR="00DB2BBD" w:rsidRPr="00DB2BBD" w:rsidRDefault="00DB2BBD" w:rsidP="00DB2BBD">
      <w:pPr>
        <w:spacing w:before="120" w:after="120" w:line="240" w:lineRule="exact"/>
        <w:ind w:left="283" w:hanging="283"/>
        <w:jc w:val="both"/>
        <w:rPr>
          <w:rFonts w:ascii="FrankRuehl" w:hAnsi="FrankRuehl" w:cs="FrankRuehl"/>
          <w:rtl/>
        </w:rPr>
      </w:pPr>
      <w:bookmarkStart w:id="3" w:name="LawTable"/>
      <w:bookmarkEnd w:id="3"/>
    </w:p>
    <w:p w14:paraId="21BDB3FE" w14:textId="77777777" w:rsidR="00DB2BBD" w:rsidRPr="00DB2BBD" w:rsidRDefault="00DB2BBD" w:rsidP="00DB2BBD">
      <w:pPr>
        <w:spacing w:before="120" w:after="120" w:line="240" w:lineRule="exact"/>
        <w:ind w:left="283" w:hanging="283"/>
        <w:jc w:val="both"/>
        <w:rPr>
          <w:rFonts w:ascii="FrankRuehl" w:hAnsi="FrankRuehl" w:cs="FrankRuehl"/>
          <w:rtl/>
        </w:rPr>
      </w:pPr>
      <w:r w:rsidRPr="00DB2BBD">
        <w:rPr>
          <w:rFonts w:ascii="FrankRuehl" w:hAnsi="FrankRuehl" w:cs="FrankRuehl"/>
          <w:rtl/>
        </w:rPr>
        <w:t xml:space="preserve">חקיקה שאוזכרה: </w:t>
      </w:r>
    </w:p>
    <w:p w14:paraId="05AEDF35" w14:textId="77777777" w:rsidR="00DB2BBD" w:rsidRPr="00DB2BBD" w:rsidRDefault="00DB2BBD" w:rsidP="00DB2BBD">
      <w:pPr>
        <w:spacing w:before="120" w:after="120" w:line="240" w:lineRule="exact"/>
        <w:ind w:left="283" w:hanging="283"/>
        <w:jc w:val="both"/>
        <w:rPr>
          <w:rFonts w:ascii="FrankRuehl" w:hAnsi="FrankRuehl" w:cs="FrankRuehl"/>
          <w:color w:val="0000FF"/>
          <w:rtl/>
        </w:rPr>
      </w:pPr>
      <w:hyperlink r:id="rId6" w:history="1">
        <w:r w:rsidRPr="00DB2BBD">
          <w:rPr>
            <w:rStyle w:val="Hyperlink"/>
            <w:rFonts w:ascii="FrankRuehl" w:hAnsi="FrankRuehl" w:cs="FrankRuehl"/>
            <w:u w:val="none"/>
            <w:rtl/>
          </w:rPr>
          <w:t>פקודת הסמים המסוכנים [נוסח חדש], תשל"ג-1973</w:t>
        </w:r>
      </w:hyperlink>
    </w:p>
    <w:p w14:paraId="20B5B61E" w14:textId="77777777" w:rsidR="00DB2BBD" w:rsidRPr="00DB2BBD" w:rsidRDefault="00DB2BBD" w:rsidP="00DB2BBD">
      <w:pPr>
        <w:spacing w:before="120" w:after="120" w:line="240" w:lineRule="exact"/>
        <w:ind w:left="283" w:hanging="283"/>
        <w:jc w:val="both"/>
        <w:rPr>
          <w:rFonts w:ascii="FrankRuehl" w:hAnsi="FrankRuehl" w:cs="FrankRuehl"/>
          <w:color w:val="0000FF"/>
          <w:rtl/>
        </w:rPr>
      </w:pPr>
      <w:hyperlink r:id="rId7" w:history="1">
        <w:r w:rsidRPr="00DB2BBD">
          <w:rPr>
            <w:rStyle w:val="Hyperlink"/>
            <w:rFonts w:ascii="FrankRuehl" w:hAnsi="FrankRuehl" w:cs="FrankRuehl"/>
            <w:u w:val="none"/>
            <w:rtl/>
          </w:rPr>
          <w:t>חוק העונשין, תשל"ז-1977</w:t>
        </w:r>
      </w:hyperlink>
    </w:p>
    <w:p w14:paraId="761869C6" w14:textId="77777777" w:rsidR="003C7BD5" w:rsidRPr="00DB2BBD" w:rsidRDefault="003C7BD5" w:rsidP="00DB2BBD">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2CEA" w14:paraId="40A2E215" w14:textId="77777777" w:rsidTr="00A12CEA">
        <w:trPr>
          <w:trHeight w:val="355"/>
          <w:jc w:val="center"/>
        </w:trPr>
        <w:tc>
          <w:tcPr>
            <w:tcW w:w="8820" w:type="dxa"/>
            <w:tcBorders>
              <w:top w:val="nil"/>
              <w:left w:val="nil"/>
              <w:bottom w:val="nil"/>
              <w:right w:val="nil"/>
            </w:tcBorders>
            <w:shd w:val="clear" w:color="auto" w:fill="auto"/>
          </w:tcPr>
          <w:p w14:paraId="219EB8B5" w14:textId="77777777" w:rsidR="003C7BD5" w:rsidRPr="003C7BD5" w:rsidRDefault="003C7BD5" w:rsidP="003C7BD5">
            <w:pPr>
              <w:jc w:val="center"/>
              <w:rPr>
                <w:rFonts w:ascii="David" w:hAnsi="David"/>
                <w:b/>
                <w:bCs/>
                <w:sz w:val="32"/>
                <w:szCs w:val="32"/>
                <w:u w:val="single"/>
                <w:rtl/>
              </w:rPr>
            </w:pPr>
            <w:bookmarkStart w:id="5" w:name="PsakDin" w:colFirst="0" w:colLast="0"/>
            <w:bookmarkEnd w:id="0"/>
            <w:r w:rsidRPr="003C7BD5">
              <w:rPr>
                <w:rFonts w:ascii="David" w:hAnsi="David"/>
                <w:b/>
                <w:bCs/>
                <w:sz w:val="32"/>
                <w:szCs w:val="32"/>
                <w:u w:val="single"/>
                <w:rtl/>
              </w:rPr>
              <w:t>גזר דין</w:t>
            </w:r>
          </w:p>
          <w:p w14:paraId="6120C142" w14:textId="77777777" w:rsidR="00A12CEA" w:rsidRPr="003C7BD5" w:rsidRDefault="00A12CEA" w:rsidP="003C7BD5">
            <w:pPr>
              <w:jc w:val="center"/>
              <w:rPr>
                <w:rFonts w:ascii="David" w:hAnsi="David"/>
                <w:bCs/>
                <w:sz w:val="32"/>
                <w:szCs w:val="32"/>
                <w:u w:val="single"/>
                <w:rtl/>
              </w:rPr>
            </w:pPr>
          </w:p>
        </w:tc>
      </w:tr>
      <w:bookmarkEnd w:id="5"/>
    </w:tbl>
    <w:p w14:paraId="43C8290E" w14:textId="77777777" w:rsidR="00A12CEA" w:rsidRDefault="00A12CEA" w:rsidP="00A12CEA">
      <w:pPr>
        <w:rPr>
          <w:rFonts w:ascii="Arial" w:hAnsi="Arial"/>
          <w:b/>
          <w:bCs/>
          <w:sz w:val="26"/>
          <w:szCs w:val="26"/>
          <w:rtl/>
        </w:rPr>
      </w:pPr>
    </w:p>
    <w:p w14:paraId="70DBC75D" w14:textId="77777777" w:rsidR="00A12CEA" w:rsidRPr="000F2247" w:rsidRDefault="00A12CEA" w:rsidP="00A12CEA">
      <w:pPr>
        <w:rPr>
          <w:rFonts w:ascii="Arial" w:hAnsi="Arial"/>
          <w:b/>
          <w:bCs/>
          <w:sz w:val="26"/>
          <w:szCs w:val="26"/>
          <w:rtl/>
        </w:rPr>
      </w:pPr>
    </w:p>
    <w:p w14:paraId="3A7C2D5A" w14:textId="77777777" w:rsidR="00A12CEA" w:rsidRDefault="00A12CEA" w:rsidP="00A12CEA">
      <w:pPr>
        <w:spacing w:line="360" w:lineRule="auto"/>
        <w:jc w:val="both"/>
        <w:rPr>
          <w:rFonts w:ascii="Arial" w:hAnsi="Arial"/>
          <w:rtl/>
        </w:rPr>
      </w:pPr>
      <w:bookmarkStart w:id="6" w:name="ABSTRACT_START"/>
      <w:bookmarkEnd w:id="6"/>
      <w:r>
        <w:rPr>
          <w:rFonts w:ascii="Arial" w:hAnsi="Arial" w:hint="cs"/>
          <w:rtl/>
        </w:rPr>
        <w:t>הנאשם הקים מעבדה לגידול סם מסוכן מסוג קנבוס, בהיקף של 146 שתילים, במשקל של כ-30 ק"ג והורשע על פי הודאתו בעבירות של יצור הכנה והפקה, החזקת סם מסוכן שלא לצריכה עצמית,  החזקת חצרים לשם הכנת סמים והחזקת כלים.</w:t>
      </w:r>
    </w:p>
    <w:p w14:paraId="48E4A532" w14:textId="77777777" w:rsidR="00A12CEA" w:rsidRDefault="00A12CEA" w:rsidP="00A12CEA">
      <w:pPr>
        <w:spacing w:line="360" w:lineRule="auto"/>
        <w:jc w:val="both"/>
        <w:rPr>
          <w:rFonts w:ascii="Arial" w:hAnsi="Arial"/>
          <w:rtl/>
        </w:rPr>
      </w:pPr>
    </w:p>
    <w:p w14:paraId="06A23E4B" w14:textId="77777777" w:rsidR="00A12CEA" w:rsidRDefault="00A12CEA" w:rsidP="00A12CEA">
      <w:pPr>
        <w:spacing w:line="360" w:lineRule="auto"/>
        <w:jc w:val="both"/>
        <w:rPr>
          <w:rFonts w:ascii="Arial" w:hAnsi="Arial"/>
          <w:b/>
          <w:bCs/>
          <w:u w:val="single"/>
          <w:rtl/>
        </w:rPr>
      </w:pPr>
      <w:r>
        <w:rPr>
          <w:rFonts w:ascii="Arial" w:hAnsi="Arial" w:hint="cs"/>
          <w:b/>
          <w:bCs/>
          <w:u w:val="single"/>
          <w:rtl/>
        </w:rPr>
        <w:t>כתב האישום</w:t>
      </w:r>
    </w:p>
    <w:p w14:paraId="193C6F88" w14:textId="77777777" w:rsidR="00A12CEA" w:rsidRDefault="00A12CEA" w:rsidP="00A12CEA">
      <w:pPr>
        <w:spacing w:line="360" w:lineRule="auto"/>
        <w:jc w:val="both"/>
        <w:rPr>
          <w:rFonts w:ascii="Arial" w:hAnsi="Arial"/>
          <w:b/>
          <w:bCs/>
          <w:u w:val="single"/>
          <w:rtl/>
        </w:rPr>
      </w:pPr>
    </w:p>
    <w:p w14:paraId="3E8F754B" w14:textId="77777777" w:rsidR="00A12CEA" w:rsidRDefault="00A12CEA" w:rsidP="00A12CEA">
      <w:pPr>
        <w:spacing w:line="360" w:lineRule="auto"/>
        <w:jc w:val="both"/>
        <w:rPr>
          <w:rFonts w:ascii="Arial" w:hAnsi="Arial"/>
          <w:rtl/>
        </w:rPr>
      </w:pPr>
      <w:r>
        <w:rPr>
          <w:rFonts w:ascii="Arial" w:hAnsi="Arial" w:hint="cs"/>
          <w:rtl/>
        </w:rPr>
        <w:t>1.</w:t>
      </w:r>
      <w:r>
        <w:rPr>
          <w:rFonts w:ascii="Arial" w:hAnsi="Arial" w:hint="cs"/>
          <w:rtl/>
        </w:rPr>
        <w:tab/>
        <w:t>כתב האישום מלמד כי בין חודש יוני 2020 ובין חודש אוקטובר 2020, שכר הנאשם משרד בשדרות המגינים בחיפה, צייד את המשרד בגופי תאורה, 8 שנאים, מפוח, מזגן נייד, 2 בלוני חמצן, חומר דישון ומקרר וגידל בו 146 שתילים של סם מסוכן מסוג קנבוס במשקל כולל של 30.08 ק"ג נטו.</w:t>
      </w:r>
    </w:p>
    <w:p w14:paraId="2093A3A0" w14:textId="77777777" w:rsidR="00A12CEA" w:rsidRDefault="00A12CEA" w:rsidP="00A12CEA">
      <w:pPr>
        <w:spacing w:line="360" w:lineRule="auto"/>
        <w:jc w:val="both"/>
        <w:rPr>
          <w:rFonts w:ascii="Arial" w:hAnsi="Arial"/>
          <w:rtl/>
        </w:rPr>
      </w:pPr>
      <w:bookmarkStart w:id="7" w:name="ABSTRACT_END"/>
      <w:bookmarkEnd w:id="7"/>
      <w:r>
        <w:rPr>
          <w:rFonts w:ascii="Arial" w:hAnsi="Arial" w:hint="cs"/>
          <w:rtl/>
        </w:rPr>
        <w:t>עוד עולה מכתב האישום כי במחסן נפרד שהנאשם שכר בסמוך למשרד, הוא החזיק סם מסוכן מסוג קנבוס במשקל של 0.7 ק"ג נטו.</w:t>
      </w:r>
    </w:p>
    <w:p w14:paraId="5AF901BF" w14:textId="77777777" w:rsidR="00A12CEA" w:rsidRDefault="00A12CEA" w:rsidP="00A12CEA">
      <w:pPr>
        <w:spacing w:line="360" w:lineRule="auto"/>
        <w:jc w:val="both"/>
        <w:rPr>
          <w:rFonts w:ascii="Arial" w:hAnsi="Arial" w:hint="cs"/>
          <w:rtl/>
        </w:rPr>
      </w:pPr>
    </w:p>
    <w:p w14:paraId="1DC4E750" w14:textId="77777777" w:rsidR="00DB2BBD" w:rsidRDefault="00DB2BBD" w:rsidP="00A12CEA">
      <w:pPr>
        <w:spacing w:line="360" w:lineRule="auto"/>
        <w:jc w:val="both"/>
        <w:rPr>
          <w:rFonts w:ascii="Arial" w:hAnsi="Arial" w:hint="cs"/>
          <w:rtl/>
        </w:rPr>
      </w:pPr>
    </w:p>
    <w:p w14:paraId="25EAA342" w14:textId="77777777" w:rsidR="00DB2BBD" w:rsidRDefault="00DB2BBD" w:rsidP="00A12CEA">
      <w:pPr>
        <w:spacing w:line="360" w:lineRule="auto"/>
        <w:jc w:val="both"/>
        <w:rPr>
          <w:rFonts w:ascii="Arial" w:hAnsi="Arial" w:hint="cs"/>
          <w:rtl/>
        </w:rPr>
      </w:pPr>
    </w:p>
    <w:p w14:paraId="3585E17C" w14:textId="77777777" w:rsidR="00DB2BBD" w:rsidRDefault="00DB2BBD" w:rsidP="00A12CEA">
      <w:pPr>
        <w:spacing w:line="360" w:lineRule="auto"/>
        <w:jc w:val="both"/>
        <w:rPr>
          <w:rFonts w:ascii="Arial" w:hAnsi="Arial" w:hint="cs"/>
          <w:rtl/>
        </w:rPr>
      </w:pPr>
    </w:p>
    <w:p w14:paraId="6C2828F6" w14:textId="77777777" w:rsidR="00A12CEA" w:rsidRDefault="00A12CEA" w:rsidP="00A12CEA">
      <w:pPr>
        <w:spacing w:line="360" w:lineRule="auto"/>
        <w:jc w:val="both"/>
        <w:rPr>
          <w:rFonts w:ascii="Arial" w:hAnsi="Arial"/>
          <w:b/>
          <w:bCs/>
          <w:u w:val="single"/>
          <w:rtl/>
        </w:rPr>
      </w:pPr>
      <w:r>
        <w:rPr>
          <w:rFonts w:ascii="Arial" w:hAnsi="Arial" w:hint="cs"/>
          <w:b/>
          <w:bCs/>
          <w:u w:val="single"/>
          <w:rtl/>
        </w:rPr>
        <w:t>תסקיר המבחן</w:t>
      </w:r>
    </w:p>
    <w:p w14:paraId="5BB85A2E" w14:textId="77777777" w:rsidR="00A12CEA" w:rsidRDefault="00A12CEA" w:rsidP="00A12CEA">
      <w:pPr>
        <w:spacing w:line="360" w:lineRule="auto"/>
        <w:jc w:val="both"/>
        <w:rPr>
          <w:rFonts w:ascii="Arial" w:hAnsi="Arial"/>
          <w:rtl/>
        </w:rPr>
      </w:pPr>
    </w:p>
    <w:p w14:paraId="4A687771" w14:textId="77777777" w:rsidR="00A12CEA" w:rsidRDefault="00A12CEA" w:rsidP="00A12CEA">
      <w:pPr>
        <w:spacing w:line="360" w:lineRule="auto"/>
        <w:jc w:val="both"/>
        <w:rPr>
          <w:rFonts w:ascii="Arial" w:hAnsi="Arial"/>
          <w:rtl/>
        </w:rPr>
      </w:pPr>
      <w:r>
        <w:rPr>
          <w:rFonts w:ascii="Arial" w:hAnsi="Arial" w:hint="cs"/>
          <w:rtl/>
        </w:rPr>
        <w:t>2.</w:t>
      </w:r>
      <w:r>
        <w:rPr>
          <w:rFonts w:ascii="Arial" w:hAnsi="Arial" w:hint="cs"/>
          <w:rtl/>
        </w:rPr>
        <w:tab/>
      </w:r>
      <w:r w:rsidRPr="00941B57">
        <w:rPr>
          <w:rFonts w:ascii="Arial" w:hAnsi="Arial" w:hint="cs"/>
          <w:rtl/>
        </w:rPr>
        <w:t>התסקיר מיום 25.12.24</w:t>
      </w:r>
      <w:r>
        <w:rPr>
          <w:rFonts w:ascii="Arial" w:hAnsi="Arial" w:hint="cs"/>
          <w:rtl/>
        </w:rPr>
        <w:t xml:space="preserve"> מלמד כי הנאשם, רווק בן 24, סיים 12 שנות לימוד במגמת מלונאות, קיבל פטור משירות צבאי על רקע מעורבות בפלילים ומזה כחצי שנה עובד בחברת הובלות. </w:t>
      </w:r>
    </w:p>
    <w:p w14:paraId="24BB1700" w14:textId="77777777" w:rsidR="00A12CEA" w:rsidRDefault="00A12CEA" w:rsidP="00A12CEA">
      <w:pPr>
        <w:spacing w:line="360" w:lineRule="auto"/>
        <w:jc w:val="both"/>
        <w:rPr>
          <w:rFonts w:ascii="Arial" w:hAnsi="Arial"/>
          <w:rtl/>
        </w:rPr>
      </w:pPr>
    </w:p>
    <w:p w14:paraId="386E1286" w14:textId="77777777" w:rsidR="00A12CEA" w:rsidRDefault="00A12CEA" w:rsidP="00A12CEA">
      <w:pPr>
        <w:spacing w:line="360" w:lineRule="auto"/>
        <w:jc w:val="both"/>
        <w:rPr>
          <w:rFonts w:ascii="Arial" w:hAnsi="Arial"/>
          <w:rtl/>
        </w:rPr>
      </w:pPr>
      <w:r>
        <w:rPr>
          <w:rFonts w:ascii="Arial" w:hAnsi="Arial" w:hint="cs"/>
          <w:rtl/>
        </w:rPr>
        <w:t>בהתייחס לשימוש בחומרים פסיכו-אקטיביים, הנאשם מסר כי החל לעשות שימוש בקנביס בגיל 15 בנסיבות חברתיות ובהדרגה השימוש הפך אינטנסיבי ויומיומי, כאמצעי להרגעה עצמית. הנאשם מסר כי בתקופה שבה התגורר עם אביו בטירת הכרמל, גורמי אכיפת החוק רדפו אותו, לתפיסתו ללא סיבה, מה שגרם לו לתחושת לחץ וייאוש, והשימוש בקנביס סייע לו להתמודד עם תחושות אלה. עוד מסר כי לאחר ביצוע העבירות דנן הוא הפסיק את השימוש בכוחות עצמו ובדיקת שתן שמסר אכן נמצאה נקייה משרידי סם.</w:t>
      </w:r>
    </w:p>
    <w:p w14:paraId="71C96901" w14:textId="77777777" w:rsidR="00A12CEA" w:rsidRDefault="00A12CEA" w:rsidP="00A12CEA">
      <w:pPr>
        <w:spacing w:line="360" w:lineRule="auto"/>
        <w:jc w:val="both"/>
        <w:rPr>
          <w:rFonts w:ascii="Arial" w:hAnsi="Arial"/>
          <w:rtl/>
        </w:rPr>
      </w:pPr>
    </w:p>
    <w:p w14:paraId="56CE52C2" w14:textId="77777777" w:rsidR="00A12CEA" w:rsidRDefault="00A12CEA" w:rsidP="00A12CEA">
      <w:pPr>
        <w:spacing w:line="360" w:lineRule="auto"/>
        <w:jc w:val="both"/>
        <w:rPr>
          <w:rFonts w:ascii="Arial" w:hAnsi="Arial"/>
          <w:rtl/>
        </w:rPr>
      </w:pPr>
      <w:r>
        <w:rPr>
          <w:rFonts w:ascii="Arial" w:hAnsi="Arial" w:hint="cs"/>
          <w:rtl/>
        </w:rPr>
        <w:t>בהתייחס לביצוע העבירות, הנאשם לקח אחריות על גידול הסמים, אך טען כי גידל את הסם לשימוש עצמי, על רקע רצונו לחסוך בעלויות רכישת הסם. עוד טען כי באותה עת הושפע מהקשרים השוליים שניהל, ברם היום הוא מבין את חומרת מעשיו והשלכותיהם. הנאשם ביטא חרטה על ביצוע העבירות, ברם ציין כי אינו מוכן להיענש בגין מעשיו, מחמת חלוף הזמן מאז ביצוע העבירות ועד הגשת כתב האישום.</w:t>
      </w:r>
    </w:p>
    <w:p w14:paraId="4449BF02" w14:textId="77777777" w:rsidR="00A12CEA" w:rsidRDefault="00A12CEA" w:rsidP="00A12CEA">
      <w:pPr>
        <w:spacing w:line="360" w:lineRule="auto"/>
        <w:jc w:val="both"/>
        <w:rPr>
          <w:rFonts w:ascii="Arial" w:hAnsi="Arial"/>
          <w:rtl/>
        </w:rPr>
      </w:pPr>
    </w:p>
    <w:p w14:paraId="5C318418" w14:textId="77777777" w:rsidR="00A12CEA" w:rsidRDefault="00A12CEA" w:rsidP="00A12CEA">
      <w:pPr>
        <w:spacing w:line="360" w:lineRule="auto"/>
        <w:jc w:val="both"/>
        <w:rPr>
          <w:rtl/>
        </w:rPr>
      </w:pPr>
      <w:r w:rsidRPr="00564D5E">
        <w:rPr>
          <w:rFonts w:hint="cs"/>
          <w:rtl/>
        </w:rPr>
        <w:t>שירות המבחן</w:t>
      </w:r>
      <w:r>
        <w:rPr>
          <w:rFonts w:hint="cs"/>
          <w:rtl/>
        </w:rPr>
        <w:t xml:space="preserve"> התרשם כי בולטת אצל הנאשם נטייה ליחס את מעורבותו הפלילית לגורמים חיצוניים כגון החברה השולית שהשפיעה עליו, ברם הוא אינו מגלה תובנה ביחס לגורמים שהובילו אותו ליצירת קשר עם חברה זו ועודנו מחזיק עמדות שמבטאות חוסר אמון כלפי גורמי אכיפת החוק. </w:t>
      </w:r>
    </w:p>
    <w:p w14:paraId="72A57AC9" w14:textId="77777777" w:rsidR="00A12CEA" w:rsidRDefault="00A12CEA" w:rsidP="00A12CEA">
      <w:pPr>
        <w:spacing w:line="360" w:lineRule="auto"/>
        <w:jc w:val="both"/>
        <w:rPr>
          <w:rtl/>
        </w:rPr>
      </w:pPr>
    </w:p>
    <w:p w14:paraId="51646AB4" w14:textId="77777777" w:rsidR="00A12CEA" w:rsidRDefault="00A12CEA" w:rsidP="00A12CEA">
      <w:pPr>
        <w:spacing w:line="360" w:lineRule="auto"/>
        <w:jc w:val="both"/>
        <w:rPr>
          <w:rtl/>
        </w:rPr>
      </w:pPr>
      <w:r>
        <w:rPr>
          <w:rFonts w:hint="cs"/>
          <w:rtl/>
        </w:rPr>
        <w:t>על רקע האמור, לאור הערכה שלפיה הנאשם ביצע את העבירות ממניעים כלכליים, על רקע דפוסיו השוליים וקושי בבחינת משמעות מעשיו והשלכותיהם האפשריות, ומאחר שהנאשם שלל צורך טיפולי בעת הנוכחית, שירות המבחן העריך שקיים סיכון לביצוע עבירות נוספות בעתיד ונמנע מהמלצה שיקומית בעניינו של הנאשם.</w:t>
      </w:r>
    </w:p>
    <w:p w14:paraId="145E54A2" w14:textId="77777777" w:rsidR="00A12CEA" w:rsidRDefault="00A12CEA" w:rsidP="00A12CEA">
      <w:pPr>
        <w:spacing w:line="360" w:lineRule="auto"/>
        <w:jc w:val="both"/>
        <w:rPr>
          <w:rtl/>
        </w:rPr>
      </w:pPr>
    </w:p>
    <w:p w14:paraId="01E18B25" w14:textId="77777777" w:rsidR="00A12CEA" w:rsidRDefault="00A12CEA" w:rsidP="00A12CEA">
      <w:pPr>
        <w:spacing w:line="360" w:lineRule="auto"/>
        <w:jc w:val="both"/>
        <w:rPr>
          <w:b/>
          <w:bCs/>
          <w:u w:val="single"/>
          <w:rtl/>
        </w:rPr>
      </w:pPr>
      <w:r>
        <w:rPr>
          <w:rFonts w:hint="cs"/>
          <w:b/>
          <w:bCs/>
          <w:u w:val="single"/>
          <w:rtl/>
        </w:rPr>
        <w:t>תמצית טיעוני הצדדים והראיות לעונש</w:t>
      </w:r>
    </w:p>
    <w:p w14:paraId="44A3B813" w14:textId="77777777" w:rsidR="00A12CEA" w:rsidRDefault="00A12CEA" w:rsidP="00A12CEA">
      <w:pPr>
        <w:spacing w:line="360" w:lineRule="auto"/>
        <w:jc w:val="both"/>
        <w:rPr>
          <w:rtl/>
        </w:rPr>
      </w:pPr>
    </w:p>
    <w:p w14:paraId="57D97C22" w14:textId="77777777" w:rsidR="00A12CEA" w:rsidRDefault="00A12CEA" w:rsidP="00A12CEA">
      <w:pPr>
        <w:spacing w:line="360" w:lineRule="auto"/>
        <w:jc w:val="both"/>
        <w:rPr>
          <w:rtl/>
        </w:rPr>
      </w:pPr>
      <w:r>
        <w:rPr>
          <w:rFonts w:hint="cs"/>
          <w:rtl/>
        </w:rPr>
        <w:t xml:space="preserve">3. </w:t>
      </w:r>
      <w:r>
        <w:rPr>
          <w:rFonts w:hint="cs"/>
          <w:rtl/>
        </w:rPr>
        <w:tab/>
      </w:r>
      <w:r>
        <w:rPr>
          <w:rFonts w:hint="cs"/>
          <w:b/>
          <w:bCs/>
          <w:rtl/>
        </w:rPr>
        <w:t>ב"כ המאשימה</w:t>
      </w:r>
      <w:r>
        <w:rPr>
          <w:rFonts w:hint="cs"/>
          <w:rtl/>
        </w:rPr>
        <w:t xml:space="preserve"> הפנתה בטיעוניה הכתובים לעובדות כתב האישום וטענה כי במעשיו הנאשם פגע בערכים המוגנים שעניינם שמירה על הסדר החברתי, על שלטון החוק ועל שלום הציבור מפני הנזקים הישירים והעקיפים הצפויים משימוש בסמים. עוד הפנתה לפסיקה, כדי ללמד על </w:t>
      </w:r>
      <w:r>
        <w:rPr>
          <w:rFonts w:hint="cs"/>
          <w:rtl/>
        </w:rPr>
        <w:lastRenderedPageBreak/>
        <w:t>מדיניות הענישה הנוהגת, עמדה על התכנון שקדם לביצוע העבירות, על הנזק שנגרם ושהיה צפוי להיגרם כתוצאה מביצוע העבירות, עמדה על היקף הסמים שנתפסו במשרד וטענה כי המתחם ההולם את מכלול הנסיבות, נע בין 18-36 חודשי מאסר בפועל. ב"כ המאשימה ציינה את הודאת הנאשם בעובדות כתב האישום,  הפנתה לעברו הפלילי, לתסקיר, שנעדר המלצה טיפולית-שיקומית וטענה כי השיהוי בנקיטת ההליכים כנגד הנאשם אינו ניכר. סופם של טיעונים, ב"כ המאשימה ביקשה להשית על הנאשם מאסר ברף האמצעי של המתחם שהציעה, לצד מאסר על תנאי וקנס ולהורות על חילוט הרכוש ששימש לביצוע העבירות.</w:t>
      </w:r>
    </w:p>
    <w:p w14:paraId="4D7BFCEB" w14:textId="77777777" w:rsidR="00A12CEA" w:rsidRDefault="00A12CEA" w:rsidP="00A12CEA">
      <w:pPr>
        <w:spacing w:line="360" w:lineRule="auto"/>
        <w:jc w:val="both"/>
      </w:pPr>
    </w:p>
    <w:p w14:paraId="28A291AC" w14:textId="77777777" w:rsidR="00A12CEA" w:rsidRDefault="00A12CEA" w:rsidP="00A12CEA">
      <w:pPr>
        <w:spacing w:line="360" w:lineRule="auto"/>
        <w:jc w:val="both"/>
        <w:rPr>
          <w:rtl/>
        </w:rPr>
      </w:pPr>
      <w:r>
        <w:rPr>
          <w:rFonts w:hint="cs"/>
          <w:rtl/>
        </w:rPr>
        <w:t>4.</w:t>
      </w:r>
      <w:r>
        <w:rPr>
          <w:rFonts w:hint="cs"/>
          <w:rtl/>
        </w:rPr>
        <w:tab/>
      </w:r>
      <w:r>
        <w:rPr>
          <w:rFonts w:hint="cs"/>
          <w:b/>
          <w:bCs/>
          <w:rtl/>
        </w:rPr>
        <w:t>ב"כ הנאשם</w:t>
      </w:r>
      <w:r>
        <w:rPr>
          <w:rFonts w:hint="cs"/>
          <w:rtl/>
        </w:rPr>
        <w:t xml:space="preserve"> טען כי מתחמי הענישה בתיקים כגון דא נעים בין רף תחתון של עבודות שירות ובין 18 חודשי מאסר בפועל, בהפנותו לפסיקה כדי לתמוך הטענה. עוד הדגיש את חלוף הזמן, טען שעברו הפלילי של הנאשם אינו מכביד וכי במכלול השיקולים יש כדי למקם את העונש ברף התחתון של המתחם ולא ברף האמצעי, כבקשת המאשימה. לחילופין, ככל שבית המשפט יקבע מתחם שאינו מתחיל ממאסר בעבודות שירות, ב"כ הנאשם ביקש לחרוג מהמתחם מחמת חלוף הזמן, שלמעשה מעיד על שיקום.</w:t>
      </w:r>
    </w:p>
    <w:p w14:paraId="7FBB4634" w14:textId="77777777" w:rsidR="00A12CEA" w:rsidRDefault="00A12CEA" w:rsidP="00A12CEA">
      <w:pPr>
        <w:spacing w:line="360" w:lineRule="auto"/>
        <w:jc w:val="both"/>
        <w:rPr>
          <w:rtl/>
        </w:rPr>
      </w:pPr>
    </w:p>
    <w:p w14:paraId="4E81271C" w14:textId="77777777" w:rsidR="00A12CEA" w:rsidRDefault="00A12CEA" w:rsidP="00A12CEA">
      <w:pPr>
        <w:spacing w:line="360" w:lineRule="auto"/>
        <w:jc w:val="both"/>
        <w:rPr>
          <w:rtl/>
        </w:rPr>
      </w:pPr>
      <w:r>
        <w:rPr>
          <w:rFonts w:hint="cs"/>
          <w:rtl/>
        </w:rPr>
        <w:t>5.</w:t>
      </w:r>
      <w:r>
        <w:rPr>
          <w:rFonts w:hint="cs"/>
          <w:rtl/>
        </w:rPr>
        <w:tab/>
      </w:r>
      <w:r>
        <w:rPr>
          <w:rFonts w:hint="cs"/>
          <w:b/>
          <w:bCs/>
          <w:rtl/>
        </w:rPr>
        <w:t>הנאשם</w:t>
      </w:r>
      <w:r>
        <w:rPr>
          <w:rFonts w:hint="cs"/>
          <w:rtl/>
        </w:rPr>
        <w:t xml:space="preserve"> אמר שלא הבין נכון את קצינת המבחן, שהיום הוא נמצא במקום אחר בחיים, מתחתן עוד 3 חודשים ומצפה לילד וביקש שתינתן לו הזדמנות נוספת.</w:t>
      </w:r>
    </w:p>
    <w:p w14:paraId="4BC63E81" w14:textId="77777777" w:rsidR="00A12CEA" w:rsidRDefault="00A12CEA" w:rsidP="00A12CEA">
      <w:pPr>
        <w:spacing w:line="360" w:lineRule="auto"/>
        <w:jc w:val="both"/>
        <w:rPr>
          <w:rtl/>
        </w:rPr>
      </w:pPr>
    </w:p>
    <w:p w14:paraId="0F58B2D5" w14:textId="77777777" w:rsidR="00A12CEA" w:rsidRDefault="00A12CEA" w:rsidP="00A12CEA">
      <w:pPr>
        <w:spacing w:line="360" w:lineRule="auto"/>
        <w:jc w:val="both"/>
        <w:rPr>
          <w:b/>
          <w:bCs/>
          <w:u w:val="single"/>
          <w:rtl/>
        </w:rPr>
      </w:pPr>
      <w:r>
        <w:rPr>
          <w:rFonts w:hint="cs"/>
          <w:b/>
          <w:bCs/>
          <w:u w:val="single"/>
          <w:rtl/>
        </w:rPr>
        <w:t xml:space="preserve">מתחם העונש ההולם </w:t>
      </w:r>
    </w:p>
    <w:p w14:paraId="58D1524B" w14:textId="77777777" w:rsidR="00A12CEA" w:rsidRDefault="00A12CEA" w:rsidP="00A12CEA">
      <w:pPr>
        <w:spacing w:line="360" w:lineRule="auto"/>
        <w:jc w:val="both"/>
        <w:rPr>
          <w:b/>
          <w:bCs/>
          <w:u w:val="single"/>
          <w:rtl/>
        </w:rPr>
      </w:pPr>
    </w:p>
    <w:p w14:paraId="714EFAEF" w14:textId="77777777" w:rsidR="00A12CEA" w:rsidRDefault="00A12CEA" w:rsidP="00A12CEA">
      <w:pPr>
        <w:spacing w:line="360" w:lineRule="auto"/>
        <w:jc w:val="both"/>
        <w:rPr>
          <w:rtl/>
        </w:rPr>
      </w:pPr>
      <w:r>
        <w:rPr>
          <w:rFonts w:hint="cs"/>
          <w:rtl/>
        </w:rPr>
        <w:t>6.</w:t>
      </w:r>
      <w:r>
        <w:rPr>
          <w:rFonts w:hint="cs"/>
          <w:rtl/>
        </w:rPr>
        <w:tab/>
        <w:t>אשר ל</w:t>
      </w:r>
      <w:r>
        <w:rPr>
          <w:rFonts w:hint="cs"/>
          <w:u w:val="single"/>
          <w:rtl/>
        </w:rPr>
        <w:t>חומרת העבירה והפגיעה בערכים המוגנים</w:t>
      </w:r>
      <w:r>
        <w:rPr>
          <w:rFonts w:hint="cs"/>
          <w:rtl/>
        </w:rPr>
        <w:t xml:space="preserve"> - </w:t>
      </w:r>
      <w:hyperlink r:id="rId8" w:history="1">
        <w:r w:rsidR="003C7BD5" w:rsidRPr="003C7BD5">
          <w:rPr>
            <w:color w:val="0000FF"/>
            <w:u w:val="single"/>
            <w:rtl/>
          </w:rPr>
          <w:t>פקודת הסמים המסוכנים</w:t>
        </w:r>
      </w:hyperlink>
      <w:r>
        <w:rPr>
          <w:rFonts w:hint="cs"/>
          <w:rtl/>
        </w:rPr>
        <w:t xml:space="preserve"> והאיסורים שבה נועדו לשמור על בריאות הציבור ושלומו הגופני, לשמור על חוסנה של החברה ולמנוע תופעות שליליות שנלוות לשימוש בסמים ולהתמכרות להם. מכאן הודגש הצורך להטיל עונשים מחמירים ומרתיעים על עברייני סמים, בהלימה לחלקם בשרשרת הפצת הסם ונקבע כי ככלל, בעבירות סמים נסוגות נסיבותיו האישיות של נאשם מפני האינטרס הציבורי, שביטויו בהגנה על הציבור מפני הנזק הכבד שממיט הסם על צרכניו (ראו למשל, </w:t>
      </w:r>
      <w:hyperlink r:id="rId9" w:history="1">
        <w:r w:rsidR="003C7BD5" w:rsidRPr="003C7BD5">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w:t>
      </w:r>
      <w:hyperlink r:id="rId10" w:history="1">
        <w:r w:rsidR="003C7BD5" w:rsidRPr="003C7BD5">
          <w:rPr>
            <w:color w:val="0000FF"/>
            <w:u w:val="single"/>
            <w:rtl/>
          </w:rPr>
          <w:t>רע"פ 7681/13</w:t>
        </w:r>
      </w:hyperlink>
      <w:r>
        <w:rPr>
          <w:rFonts w:hint="cs"/>
          <w:rtl/>
        </w:rPr>
        <w:t xml:space="preserve"> </w:t>
      </w:r>
      <w:r>
        <w:rPr>
          <w:rFonts w:hint="cs"/>
          <w:b/>
          <w:bCs/>
          <w:rtl/>
        </w:rPr>
        <w:t>יוסף דקה נ' מדינת ישראל</w:t>
      </w:r>
      <w:r>
        <w:rPr>
          <w:rFonts w:hint="cs"/>
          <w:rtl/>
        </w:rPr>
        <w:t xml:space="preserve"> (21.1.14); </w:t>
      </w:r>
      <w:hyperlink r:id="rId11" w:history="1">
        <w:r w:rsidR="003C7BD5" w:rsidRPr="003C7BD5">
          <w:rPr>
            <w:color w:val="0000FF"/>
            <w:u w:val="single"/>
            <w:rtl/>
          </w:rPr>
          <w:t>רע"פ 8408/15</w:t>
        </w:r>
      </w:hyperlink>
      <w:r>
        <w:rPr>
          <w:rFonts w:hint="cs"/>
          <w:rtl/>
        </w:rPr>
        <w:t xml:space="preserve"> </w:t>
      </w:r>
      <w:r>
        <w:rPr>
          <w:rFonts w:hint="cs"/>
          <w:b/>
          <w:bCs/>
          <w:rtl/>
        </w:rPr>
        <w:t xml:space="preserve">שמעון חביב נ' מדינת ישראל </w:t>
      </w:r>
      <w:r>
        <w:rPr>
          <w:rFonts w:hint="cs"/>
          <w:rtl/>
        </w:rPr>
        <w:t xml:space="preserve">(9.12.15); </w:t>
      </w:r>
      <w:hyperlink r:id="rId12" w:history="1">
        <w:r w:rsidR="003C7BD5" w:rsidRPr="003C7BD5">
          <w:rPr>
            <w:color w:val="0000FF"/>
            <w:u w:val="single"/>
            <w:rtl/>
          </w:rPr>
          <w:t>ע"פ 8436/20</w:t>
        </w:r>
      </w:hyperlink>
      <w:r>
        <w:rPr>
          <w:rFonts w:hint="cs"/>
          <w:rtl/>
        </w:rPr>
        <w:t xml:space="preserve"> </w:t>
      </w:r>
      <w:r>
        <w:rPr>
          <w:rFonts w:hint="cs"/>
          <w:b/>
          <w:bCs/>
          <w:rtl/>
        </w:rPr>
        <w:t>יעקב אמסלם נ' מדינת ישראל</w:t>
      </w:r>
      <w:r>
        <w:rPr>
          <w:rFonts w:hint="cs"/>
          <w:rtl/>
        </w:rPr>
        <w:t xml:space="preserve"> (7.6.21)). כאשר מדובר בגידול סמים ב"מעבדת סמים", נלווית לעבירות חומרה יתרה (</w:t>
      </w:r>
      <w:hyperlink r:id="rId13" w:history="1">
        <w:r w:rsidR="003C7BD5" w:rsidRPr="003C7BD5">
          <w:rPr>
            <w:color w:val="0000FF"/>
            <w:u w:val="single"/>
            <w:rtl/>
          </w:rPr>
          <w:t>ע"פ 2139/22</w:t>
        </w:r>
      </w:hyperlink>
      <w:r>
        <w:rPr>
          <w:rFonts w:hint="cs"/>
          <w:rtl/>
        </w:rPr>
        <w:t xml:space="preserve"> </w:t>
      </w:r>
      <w:r>
        <w:rPr>
          <w:rFonts w:hint="cs"/>
          <w:b/>
          <w:bCs/>
          <w:rtl/>
        </w:rPr>
        <w:t>שלום ג'נאח נ' מדינת ישראל</w:t>
      </w:r>
      <w:r>
        <w:rPr>
          <w:rFonts w:hint="cs"/>
          <w:rtl/>
        </w:rPr>
        <w:t xml:space="preserve"> (14.7.22)) ובפסיקה נקבע כי כי ענישה מתאימה תעביר את המסר כי ניסיונות הקמת מעבדות סמים בהיקף נרחב - אינן בעלות תוחלת כלכלית (</w:t>
      </w:r>
      <w:hyperlink r:id="rId14" w:history="1">
        <w:r w:rsidR="003C7BD5" w:rsidRPr="003C7BD5">
          <w:rPr>
            <w:color w:val="0000FF"/>
            <w:u w:val="single"/>
            <w:rtl/>
          </w:rPr>
          <w:t>ע"פ 4387/20</w:t>
        </w:r>
      </w:hyperlink>
      <w:r>
        <w:rPr>
          <w:rtl/>
        </w:rPr>
        <w:t xml:space="preserve"> </w:t>
      </w:r>
      <w:r>
        <w:rPr>
          <w:rFonts w:hint="cs"/>
          <w:bCs/>
          <w:rtl/>
        </w:rPr>
        <w:t>מדינת ישראל נ' דרור</w:t>
      </w:r>
      <w:r>
        <w:rPr>
          <w:rFonts w:hint="cs"/>
          <w:rtl/>
        </w:rPr>
        <w:t xml:space="preserve"> (8.2.21) בפסקה 13 לפסק הדין).</w:t>
      </w:r>
    </w:p>
    <w:p w14:paraId="7DFD8E0B" w14:textId="77777777" w:rsidR="00A12CEA" w:rsidRDefault="00A12CEA" w:rsidP="00A12CEA">
      <w:pPr>
        <w:spacing w:line="360" w:lineRule="auto"/>
        <w:jc w:val="both"/>
        <w:rPr>
          <w:rtl/>
        </w:rPr>
      </w:pPr>
    </w:p>
    <w:p w14:paraId="033F3981" w14:textId="77777777" w:rsidR="00A12CEA" w:rsidRDefault="00A12CEA" w:rsidP="00A12CEA">
      <w:pPr>
        <w:spacing w:line="360" w:lineRule="auto"/>
        <w:jc w:val="both"/>
        <w:rPr>
          <w:rtl/>
        </w:rPr>
      </w:pPr>
      <w:r>
        <w:rPr>
          <w:rFonts w:hint="cs"/>
          <w:rtl/>
        </w:rPr>
        <w:t>7.</w:t>
      </w:r>
      <w:r>
        <w:rPr>
          <w:rFonts w:hint="cs"/>
          <w:rtl/>
        </w:rPr>
        <w:tab/>
        <w:t>אשר ל</w:t>
      </w:r>
      <w:r>
        <w:rPr>
          <w:rFonts w:hint="cs"/>
          <w:u w:val="single"/>
          <w:rtl/>
        </w:rPr>
        <w:t>מדיניות הענישה הנוהגת</w:t>
      </w:r>
      <w:r>
        <w:rPr>
          <w:rFonts w:hint="cs"/>
          <w:rtl/>
        </w:rPr>
        <w:t xml:space="preserve"> - עיון בפסיקה מעלה כי בשנים האחרונות ניכרת החמרה בענישה בעבירות של גידול סם, בנסיבות של מעבדה שהוקמה לשם כך (ראו למשל, </w:t>
      </w:r>
      <w:hyperlink r:id="rId15" w:history="1">
        <w:r w:rsidR="003C7BD5" w:rsidRPr="003C7BD5">
          <w:rPr>
            <w:color w:val="0000FF"/>
            <w:u w:val="single"/>
            <w:rtl/>
          </w:rPr>
          <w:t>ע"פ 2596/18</w:t>
        </w:r>
      </w:hyperlink>
      <w:r>
        <w:rPr>
          <w:rFonts w:hint="cs"/>
          <w:rtl/>
        </w:rPr>
        <w:t xml:space="preserve"> </w:t>
      </w:r>
      <w:r>
        <w:rPr>
          <w:rFonts w:hint="cs"/>
          <w:b/>
          <w:bCs/>
          <w:rtl/>
        </w:rPr>
        <w:t>כפיר זנזורי נ' מדינת ישראל</w:t>
      </w:r>
      <w:r>
        <w:rPr>
          <w:rFonts w:hint="cs"/>
          <w:rtl/>
        </w:rPr>
        <w:t xml:space="preserve"> (12.8.18); </w:t>
      </w:r>
      <w:hyperlink r:id="rId16" w:history="1">
        <w:r w:rsidR="003C7BD5" w:rsidRPr="003C7BD5">
          <w:rPr>
            <w:color w:val="0000FF"/>
            <w:u w:val="single"/>
            <w:rtl/>
          </w:rPr>
          <w:t>ע"פ 5807/17</w:t>
        </w:r>
      </w:hyperlink>
      <w:r>
        <w:rPr>
          <w:rFonts w:hint="cs"/>
          <w:rtl/>
        </w:rPr>
        <w:t xml:space="preserve"> </w:t>
      </w:r>
      <w:r>
        <w:rPr>
          <w:rFonts w:hint="cs"/>
          <w:b/>
          <w:bCs/>
          <w:rtl/>
        </w:rPr>
        <w:t>דרחי ואח' נ' מדינת ישראל</w:t>
      </w:r>
      <w:r>
        <w:rPr>
          <w:rFonts w:hint="cs"/>
          <w:rtl/>
        </w:rPr>
        <w:t xml:space="preserve"> (18.6.18); </w:t>
      </w:r>
      <w:hyperlink r:id="rId17" w:history="1">
        <w:r w:rsidR="003C7BD5" w:rsidRPr="003C7BD5">
          <w:rPr>
            <w:color w:val="0000FF"/>
            <w:u w:val="single"/>
            <w:rtl/>
          </w:rPr>
          <w:t>ע"פ 4387/20</w:t>
        </w:r>
      </w:hyperlink>
      <w:r>
        <w:rPr>
          <w:rFonts w:hint="cs"/>
          <w:rtl/>
        </w:rPr>
        <w:t xml:space="preserve"> </w:t>
      </w:r>
      <w:r>
        <w:rPr>
          <w:rFonts w:hint="cs"/>
          <w:b/>
          <w:bCs/>
          <w:rtl/>
        </w:rPr>
        <w:t>מדינת ישראל נ' טל דרור</w:t>
      </w:r>
      <w:r>
        <w:rPr>
          <w:rFonts w:hint="cs"/>
          <w:rtl/>
        </w:rPr>
        <w:t xml:space="preserve"> (8.2.21); </w:t>
      </w:r>
      <w:hyperlink r:id="rId18" w:history="1">
        <w:r w:rsidR="003C7BD5" w:rsidRPr="003C7BD5">
          <w:rPr>
            <w:color w:val="0000FF"/>
            <w:u w:val="single"/>
            <w:rtl/>
          </w:rPr>
          <w:t>רע"פ 3287/21</w:t>
        </w:r>
      </w:hyperlink>
      <w:r>
        <w:rPr>
          <w:rFonts w:hint="cs"/>
          <w:rtl/>
        </w:rPr>
        <w:t xml:space="preserve"> </w:t>
      </w:r>
      <w:r>
        <w:rPr>
          <w:rFonts w:hint="cs"/>
          <w:b/>
          <w:bCs/>
          <w:rtl/>
        </w:rPr>
        <w:t>זארע עתמין נ' מדינת ישראל</w:t>
      </w:r>
      <w:r>
        <w:rPr>
          <w:rFonts w:hint="cs"/>
          <w:rtl/>
        </w:rPr>
        <w:t xml:space="preserve"> (15.2.21); </w:t>
      </w:r>
      <w:hyperlink r:id="rId19" w:history="1">
        <w:r w:rsidR="003C7BD5" w:rsidRPr="003C7BD5">
          <w:rPr>
            <w:color w:val="0000FF"/>
            <w:u w:val="single"/>
            <w:rtl/>
          </w:rPr>
          <w:t>ע"פ 2729/22</w:t>
        </w:r>
      </w:hyperlink>
      <w:r>
        <w:rPr>
          <w:rFonts w:hint="cs"/>
          <w:rtl/>
        </w:rPr>
        <w:t xml:space="preserve"> </w:t>
      </w:r>
      <w:r>
        <w:rPr>
          <w:rFonts w:hint="cs"/>
          <w:b/>
          <w:bCs/>
          <w:rtl/>
        </w:rPr>
        <w:t>מיכאל שיטרית נ' מדינת ישראל</w:t>
      </w:r>
      <w:r>
        <w:rPr>
          <w:rFonts w:hint="cs"/>
          <w:rtl/>
        </w:rPr>
        <w:t xml:space="preserve"> (3.5.23)). עם זאת, מנעד הענישה בעבירות מסוג זה נותר רחב, משתנה ממקרה למקרה ותלוי, בין היתר, בכמות הסם (מספר השתילים והמשקל) ובנסיבותיו של הנאשם (עבר פלילי, שיקום, תסקיר חיובי וכיוצ"ב). אביא להלן מספר דוגמאות שיש בהן כדי ללמד על מדיניות הענישה הנוהגת בנסיבות דומות לנסיבות התיק דנן. </w:t>
      </w:r>
    </w:p>
    <w:p w14:paraId="2B8DC6EE" w14:textId="77777777" w:rsidR="00A12CEA" w:rsidRDefault="00A12CEA" w:rsidP="00A12CEA">
      <w:pPr>
        <w:spacing w:line="360" w:lineRule="auto"/>
        <w:jc w:val="both"/>
        <w:rPr>
          <w:rtl/>
        </w:rPr>
      </w:pPr>
    </w:p>
    <w:p w14:paraId="791573B9" w14:textId="77777777" w:rsidR="00A12CEA" w:rsidRDefault="00A12CEA" w:rsidP="00A12CEA">
      <w:pPr>
        <w:spacing w:line="360" w:lineRule="auto"/>
        <w:jc w:val="both"/>
        <w:rPr>
          <w:rtl/>
        </w:rPr>
      </w:pPr>
      <w:r>
        <w:rPr>
          <w:rFonts w:hint="cs"/>
          <w:rtl/>
        </w:rPr>
        <w:t>ב</w:t>
      </w:r>
      <w:hyperlink r:id="rId20" w:history="1">
        <w:r w:rsidR="003C7BD5" w:rsidRPr="003C7BD5">
          <w:rPr>
            <w:color w:val="0000FF"/>
            <w:u w:val="single"/>
            <w:rtl/>
          </w:rPr>
          <w:t>רע"פ 174/21</w:t>
        </w:r>
      </w:hyperlink>
      <w:r>
        <w:rPr>
          <w:rFonts w:hint="cs"/>
          <w:rtl/>
        </w:rPr>
        <w:t xml:space="preserve"> </w:t>
      </w:r>
      <w:r>
        <w:rPr>
          <w:rFonts w:hint="cs"/>
          <w:b/>
          <w:bCs/>
          <w:rtl/>
        </w:rPr>
        <w:t>סויסה נ' מדינת ישראל</w:t>
      </w:r>
      <w:r>
        <w:rPr>
          <w:rFonts w:hint="cs"/>
          <w:rtl/>
        </w:rPr>
        <w:t xml:space="preserve"> (25.2.21) דובר בנאשם שהקים מעבדה לגידול קנבוס בשתי יחידות ומחסן שאותם שכר בצמוד לבית קרקע וגידל סם במשקל כולל של 37.95 ק"ג נטו, ב-420 מכלים. בית משפט השלום קבע מתחם שנע בין 10-28 חודשי מאסר ומצא לחרוג מהמתחם, משיקולי שיקום, וגזר על הנאשם 9 חודשי מאסר בעבודות שירות, לצד עונשים נוספים. המדינה ערערה על קולת העונש ובית המשפט המחוזי קיבל את הערעור. נקבע כי בשים לב לכמות הסם, לתקופה שבמהלכה הוא גודל ולהשקעת המשאבים, על </w:t>
      </w:r>
      <w:r>
        <w:rPr>
          <w:rFonts w:hint="cs"/>
          <w:b/>
          <w:bCs/>
          <w:rtl/>
        </w:rPr>
        <w:t>המתחם לנוע בין 15-30 חודשי מאסר</w:t>
      </w:r>
      <w:r>
        <w:rPr>
          <w:rFonts w:hint="cs"/>
          <w:rtl/>
        </w:rPr>
        <w:t xml:space="preserve"> והוטל על הנאשם מאסר בפועל למשך 12 חודשים (ניתן משקל להעדר עבר ולהליך שיקומי שבו הנאשם החל). בר"ע שהגיש הנאשם לבית המשפט העליון, נדחתה. </w:t>
      </w:r>
    </w:p>
    <w:p w14:paraId="47057A31" w14:textId="77777777" w:rsidR="00A12CEA" w:rsidRDefault="00A12CEA" w:rsidP="00A12CEA">
      <w:pPr>
        <w:spacing w:line="360" w:lineRule="auto"/>
        <w:jc w:val="both"/>
      </w:pPr>
    </w:p>
    <w:p w14:paraId="382D788D" w14:textId="77777777" w:rsidR="00A12CEA" w:rsidRDefault="00A12CEA" w:rsidP="00A12CEA">
      <w:pPr>
        <w:spacing w:line="360" w:lineRule="auto"/>
        <w:jc w:val="both"/>
        <w:rPr>
          <w:rtl/>
        </w:rPr>
      </w:pPr>
      <w:r>
        <w:rPr>
          <w:rFonts w:hint="cs"/>
          <w:rtl/>
        </w:rPr>
        <w:t>ב</w:t>
      </w:r>
      <w:hyperlink r:id="rId21" w:history="1">
        <w:r w:rsidR="003C7BD5" w:rsidRPr="003C7BD5">
          <w:rPr>
            <w:color w:val="0000FF"/>
            <w:u w:val="single"/>
            <w:rtl/>
          </w:rPr>
          <w:t>רע"פ 2151/21</w:t>
        </w:r>
      </w:hyperlink>
      <w:r>
        <w:rPr>
          <w:rFonts w:hint="cs"/>
          <w:rtl/>
        </w:rPr>
        <w:t xml:space="preserve"> </w:t>
      </w:r>
      <w:r>
        <w:rPr>
          <w:rFonts w:hint="cs"/>
          <w:b/>
          <w:bCs/>
          <w:rtl/>
        </w:rPr>
        <w:t>שחף דהן נ' מדינת ישראל</w:t>
      </w:r>
      <w:r>
        <w:rPr>
          <w:rFonts w:hint="cs"/>
          <w:rtl/>
        </w:rPr>
        <w:t xml:space="preserve"> (7.4.21), שאליו הפנתה המאשימה, דובר בשלושה נאשמים שהקימו בצוותא מעבדה שבה גידלו כ-100 שתילים של סם מסוכן מסוג קנבוס במשקל כולל של 23 ק"ג. בית משפט השלום קבע מתחם שנע בין 8-24 חודשי מאסר וגזר על כל נאשם מאסר בהתאם לחלקו בביצוע העבירות, כאשר על מר דהן הוטלו 9 חודשי מאסר בעבודות שירות. המדינה ערערה על קולת העונש ובית המשפט המחוזי קיבלת את הערעור והשית על הנאשם 18 חודשי מאסר. בר"ע שהגיש הנאשם לבית המשפט העליון, נדחתה. </w:t>
      </w:r>
    </w:p>
    <w:p w14:paraId="43768F64" w14:textId="77777777" w:rsidR="00A12CEA" w:rsidRDefault="00A12CEA" w:rsidP="00A12CEA">
      <w:pPr>
        <w:spacing w:line="360" w:lineRule="auto"/>
        <w:jc w:val="both"/>
        <w:rPr>
          <w:rtl/>
        </w:rPr>
      </w:pPr>
    </w:p>
    <w:p w14:paraId="3667C4D2" w14:textId="77777777" w:rsidR="00A12CEA" w:rsidRDefault="00A12CEA" w:rsidP="00A12CEA">
      <w:pPr>
        <w:spacing w:line="360" w:lineRule="auto"/>
        <w:jc w:val="both"/>
        <w:rPr>
          <w:rtl/>
        </w:rPr>
      </w:pPr>
      <w:r>
        <w:rPr>
          <w:rFonts w:hint="cs"/>
          <w:rtl/>
        </w:rPr>
        <w:t>ב</w:t>
      </w:r>
      <w:hyperlink r:id="rId22" w:history="1">
        <w:r w:rsidR="003C7BD5" w:rsidRPr="003C7BD5">
          <w:rPr>
            <w:color w:val="0000FF"/>
            <w:u w:val="single"/>
            <w:rtl/>
          </w:rPr>
          <w:t>עפ"ג (מחוזי מרכז) 62843-07-17</w:t>
        </w:r>
      </w:hyperlink>
      <w:r>
        <w:rPr>
          <w:rFonts w:hint="cs"/>
          <w:rtl/>
        </w:rPr>
        <w:t xml:space="preserve"> </w:t>
      </w:r>
      <w:r>
        <w:rPr>
          <w:rFonts w:hint="cs"/>
          <w:b/>
          <w:bCs/>
          <w:rtl/>
        </w:rPr>
        <w:t>גאבר נ' מדינת ישראל</w:t>
      </w:r>
      <w:r>
        <w:rPr>
          <w:rFonts w:hint="cs"/>
          <w:rtl/>
        </w:rPr>
        <w:t xml:space="preserve"> (24.12.17), שאליו הפנתה המאשימה, דובר בנאשם שהקים מעבדה במרתף ביתו וגידל  במשך חודשיים 96 שתילי קנבוס במשקל כולל של 31.15 ק"ג. בית משפט השלום קבע מתחם שנע בין 16-30 חודשי מאסר והטיל על הנאשם 18 חודשי מאסר בפועל. ערעור הנאשם על חומרת העונש נדחה. </w:t>
      </w:r>
    </w:p>
    <w:p w14:paraId="45F68FCB" w14:textId="77777777" w:rsidR="00A12CEA" w:rsidRDefault="00A12CEA" w:rsidP="00A12CEA">
      <w:pPr>
        <w:spacing w:line="360" w:lineRule="auto"/>
        <w:rPr>
          <w:rtl/>
        </w:rPr>
      </w:pPr>
    </w:p>
    <w:p w14:paraId="1EF740FB" w14:textId="77777777" w:rsidR="00A12CEA" w:rsidRDefault="00A12CEA" w:rsidP="00A12CEA">
      <w:pPr>
        <w:spacing w:line="360" w:lineRule="auto"/>
        <w:jc w:val="both"/>
        <w:rPr>
          <w:rtl/>
        </w:rPr>
      </w:pPr>
      <w:r>
        <w:rPr>
          <w:rFonts w:hint="cs"/>
          <w:rtl/>
        </w:rPr>
        <w:t>ב</w:t>
      </w:r>
      <w:hyperlink r:id="rId23" w:history="1">
        <w:r w:rsidR="003C7BD5" w:rsidRPr="003C7BD5">
          <w:rPr>
            <w:color w:val="0000FF"/>
            <w:u w:val="single"/>
            <w:rtl/>
          </w:rPr>
          <w:t>עפ"ג (מחוזי נצרת) 61274-10-21</w:t>
        </w:r>
      </w:hyperlink>
      <w:r>
        <w:rPr>
          <w:rFonts w:hint="cs"/>
          <w:rtl/>
        </w:rPr>
        <w:t xml:space="preserve"> </w:t>
      </w:r>
      <w:r>
        <w:rPr>
          <w:rFonts w:hint="cs"/>
          <w:b/>
          <w:bCs/>
          <w:rtl/>
        </w:rPr>
        <w:t>מדינת ישראל נ' ניסים לוי</w:t>
      </w:r>
      <w:r>
        <w:rPr>
          <w:rFonts w:hint="cs"/>
          <w:rtl/>
        </w:rPr>
        <w:t xml:space="preserve"> (7.6.22) דובר בנאשם שהקים מעבדה בביתו, וגידל עשרות שתילים של סם מסוכן מסוג קנבוס במשקל כולל של 44.36 ק"ג נטו. בית משפט השלום קבע מתחם שנע בין 10-24 חודשי מאסר ומצא לסטות מהמתחם משיקולי שיקום וגזר על הנאשם 9 חודשי מאסר בעבודות שירות, לצד עונשים נלווים. המדינה ערערה על קולת העונש ובית המשפט המחוזי קיבל את הערעור בחלקו, ונוכח תסקירים שהתקבלו בפניו, שלפיהם הנאשם אכן עבר הליך שיקומי, התערב אך בצו המבחן שהוטל על הנאשם והעמידו על 30 חודשים.</w:t>
      </w:r>
    </w:p>
    <w:p w14:paraId="0E8495AF" w14:textId="77777777" w:rsidR="00A12CEA" w:rsidRDefault="00A12CEA" w:rsidP="00A12CEA">
      <w:pPr>
        <w:spacing w:line="360" w:lineRule="auto"/>
        <w:jc w:val="both"/>
        <w:rPr>
          <w:rtl/>
        </w:rPr>
      </w:pPr>
    </w:p>
    <w:p w14:paraId="0F6F0C68" w14:textId="77777777" w:rsidR="00A12CEA" w:rsidRDefault="00A12CEA" w:rsidP="00A12CEA">
      <w:pPr>
        <w:spacing w:line="360" w:lineRule="auto"/>
        <w:jc w:val="both"/>
        <w:rPr>
          <w:rtl/>
        </w:rPr>
      </w:pPr>
      <w:r>
        <w:rPr>
          <w:rFonts w:hint="cs"/>
          <w:rtl/>
        </w:rPr>
        <w:t>ב</w:t>
      </w:r>
      <w:hyperlink r:id="rId24" w:history="1">
        <w:r w:rsidR="003C7BD5" w:rsidRPr="003C7BD5">
          <w:rPr>
            <w:color w:val="0000FF"/>
            <w:u w:val="single"/>
            <w:rtl/>
          </w:rPr>
          <w:t>עפ"ג (מחוזי חיפה) 4416-12-19</w:t>
        </w:r>
      </w:hyperlink>
      <w:r>
        <w:rPr>
          <w:rFonts w:hint="cs"/>
          <w:rtl/>
        </w:rPr>
        <w:t xml:space="preserve"> </w:t>
      </w:r>
      <w:r>
        <w:rPr>
          <w:rFonts w:hint="cs"/>
          <w:b/>
          <w:bCs/>
          <w:rtl/>
        </w:rPr>
        <w:t>מדינת ישראל נ' בלמס</w:t>
      </w:r>
      <w:r>
        <w:rPr>
          <w:rFonts w:hint="cs"/>
          <w:rtl/>
        </w:rPr>
        <w:t xml:space="preserve"> (27.2.20), שאליו הפנה הסנגור, דובר בנאשם שהקים מעבדה, גידל בה 595 שתילים של סם מסוכן מסוג קנביס במשקל כולל של 21.8 ק"ג נטו, ועשה שימוש בחשמל באופן שהמונה של חברת החשמל לא יוכל לרשום את כמות החשמל שנצרכה בפועל בדירה. בית משפט השלום קבע מתחם שנע בין מאסר על תנאי ובין 24 חודשי מאסר בפועל והשית על הנאשם 5 חודשי מאסר בעבודות שירות, מאסר על תנאי וצו מבחן לתקופה של 12 חודשים. הנאשם ערער על חומרת העונש בעוד המאשימה ערערה על קולתו ובית המשפט המחוזי הציע לנאשם לחזור בו מהערעור ולמאשימה להסכים להאריך את תקופת המאסר בעבודות שירות ל-9 חודשים ואת צו המבחן ל-18 חודשים. הן הנאשם והן המאשימה אימצו את הצעות בית המשפט המחוזי. </w:t>
      </w:r>
    </w:p>
    <w:p w14:paraId="323B9D3E" w14:textId="77777777" w:rsidR="00A12CEA" w:rsidRDefault="00A12CEA" w:rsidP="00A12CEA">
      <w:pPr>
        <w:spacing w:line="360" w:lineRule="auto"/>
        <w:jc w:val="both"/>
        <w:rPr>
          <w:rtl/>
        </w:rPr>
      </w:pPr>
    </w:p>
    <w:p w14:paraId="340C147D" w14:textId="77777777" w:rsidR="00A12CEA" w:rsidRDefault="00A12CEA" w:rsidP="00A12CEA">
      <w:pPr>
        <w:spacing w:line="360" w:lineRule="auto"/>
        <w:jc w:val="both"/>
        <w:rPr>
          <w:color w:val="FF0000"/>
          <w:rtl/>
        </w:rPr>
      </w:pPr>
      <w:r>
        <w:rPr>
          <w:rFonts w:hint="cs"/>
          <w:rtl/>
        </w:rPr>
        <w:t xml:space="preserve">בעפ"ג (מחוזי חיפה) </w:t>
      </w:r>
      <w:r>
        <w:rPr>
          <w:rFonts w:hint="cs"/>
          <w:b/>
          <w:bCs/>
          <w:rtl/>
        </w:rPr>
        <w:t>גרשומוב נ' מדינת ישראל</w:t>
      </w:r>
      <w:r>
        <w:rPr>
          <w:rFonts w:hint="cs"/>
          <w:rtl/>
        </w:rPr>
        <w:t xml:space="preserve"> (21.2.19), שאליו הפנתה המאשימה, דובר בנאשם שהקים מעבדה, גידל בה כ-30 ק"ג קנביס ונטל חשמל שלא כדין (שווי החשמל לא פורט) ובית משפט השלום גזר עליו 20 חודשי מאסר בפועל לצד מאסר על תנאי, קנס ופיצוי. הנאשם ערער על חומרת העונש, ברם בהמלצת בית המשפט המחוזי חזר בו מהערעור, למעט לגבי רכיב הקנס, שבית המשפט המחוזי הורה על ביטולו (ניתן משקל למצבו הכלכלי של הנאשם ולתקופת המאסר שהוטלה עליו). </w:t>
      </w:r>
    </w:p>
    <w:p w14:paraId="4E7AC565" w14:textId="77777777" w:rsidR="00A12CEA" w:rsidRDefault="00A12CEA" w:rsidP="00A12CEA">
      <w:pPr>
        <w:spacing w:line="360" w:lineRule="auto"/>
        <w:jc w:val="both"/>
        <w:rPr>
          <w:rtl/>
        </w:rPr>
      </w:pPr>
    </w:p>
    <w:p w14:paraId="56F38031" w14:textId="77777777" w:rsidR="00A12CEA" w:rsidRDefault="00A12CEA" w:rsidP="00A12CEA">
      <w:pPr>
        <w:spacing w:line="360" w:lineRule="auto"/>
        <w:jc w:val="both"/>
        <w:rPr>
          <w:rtl/>
        </w:rPr>
      </w:pPr>
      <w:r>
        <w:rPr>
          <w:rFonts w:hint="cs"/>
          <w:rtl/>
        </w:rPr>
        <w:t xml:space="preserve">עוד ראו </w:t>
      </w:r>
      <w:hyperlink r:id="rId25" w:history="1">
        <w:r w:rsidR="003C7BD5" w:rsidRPr="003C7BD5">
          <w:rPr>
            <w:color w:val="0000FF"/>
            <w:u w:val="single"/>
            <w:rtl/>
          </w:rPr>
          <w:t>ת"פ (חיפה) 4850-08-22</w:t>
        </w:r>
      </w:hyperlink>
      <w:r>
        <w:rPr>
          <w:rFonts w:hint="cs"/>
          <w:rtl/>
        </w:rPr>
        <w:t xml:space="preserve"> </w:t>
      </w:r>
      <w:r>
        <w:rPr>
          <w:rFonts w:hint="cs"/>
          <w:b/>
          <w:bCs/>
          <w:rtl/>
        </w:rPr>
        <w:t>מדינת ישראל נ' אטיאס</w:t>
      </w:r>
      <w:r>
        <w:rPr>
          <w:rFonts w:hint="cs"/>
          <w:rtl/>
        </w:rPr>
        <w:t xml:space="preserve"> (ניתן על ידי ביום 5.11.24), שבו הוטלו 5 חודשי מאסר בפועל על נאשם שגידל בדירה עבור אחר 186 שתילי קנבוס במשקל של 37.82 ק"ג וגנב חשמל בסך של כ 18,000 ₪ (הנאשם הופנה לממונה על עבודות השירות, ברם לא שיתף עמו פעולה ולכן נקבעה תקופת מאסר לריצוי מאחורי סורג ובריח); </w:t>
      </w:r>
      <w:hyperlink r:id="rId26" w:history="1">
        <w:r w:rsidR="003C7BD5" w:rsidRPr="003C7BD5">
          <w:rPr>
            <w:color w:val="0000FF"/>
            <w:u w:val="single"/>
            <w:rtl/>
          </w:rPr>
          <w:t>ת"פ (חיפה) 34425-05-21</w:t>
        </w:r>
      </w:hyperlink>
      <w:r>
        <w:rPr>
          <w:rFonts w:hint="cs"/>
          <w:rtl/>
        </w:rPr>
        <w:t xml:space="preserve"> </w:t>
      </w:r>
      <w:r>
        <w:rPr>
          <w:rFonts w:hint="cs"/>
          <w:b/>
          <w:bCs/>
          <w:rtl/>
        </w:rPr>
        <w:t>מדינת ישראל נ' קולסניקוב</w:t>
      </w:r>
      <w:r>
        <w:rPr>
          <w:rFonts w:hint="cs"/>
          <w:rtl/>
        </w:rPr>
        <w:t xml:space="preserve"> (ניתן על ידי ביום 18.7.23), שבו הוטלו 9 חודשי מאסר בעבודות שירות על נאשם שגידל בשתי דירות שונות 150 שתילים במשקל כולל של כ-15 ק"ג והחזיק בנוסף קנבוס במשקל של 244.11 גרם נטו; </w:t>
      </w:r>
      <w:hyperlink r:id="rId27" w:history="1">
        <w:r w:rsidR="003C7BD5" w:rsidRPr="003C7BD5">
          <w:rPr>
            <w:color w:val="0000FF"/>
            <w:u w:val="single"/>
            <w:rtl/>
          </w:rPr>
          <w:t>ת"פ (חיפה) 56032-02-22</w:t>
        </w:r>
      </w:hyperlink>
      <w:r>
        <w:rPr>
          <w:rFonts w:hint="cs"/>
          <w:rtl/>
        </w:rPr>
        <w:t xml:space="preserve"> </w:t>
      </w:r>
      <w:r>
        <w:rPr>
          <w:rFonts w:hint="cs"/>
          <w:b/>
          <w:bCs/>
          <w:rtl/>
        </w:rPr>
        <w:t>מדינת ישראל נ' אביחיסרה</w:t>
      </w:r>
      <w:r>
        <w:rPr>
          <w:rFonts w:hint="cs"/>
          <w:rtl/>
        </w:rPr>
        <w:t xml:space="preserve"> (ניתן על ידי ביום 28.6.23), שבו  הוטלו 9 חודשי מאסר בעבודות שירות על נאשם שגידל בשני מחסנים וביחידת דיור בחצר ביתו 183 שתילים של קנבוס ופרחי סם מיובשים במשקל כולל 43 ק"ג וגנב חשמל בסך של כ 17,000 ₪; </w:t>
      </w:r>
      <w:hyperlink r:id="rId28" w:history="1">
        <w:r w:rsidR="003C7BD5" w:rsidRPr="003C7BD5">
          <w:rPr>
            <w:color w:val="0000FF"/>
            <w:u w:val="single"/>
            <w:rtl/>
          </w:rPr>
          <w:t>ת"פ (נצרת) 14474-03-20</w:t>
        </w:r>
      </w:hyperlink>
      <w:r>
        <w:rPr>
          <w:rFonts w:hint="cs"/>
          <w:rtl/>
        </w:rPr>
        <w:t xml:space="preserve"> </w:t>
      </w:r>
      <w:r>
        <w:rPr>
          <w:rFonts w:hint="cs"/>
          <w:b/>
          <w:bCs/>
          <w:rtl/>
        </w:rPr>
        <w:t>מדינת ישראל נ' בוזנח</w:t>
      </w:r>
      <w:r>
        <w:rPr>
          <w:rFonts w:hint="cs"/>
          <w:rtl/>
        </w:rPr>
        <w:t xml:space="preserve"> (26.10.21), שבו הוטלו על הנאשם 9 חודשי מאסר בעבודות שירות, לאחר שבית המשפט מצא לחרוג מהמתחם, בגין גידול של 279 שתילי קנביס במשקל כולל של 32.44 ק"ג; </w:t>
      </w:r>
      <w:hyperlink r:id="rId29" w:history="1">
        <w:r w:rsidR="003C7BD5" w:rsidRPr="003C7BD5">
          <w:rPr>
            <w:color w:val="0000FF"/>
            <w:u w:val="single"/>
            <w:rtl/>
          </w:rPr>
          <w:t>ת"פ (קריות) 16673-04-17</w:t>
        </w:r>
      </w:hyperlink>
      <w:r>
        <w:rPr>
          <w:rFonts w:hint="cs"/>
          <w:rtl/>
        </w:rPr>
        <w:t xml:space="preserve"> </w:t>
      </w:r>
      <w:r>
        <w:rPr>
          <w:rFonts w:hint="cs"/>
          <w:b/>
          <w:bCs/>
          <w:rtl/>
        </w:rPr>
        <w:t>מדינת ישראל נ טרגנו</w:t>
      </w:r>
      <w:r>
        <w:rPr>
          <w:rFonts w:hint="cs"/>
          <w:rtl/>
        </w:rPr>
        <w:t xml:space="preserve"> (17.1.19), שאליו הפנה הסנגור, שבו בית המשפט חרג מהמתחם משיקולי שיקול והטיל על הנאשם 6 חודשי מאסר בעבודות שירות, על נאשם שגידל 534 שתילי קנבוס במשקל כולל של כ-38 ק"ג, גנב חשמל בסך כולל של כ-30,000 ₪ והחזיק קנבוס במשקל של כ-19 גרם נטו. </w:t>
      </w:r>
    </w:p>
    <w:p w14:paraId="5689C319" w14:textId="77777777" w:rsidR="00A12CEA" w:rsidRDefault="00A12CEA" w:rsidP="00A12CEA">
      <w:pPr>
        <w:spacing w:line="360" w:lineRule="auto"/>
        <w:jc w:val="both"/>
        <w:rPr>
          <w:rtl/>
        </w:rPr>
      </w:pPr>
    </w:p>
    <w:p w14:paraId="7E0E741D" w14:textId="77777777" w:rsidR="00A12CEA" w:rsidRDefault="00A12CEA" w:rsidP="00A12CEA">
      <w:pPr>
        <w:spacing w:line="360" w:lineRule="auto"/>
        <w:jc w:val="both"/>
        <w:rPr>
          <w:rtl/>
        </w:rPr>
      </w:pPr>
      <w:r>
        <w:rPr>
          <w:rFonts w:hint="cs"/>
          <w:rtl/>
        </w:rPr>
        <w:t>8.</w:t>
      </w:r>
      <w:r>
        <w:rPr>
          <w:rFonts w:hint="cs"/>
          <w:rtl/>
        </w:rPr>
        <w:tab/>
        <w:t>אשר ל</w:t>
      </w:r>
      <w:r>
        <w:rPr>
          <w:rFonts w:hint="cs"/>
          <w:u w:val="single"/>
          <w:rtl/>
        </w:rPr>
        <w:t>נסיבות ביצוע העבירה</w:t>
      </w:r>
      <w:r>
        <w:rPr>
          <w:rFonts w:hint="cs"/>
          <w:rtl/>
        </w:rPr>
        <w:t xml:space="preserve"> - יש ליתן את הדעת לתכנון שקדם לביצוע העבירות - שכירת משרד ומחסן ורכישת ציוד שישמש לגידול הסמים. עוד יש ליתן את הדעת למשך ביצוע העבירות (4 חודשים), למספר השתילים שהנאשם גידל (146), למשקל הסמים שהוא גידל (30.08 ק"ג) ולמשקל הסמים שהנאשם החזיק (0.7 ק"ג). </w:t>
      </w:r>
    </w:p>
    <w:p w14:paraId="0B897B2B" w14:textId="77777777" w:rsidR="00A12CEA" w:rsidRDefault="00A12CEA" w:rsidP="00A12CEA">
      <w:pPr>
        <w:spacing w:line="360" w:lineRule="auto"/>
        <w:jc w:val="both"/>
        <w:rPr>
          <w:rtl/>
        </w:rPr>
      </w:pPr>
    </w:p>
    <w:p w14:paraId="3446D333" w14:textId="77777777" w:rsidR="00A12CEA" w:rsidRDefault="00A12CEA" w:rsidP="00A12CEA">
      <w:pPr>
        <w:spacing w:line="360" w:lineRule="auto"/>
        <w:jc w:val="both"/>
        <w:rPr>
          <w:rtl/>
        </w:rPr>
      </w:pPr>
      <w:r>
        <w:rPr>
          <w:rFonts w:hint="cs"/>
          <w:rtl/>
        </w:rPr>
        <w:t>9.</w:t>
      </w:r>
      <w:r>
        <w:rPr>
          <w:rFonts w:hint="cs"/>
          <w:rtl/>
        </w:rPr>
        <w:tab/>
        <w:t>בהתחשב במכלול הנתונים שפורטו לעיל, אני בדעה כי מתחם העונש ההולם את נסיבות התיק דנן נע בין 9-24 חודשי מאסר בפועל.</w:t>
      </w:r>
    </w:p>
    <w:p w14:paraId="1C21164F" w14:textId="77777777" w:rsidR="00A12CEA" w:rsidRDefault="00A12CEA" w:rsidP="00A12CEA">
      <w:pPr>
        <w:spacing w:line="360" w:lineRule="auto"/>
        <w:jc w:val="both"/>
        <w:rPr>
          <w:rtl/>
        </w:rPr>
      </w:pPr>
    </w:p>
    <w:p w14:paraId="3C6192D1" w14:textId="77777777" w:rsidR="00A12CEA" w:rsidRDefault="00A12CEA" w:rsidP="00A12CEA">
      <w:pPr>
        <w:spacing w:line="360" w:lineRule="auto"/>
        <w:jc w:val="both"/>
        <w:rPr>
          <w:b/>
          <w:bCs/>
          <w:u w:val="single"/>
          <w:rtl/>
        </w:rPr>
      </w:pPr>
      <w:r>
        <w:rPr>
          <w:rFonts w:hint="cs"/>
          <w:b/>
          <w:bCs/>
          <w:u w:val="single"/>
          <w:rtl/>
        </w:rPr>
        <w:t>השיקולים לקביעת עונשו של הנאשם</w:t>
      </w:r>
    </w:p>
    <w:p w14:paraId="064A25A9" w14:textId="77777777" w:rsidR="00A12CEA" w:rsidRDefault="00A12CEA" w:rsidP="00A12CEA">
      <w:pPr>
        <w:spacing w:line="360" w:lineRule="auto"/>
        <w:jc w:val="both"/>
        <w:rPr>
          <w:rtl/>
        </w:rPr>
      </w:pPr>
    </w:p>
    <w:p w14:paraId="65936DAE" w14:textId="77777777" w:rsidR="00A12CEA" w:rsidRDefault="00A12CEA" w:rsidP="00A12CEA">
      <w:pPr>
        <w:spacing w:line="360" w:lineRule="auto"/>
        <w:jc w:val="both"/>
        <w:rPr>
          <w:rtl/>
        </w:rPr>
      </w:pPr>
      <w:r>
        <w:rPr>
          <w:rFonts w:hint="cs"/>
          <w:rtl/>
        </w:rPr>
        <w:t>10.</w:t>
      </w:r>
      <w:r>
        <w:rPr>
          <w:rFonts w:hint="cs"/>
          <w:rtl/>
        </w:rPr>
        <w:tab/>
      </w:r>
      <w:r w:rsidRPr="00917432">
        <w:rPr>
          <w:rFonts w:hint="cs"/>
          <w:rtl/>
        </w:rPr>
        <w:t>לזכות הנאשם</w:t>
      </w:r>
      <w:r>
        <w:rPr>
          <w:rFonts w:hint="cs"/>
          <w:rtl/>
        </w:rPr>
        <w:t xml:space="preserve"> עומדות הודאתו ונסיבותיו האישיות והמשפחתיות, כפי שהן מקבלות ביטוי בתסקיר המבחן. חלוף הזמן מאז ביצוע העבירות (למעלה מארבע שנים) עומד אף הוא לזכותו של הנאשם, הגם שאיני סבורה שמדובר בשיהוי קיצוני שיש בו כדי להביא לחריגה ממתחם העונש ההולם (ראו לעניין זה </w:t>
      </w:r>
      <w:hyperlink r:id="rId30" w:history="1">
        <w:r w:rsidR="003C7BD5" w:rsidRPr="003C7BD5">
          <w:rPr>
            <w:color w:val="0000FF"/>
            <w:u w:val="single"/>
            <w:rtl/>
          </w:rPr>
          <w:t>ע"פ 7989/17</w:t>
        </w:r>
      </w:hyperlink>
      <w:r>
        <w:rPr>
          <w:rFonts w:hint="cs"/>
          <w:rtl/>
        </w:rPr>
        <w:t xml:space="preserve"> </w:t>
      </w:r>
      <w:r>
        <w:rPr>
          <w:rFonts w:hint="cs"/>
          <w:b/>
          <w:bCs/>
          <w:rtl/>
        </w:rPr>
        <w:t>פבל דשקוב נ' מדינת ישראל</w:t>
      </w:r>
      <w:r>
        <w:rPr>
          <w:rFonts w:hint="cs"/>
          <w:rtl/>
        </w:rPr>
        <w:t xml:space="preserve"> (18.4.18)).</w:t>
      </w:r>
    </w:p>
    <w:p w14:paraId="63E38945" w14:textId="77777777" w:rsidR="00A12CEA" w:rsidRDefault="00A12CEA" w:rsidP="00A12CEA">
      <w:pPr>
        <w:spacing w:line="360" w:lineRule="auto"/>
        <w:jc w:val="both"/>
        <w:rPr>
          <w:rtl/>
        </w:rPr>
      </w:pPr>
    </w:p>
    <w:p w14:paraId="2B160CD6" w14:textId="77777777" w:rsidR="00A12CEA" w:rsidRDefault="00A12CEA" w:rsidP="00A12CEA">
      <w:pPr>
        <w:spacing w:line="360" w:lineRule="auto"/>
        <w:jc w:val="both"/>
        <w:rPr>
          <w:rtl/>
        </w:rPr>
      </w:pPr>
      <w:r>
        <w:rPr>
          <w:rFonts w:hint="cs"/>
          <w:rtl/>
        </w:rPr>
        <w:t xml:space="preserve">לחובת הנאשם עומד עברו הפלילי. עיון בתדפיס ת/1 מעלה כי לנאשם 3 הרשעות קודמות, האחרונה בגין שתי עבירות של מכירת משקה משכר לקטין, שנעברו לאחר ביצוע העבירות דנן.  </w:t>
      </w:r>
    </w:p>
    <w:p w14:paraId="07F72F62" w14:textId="77777777" w:rsidR="00A12CEA" w:rsidRDefault="00A12CEA" w:rsidP="00A12CEA">
      <w:pPr>
        <w:spacing w:line="360" w:lineRule="auto"/>
        <w:jc w:val="both"/>
        <w:rPr>
          <w:rtl/>
        </w:rPr>
      </w:pPr>
      <w:r>
        <w:rPr>
          <w:rFonts w:hint="cs"/>
          <w:rtl/>
        </w:rPr>
        <w:t xml:space="preserve">הערכת שירות המבחן שלפיה קיים סיכון להישנות העבירות, אף היא עומדת לחובת הנאשם. </w:t>
      </w:r>
    </w:p>
    <w:p w14:paraId="30E17A93" w14:textId="77777777" w:rsidR="00A12CEA" w:rsidRDefault="00A12CEA" w:rsidP="00A12CEA">
      <w:pPr>
        <w:spacing w:line="360" w:lineRule="auto"/>
        <w:jc w:val="both"/>
        <w:rPr>
          <w:rtl/>
        </w:rPr>
      </w:pPr>
    </w:p>
    <w:p w14:paraId="5528272D" w14:textId="77777777" w:rsidR="00A12CEA" w:rsidRDefault="00A12CEA" w:rsidP="00A12CEA">
      <w:pPr>
        <w:spacing w:line="360" w:lineRule="auto"/>
        <w:jc w:val="both"/>
        <w:rPr>
          <w:rtl/>
        </w:rPr>
      </w:pPr>
      <w:r>
        <w:rPr>
          <w:rFonts w:hint="cs"/>
          <w:rtl/>
        </w:rPr>
        <w:t xml:space="preserve">לדידי, הגם שאין במכלול השיקולים שפורטו לעיל כדי ללמד שקיים סיכוי של ממש שהנאשם ישתקם, יש בהם כדי לגזור את עונשו בתחתית המתחם שנקבע לעיל. </w:t>
      </w:r>
    </w:p>
    <w:p w14:paraId="0073D805" w14:textId="77777777" w:rsidR="00A12CEA" w:rsidRDefault="00A12CEA" w:rsidP="00A12CEA">
      <w:pPr>
        <w:spacing w:line="360" w:lineRule="auto"/>
        <w:jc w:val="both"/>
        <w:rPr>
          <w:rtl/>
        </w:rPr>
      </w:pPr>
    </w:p>
    <w:p w14:paraId="7732F627" w14:textId="77777777" w:rsidR="00A12CEA" w:rsidRDefault="00A12CEA" w:rsidP="00A12CEA">
      <w:pPr>
        <w:spacing w:line="360" w:lineRule="auto"/>
        <w:jc w:val="both"/>
        <w:rPr>
          <w:b/>
          <w:bCs/>
          <w:u w:val="single"/>
          <w:rtl/>
        </w:rPr>
      </w:pPr>
      <w:r>
        <w:rPr>
          <w:rFonts w:hint="cs"/>
          <w:b/>
          <w:bCs/>
          <w:u w:val="single"/>
          <w:rtl/>
        </w:rPr>
        <w:t>סוף דבר</w:t>
      </w:r>
    </w:p>
    <w:p w14:paraId="791A3B2A" w14:textId="77777777" w:rsidR="00A12CEA" w:rsidRDefault="00A12CEA" w:rsidP="00A12CEA">
      <w:pPr>
        <w:spacing w:line="360" w:lineRule="auto"/>
        <w:jc w:val="both"/>
        <w:rPr>
          <w:b/>
          <w:bCs/>
          <w:u w:val="single"/>
          <w:rtl/>
        </w:rPr>
      </w:pPr>
    </w:p>
    <w:p w14:paraId="7E5CAF84" w14:textId="77777777" w:rsidR="00A12CEA" w:rsidRDefault="00A12CEA" w:rsidP="00A12CEA">
      <w:pPr>
        <w:spacing w:line="360" w:lineRule="auto"/>
        <w:jc w:val="both"/>
      </w:pPr>
      <w:r>
        <w:rPr>
          <w:rFonts w:hint="cs"/>
          <w:rtl/>
        </w:rPr>
        <w:t>הריני גוזרת על הנאשם את העונשים הבאים:</w:t>
      </w:r>
    </w:p>
    <w:p w14:paraId="44C6657F" w14:textId="77777777" w:rsidR="00A12CEA" w:rsidRDefault="00A12CEA" w:rsidP="00A12CEA">
      <w:pPr>
        <w:spacing w:line="360" w:lineRule="auto"/>
        <w:jc w:val="both"/>
        <w:rPr>
          <w:rtl/>
        </w:rPr>
      </w:pPr>
    </w:p>
    <w:p w14:paraId="0A308D6F" w14:textId="77777777" w:rsidR="00A12CEA" w:rsidRDefault="00A12CEA" w:rsidP="00A12CEA">
      <w:pPr>
        <w:spacing w:line="360" w:lineRule="auto"/>
        <w:ind w:left="720" w:hanging="720"/>
        <w:jc w:val="both"/>
        <w:rPr>
          <w:color w:val="FF0000"/>
          <w:rtl/>
        </w:rPr>
      </w:pPr>
      <w:r>
        <w:rPr>
          <w:rFonts w:hint="cs"/>
          <w:rtl/>
        </w:rPr>
        <w:t>א.</w:t>
      </w:r>
      <w:r>
        <w:rPr>
          <w:rFonts w:hint="cs"/>
          <w:rtl/>
        </w:rPr>
        <w:tab/>
        <w:t>מאסר בפועל לתקופה של 9 חודשים, שירוצה בעבודות שירות באצטדיון רמת גן, בימים א'-ה', בטווח השעות המתאפשר ב</w:t>
      </w:r>
      <w:hyperlink r:id="rId31" w:history="1">
        <w:r w:rsidR="003C7BD5" w:rsidRPr="003C7BD5">
          <w:rPr>
            <w:color w:val="0000FF"/>
            <w:u w:val="single"/>
            <w:rtl/>
          </w:rPr>
          <w:t>חוק העונשין</w:t>
        </w:r>
      </w:hyperlink>
      <w:r>
        <w:rPr>
          <w:rFonts w:hint="cs"/>
          <w:rtl/>
        </w:rPr>
        <w:t xml:space="preserve">. </w:t>
      </w:r>
    </w:p>
    <w:p w14:paraId="03AE9C11" w14:textId="77777777" w:rsidR="00A12CEA" w:rsidRDefault="00A12CEA" w:rsidP="00A12CEA">
      <w:pPr>
        <w:spacing w:line="360" w:lineRule="auto"/>
        <w:jc w:val="both"/>
        <w:rPr>
          <w:rFonts w:eastAsia="David"/>
          <w:b/>
          <w:bCs/>
          <w:rtl/>
        </w:rPr>
      </w:pPr>
    </w:p>
    <w:p w14:paraId="5CA5E941" w14:textId="77777777" w:rsidR="00A12CEA" w:rsidRDefault="00A12CEA" w:rsidP="00A12CEA">
      <w:pPr>
        <w:spacing w:line="360" w:lineRule="auto"/>
        <w:ind w:left="720"/>
        <w:jc w:val="both"/>
        <w:rPr>
          <w:rFonts w:ascii="David" w:hAnsi="David"/>
          <w:rtl/>
        </w:rPr>
      </w:pPr>
      <w:r>
        <w:rPr>
          <w:rFonts w:hint="cs"/>
          <w:b/>
          <w:bCs/>
          <w:rtl/>
        </w:rPr>
        <w:t xml:space="preserve">הנאשם יתייצב לריצוי עבודות השירות בתאריך 8.6.25 בשעה 08:00, </w:t>
      </w:r>
      <w:r>
        <w:rPr>
          <w:rFonts w:hint="cs"/>
          <w:rtl/>
        </w:rPr>
        <w:t xml:space="preserve">ביחידת ברקאי - עבודות שירות, שלוחה צפון, במתחם כלא מגידו (צומת מגידו). </w:t>
      </w:r>
    </w:p>
    <w:p w14:paraId="63F23B7A" w14:textId="77777777" w:rsidR="00A12CEA" w:rsidRDefault="00A12CEA" w:rsidP="00A12CEA">
      <w:pPr>
        <w:spacing w:line="360" w:lineRule="auto"/>
        <w:jc w:val="both"/>
        <w:rPr>
          <w:b/>
          <w:bCs/>
          <w:rtl/>
        </w:rPr>
      </w:pPr>
    </w:p>
    <w:p w14:paraId="5EE0A17E" w14:textId="77777777" w:rsidR="00A12CEA" w:rsidRDefault="00A12CEA" w:rsidP="00A12CEA">
      <w:pPr>
        <w:spacing w:line="360" w:lineRule="auto"/>
        <w:ind w:left="720"/>
        <w:jc w:val="both"/>
        <w:rPr>
          <w:b/>
          <w:bCs/>
          <w:rtl/>
        </w:rPr>
      </w:pPr>
      <w:r>
        <w:rPr>
          <w:rFonts w:hint="cs"/>
          <w:b/>
          <w:bCs/>
          <w:rtl/>
        </w:rPr>
        <w:t xml:space="preserve">הנאשם מוזהר כי מדובר בתנאי העסקה קפדניים וכל חריגה מכללי העבודה, לרבות שימוש באלכוהול/סמים במהלך העבודה, עלולה להביא להפסקה מנהלית של עבודות השירות וריצוי יתרת העונש במאסר בפועל. </w:t>
      </w:r>
    </w:p>
    <w:p w14:paraId="6AA0475F" w14:textId="77777777" w:rsidR="00A12CEA" w:rsidRDefault="00A12CEA" w:rsidP="00A12CEA">
      <w:pPr>
        <w:spacing w:line="360" w:lineRule="auto"/>
        <w:rPr>
          <w:rtl/>
        </w:rPr>
      </w:pPr>
    </w:p>
    <w:p w14:paraId="21DEF73B" w14:textId="77777777" w:rsidR="00A12CEA" w:rsidRDefault="00A12CEA" w:rsidP="00A12CEA">
      <w:pPr>
        <w:spacing w:line="360" w:lineRule="auto"/>
        <w:ind w:left="720" w:hanging="720"/>
        <w:jc w:val="both"/>
        <w:rPr>
          <w:rtl/>
        </w:rPr>
      </w:pPr>
      <w:r>
        <w:rPr>
          <w:rFonts w:hint="cs"/>
          <w:rtl/>
        </w:rPr>
        <w:t xml:space="preserve">ב. </w:t>
      </w:r>
      <w:r>
        <w:rPr>
          <w:rFonts w:hint="cs"/>
          <w:rtl/>
        </w:rPr>
        <w:tab/>
        <w:t>מאסר על תנאי לתקופה של 6 חודשים למשך 3 שנים והתנאי הוא שהנאשם לא יעבור עבירת סמים מסוג פשע.</w:t>
      </w:r>
    </w:p>
    <w:p w14:paraId="01BF659C" w14:textId="77777777" w:rsidR="00A12CEA" w:rsidRDefault="00A12CEA" w:rsidP="00A12CEA">
      <w:pPr>
        <w:spacing w:line="360" w:lineRule="auto"/>
        <w:ind w:left="720" w:hanging="720"/>
        <w:jc w:val="both"/>
      </w:pPr>
    </w:p>
    <w:p w14:paraId="26A9B69D" w14:textId="77777777" w:rsidR="00A12CEA" w:rsidRDefault="00A12CEA" w:rsidP="00A12CEA">
      <w:pPr>
        <w:spacing w:line="360" w:lineRule="auto"/>
        <w:ind w:left="720" w:hanging="720"/>
        <w:jc w:val="both"/>
        <w:rPr>
          <w:rtl/>
        </w:rPr>
      </w:pPr>
      <w:r>
        <w:rPr>
          <w:rFonts w:hint="cs"/>
          <w:rtl/>
        </w:rPr>
        <w:t>ג.</w:t>
      </w:r>
      <w:r>
        <w:rPr>
          <w:rFonts w:hint="cs"/>
          <w:rtl/>
        </w:rPr>
        <w:tab/>
        <w:t xml:space="preserve">קנס בסך של 4,000 ₪. </w:t>
      </w:r>
    </w:p>
    <w:p w14:paraId="57CF6D91" w14:textId="77777777" w:rsidR="00A12CEA" w:rsidRDefault="00A12CEA" w:rsidP="00A12CEA">
      <w:pPr>
        <w:spacing w:line="360" w:lineRule="auto"/>
        <w:ind w:left="720"/>
        <w:jc w:val="both"/>
        <w:rPr>
          <w:rtl/>
        </w:rPr>
      </w:pPr>
      <w:r>
        <w:rPr>
          <w:rFonts w:hint="cs"/>
          <w:rtl/>
        </w:rPr>
        <w:t>הקנס ישולם לחשבון המרכז לגביית קנסות, אגרות והוצאות ברשות האכיפה והגבייה, ב-8 תשלומים חודשיים רצופים ושווים, החל מיום 27.4.25, באחת הדרכים הבאות:</w:t>
      </w:r>
    </w:p>
    <w:p w14:paraId="4BAB3DEC" w14:textId="77777777" w:rsidR="00A12CEA" w:rsidRDefault="00A12CEA" w:rsidP="00A12CEA">
      <w:pPr>
        <w:spacing w:line="360" w:lineRule="auto"/>
        <w:ind w:firstLine="720"/>
        <w:jc w:val="both"/>
        <w:rPr>
          <w:rFonts w:ascii="David" w:eastAsia="David" w:hAnsi="David"/>
          <w:rtl/>
        </w:rPr>
      </w:pPr>
      <w:r>
        <w:rPr>
          <w:rFonts w:hint="cs"/>
          <w:b/>
          <w:bCs/>
          <w:rtl/>
        </w:rPr>
        <w:t>בכרטיס אשראי</w:t>
      </w:r>
      <w:r>
        <w:rPr>
          <w:rFonts w:hint="cs"/>
          <w:rtl/>
        </w:rPr>
        <w:t xml:space="preserve"> – באתר המקוון של רשות האכיפה והגבייה, </w:t>
      </w:r>
      <w:hyperlink r:id="rId32" w:history="1">
        <w:r>
          <w:rPr>
            <w:rStyle w:val="Hyperlink"/>
            <w:rFonts w:ascii="Arial" w:hAnsi="Arial" w:cs="Arial"/>
            <w:color w:val="0000FF"/>
          </w:rPr>
          <w:t>www.eca.gov.il</w:t>
        </w:r>
      </w:hyperlink>
      <w:r>
        <w:rPr>
          <w:rFonts w:ascii="Arial" w:hAnsi="Arial" w:cs="Arial"/>
        </w:rPr>
        <w:t xml:space="preserve"> </w:t>
      </w:r>
      <w:r w:rsidR="003C7BD5">
        <w:rPr>
          <w:rFonts w:hint="cs"/>
          <w:rtl/>
        </w:rPr>
        <w:t xml:space="preserve"> </w:t>
      </w:r>
    </w:p>
    <w:p w14:paraId="0373764E" w14:textId="77777777" w:rsidR="00A12CEA" w:rsidRDefault="00A12CEA" w:rsidP="00A12CEA">
      <w:pPr>
        <w:spacing w:line="360" w:lineRule="auto"/>
        <w:ind w:firstLine="720"/>
        <w:jc w:val="both"/>
        <w:rPr>
          <w:b/>
          <w:bCs/>
          <w:rtl/>
        </w:rPr>
      </w:pPr>
      <w:r>
        <w:rPr>
          <w:rFonts w:hint="cs"/>
          <w:b/>
          <w:bCs/>
          <w:rtl/>
        </w:rPr>
        <w:t>במזומן בכל סניף של בנק הדואר</w:t>
      </w:r>
      <w:r>
        <w:rPr>
          <w:rFonts w:hint="cs"/>
          <w:rtl/>
        </w:rPr>
        <w:t xml:space="preserve"> – בהצגת תעודת זהות בלבד (אין צורך בשוברי תשלום).</w:t>
      </w:r>
    </w:p>
    <w:p w14:paraId="7F8E5391" w14:textId="77777777" w:rsidR="00A12CEA" w:rsidRDefault="00A12CEA" w:rsidP="00A12CEA">
      <w:pPr>
        <w:jc w:val="both"/>
        <w:rPr>
          <w:rtl/>
        </w:rPr>
      </w:pPr>
    </w:p>
    <w:p w14:paraId="1228DB96" w14:textId="77777777" w:rsidR="00A12CEA" w:rsidRDefault="00A12CEA" w:rsidP="00A12CEA">
      <w:pPr>
        <w:spacing w:line="360" w:lineRule="auto"/>
        <w:rPr>
          <w:rtl/>
        </w:rPr>
      </w:pPr>
    </w:p>
    <w:p w14:paraId="447CD159" w14:textId="77777777" w:rsidR="00A12CEA" w:rsidRDefault="00A12CEA" w:rsidP="00A12CEA">
      <w:pPr>
        <w:spacing w:line="360" w:lineRule="auto"/>
        <w:rPr>
          <w:rtl/>
        </w:rPr>
      </w:pPr>
      <w:r>
        <w:rPr>
          <w:rFonts w:hint="cs"/>
          <w:rtl/>
        </w:rPr>
        <w:t>הציוד ששימש לביצוע העבירות - יחולט והסמים - יושמדו, הכל בחלוף המועד להגשת הערעור.</w:t>
      </w:r>
    </w:p>
    <w:p w14:paraId="03782498" w14:textId="77777777" w:rsidR="00A12CEA" w:rsidRPr="003C7BD5" w:rsidRDefault="003C7BD5" w:rsidP="00A12CEA">
      <w:pPr>
        <w:spacing w:line="360" w:lineRule="auto"/>
        <w:ind w:left="720" w:hanging="720"/>
        <w:jc w:val="both"/>
        <w:rPr>
          <w:color w:val="FFFFFF"/>
          <w:sz w:val="2"/>
          <w:szCs w:val="2"/>
        </w:rPr>
      </w:pPr>
      <w:r w:rsidRPr="003C7BD5">
        <w:rPr>
          <w:color w:val="FFFFFF"/>
          <w:sz w:val="2"/>
          <w:szCs w:val="2"/>
          <w:rtl/>
        </w:rPr>
        <w:t>5129371</w:t>
      </w:r>
      <w:r w:rsidR="00A12CEA" w:rsidRPr="003C7BD5">
        <w:rPr>
          <w:color w:val="FFFFFF"/>
          <w:sz w:val="2"/>
          <w:szCs w:val="2"/>
          <w:rtl/>
        </w:rPr>
        <w:t xml:space="preserve"> </w:t>
      </w:r>
    </w:p>
    <w:p w14:paraId="332085DB" w14:textId="77777777" w:rsidR="00A12CEA" w:rsidRDefault="003C7BD5" w:rsidP="00A12CEA">
      <w:pPr>
        <w:spacing w:line="360" w:lineRule="auto"/>
        <w:jc w:val="both"/>
        <w:rPr>
          <w:b/>
          <w:bCs/>
          <w:u w:val="single"/>
        </w:rPr>
      </w:pPr>
      <w:r w:rsidRPr="003C7BD5">
        <w:rPr>
          <w:b/>
          <w:bCs/>
          <w:color w:val="FFFFFF"/>
          <w:sz w:val="2"/>
          <w:szCs w:val="2"/>
          <w:u w:val="single"/>
          <w:rtl/>
        </w:rPr>
        <w:t>54678313</w:t>
      </w:r>
      <w:r w:rsidR="00A12CEA">
        <w:rPr>
          <w:rFonts w:hint="cs"/>
          <w:b/>
          <w:bCs/>
          <w:u w:val="single"/>
          <w:rtl/>
        </w:rPr>
        <w:t>זכות ערעור תוך 45 יום.</w:t>
      </w:r>
    </w:p>
    <w:p w14:paraId="01BBE39A" w14:textId="77777777" w:rsidR="00A12CEA" w:rsidRDefault="00A12CEA" w:rsidP="00A12CEA">
      <w:pPr>
        <w:spacing w:line="360" w:lineRule="auto"/>
        <w:jc w:val="both"/>
        <w:rPr>
          <w:b/>
          <w:bCs/>
          <w:u w:val="single"/>
          <w:rtl/>
        </w:rPr>
      </w:pPr>
    </w:p>
    <w:p w14:paraId="20173189" w14:textId="77777777" w:rsidR="00A12CEA" w:rsidRPr="000F2247" w:rsidRDefault="003C7BD5" w:rsidP="00A12CE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תשפ"ה, 24 מרץ 2025, בנוכחות הצדדים. </w:t>
      </w:r>
      <w:bookmarkEnd w:id="8"/>
      <w:r w:rsidR="00A12CEA">
        <w:rPr>
          <w:rFonts w:ascii="Arial" w:hAnsi="Arial"/>
          <w:b/>
          <w:bCs/>
          <w:sz w:val="26"/>
          <w:szCs w:val="26"/>
          <w:rtl/>
        </w:rPr>
        <w:tab/>
      </w:r>
      <w:r w:rsidR="00A12CEA">
        <w:rPr>
          <w:rFonts w:ascii="Arial" w:hAnsi="Arial"/>
          <w:b/>
          <w:bCs/>
          <w:sz w:val="26"/>
          <w:szCs w:val="26"/>
          <w:rtl/>
        </w:rPr>
        <w:tab/>
      </w:r>
      <w:r w:rsidR="00A12CEA">
        <w:rPr>
          <w:rFonts w:ascii="Arial" w:hAnsi="Arial"/>
          <w:b/>
          <w:bCs/>
          <w:sz w:val="26"/>
          <w:szCs w:val="26"/>
          <w:rtl/>
        </w:rPr>
        <w:tab/>
      </w:r>
      <w:r w:rsidR="00A12CEA">
        <w:rPr>
          <w:rFonts w:ascii="Arial" w:hAnsi="Arial"/>
          <w:b/>
          <w:bCs/>
          <w:sz w:val="26"/>
          <w:szCs w:val="26"/>
          <w:rtl/>
        </w:rPr>
        <w:tab/>
      </w:r>
      <w:r w:rsidR="00A12CEA">
        <w:rPr>
          <w:rFonts w:ascii="Arial" w:hAnsi="Arial"/>
          <w:b/>
          <w:bCs/>
          <w:sz w:val="26"/>
          <w:szCs w:val="26"/>
          <w:rtl/>
        </w:rPr>
        <w:tab/>
      </w:r>
      <w:r w:rsidR="00A12CEA">
        <w:rPr>
          <w:rFonts w:ascii="Arial" w:hAnsi="Arial"/>
          <w:b/>
          <w:bCs/>
          <w:sz w:val="26"/>
          <w:szCs w:val="26"/>
          <w:rtl/>
        </w:rPr>
        <w:tab/>
      </w:r>
      <w:r w:rsidR="00A12CEA">
        <w:rPr>
          <w:rFonts w:ascii="Arial" w:hAnsi="Arial"/>
          <w:b/>
          <w:bCs/>
          <w:sz w:val="26"/>
          <w:szCs w:val="26"/>
          <w:rtl/>
        </w:rPr>
        <w:tab/>
      </w:r>
      <w:r w:rsidR="00A12CEA">
        <w:rPr>
          <w:rFonts w:ascii="Arial" w:hAnsi="Arial" w:hint="cs"/>
          <w:b/>
          <w:bCs/>
          <w:sz w:val="26"/>
          <w:szCs w:val="26"/>
          <w:rtl/>
        </w:rPr>
        <w:t xml:space="preserve">         </w:t>
      </w:r>
    </w:p>
    <w:p w14:paraId="34D41D27" w14:textId="77777777" w:rsidR="00A12CEA" w:rsidRPr="000F2247" w:rsidRDefault="00A12CEA" w:rsidP="003C7BD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86F3D7B" w14:textId="77777777" w:rsidR="003C7BD5" w:rsidRDefault="00DB2BBD" w:rsidP="003C7BD5">
      <w:r w:rsidRPr="00DB2BBD">
        <w:rPr>
          <w:rFonts w:ascii="Arial" w:hAnsi="Arial"/>
          <w:b/>
          <w:bCs/>
          <w:color w:val="FFFFFF"/>
          <w:sz w:val="2"/>
          <w:szCs w:val="2"/>
          <w:rtl/>
        </w:rPr>
        <w:t>5129371</w:t>
      </w:r>
    </w:p>
    <w:p w14:paraId="6E966921" w14:textId="77777777" w:rsidR="003C7BD5" w:rsidRDefault="003C7BD5" w:rsidP="003C7BD5">
      <w:pPr>
        <w:rPr>
          <w:rtl/>
        </w:rPr>
      </w:pPr>
    </w:p>
    <w:p w14:paraId="1B4C01D7" w14:textId="77777777" w:rsidR="003C7BD5" w:rsidRDefault="003C7BD5" w:rsidP="003C7BD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4DEF497B" w14:textId="77777777" w:rsidR="00DB2BBD" w:rsidRPr="00DB2BBD" w:rsidRDefault="00DB2BBD" w:rsidP="00DB2BBD">
      <w:pPr>
        <w:keepNext/>
        <w:rPr>
          <w:rFonts w:ascii="David" w:hAnsi="David"/>
          <w:color w:val="000000"/>
          <w:sz w:val="22"/>
          <w:szCs w:val="22"/>
          <w:rtl/>
        </w:rPr>
      </w:pPr>
    </w:p>
    <w:p w14:paraId="6FE2CC3F" w14:textId="77777777" w:rsidR="00DB2BBD" w:rsidRPr="00DB2BBD" w:rsidRDefault="00DB2BBD" w:rsidP="00DB2BBD">
      <w:pPr>
        <w:keepNext/>
        <w:rPr>
          <w:rFonts w:ascii="David" w:hAnsi="David"/>
          <w:color w:val="000000"/>
          <w:sz w:val="22"/>
          <w:szCs w:val="22"/>
          <w:rtl/>
        </w:rPr>
      </w:pPr>
      <w:r w:rsidRPr="00DB2BBD">
        <w:rPr>
          <w:rFonts w:ascii="David" w:hAnsi="David"/>
          <w:color w:val="000000"/>
          <w:sz w:val="22"/>
          <w:szCs w:val="22"/>
          <w:rtl/>
        </w:rPr>
        <w:t>טל תדמור זמיר 54678313-/</w:t>
      </w:r>
    </w:p>
    <w:p w14:paraId="6AC2818C" w14:textId="77777777" w:rsidR="003C7BD5" w:rsidRPr="003C7BD5" w:rsidRDefault="00DB2BBD" w:rsidP="00DB2BBD">
      <w:pPr>
        <w:rPr>
          <w:color w:val="0000FF"/>
          <w:u w:val="single"/>
        </w:rPr>
      </w:pPr>
      <w:r w:rsidRPr="00DB2BBD">
        <w:rPr>
          <w:color w:val="000000"/>
          <w:u w:val="single"/>
          <w:rtl/>
        </w:rPr>
        <w:t>נוסח מסמך זה כפוף לשינויי ניסוח ועריכה</w:t>
      </w:r>
    </w:p>
    <w:sectPr w:rsidR="003C7BD5" w:rsidRPr="003C7BD5" w:rsidSect="00DB2BB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32AB1" w14:textId="77777777" w:rsidR="00294C67" w:rsidRDefault="00294C67" w:rsidP="00495CCB">
      <w:r>
        <w:separator/>
      </w:r>
    </w:p>
  </w:endnote>
  <w:endnote w:type="continuationSeparator" w:id="0">
    <w:p w14:paraId="20E3C1D7" w14:textId="77777777" w:rsidR="00294C67" w:rsidRDefault="00294C67" w:rsidP="0049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F0FB8" w14:textId="77777777" w:rsidR="00DB2BBD" w:rsidRDefault="00DB2BBD" w:rsidP="00DB2B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17B0993" w14:textId="77777777" w:rsidR="00161084" w:rsidRPr="00DB2BBD" w:rsidRDefault="00DB2BBD" w:rsidP="00DB2BBD">
    <w:pPr>
      <w:pStyle w:val="a5"/>
      <w:pBdr>
        <w:top w:val="single" w:sz="4" w:space="1" w:color="auto"/>
        <w:between w:val="single" w:sz="4" w:space="0" w:color="auto"/>
      </w:pBdr>
      <w:spacing w:after="60"/>
      <w:jc w:val="center"/>
      <w:rPr>
        <w:rFonts w:ascii="FrankRuehl" w:hAnsi="FrankRuehl" w:cs="FrankRuehl"/>
        <w:color w:val="000000"/>
      </w:rPr>
    </w:pPr>
    <w:r w:rsidRPr="00DB2B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F153" w14:textId="77777777" w:rsidR="00DB2BBD" w:rsidRDefault="00DB2BBD" w:rsidP="00DB2B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6920">
      <w:rPr>
        <w:rFonts w:ascii="FrankRuehl" w:hAnsi="FrankRuehl" w:cs="FrankRuehl"/>
        <w:noProof/>
        <w:rtl/>
      </w:rPr>
      <w:t>1</w:t>
    </w:r>
    <w:r>
      <w:rPr>
        <w:rFonts w:ascii="FrankRuehl" w:hAnsi="FrankRuehl" w:cs="FrankRuehl"/>
        <w:rtl/>
      </w:rPr>
      <w:fldChar w:fldCharType="end"/>
    </w:r>
  </w:p>
  <w:p w14:paraId="1DEBD9B1" w14:textId="77777777" w:rsidR="00161084" w:rsidRPr="00DB2BBD" w:rsidRDefault="00DB2BBD" w:rsidP="00DB2BBD">
    <w:pPr>
      <w:pStyle w:val="a5"/>
      <w:pBdr>
        <w:top w:val="single" w:sz="4" w:space="1" w:color="auto"/>
        <w:between w:val="single" w:sz="4" w:space="0" w:color="auto"/>
      </w:pBdr>
      <w:spacing w:after="60"/>
      <w:jc w:val="center"/>
      <w:rPr>
        <w:rFonts w:ascii="FrankRuehl" w:hAnsi="FrankRuehl" w:cs="FrankRuehl"/>
        <w:color w:val="000000"/>
      </w:rPr>
    </w:pPr>
    <w:r w:rsidRPr="00DB2BBD">
      <w:rPr>
        <w:rFonts w:ascii="FrankRuehl" w:hAnsi="FrankRuehl" w:cs="FrankRuehl"/>
        <w:color w:val="000000"/>
      </w:rPr>
      <w:pict w14:anchorId="3DD42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F7BA4" w14:textId="77777777" w:rsidR="00294C67" w:rsidRDefault="00294C67" w:rsidP="00495CCB">
      <w:r>
        <w:separator/>
      </w:r>
    </w:p>
  </w:footnote>
  <w:footnote w:type="continuationSeparator" w:id="0">
    <w:p w14:paraId="6CD880DA" w14:textId="77777777" w:rsidR="00294C67" w:rsidRDefault="00294C67" w:rsidP="0049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D172C" w14:textId="77777777" w:rsidR="003C7BD5" w:rsidRPr="00DB2BBD" w:rsidRDefault="00DB2BBD" w:rsidP="00DB2B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26298-07-23</w:t>
    </w:r>
    <w:r>
      <w:rPr>
        <w:rFonts w:ascii="David" w:hAnsi="David"/>
        <w:color w:val="000000"/>
        <w:sz w:val="22"/>
        <w:szCs w:val="22"/>
        <w:rtl/>
      </w:rPr>
      <w:tab/>
      <w:t xml:space="preserve"> מדינת ישראל נ' עדן אראלי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BA1FE" w14:textId="77777777" w:rsidR="003C7BD5" w:rsidRPr="00DB2BBD" w:rsidRDefault="00DB2BBD" w:rsidP="00DB2B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26298-07-23</w:t>
    </w:r>
    <w:r>
      <w:rPr>
        <w:rFonts w:ascii="David" w:hAnsi="David"/>
        <w:color w:val="000000"/>
        <w:sz w:val="22"/>
        <w:szCs w:val="22"/>
        <w:rtl/>
      </w:rPr>
      <w:tab/>
      <w:t xml:space="preserve"> מדינת ישראל נ' עדן אראלי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CEA"/>
    <w:rsid w:val="00161084"/>
    <w:rsid w:val="001B5A3B"/>
    <w:rsid w:val="00294C67"/>
    <w:rsid w:val="00336920"/>
    <w:rsid w:val="003C7BD5"/>
    <w:rsid w:val="00495CCB"/>
    <w:rsid w:val="00A12CEA"/>
    <w:rsid w:val="00C46DD6"/>
    <w:rsid w:val="00DB2BBD"/>
    <w:rsid w:val="00F81C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E058AC"/>
  <w15:chartTrackingRefBased/>
  <w15:docId w15:val="{5B1AD4FC-5D04-4C67-A018-7BE1C091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C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2CEA"/>
    <w:pPr>
      <w:tabs>
        <w:tab w:val="center" w:pos="4153"/>
        <w:tab w:val="right" w:pos="8306"/>
      </w:tabs>
    </w:pPr>
  </w:style>
  <w:style w:type="character" w:customStyle="1" w:styleId="a4">
    <w:name w:val="כותרת עליונה תו"/>
    <w:link w:val="a3"/>
    <w:rsid w:val="00A12CEA"/>
    <w:rPr>
      <w:rFonts w:ascii="Times New Roman" w:eastAsia="Times New Roman" w:hAnsi="Times New Roman" w:cs="David"/>
      <w:sz w:val="24"/>
      <w:szCs w:val="24"/>
    </w:rPr>
  </w:style>
  <w:style w:type="paragraph" w:styleId="a5">
    <w:name w:val="footer"/>
    <w:basedOn w:val="a"/>
    <w:link w:val="a6"/>
    <w:rsid w:val="00A12CEA"/>
    <w:pPr>
      <w:tabs>
        <w:tab w:val="center" w:pos="4153"/>
        <w:tab w:val="right" w:pos="8306"/>
      </w:tabs>
    </w:pPr>
  </w:style>
  <w:style w:type="character" w:customStyle="1" w:styleId="a6">
    <w:name w:val="כותרת תחתונה תו"/>
    <w:link w:val="a5"/>
    <w:rsid w:val="00A12CEA"/>
    <w:rPr>
      <w:rFonts w:ascii="Times New Roman" w:eastAsia="Times New Roman" w:hAnsi="Times New Roman" w:cs="David"/>
      <w:sz w:val="24"/>
      <w:szCs w:val="24"/>
    </w:rPr>
  </w:style>
  <w:style w:type="table" w:styleId="a7">
    <w:name w:val="Table Grid"/>
    <w:basedOn w:val="a1"/>
    <w:rsid w:val="00A12C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2CEA"/>
  </w:style>
  <w:style w:type="character" w:styleId="Hyperlink">
    <w:name w:val="Hyperlink"/>
    <w:rsid w:val="00A12CE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437031" TargetMode="External"/><Relationship Id="rId18" Type="http://schemas.openxmlformats.org/officeDocument/2006/relationships/hyperlink" Target="http://www.nevo.co.il/case/27615803" TargetMode="External"/><Relationship Id="rId26" Type="http://schemas.openxmlformats.org/officeDocument/2006/relationships/hyperlink" Target="http://www.nevo.co.il/case/27627557" TargetMode="External"/><Relationship Id="rId39" Type="http://schemas.openxmlformats.org/officeDocument/2006/relationships/theme" Target="theme/theme1.xml"/><Relationship Id="rId21" Type="http://schemas.openxmlformats.org/officeDocument/2006/relationships/hyperlink" Target="http://www.nevo.co.il/case/27502816"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7210766" TargetMode="External"/><Relationship Id="rId17" Type="http://schemas.openxmlformats.org/officeDocument/2006/relationships/hyperlink" Target="http://www.nevo.co.il/case/26797877" TargetMode="External"/><Relationship Id="rId25" Type="http://schemas.openxmlformats.org/officeDocument/2006/relationships/hyperlink" Target="http://www.nevo.co.il/case/2882321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2841413" TargetMode="External"/><Relationship Id="rId20" Type="http://schemas.openxmlformats.org/officeDocument/2006/relationships/hyperlink" Target="http://www.nevo.co.il/case/27313460" TargetMode="External"/><Relationship Id="rId29" Type="http://schemas.openxmlformats.org/officeDocument/2006/relationships/hyperlink" Target="http://www.nevo.co.il/case/2252650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787902" TargetMode="External"/><Relationship Id="rId24" Type="http://schemas.openxmlformats.org/officeDocument/2006/relationships/hyperlink" Target="http://www.nevo.co.il/case/26236272"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3827604" TargetMode="External"/><Relationship Id="rId23" Type="http://schemas.openxmlformats.org/officeDocument/2006/relationships/hyperlink" Target="http://www.nevo.co.il/case/28460742" TargetMode="External"/><Relationship Id="rId28" Type="http://schemas.openxmlformats.org/officeDocument/2006/relationships/hyperlink" Target="http://www.nevo.co.il/case/26520727" TargetMode="External"/><Relationship Id="rId36" Type="http://schemas.openxmlformats.org/officeDocument/2006/relationships/footer" Target="footer1.xml"/><Relationship Id="rId10" Type="http://schemas.openxmlformats.org/officeDocument/2006/relationships/hyperlink" Target="http://www.nevo.co.il/case/10459115" TargetMode="External"/><Relationship Id="rId19" Type="http://schemas.openxmlformats.org/officeDocument/2006/relationships/hyperlink" Target="http://www.nevo.co.il/case/28550106"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case/5698919" TargetMode="External"/><Relationship Id="rId14" Type="http://schemas.openxmlformats.org/officeDocument/2006/relationships/hyperlink" Target="http://www.nevo.co.il/case/26797877" TargetMode="External"/><Relationship Id="rId22" Type="http://schemas.openxmlformats.org/officeDocument/2006/relationships/hyperlink" Target="http://www.nevo.co.il/case/22864707" TargetMode="External"/><Relationship Id="rId27" Type="http://schemas.openxmlformats.org/officeDocument/2006/relationships/hyperlink" Target="http://www.nevo.co.il/case/28344142" TargetMode="External"/><Relationship Id="rId30" Type="http://schemas.openxmlformats.org/officeDocument/2006/relationships/hyperlink" Target="http://www.nevo.co.il/case/23155671"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2237</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13396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3211380</vt:i4>
      </vt:variant>
      <vt:variant>
        <vt:i4>72</vt:i4>
      </vt:variant>
      <vt:variant>
        <vt:i4>0</vt:i4>
      </vt:variant>
      <vt:variant>
        <vt:i4>5</vt:i4>
      </vt:variant>
      <vt:variant>
        <vt:lpwstr>http://www.nevo.co.il/case/23155671</vt:lpwstr>
      </vt:variant>
      <vt:variant>
        <vt:lpwstr/>
      </vt:variant>
      <vt:variant>
        <vt:i4>3211377</vt:i4>
      </vt:variant>
      <vt:variant>
        <vt:i4>69</vt:i4>
      </vt:variant>
      <vt:variant>
        <vt:i4>0</vt:i4>
      </vt:variant>
      <vt:variant>
        <vt:i4>5</vt:i4>
      </vt:variant>
      <vt:variant>
        <vt:lpwstr>http://www.nevo.co.il/case/22526505</vt:lpwstr>
      </vt:variant>
      <vt:variant>
        <vt:lpwstr/>
      </vt:variant>
      <vt:variant>
        <vt:i4>3473527</vt:i4>
      </vt:variant>
      <vt:variant>
        <vt:i4>66</vt:i4>
      </vt:variant>
      <vt:variant>
        <vt:i4>0</vt:i4>
      </vt:variant>
      <vt:variant>
        <vt:i4>5</vt:i4>
      </vt:variant>
      <vt:variant>
        <vt:lpwstr>http://www.nevo.co.il/case/26520727</vt:lpwstr>
      </vt:variant>
      <vt:variant>
        <vt:lpwstr/>
      </vt:variant>
      <vt:variant>
        <vt:i4>3211385</vt:i4>
      </vt:variant>
      <vt:variant>
        <vt:i4>63</vt:i4>
      </vt:variant>
      <vt:variant>
        <vt:i4>0</vt:i4>
      </vt:variant>
      <vt:variant>
        <vt:i4>5</vt:i4>
      </vt:variant>
      <vt:variant>
        <vt:lpwstr>http://www.nevo.co.il/case/28344142</vt:lpwstr>
      </vt:variant>
      <vt:variant>
        <vt:lpwstr/>
      </vt:variant>
      <vt:variant>
        <vt:i4>3539060</vt:i4>
      </vt:variant>
      <vt:variant>
        <vt:i4>60</vt:i4>
      </vt:variant>
      <vt:variant>
        <vt:i4>0</vt:i4>
      </vt:variant>
      <vt:variant>
        <vt:i4>5</vt:i4>
      </vt:variant>
      <vt:variant>
        <vt:lpwstr>http://www.nevo.co.il/case/27627557</vt:lpwstr>
      </vt:variant>
      <vt:variant>
        <vt:lpwstr/>
      </vt:variant>
      <vt:variant>
        <vt:i4>3670140</vt:i4>
      </vt:variant>
      <vt:variant>
        <vt:i4>57</vt:i4>
      </vt:variant>
      <vt:variant>
        <vt:i4>0</vt:i4>
      </vt:variant>
      <vt:variant>
        <vt:i4>5</vt:i4>
      </vt:variant>
      <vt:variant>
        <vt:lpwstr>http://www.nevo.co.il/case/28823217</vt:lpwstr>
      </vt:variant>
      <vt:variant>
        <vt:lpwstr/>
      </vt:variant>
      <vt:variant>
        <vt:i4>3211379</vt:i4>
      </vt:variant>
      <vt:variant>
        <vt:i4>54</vt:i4>
      </vt:variant>
      <vt:variant>
        <vt:i4>0</vt:i4>
      </vt:variant>
      <vt:variant>
        <vt:i4>5</vt:i4>
      </vt:variant>
      <vt:variant>
        <vt:lpwstr>http://www.nevo.co.il/case/26236272</vt:lpwstr>
      </vt:variant>
      <vt:variant>
        <vt:lpwstr/>
      </vt:variant>
      <vt:variant>
        <vt:i4>3276925</vt:i4>
      </vt:variant>
      <vt:variant>
        <vt:i4>51</vt:i4>
      </vt:variant>
      <vt:variant>
        <vt:i4>0</vt:i4>
      </vt:variant>
      <vt:variant>
        <vt:i4>5</vt:i4>
      </vt:variant>
      <vt:variant>
        <vt:lpwstr>http://www.nevo.co.il/case/28460742</vt:lpwstr>
      </vt:variant>
      <vt:variant>
        <vt:lpwstr/>
      </vt:variant>
      <vt:variant>
        <vt:i4>4063351</vt:i4>
      </vt:variant>
      <vt:variant>
        <vt:i4>48</vt:i4>
      </vt:variant>
      <vt:variant>
        <vt:i4>0</vt:i4>
      </vt:variant>
      <vt:variant>
        <vt:i4>5</vt:i4>
      </vt:variant>
      <vt:variant>
        <vt:lpwstr>http://www.nevo.co.il/case/22864707</vt:lpwstr>
      </vt:variant>
      <vt:variant>
        <vt:lpwstr/>
      </vt:variant>
      <vt:variant>
        <vt:i4>3407995</vt:i4>
      </vt:variant>
      <vt:variant>
        <vt:i4>45</vt:i4>
      </vt:variant>
      <vt:variant>
        <vt:i4>0</vt:i4>
      </vt:variant>
      <vt:variant>
        <vt:i4>5</vt:i4>
      </vt:variant>
      <vt:variant>
        <vt:lpwstr>http://www.nevo.co.il/case/27502816</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3604600</vt:i4>
      </vt:variant>
      <vt:variant>
        <vt:i4>39</vt:i4>
      </vt:variant>
      <vt:variant>
        <vt:i4>0</vt:i4>
      </vt:variant>
      <vt:variant>
        <vt:i4>5</vt:i4>
      </vt:variant>
      <vt:variant>
        <vt:lpwstr>http://www.nevo.co.il/case/28550106</vt:lpwstr>
      </vt:variant>
      <vt:variant>
        <vt:lpwstr/>
      </vt:variant>
      <vt:variant>
        <vt:i4>3211386</vt:i4>
      </vt:variant>
      <vt:variant>
        <vt:i4>36</vt:i4>
      </vt:variant>
      <vt:variant>
        <vt:i4>0</vt:i4>
      </vt:variant>
      <vt:variant>
        <vt:i4>5</vt:i4>
      </vt:variant>
      <vt:variant>
        <vt:lpwstr>http://www.nevo.co.il/case/27615803</vt:lpwstr>
      </vt:variant>
      <vt:variant>
        <vt:lpwstr/>
      </vt:variant>
      <vt:variant>
        <vt:i4>3473523</vt:i4>
      </vt:variant>
      <vt:variant>
        <vt:i4>33</vt:i4>
      </vt:variant>
      <vt:variant>
        <vt:i4>0</vt:i4>
      </vt:variant>
      <vt:variant>
        <vt:i4>5</vt:i4>
      </vt:variant>
      <vt:variant>
        <vt:lpwstr>http://www.nevo.co.il/case/26797877</vt:lpwstr>
      </vt:variant>
      <vt:variant>
        <vt:lpwstr/>
      </vt:variant>
      <vt:variant>
        <vt:i4>3801206</vt:i4>
      </vt:variant>
      <vt:variant>
        <vt:i4>30</vt:i4>
      </vt:variant>
      <vt:variant>
        <vt:i4>0</vt:i4>
      </vt:variant>
      <vt:variant>
        <vt:i4>5</vt:i4>
      </vt:variant>
      <vt:variant>
        <vt:lpwstr>http://www.nevo.co.il/case/22841413</vt:lpwstr>
      </vt:variant>
      <vt:variant>
        <vt:lpwstr/>
      </vt:variant>
      <vt:variant>
        <vt:i4>3997811</vt:i4>
      </vt:variant>
      <vt:variant>
        <vt:i4>27</vt:i4>
      </vt:variant>
      <vt:variant>
        <vt:i4>0</vt:i4>
      </vt:variant>
      <vt:variant>
        <vt:i4>5</vt:i4>
      </vt:variant>
      <vt:variant>
        <vt:lpwstr>http://www.nevo.co.il/case/23827604</vt:lpwstr>
      </vt:variant>
      <vt:variant>
        <vt:lpwstr/>
      </vt:variant>
      <vt:variant>
        <vt:i4>3473523</vt:i4>
      </vt:variant>
      <vt:variant>
        <vt:i4>24</vt:i4>
      </vt:variant>
      <vt:variant>
        <vt:i4>0</vt:i4>
      </vt:variant>
      <vt:variant>
        <vt:i4>5</vt:i4>
      </vt:variant>
      <vt:variant>
        <vt:lpwstr>http://www.nevo.co.il/case/26797877</vt:lpwstr>
      </vt:variant>
      <vt:variant>
        <vt:lpwstr/>
      </vt:variant>
      <vt:variant>
        <vt:i4>3276927</vt:i4>
      </vt:variant>
      <vt:variant>
        <vt:i4>21</vt:i4>
      </vt:variant>
      <vt:variant>
        <vt:i4>0</vt:i4>
      </vt:variant>
      <vt:variant>
        <vt:i4>5</vt:i4>
      </vt:variant>
      <vt:variant>
        <vt:lpwstr>http://www.nevo.co.il/case/28437031</vt:lpwstr>
      </vt:variant>
      <vt:variant>
        <vt:lpwstr/>
      </vt:variant>
      <vt:variant>
        <vt:i4>3539061</vt:i4>
      </vt:variant>
      <vt:variant>
        <vt:i4>18</vt:i4>
      </vt:variant>
      <vt:variant>
        <vt:i4>0</vt:i4>
      </vt:variant>
      <vt:variant>
        <vt:i4>5</vt:i4>
      </vt:variant>
      <vt:variant>
        <vt:lpwstr>http://www.nevo.co.il/case/27210766</vt:lpwstr>
      </vt:variant>
      <vt:variant>
        <vt:lpwstr/>
      </vt:variant>
      <vt:variant>
        <vt:i4>3276917</vt:i4>
      </vt:variant>
      <vt:variant>
        <vt:i4>15</vt:i4>
      </vt:variant>
      <vt:variant>
        <vt:i4>0</vt:i4>
      </vt:variant>
      <vt:variant>
        <vt:i4>5</vt:i4>
      </vt:variant>
      <vt:variant>
        <vt:lpwstr>http://www.nevo.co.il/case/20787902</vt:lpwstr>
      </vt:variant>
      <vt:variant>
        <vt:lpwstr/>
      </vt:variant>
      <vt:variant>
        <vt:i4>3997808</vt:i4>
      </vt:variant>
      <vt:variant>
        <vt:i4>12</vt:i4>
      </vt:variant>
      <vt:variant>
        <vt:i4>0</vt:i4>
      </vt:variant>
      <vt:variant>
        <vt:i4>5</vt:i4>
      </vt:variant>
      <vt:variant>
        <vt:lpwstr>http://www.nevo.co.il/case/10459115</vt:lpwstr>
      </vt:variant>
      <vt:variant>
        <vt:lpwstr/>
      </vt:variant>
      <vt:variant>
        <vt:i4>3932283</vt:i4>
      </vt:variant>
      <vt:variant>
        <vt:i4>9</vt:i4>
      </vt:variant>
      <vt:variant>
        <vt:i4>0</vt:i4>
      </vt:variant>
      <vt:variant>
        <vt:i4>5</vt:i4>
      </vt:variant>
      <vt:variant>
        <vt:lpwstr>http://www.nevo.co.il/case/5698919</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2025-04-23T01:48:00Z</dcterms:created>
  <dcterms:modified xsi:type="dcterms:W3CDTF">2025-04-23T01:48:00Z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26298</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עדן אראלי</vt:lpwstr>
  </property>
  <property fmtid="{D5CDD505-2E9C-101B-9397-08002B2CF9AE}" pid="10" name="LAWYER">
    <vt:lpwstr>דן אסלנוב</vt:lpwstr>
  </property>
  <property fmtid="{D5CDD505-2E9C-101B-9397-08002B2CF9AE}" pid="11" name="JUDGE">
    <vt:lpwstr>טל תדמור זמיר</vt:lpwstr>
  </property>
  <property fmtid="{D5CDD505-2E9C-101B-9397-08002B2CF9AE}" pid="12" name="CITY">
    <vt:lpwstr>חי'</vt:lpwstr>
  </property>
  <property fmtid="{D5CDD505-2E9C-101B-9397-08002B2CF9AE}" pid="13" name="DATE">
    <vt:lpwstr>20250324</vt:lpwstr>
  </property>
  <property fmtid="{D5CDD505-2E9C-101B-9397-08002B2CF9AE}" pid="14" name="TYPE_N_DATE">
    <vt:lpwstr>38020250324</vt:lpwstr>
  </property>
  <property fmtid="{D5CDD505-2E9C-101B-9397-08002B2CF9AE}" pid="15" name="CASESLISTTMP1">
    <vt:lpwstr>5698919;10459115;20787902;27210766;28437031;26797877:2;23827604;22841413;27615803;28550106;27313460;27502816;22864707;28460742;26236272;28823217;27627557;28344142;26520727;22526505;23155671</vt:lpwstr>
  </property>
  <property fmtid="{D5CDD505-2E9C-101B-9397-08002B2CF9AE}" pid="16" name="WORDNUMPAGES">
    <vt:lpwstr>7</vt:lpwstr>
  </property>
  <property fmtid="{D5CDD505-2E9C-101B-9397-08002B2CF9AE}" pid="17" name="TYPE_ABS_DATE">
    <vt:lpwstr>380020250324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y fmtid="{D5CDD505-2E9C-101B-9397-08002B2CF9AE}" pid="36" name="LAWLISTTMP2">
    <vt:lpwstr>70301</vt:lpwstr>
  </property>
  <property fmtid="{D5CDD505-2E9C-101B-9397-08002B2CF9AE}" pid="37" name="ISABSTRACT">
    <vt:lpwstr>Y</vt:lpwstr>
  </property>
</Properties>
</file>