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E24D6" w:rsidRPr="001B6A44" w14:paraId="0B2D892F" w14:textId="77777777" w:rsidTr="001D0B74">
        <w:trPr>
          <w:trHeight w:hRule="exact" w:val="418"/>
          <w:jc w:val="center"/>
        </w:trPr>
        <w:tc>
          <w:tcPr>
            <w:tcW w:w="8721" w:type="dxa"/>
            <w:gridSpan w:val="2"/>
          </w:tcPr>
          <w:p w14:paraId="6F11711E" w14:textId="77777777" w:rsidR="000E24D6" w:rsidRPr="001B6A44" w:rsidRDefault="000E24D6" w:rsidP="00AC3BB7">
            <w:pPr>
              <w:pStyle w:val="a3"/>
              <w:jc w:val="center"/>
              <w:rPr>
                <w:rFonts w:ascii="Tahoma" w:hAnsi="Tahoma" w:cs="Tahoma"/>
                <w:color w:val="000080"/>
                <w:rtl/>
              </w:rPr>
            </w:pPr>
            <w:bookmarkStart w:id="0" w:name="LastJudge"/>
            <w:r w:rsidRPr="001B6A44">
              <w:rPr>
                <w:rFonts w:ascii="Tahoma" w:hAnsi="Tahoma" w:cs="Tahoma"/>
                <w:b/>
                <w:bCs/>
                <w:color w:val="000080"/>
                <w:rtl/>
              </w:rPr>
              <w:t>בית משפט השלום בבאר שבע</w:t>
            </w:r>
          </w:p>
        </w:tc>
      </w:tr>
      <w:tr w:rsidR="000E24D6" w:rsidRPr="001B6A44" w14:paraId="11A7165A" w14:textId="77777777" w:rsidTr="001D0B74">
        <w:trPr>
          <w:trHeight w:val="337"/>
          <w:jc w:val="center"/>
        </w:trPr>
        <w:tc>
          <w:tcPr>
            <w:tcW w:w="5057" w:type="dxa"/>
          </w:tcPr>
          <w:p w14:paraId="6CF47829" w14:textId="77777777" w:rsidR="000E24D6" w:rsidRPr="001B6A44" w:rsidRDefault="000E24D6" w:rsidP="00AC3BB7">
            <w:pPr>
              <w:rPr>
                <w:rFonts w:ascii="David" w:hAnsi="David"/>
                <w:b/>
                <w:bCs/>
                <w:rtl/>
              </w:rPr>
            </w:pPr>
            <w:r w:rsidRPr="001B6A44">
              <w:rPr>
                <w:rFonts w:ascii="David" w:hAnsi="David"/>
                <w:b/>
                <w:bCs/>
                <w:rtl/>
              </w:rPr>
              <w:t>ת"פ 27417-07-23 מדינת ישראל נ' ביטון(עציר)</w:t>
            </w:r>
          </w:p>
          <w:p w14:paraId="79B29D8D" w14:textId="77777777" w:rsidR="000E24D6" w:rsidRPr="001B6A44" w:rsidRDefault="000E24D6" w:rsidP="00AC3BB7">
            <w:pPr>
              <w:pStyle w:val="a3"/>
              <w:rPr>
                <w:rFonts w:cs="FrankRuehl"/>
                <w:sz w:val="28"/>
                <w:szCs w:val="28"/>
                <w:rtl/>
              </w:rPr>
            </w:pPr>
            <w:r w:rsidRPr="001B6A44">
              <w:rPr>
                <w:rFonts w:ascii="David" w:hAnsi="David"/>
                <w:b/>
                <w:bCs/>
                <w:rtl/>
              </w:rPr>
              <w:t>ת"פ 924-03-23 מדינת ישראל נ' ביטון (מצורף)</w:t>
            </w:r>
          </w:p>
        </w:tc>
        <w:tc>
          <w:tcPr>
            <w:tcW w:w="3664" w:type="dxa"/>
          </w:tcPr>
          <w:p w14:paraId="54531059" w14:textId="77777777" w:rsidR="000E24D6" w:rsidRPr="001B6A44" w:rsidRDefault="000E24D6" w:rsidP="00AC3BB7">
            <w:pPr>
              <w:pStyle w:val="a3"/>
              <w:jc w:val="right"/>
              <w:rPr>
                <w:rFonts w:cs="FrankRuehl"/>
                <w:sz w:val="28"/>
                <w:szCs w:val="28"/>
                <w:rtl/>
              </w:rPr>
            </w:pPr>
          </w:p>
        </w:tc>
      </w:tr>
    </w:tbl>
    <w:p w14:paraId="52114360" w14:textId="77777777" w:rsidR="000E24D6" w:rsidRPr="001B6A44" w:rsidRDefault="000E24D6" w:rsidP="000E24D6">
      <w:pPr>
        <w:pStyle w:val="a3"/>
        <w:rPr>
          <w:rtl/>
        </w:rPr>
      </w:pPr>
      <w:r w:rsidRPr="001B6A4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2490"/>
        <w:gridCol w:w="5725"/>
      </w:tblGrid>
      <w:tr w:rsidR="000E24D6" w:rsidRPr="001B6A44" w14:paraId="0C1FFA44" w14:textId="77777777" w:rsidTr="000E24D6">
        <w:trPr>
          <w:trHeight w:val="295"/>
          <w:jc w:val="center"/>
        </w:trPr>
        <w:tc>
          <w:tcPr>
            <w:tcW w:w="605" w:type="dxa"/>
            <w:tcBorders>
              <w:top w:val="nil"/>
              <w:left w:val="nil"/>
              <w:bottom w:val="nil"/>
              <w:right w:val="nil"/>
            </w:tcBorders>
            <w:shd w:val="clear" w:color="auto" w:fill="auto"/>
          </w:tcPr>
          <w:p w14:paraId="7B529B0E" w14:textId="77777777" w:rsidR="000E24D6" w:rsidRPr="001B6A44" w:rsidRDefault="000E24D6" w:rsidP="000E24D6">
            <w:pPr>
              <w:jc w:val="both"/>
              <w:rPr>
                <w:rFonts w:ascii="David" w:hAnsi="David"/>
                <w:b/>
                <w:bCs/>
                <w:sz w:val="26"/>
                <w:szCs w:val="26"/>
              </w:rPr>
            </w:pPr>
          </w:p>
        </w:tc>
        <w:tc>
          <w:tcPr>
            <w:tcW w:w="8215" w:type="dxa"/>
            <w:gridSpan w:val="2"/>
            <w:tcBorders>
              <w:top w:val="nil"/>
              <w:left w:val="nil"/>
              <w:bottom w:val="nil"/>
              <w:right w:val="nil"/>
            </w:tcBorders>
            <w:shd w:val="clear" w:color="auto" w:fill="auto"/>
          </w:tcPr>
          <w:p w14:paraId="2B13587B" w14:textId="77777777" w:rsidR="000E24D6" w:rsidRPr="001B6A44" w:rsidRDefault="000E24D6" w:rsidP="00AC3BB7">
            <w:pPr>
              <w:rPr>
                <w:rFonts w:ascii="David" w:hAnsi="David"/>
                <w:b/>
                <w:bCs/>
                <w:sz w:val="26"/>
                <w:szCs w:val="26"/>
                <w:rtl/>
              </w:rPr>
            </w:pPr>
            <w:r w:rsidRPr="001B6A44">
              <w:rPr>
                <w:rFonts w:ascii="David" w:hAnsi="David"/>
                <w:b/>
                <w:bCs/>
                <w:sz w:val="26"/>
                <w:szCs w:val="26"/>
                <w:rtl/>
              </w:rPr>
              <w:t xml:space="preserve">כבוד השופטת </w:t>
            </w:r>
            <w:r w:rsidRPr="001B6A44">
              <w:rPr>
                <w:rFonts w:ascii="David" w:hAnsi="David" w:hint="cs"/>
                <w:b/>
                <w:bCs/>
                <w:sz w:val="26"/>
                <w:szCs w:val="26"/>
                <w:rtl/>
              </w:rPr>
              <w:t>ש</w:t>
            </w:r>
            <w:r w:rsidRPr="001B6A44">
              <w:rPr>
                <w:rFonts w:ascii="David" w:hAnsi="David"/>
                <w:b/>
                <w:bCs/>
                <w:sz w:val="26"/>
                <w:szCs w:val="26"/>
                <w:rtl/>
              </w:rPr>
              <w:t>וש שטרית</w:t>
            </w:r>
          </w:p>
          <w:p w14:paraId="20362BD8" w14:textId="77777777" w:rsidR="000E24D6" w:rsidRPr="001B6A44" w:rsidRDefault="000E24D6" w:rsidP="00AC3BB7">
            <w:pPr>
              <w:rPr>
                <w:rFonts w:ascii="David" w:hAnsi="David"/>
                <w:sz w:val="26"/>
                <w:szCs w:val="26"/>
                <w:rtl/>
              </w:rPr>
            </w:pPr>
          </w:p>
          <w:p w14:paraId="593CCA0B" w14:textId="77777777" w:rsidR="000E24D6" w:rsidRPr="001B6A44" w:rsidRDefault="000E24D6" w:rsidP="000E24D6">
            <w:pPr>
              <w:jc w:val="both"/>
              <w:rPr>
                <w:rFonts w:ascii="David" w:hAnsi="David"/>
                <w:sz w:val="26"/>
                <w:szCs w:val="26"/>
              </w:rPr>
            </w:pPr>
          </w:p>
        </w:tc>
      </w:tr>
      <w:tr w:rsidR="000E24D6" w:rsidRPr="001B6A44" w14:paraId="37957C48" w14:textId="77777777" w:rsidTr="000E24D6">
        <w:trPr>
          <w:trHeight w:val="355"/>
          <w:jc w:val="center"/>
        </w:trPr>
        <w:tc>
          <w:tcPr>
            <w:tcW w:w="605" w:type="dxa"/>
            <w:tcBorders>
              <w:top w:val="nil"/>
              <w:left w:val="nil"/>
              <w:bottom w:val="nil"/>
              <w:right w:val="nil"/>
            </w:tcBorders>
            <w:shd w:val="clear" w:color="auto" w:fill="auto"/>
          </w:tcPr>
          <w:p w14:paraId="41D0B641" w14:textId="77777777" w:rsidR="000E24D6" w:rsidRPr="001B6A44" w:rsidRDefault="000E24D6" w:rsidP="000E24D6">
            <w:pPr>
              <w:jc w:val="both"/>
              <w:rPr>
                <w:rFonts w:ascii="David" w:hAnsi="David"/>
                <w:sz w:val="26"/>
                <w:szCs w:val="26"/>
              </w:rPr>
            </w:pPr>
            <w:bookmarkStart w:id="1" w:name="FirstAppellant"/>
          </w:p>
        </w:tc>
        <w:tc>
          <w:tcPr>
            <w:tcW w:w="2490" w:type="dxa"/>
            <w:tcBorders>
              <w:top w:val="nil"/>
              <w:left w:val="nil"/>
              <w:bottom w:val="nil"/>
              <w:right w:val="nil"/>
            </w:tcBorders>
            <w:shd w:val="clear" w:color="auto" w:fill="auto"/>
          </w:tcPr>
          <w:p w14:paraId="7EECB440" w14:textId="77777777" w:rsidR="000E24D6" w:rsidRPr="001B6A44" w:rsidRDefault="000E24D6" w:rsidP="000E24D6">
            <w:pPr>
              <w:suppressLineNumbers/>
            </w:pPr>
            <w:r w:rsidRPr="001B6A44">
              <w:rPr>
                <w:rFonts w:ascii="Arial" w:hAnsi="Arial" w:hint="cs"/>
                <w:b/>
                <w:bCs/>
                <w:sz w:val="26"/>
                <w:szCs w:val="26"/>
                <w:rtl/>
              </w:rPr>
              <w:t>ה</w:t>
            </w:r>
            <w:r w:rsidRPr="001B6A44">
              <w:rPr>
                <w:rFonts w:ascii="Arial" w:hAnsi="Arial"/>
                <w:b/>
                <w:bCs/>
                <w:sz w:val="26"/>
                <w:szCs w:val="26"/>
                <w:rtl/>
              </w:rPr>
              <w:t>מאשימה</w:t>
            </w:r>
          </w:p>
          <w:p w14:paraId="59CBF6E1" w14:textId="77777777" w:rsidR="000E24D6" w:rsidRPr="001B6A44" w:rsidRDefault="000E24D6" w:rsidP="00AC3BB7">
            <w:pPr>
              <w:rPr>
                <w:rFonts w:ascii="David" w:hAnsi="David"/>
                <w:sz w:val="26"/>
                <w:szCs w:val="26"/>
              </w:rPr>
            </w:pPr>
          </w:p>
        </w:tc>
        <w:tc>
          <w:tcPr>
            <w:tcW w:w="5725" w:type="dxa"/>
            <w:tcBorders>
              <w:top w:val="nil"/>
              <w:left w:val="nil"/>
              <w:bottom w:val="nil"/>
              <w:right w:val="nil"/>
            </w:tcBorders>
            <w:shd w:val="clear" w:color="auto" w:fill="auto"/>
            <w:vAlign w:val="center"/>
          </w:tcPr>
          <w:p w14:paraId="00CB0ADB" w14:textId="77777777" w:rsidR="000E24D6" w:rsidRPr="001B6A44" w:rsidRDefault="000E24D6" w:rsidP="000E24D6">
            <w:pPr>
              <w:suppressLineNumbers/>
              <w:rPr>
                <w:rFonts w:ascii="Arial" w:hAnsi="Arial"/>
                <w:b/>
                <w:bCs/>
                <w:sz w:val="26"/>
                <w:szCs w:val="26"/>
                <w:rtl/>
              </w:rPr>
            </w:pPr>
            <w:r w:rsidRPr="001B6A44">
              <w:rPr>
                <w:rFonts w:ascii="Arial" w:hAnsi="Arial"/>
                <w:b/>
                <w:bCs/>
                <w:sz w:val="26"/>
                <w:szCs w:val="26"/>
                <w:rtl/>
              </w:rPr>
              <w:t>מדינת ישראל</w:t>
            </w:r>
            <w:r w:rsidRPr="001B6A44">
              <w:rPr>
                <w:rFonts w:ascii="Arial" w:hAnsi="Arial" w:hint="cs"/>
                <w:b/>
                <w:bCs/>
                <w:sz w:val="26"/>
                <w:szCs w:val="26"/>
                <w:rtl/>
              </w:rPr>
              <w:t xml:space="preserve"> </w:t>
            </w:r>
            <w:r w:rsidRPr="001B6A44">
              <w:rPr>
                <w:rFonts w:ascii="Arial" w:hAnsi="Arial"/>
                <w:b/>
                <w:bCs/>
                <w:sz w:val="26"/>
                <w:szCs w:val="26"/>
                <w:rtl/>
              </w:rPr>
              <w:t>–</w:t>
            </w:r>
            <w:r w:rsidRPr="001B6A44">
              <w:rPr>
                <w:rFonts w:ascii="Arial" w:hAnsi="Arial" w:hint="cs"/>
                <w:b/>
                <w:bCs/>
                <w:sz w:val="26"/>
                <w:szCs w:val="26"/>
                <w:rtl/>
              </w:rPr>
              <w:t xml:space="preserve"> פמ"ד</w:t>
            </w:r>
          </w:p>
          <w:p w14:paraId="086C235E" w14:textId="77777777" w:rsidR="000E24D6" w:rsidRPr="001B6A44" w:rsidRDefault="000E24D6" w:rsidP="00AC3BB7">
            <w:pPr>
              <w:rPr>
                <w:rFonts w:ascii="David" w:hAnsi="David"/>
                <w:sz w:val="26"/>
                <w:szCs w:val="26"/>
              </w:rPr>
            </w:pPr>
          </w:p>
        </w:tc>
      </w:tr>
      <w:bookmarkEnd w:id="1"/>
      <w:tr w:rsidR="000E24D6" w:rsidRPr="001B6A44" w14:paraId="57290F3F" w14:textId="77777777" w:rsidTr="000E24D6">
        <w:trPr>
          <w:trHeight w:val="355"/>
          <w:jc w:val="center"/>
        </w:trPr>
        <w:tc>
          <w:tcPr>
            <w:tcW w:w="605" w:type="dxa"/>
            <w:tcBorders>
              <w:top w:val="nil"/>
              <w:left w:val="nil"/>
              <w:bottom w:val="nil"/>
              <w:right w:val="nil"/>
            </w:tcBorders>
            <w:shd w:val="clear" w:color="auto" w:fill="auto"/>
          </w:tcPr>
          <w:p w14:paraId="7CCD9ECC" w14:textId="77777777" w:rsidR="000E24D6" w:rsidRPr="001B6A44" w:rsidRDefault="000E24D6" w:rsidP="000E24D6">
            <w:pPr>
              <w:jc w:val="both"/>
              <w:rPr>
                <w:rFonts w:ascii="David" w:hAnsi="David"/>
                <w:sz w:val="26"/>
                <w:szCs w:val="26"/>
                <w:rtl/>
              </w:rPr>
            </w:pPr>
          </w:p>
        </w:tc>
        <w:tc>
          <w:tcPr>
            <w:tcW w:w="8215" w:type="dxa"/>
            <w:gridSpan w:val="2"/>
            <w:tcBorders>
              <w:top w:val="nil"/>
              <w:left w:val="nil"/>
              <w:bottom w:val="nil"/>
              <w:right w:val="nil"/>
            </w:tcBorders>
            <w:shd w:val="clear" w:color="auto" w:fill="auto"/>
          </w:tcPr>
          <w:p w14:paraId="7751E8F3" w14:textId="77777777" w:rsidR="000E24D6" w:rsidRPr="001B6A44" w:rsidRDefault="000E24D6" w:rsidP="000E24D6">
            <w:pPr>
              <w:jc w:val="center"/>
              <w:rPr>
                <w:rFonts w:ascii="David" w:hAnsi="David"/>
                <w:b/>
                <w:bCs/>
                <w:sz w:val="26"/>
                <w:szCs w:val="26"/>
                <w:rtl/>
              </w:rPr>
            </w:pPr>
          </w:p>
          <w:p w14:paraId="1C62A166" w14:textId="77777777" w:rsidR="000E24D6" w:rsidRPr="001B6A44" w:rsidRDefault="000E24D6" w:rsidP="000E24D6">
            <w:pPr>
              <w:jc w:val="center"/>
              <w:rPr>
                <w:rFonts w:ascii="David" w:hAnsi="David"/>
                <w:b/>
                <w:bCs/>
                <w:sz w:val="26"/>
                <w:szCs w:val="26"/>
                <w:rtl/>
              </w:rPr>
            </w:pPr>
            <w:r w:rsidRPr="001B6A44">
              <w:rPr>
                <w:rFonts w:ascii="David" w:hAnsi="David"/>
                <w:b/>
                <w:bCs/>
                <w:sz w:val="26"/>
                <w:szCs w:val="26"/>
                <w:rtl/>
              </w:rPr>
              <w:t>נגד</w:t>
            </w:r>
          </w:p>
          <w:p w14:paraId="0ED687EC" w14:textId="77777777" w:rsidR="000E24D6" w:rsidRPr="001B6A44" w:rsidRDefault="000E24D6" w:rsidP="000E24D6">
            <w:pPr>
              <w:jc w:val="both"/>
              <w:rPr>
                <w:rFonts w:ascii="David" w:hAnsi="David"/>
                <w:sz w:val="26"/>
                <w:szCs w:val="26"/>
              </w:rPr>
            </w:pPr>
          </w:p>
        </w:tc>
      </w:tr>
      <w:tr w:rsidR="000E24D6" w:rsidRPr="001B6A44" w14:paraId="18CACECD" w14:textId="77777777" w:rsidTr="000E24D6">
        <w:trPr>
          <w:trHeight w:val="355"/>
          <w:jc w:val="center"/>
        </w:trPr>
        <w:tc>
          <w:tcPr>
            <w:tcW w:w="605" w:type="dxa"/>
            <w:tcBorders>
              <w:top w:val="nil"/>
              <w:left w:val="nil"/>
              <w:bottom w:val="nil"/>
              <w:right w:val="nil"/>
            </w:tcBorders>
            <w:shd w:val="clear" w:color="auto" w:fill="auto"/>
          </w:tcPr>
          <w:p w14:paraId="5D3ACBA9" w14:textId="77777777" w:rsidR="000E24D6" w:rsidRPr="001B6A44" w:rsidRDefault="000E24D6" w:rsidP="00AC3BB7">
            <w:pPr>
              <w:rPr>
                <w:rFonts w:ascii="David" w:hAnsi="David"/>
                <w:sz w:val="26"/>
                <w:szCs w:val="26"/>
                <w:rtl/>
              </w:rPr>
            </w:pPr>
            <w:bookmarkStart w:id="2" w:name="FirstLawyer"/>
          </w:p>
        </w:tc>
        <w:tc>
          <w:tcPr>
            <w:tcW w:w="2490" w:type="dxa"/>
            <w:tcBorders>
              <w:top w:val="nil"/>
              <w:left w:val="nil"/>
              <w:bottom w:val="nil"/>
              <w:right w:val="nil"/>
            </w:tcBorders>
            <w:shd w:val="clear" w:color="auto" w:fill="auto"/>
          </w:tcPr>
          <w:p w14:paraId="33A40230" w14:textId="77777777" w:rsidR="000E24D6" w:rsidRPr="001B6A44" w:rsidRDefault="000E24D6" w:rsidP="00AC3BB7">
            <w:pPr>
              <w:rPr>
                <w:rFonts w:ascii="Arial" w:hAnsi="Arial"/>
                <w:b/>
                <w:bCs/>
                <w:sz w:val="26"/>
                <w:szCs w:val="26"/>
                <w:rtl/>
              </w:rPr>
            </w:pPr>
            <w:r w:rsidRPr="001B6A44">
              <w:rPr>
                <w:rFonts w:ascii="Arial" w:hAnsi="Arial"/>
                <w:b/>
                <w:bCs/>
                <w:sz w:val="26"/>
                <w:szCs w:val="26"/>
                <w:rtl/>
              </w:rPr>
              <w:t>הנאשם</w:t>
            </w:r>
          </w:p>
        </w:tc>
        <w:tc>
          <w:tcPr>
            <w:tcW w:w="5725" w:type="dxa"/>
            <w:tcBorders>
              <w:top w:val="nil"/>
              <w:left w:val="nil"/>
              <w:bottom w:val="nil"/>
              <w:right w:val="nil"/>
            </w:tcBorders>
            <w:shd w:val="clear" w:color="auto" w:fill="auto"/>
            <w:vAlign w:val="center"/>
          </w:tcPr>
          <w:p w14:paraId="35F4C594" w14:textId="77777777" w:rsidR="000E24D6" w:rsidRPr="001B6A44" w:rsidRDefault="000E24D6" w:rsidP="000E24D6">
            <w:pPr>
              <w:suppressLineNumbers/>
              <w:rPr>
                <w:rFonts w:ascii="Arial" w:hAnsi="Arial"/>
                <w:b/>
                <w:bCs/>
                <w:sz w:val="26"/>
                <w:szCs w:val="26"/>
                <w:rtl/>
              </w:rPr>
            </w:pPr>
            <w:r w:rsidRPr="001B6A44">
              <w:rPr>
                <w:rFonts w:ascii="Arial" w:hAnsi="Arial"/>
                <w:b/>
                <w:bCs/>
                <w:sz w:val="26"/>
                <w:szCs w:val="26"/>
                <w:rtl/>
              </w:rPr>
              <w:t>יוחאי ביטון (עציר)</w:t>
            </w:r>
            <w:r w:rsidRPr="001B6A44">
              <w:rPr>
                <w:rFonts w:ascii="Arial" w:hAnsi="Arial" w:hint="cs"/>
                <w:b/>
                <w:bCs/>
                <w:sz w:val="26"/>
                <w:szCs w:val="26"/>
                <w:rtl/>
              </w:rPr>
              <w:t xml:space="preserve"> </w:t>
            </w:r>
            <w:r w:rsidRPr="001B6A44">
              <w:rPr>
                <w:rFonts w:ascii="Arial" w:hAnsi="Arial"/>
                <w:b/>
                <w:bCs/>
                <w:sz w:val="26"/>
                <w:szCs w:val="26"/>
                <w:rtl/>
              </w:rPr>
              <w:t>–</w:t>
            </w:r>
            <w:r w:rsidRPr="001B6A44">
              <w:rPr>
                <w:rFonts w:ascii="Arial" w:hAnsi="Arial" w:hint="cs"/>
                <w:b/>
                <w:bCs/>
                <w:sz w:val="26"/>
                <w:szCs w:val="26"/>
                <w:rtl/>
              </w:rPr>
              <w:t xml:space="preserve"> הובא ע"י שב"ס</w:t>
            </w:r>
          </w:p>
          <w:p w14:paraId="0A4C85F3" w14:textId="77777777" w:rsidR="000E24D6" w:rsidRPr="001B6A44" w:rsidRDefault="000E24D6" w:rsidP="000E24D6">
            <w:pPr>
              <w:suppressLineNumbers/>
              <w:rPr>
                <w:b/>
                <w:bCs/>
              </w:rPr>
            </w:pPr>
            <w:r w:rsidRPr="001B6A44">
              <w:rPr>
                <w:rFonts w:ascii="Arial" w:hAnsi="Arial"/>
                <w:b/>
                <w:bCs/>
                <w:sz w:val="26"/>
                <w:szCs w:val="26"/>
                <w:rtl/>
              </w:rPr>
              <w:t>ע"י ב"כ עוה"ד</w:t>
            </w:r>
            <w:r w:rsidRPr="001B6A44">
              <w:rPr>
                <w:rFonts w:hint="cs"/>
                <w:rtl/>
              </w:rPr>
              <w:t xml:space="preserve"> </w:t>
            </w:r>
            <w:r w:rsidRPr="001B6A44">
              <w:rPr>
                <w:rFonts w:hint="cs"/>
                <w:b/>
                <w:bCs/>
                <w:rtl/>
              </w:rPr>
              <w:t xml:space="preserve">נעם אליגון </w:t>
            </w:r>
          </w:p>
          <w:p w14:paraId="34BB842F" w14:textId="77777777" w:rsidR="000E24D6" w:rsidRPr="001B6A44" w:rsidRDefault="000E24D6" w:rsidP="00AC3BB7">
            <w:pPr>
              <w:rPr>
                <w:rFonts w:ascii="David" w:hAnsi="David"/>
                <w:sz w:val="26"/>
                <w:szCs w:val="26"/>
              </w:rPr>
            </w:pPr>
          </w:p>
        </w:tc>
      </w:tr>
      <w:bookmarkEnd w:id="2"/>
    </w:tbl>
    <w:p w14:paraId="376C4C24" w14:textId="77777777" w:rsidR="000E24D6" w:rsidRPr="001D0B74" w:rsidRDefault="000E24D6" w:rsidP="000E24D6">
      <w:pPr>
        <w:rPr>
          <w:sz w:val="26"/>
          <w:szCs w:val="26"/>
        </w:rPr>
      </w:pPr>
    </w:p>
    <w:p w14:paraId="50B1C75C" w14:textId="77777777" w:rsidR="001B6A44" w:rsidRPr="001B6A44" w:rsidRDefault="001B6A44" w:rsidP="001B6A44">
      <w:pPr>
        <w:spacing w:before="120" w:after="120" w:line="240" w:lineRule="exact"/>
        <w:ind w:left="283" w:hanging="283"/>
        <w:jc w:val="both"/>
        <w:rPr>
          <w:rFonts w:ascii="FrankRuehl" w:hAnsi="FrankRuehl" w:cs="FrankRuehl"/>
          <w:rtl/>
        </w:rPr>
      </w:pPr>
    </w:p>
    <w:p w14:paraId="4F39FCCC" w14:textId="77777777" w:rsidR="001B6A44" w:rsidRPr="001B6A44" w:rsidRDefault="001B6A44" w:rsidP="001B6A44">
      <w:pPr>
        <w:rPr>
          <w:rFonts w:ascii="Arial" w:hAnsi="Arial"/>
          <w:sz w:val="26"/>
          <w:szCs w:val="26"/>
          <w:rtl/>
        </w:rPr>
      </w:pPr>
    </w:p>
    <w:p w14:paraId="7EA3F8EB" w14:textId="77777777" w:rsidR="001D0B74" w:rsidRPr="001D0B74" w:rsidRDefault="001D0B74" w:rsidP="001D0B74">
      <w:pPr>
        <w:spacing w:before="120" w:after="120" w:line="240" w:lineRule="exact"/>
        <w:ind w:left="283" w:hanging="283"/>
        <w:jc w:val="both"/>
        <w:rPr>
          <w:rFonts w:ascii="FrankRuehl" w:hAnsi="FrankRuehl" w:cs="FrankRuehl"/>
          <w:rtl/>
        </w:rPr>
      </w:pPr>
    </w:p>
    <w:p w14:paraId="73915544" w14:textId="77777777" w:rsidR="00B16FE9" w:rsidRPr="00B16FE9" w:rsidRDefault="00B16FE9" w:rsidP="00B16FE9">
      <w:pPr>
        <w:spacing w:before="120" w:after="120" w:line="240" w:lineRule="exact"/>
        <w:ind w:left="283" w:hanging="283"/>
        <w:jc w:val="both"/>
        <w:rPr>
          <w:rFonts w:ascii="FrankRuehl" w:hAnsi="FrankRuehl" w:cs="FrankRuehl"/>
          <w:rtl/>
        </w:rPr>
      </w:pPr>
    </w:p>
    <w:p w14:paraId="29810252" w14:textId="77777777" w:rsidR="00325C0F" w:rsidRDefault="00325C0F" w:rsidP="00325C0F">
      <w:pPr>
        <w:rPr>
          <w:rFonts w:ascii="Arial" w:hAnsi="Arial"/>
          <w:sz w:val="26"/>
          <w:szCs w:val="26"/>
          <w:rtl/>
        </w:rPr>
      </w:pPr>
      <w:bookmarkStart w:id="3" w:name="LawTable"/>
      <w:bookmarkEnd w:id="3"/>
    </w:p>
    <w:p w14:paraId="5542DDED" w14:textId="77777777" w:rsidR="00325C0F" w:rsidRPr="00325C0F" w:rsidRDefault="00325C0F" w:rsidP="00325C0F">
      <w:pPr>
        <w:spacing w:before="120" w:after="120" w:line="240" w:lineRule="exact"/>
        <w:ind w:left="283" w:hanging="283"/>
        <w:jc w:val="both"/>
        <w:rPr>
          <w:rFonts w:ascii="FrankRuehl" w:hAnsi="FrankRuehl" w:cs="FrankRuehl"/>
          <w:rtl/>
        </w:rPr>
      </w:pPr>
    </w:p>
    <w:p w14:paraId="0148BAA6" w14:textId="77777777" w:rsidR="00325C0F" w:rsidRPr="00325C0F" w:rsidRDefault="00325C0F" w:rsidP="00325C0F">
      <w:pPr>
        <w:spacing w:before="120" w:after="120" w:line="240" w:lineRule="exact"/>
        <w:ind w:left="283" w:hanging="283"/>
        <w:jc w:val="both"/>
        <w:rPr>
          <w:rFonts w:ascii="FrankRuehl" w:hAnsi="FrankRuehl" w:cs="FrankRuehl"/>
          <w:rtl/>
        </w:rPr>
      </w:pPr>
    </w:p>
    <w:p w14:paraId="5E2D14D8" w14:textId="77777777" w:rsidR="00325C0F" w:rsidRPr="00325C0F" w:rsidRDefault="00325C0F" w:rsidP="00325C0F">
      <w:pPr>
        <w:spacing w:before="120" w:after="120" w:line="240" w:lineRule="exact"/>
        <w:ind w:left="283" w:hanging="283"/>
        <w:jc w:val="both"/>
        <w:rPr>
          <w:rFonts w:ascii="FrankRuehl" w:hAnsi="FrankRuehl" w:cs="FrankRuehl"/>
          <w:rtl/>
        </w:rPr>
      </w:pPr>
      <w:r w:rsidRPr="00325C0F">
        <w:rPr>
          <w:rFonts w:ascii="FrankRuehl" w:hAnsi="FrankRuehl" w:cs="FrankRuehl"/>
          <w:rtl/>
        </w:rPr>
        <w:t xml:space="preserve">חקיקה שאוזכרה: </w:t>
      </w:r>
    </w:p>
    <w:p w14:paraId="02859890" w14:textId="77777777" w:rsidR="00325C0F" w:rsidRPr="00325C0F" w:rsidRDefault="00325C0F" w:rsidP="00325C0F">
      <w:pPr>
        <w:spacing w:before="120" w:after="120" w:line="240" w:lineRule="exact"/>
        <w:ind w:left="283" w:hanging="283"/>
        <w:jc w:val="both"/>
        <w:rPr>
          <w:rFonts w:ascii="FrankRuehl" w:hAnsi="FrankRuehl" w:cs="FrankRuehl"/>
          <w:rtl/>
        </w:rPr>
      </w:pPr>
      <w:hyperlink r:id="rId7" w:history="1">
        <w:r w:rsidRPr="00325C0F">
          <w:rPr>
            <w:rFonts w:ascii="FrankRuehl" w:hAnsi="FrankRuehl" w:cs="FrankRuehl"/>
            <w:color w:val="0000FF"/>
            <w:rtl/>
          </w:rPr>
          <w:t>פקודת הסמים המסוכנים [נוסח חדש], תשל"ג-1973</w:t>
        </w:r>
      </w:hyperlink>
      <w:r w:rsidRPr="00325C0F">
        <w:rPr>
          <w:rFonts w:ascii="FrankRuehl" w:hAnsi="FrankRuehl" w:cs="FrankRuehl"/>
          <w:rtl/>
        </w:rPr>
        <w:t xml:space="preserve">: סע'  </w:t>
      </w:r>
      <w:hyperlink r:id="rId8" w:history="1">
        <w:r w:rsidRPr="00325C0F">
          <w:rPr>
            <w:rFonts w:ascii="FrankRuehl" w:hAnsi="FrankRuehl" w:cs="FrankRuehl"/>
            <w:color w:val="0000FF"/>
            <w:rtl/>
          </w:rPr>
          <w:t>7 (א)</w:t>
        </w:r>
      </w:hyperlink>
      <w:r w:rsidRPr="00325C0F">
        <w:rPr>
          <w:rFonts w:ascii="FrankRuehl" w:hAnsi="FrankRuehl" w:cs="FrankRuehl"/>
          <w:rtl/>
        </w:rPr>
        <w:t xml:space="preserve">, </w:t>
      </w:r>
      <w:hyperlink r:id="rId9" w:history="1">
        <w:r w:rsidRPr="00325C0F">
          <w:rPr>
            <w:rFonts w:ascii="FrankRuehl" w:hAnsi="FrankRuehl" w:cs="FrankRuehl"/>
            <w:color w:val="0000FF"/>
            <w:rtl/>
          </w:rPr>
          <w:t>7 (ג)</w:t>
        </w:r>
      </w:hyperlink>
      <w:r w:rsidRPr="00325C0F">
        <w:rPr>
          <w:rFonts w:ascii="FrankRuehl" w:hAnsi="FrankRuehl" w:cs="FrankRuehl"/>
          <w:rtl/>
        </w:rPr>
        <w:t xml:space="preserve">, </w:t>
      </w:r>
      <w:hyperlink r:id="rId10" w:history="1">
        <w:r w:rsidRPr="00325C0F">
          <w:rPr>
            <w:rFonts w:ascii="FrankRuehl" w:hAnsi="FrankRuehl" w:cs="FrankRuehl"/>
            <w:color w:val="0000FF"/>
            <w:rtl/>
          </w:rPr>
          <w:t>13</w:t>
        </w:r>
      </w:hyperlink>
      <w:r w:rsidRPr="00325C0F">
        <w:rPr>
          <w:rFonts w:ascii="FrankRuehl" w:hAnsi="FrankRuehl" w:cs="FrankRuehl"/>
          <w:rtl/>
        </w:rPr>
        <w:t xml:space="preserve">, </w:t>
      </w:r>
      <w:hyperlink r:id="rId11" w:history="1">
        <w:r w:rsidRPr="00325C0F">
          <w:rPr>
            <w:rFonts w:ascii="FrankRuehl" w:hAnsi="FrankRuehl" w:cs="FrankRuehl"/>
            <w:color w:val="0000FF"/>
            <w:rtl/>
          </w:rPr>
          <w:t>19</w:t>
        </w:r>
      </w:hyperlink>
    </w:p>
    <w:p w14:paraId="5A3A6F14" w14:textId="77777777" w:rsidR="00325C0F" w:rsidRPr="00325C0F" w:rsidRDefault="00325C0F" w:rsidP="00325C0F">
      <w:pPr>
        <w:spacing w:before="120" w:after="120" w:line="240" w:lineRule="exact"/>
        <w:ind w:left="283" w:hanging="283"/>
        <w:jc w:val="both"/>
        <w:rPr>
          <w:rFonts w:ascii="FrankRuehl" w:hAnsi="FrankRuehl" w:cs="FrankRuehl"/>
          <w:rtl/>
        </w:rPr>
      </w:pPr>
      <w:hyperlink r:id="rId12" w:history="1">
        <w:r w:rsidRPr="00325C0F">
          <w:rPr>
            <w:rFonts w:ascii="FrankRuehl" w:hAnsi="FrankRuehl" w:cs="FrankRuehl"/>
            <w:color w:val="0000FF"/>
            <w:rtl/>
          </w:rPr>
          <w:t>חוק העונשין, תשל"ז-1977</w:t>
        </w:r>
      </w:hyperlink>
      <w:r w:rsidRPr="00325C0F">
        <w:rPr>
          <w:rFonts w:ascii="FrankRuehl" w:hAnsi="FrankRuehl" w:cs="FrankRuehl"/>
          <w:rtl/>
        </w:rPr>
        <w:t xml:space="preserve">: סע'  </w:t>
      </w:r>
      <w:hyperlink r:id="rId13" w:history="1">
        <w:r w:rsidRPr="00325C0F">
          <w:rPr>
            <w:rFonts w:ascii="FrankRuehl" w:hAnsi="FrankRuehl" w:cs="FrankRuehl"/>
            <w:color w:val="0000FF"/>
            <w:rtl/>
          </w:rPr>
          <w:t>31</w:t>
        </w:r>
      </w:hyperlink>
      <w:r w:rsidRPr="00325C0F">
        <w:rPr>
          <w:rFonts w:ascii="FrankRuehl" w:hAnsi="FrankRuehl" w:cs="FrankRuehl"/>
          <w:rtl/>
        </w:rPr>
        <w:t xml:space="preserve">, </w:t>
      </w:r>
      <w:hyperlink r:id="rId14" w:history="1">
        <w:r w:rsidRPr="00325C0F">
          <w:rPr>
            <w:rFonts w:ascii="FrankRuehl" w:hAnsi="FrankRuehl" w:cs="FrankRuehl"/>
            <w:color w:val="0000FF"/>
            <w:rtl/>
          </w:rPr>
          <w:t>144 (א)</w:t>
        </w:r>
      </w:hyperlink>
    </w:p>
    <w:p w14:paraId="0EC436E6" w14:textId="77777777" w:rsidR="00325C0F" w:rsidRPr="00325C0F" w:rsidRDefault="00325C0F" w:rsidP="00325C0F">
      <w:pPr>
        <w:rPr>
          <w:rFonts w:ascii="Arial" w:hAnsi="Arial"/>
          <w:sz w:val="26"/>
          <w:szCs w:val="26"/>
          <w:rtl/>
        </w:rPr>
      </w:pPr>
      <w:bookmarkStart w:id="4" w:name="LawTable_End"/>
      <w:bookmarkEnd w:id="4"/>
    </w:p>
    <w:p w14:paraId="187ADDDD" w14:textId="77777777" w:rsidR="001D0B74" w:rsidRPr="00B16FE9" w:rsidRDefault="001D0B74" w:rsidP="00B16FE9">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24D6" w14:paraId="64188120" w14:textId="77777777" w:rsidTr="000E24D6">
        <w:trPr>
          <w:trHeight w:val="355"/>
          <w:jc w:val="center"/>
        </w:trPr>
        <w:tc>
          <w:tcPr>
            <w:tcW w:w="8820" w:type="dxa"/>
            <w:tcBorders>
              <w:top w:val="nil"/>
              <w:left w:val="nil"/>
              <w:bottom w:val="nil"/>
              <w:right w:val="nil"/>
            </w:tcBorders>
            <w:shd w:val="clear" w:color="auto" w:fill="auto"/>
          </w:tcPr>
          <w:p w14:paraId="3C9E25A0" w14:textId="77777777" w:rsidR="001B6A44" w:rsidRPr="001B6A44" w:rsidRDefault="001B6A44" w:rsidP="001B6A44">
            <w:pPr>
              <w:jc w:val="center"/>
              <w:rPr>
                <w:rFonts w:ascii="David" w:hAnsi="David"/>
                <w:b/>
                <w:bCs/>
                <w:sz w:val="32"/>
                <w:szCs w:val="32"/>
                <w:u w:val="single"/>
                <w:rtl/>
              </w:rPr>
            </w:pPr>
            <w:bookmarkStart w:id="5" w:name="PsakDin" w:colFirst="0" w:colLast="0"/>
            <w:bookmarkEnd w:id="0"/>
            <w:r w:rsidRPr="001B6A44">
              <w:rPr>
                <w:rFonts w:ascii="David" w:hAnsi="David"/>
                <w:b/>
                <w:bCs/>
                <w:sz w:val="32"/>
                <w:szCs w:val="32"/>
                <w:u w:val="single"/>
                <w:rtl/>
              </w:rPr>
              <w:t>גזר דין</w:t>
            </w:r>
          </w:p>
          <w:p w14:paraId="1A1649C3" w14:textId="77777777" w:rsidR="000E24D6" w:rsidRPr="001B6A44" w:rsidRDefault="000E24D6" w:rsidP="001B6A44">
            <w:pPr>
              <w:jc w:val="center"/>
              <w:rPr>
                <w:rFonts w:ascii="David" w:hAnsi="David"/>
                <w:bCs/>
                <w:sz w:val="32"/>
                <w:szCs w:val="32"/>
                <w:u w:val="single"/>
                <w:rtl/>
              </w:rPr>
            </w:pPr>
          </w:p>
        </w:tc>
      </w:tr>
      <w:bookmarkEnd w:id="5"/>
    </w:tbl>
    <w:p w14:paraId="1B1E86D0" w14:textId="77777777" w:rsidR="000E24D6" w:rsidRPr="000F2247" w:rsidRDefault="000E24D6" w:rsidP="000E24D6">
      <w:pPr>
        <w:rPr>
          <w:rFonts w:ascii="Arial" w:hAnsi="Arial"/>
          <w:b/>
          <w:bCs/>
          <w:sz w:val="26"/>
          <w:szCs w:val="26"/>
          <w:rtl/>
        </w:rPr>
      </w:pPr>
    </w:p>
    <w:p w14:paraId="7D269966" w14:textId="77777777" w:rsidR="000E24D6" w:rsidRDefault="000E24D6" w:rsidP="000E24D6">
      <w:pPr>
        <w:spacing w:line="360" w:lineRule="auto"/>
        <w:jc w:val="both"/>
        <w:rPr>
          <w:rFonts w:ascii="David" w:hAnsi="David"/>
        </w:rPr>
      </w:pPr>
      <w:bookmarkStart w:id="6" w:name="ABSTRACT_START"/>
      <w:bookmarkEnd w:id="6"/>
      <w:r>
        <w:rPr>
          <w:rFonts w:ascii="David" w:hAnsi="David"/>
          <w:rtl/>
        </w:rPr>
        <w:t>ביום 18.07.2023 הודה הנאשם בעובדות כתב האישום המתוקן ב</w:t>
      </w:r>
      <w:hyperlink r:id="rId15" w:history="1">
        <w:r w:rsidR="001B6A44" w:rsidRPr="001B6A44">
          <w:rPr>
            <w:rFonts w:ascii="David" w:hAnsi="David"/>
            <w:color w:val="0000FF"/>
            <w:u w:val="single"/>
            <w:rtl/>
          </w:rPr>
          <w:t>ת"פ 27417-07-23</w:t>
        </w:r>
      </w:hyperlink>
      <w:r>
        <w:rPr>
          <w:rFonts w:ascii="David" w:hAnsi="David"/>
          <w:rtl/>
        </w:rPr>
        <w:t xml:space="preserve">, והורשע  בעסקה אחרת בסם, עבירה לפי סעיף </w:t>
      </w:r>
      <w:hyperlink r:id="rId16" w:history="1">
        <w:r w:rsidR="001D0B74" w:rsidRPr="001D0B74">
          <w:rPr>
            <w:rStyle w:val="Hyperlink"/>
            <w:rFonts w:ascii="David" w:hAnsi="David"/>
            <w:rtl/>
          </w:rPr>
          <w:t>13 + 19</w:t>
        </w:r>
      </w:hyperlink>
      <w:r>
        <w:rPr>
          <w:rFonts w:ascii="David" w:hAnsi="David"/>
          <w:rtl/>
        </w:rPr>
        <w:t xml:space="preserve"> ל</w:t>
      </w:r>
      <w:hyperlink r:id="rId17" w:history="1">
        <w:r w:rsidR="001B6A44" w:rsidRPr="001B6A44">
          <w:rPr>
            <w:rFonts w:ascii="David" w:hAnsi="David"/>
            <w:color w:val="0000FF"/>
            <w:u w:val="single"/>
            <w:rtl/>
          </w:rPr>
          <w:t>פקודת הסמים המסוכנים</w:t>
        </w:r>
      </w:hyperlink>
      <w:r>
        <w:rPr>
          <w:rFonts w:ascii="David" w:hAnsi="David"/>
          <w:rtl/>
        </w:rPr>
        <w:t xml:space="preserve"> (נוסח חדש) התשל"ג – 1973 (להלן: פקודת הסמים). </w:t>
      </w:r>
    </w:p>
    <w:p w14:paraId="4CD7D4F7" w14:textId="77777777" w:rsidR="000E24D6" w:rsidRDefault="000E24D6" w:rsidP="000E24D6">
      <w:pPr>
        <w:spacing w:line="360" w:lineRule="auto"/>
        <w:jc w:val="both"/>
        <w:rPr>
          <w:rFonts w:ascii="David" w:hAnsi="David"/>
        </w:rPr>
      </w:pPr>
    </w:p>
    <w:p w14:paraId="0F11EBC3" w14:textId="77777777" w:rsidR="000E24D6" w:rsidRDefault="000E24D6" w:rsidP="000E24D6">
      <w:pPr>
        <w:spacing w:line="360" w:lineRule="auto"/>
        <w:jc w:val="both"/>
        <w:rPr>
          <w:rFonts w:ascii="David" w:hAnsi="David"/>
          <w:rtl/>
        </w:rPr>
      </w:pPr>
      <w:r>
        <w:rPr>
          <w:rFonts w:ascii="David" w:hAnsi="David"/>
          <w:rtl/>
        </w:rPr>
        <w:t xml:space="preserve">ביום 02.01.2024 צרף הנאשם לתיק הנ"ל את </w:t>
      </w:r>
      <w:hyperlink r:id="rId18" w:history="1">
        <w:r w:rsidR="001B6A44" w:rsidRPr="001B6A44">
          <w:rPr>
            <w:rFonts w:ascii="David" w:hAnsi="David"/>
            <w:color w:val="0000FF"/>
            <w:u w:val="single"/>
            <w:rtl/>
          </w:rPr>
          <w:t>ת"פ  924-03-23</w:t>
        </w:r>
      </w:hyperlink>
      <w:r>
        <w:rPr>
          <w:rFonts w:ascii="David" w:hAnsi="David"/>
          <w:rtl/>
        </w:rPr>
        <w:t xml:space="preserve"> (להלן: </w:t>
      </w:r>
      <w:r>
        <w:rPr>
          <w:rFonts w:ascii="David" w:hAnsi="David"/>
          <w:b/>
          <w:bCs/>
          <w:rtl/>
        </w:rPr>
        <w:t>התיק המצורף</w:t>
      </w:r>
      <w:r>
        <w:rPr>
          <w:rFonts w:ascii="David" w:hAnsi="David"/>
          <w:rtl/>
        </w:rPr>
        <w:t xml:space="preserve">) לאחר שביום 27.11.2023 (הודה בעובדות כתב האישום המתוקן (בפני כב' השופט יריב בן דוד)  ועל יסוד הודאתו, הורשע בעבירה של החזקת נשק שלא כדין, עבירה לפי סעיף </w:t>
      </w:r>
      <w:hyperlink r:id="rId19" w:history="1">
        <w:r w:rsidR="001D0B74" w:rsidRPr="001D0B74">
          <w:rPr>
            <w:rStyle w:val="Hyperlink"/>
            <w:rFonts w:ascii="David" w:hAnsi="David"/>
            <w:rtl/>
          </w:rPr>
          <w:t>144 (א)</w:t>
        </w:r>
      </w:hyperlink>
      <w:r>
        <w:rPr>
          <w:rFonts w:ascii="David" w:hAnsi="David"/>
          <w:rtl/>
        </w:rPr>
        <w:t xml:space="preserve"> רישא ל</w:t>
      </w:r>
      <w:hyperlink r:id="rId20" w:history="1">
        <w:r w:rsidR="001B6A44" w:rsidRPr="001B6A44">
          <w:rPr>
            <w:rFonts w:ascii="David" w:hAnsi="David"/>
            <w:color w:val="0000FF"/>
            <w:u w:val="single"/>
            <w:rtl/>
          </w:rPr>
          <w:t>חוק העונשין</w:t>
        </w:r>
      </w:hyperlink>
      <w:r>
        <w:rPr>
          <w:rFonts w:ascii="David" w:hAnsi="David"/>
          <w:rtl/>
        </w:rPr>
        <w:t xml:space="preserve">, התשל"ז -1977(להלן: </w:t>
      </w:r>
      <w:r>
        <w:rPr>
          <w:rFonts w:ascii="David" w:hAnsi="David"/>
          <w:b/>
          <w:bCs/>
          <w:rtl/>
        </w:rPr>
        <w:t>חוק העונשין</w:t>
      </w:r>
      <w:r>
        <w:rPr>
          <w:rFonts w:ascii="David" w:hAnsi="David"/>
          <w:rtl/>
        </w:rPr>
        <w:t xml:space="preserve">); סיוע להחזקת נשק שלא כדין, עבירה לפי סעיף </w:t>
      </w:r>
      <w:hyperlink r:id="rId21" w:history="1">
        <w:r w:rsidR="001D0B74" w:rsidRPr="001D0B74">
          <w:rPr>
            <w:rStyle w:val="Hyperlink"/>
            <w:rFonts w:ascii="David" w:hAnsi="David"/>
            <w:rtl/>
          </w:rPr>
          <w:t>144 (א)</w:t>
        </w:r>
      </w:hyperlink>
      <w:r>
        <w:rPr>
          <w:rFonts w:ascii="David" w:hAnsi="David"/>
          <w:rtl/>
        </w:rPr>
        <w:t xml:space="preserve"> + סעיף </w:t>
      </w:r>
      <w:hyperlink r:id="rId22" w:history="1">
        <w:r w:rsidR="001D0B74" w:rsidRPr="001D0B74">
          <w:rPr>
            <w:rStyle w:val="Hyperlink"/>
            <w:rFonts w:ascii="David" w:hAnsi="David"/>
            <w:rtl/>
          </w:rPr>
          <w:t>31</w:t>
        </w:r>
      </w:hyperlink>
      <w:r>
        <w:rPr>
          <w:rFonts w:ascii="David" w:hAnsi="David"/>
          <w:rtl/>
        </w:rPr>
        <w:t xml:space="preserve"> לחוק העונשין</w:t>
      </w:r>
      <w:bookmarkStart w:id="7" w:name="ABSTRACT_END"/>
      <w:bookmarkEnd w:id="7"/>
      <w:r>
        <w:rPr>
          <w:rFonts w:ascii="David" w:hAnsi="David"/>
          <w:rtl/>
        </w:rPr>
        <w:t xml:space="preserve">; החזקת חלק של נשק או תחמושת, עבירה לפי סעיף </w:t>
      </w:r>
      <w:hyperlink r:id="rId23" w:history="1">
        <w:r w:rsidR="001D0B74" w:rsidRPr="001D0B74">
          <w:rPr>
            <w:rStyle w:val="Hyperlink"/>
            <w:rFonts w:ascii="David" w:hAnsi="David"/>
            <w:rtl/>
          </w:rPr>
          <w:t>144 (א)</w:t>
        </w:r>
      </w:hyperlink>
      <w:r>
        <w:rPr>
          <w:rFonts w:ascii="David" w:hAnsi="David"/>
          <w:rtl/>
        </w:rPr>
        <w:t xml:space="preserve"> סיפא לחוק העונשין; החזקת סמים שלא לצריכה עצמית, עבירה לפי סעיף </w:t>
      </w:r>
      <w:hyperlink r:id="rId24" w:history="1">
        <w:r w:rsidR="001D0B74" w:rsidRPr="001D0B74">
          <w:rPr>
            <w:rStyle w:val="Hyperlink"/>
            <w:rFonts w:ascii="David" w:hAnsi="David"/>
            <w:rtl/>
          </w:rPr>
          <w:t>7 (א)</w:t>
        </w:r>
      </w:hyperlink>
      <w:r>
        <w:rPr>
          <w:rFonts w:ascii="David" w:hAnsi="David"/>
          <w:rtl/>
        </w:rPr>
        <w:t xml:space="preserve"> + </w:t>
      </w:r>
      <w:hyperlink r:id="rId25" w:history="1">
        <w:r w:rsidR="001D0B74" w:rsidRPr="001D0B74">
          <w:rPr>
            <w:rStyle w:val="Hyperlink"/>
            <w:rFonts w:ascii="David" w:hAnsi="David"/>
            <w:rtl/>
          </w:rPr>
          <w:t>7 (ג)</w:t>
        </w:r>
      </w:hyperlink>
      <w:r>
        <w:rPr>
          <w:rFonts w:ascii="David" w:hAnsi="David"/>
          <w:rtl/>
        </w:rPr>
        <w:t xml:space="preserve"> רישא ל</w:t>
      </w:r>
      <w:hyperlink r:id="rId26" w:history="1">
        <w:r w:rsidR="001B6A44" w:rsidRPr="001B6A44">
          <w:rPr>
            <w:rFonts w:ascii="David" w:hAnsi="David"/>
            <w:color w:val="0000FF"/>
            <w:u w:val="single"/>
            <w:rtl/>
          </w:rPr>
          <w:t>פקודת הסמים המסוכנים</w:t>
        </w:r>
      </w:hyperlink>
      <w:r>
        <w:rPr>
          <w:rFonts w:ascii="David" w:hAnsi="David"/>
          <w:rtl/>
        </w:rPr>
        <w:t xml:space="preserve">. </w:t>
      </w:r>
    </w:p>
    <w:p w14:paraId="3D8E5E20" w14:textId="77777777" w:rsidR="000E24D6" w:rsidRDefault="000E24D6" w:rsidP="000E24D6">
      <w:pPr>
        <w:spacing w:line="360" w:lineRule="auto"/>
        <w:jc w:val="both"/>
        <w:rPr>
          <w:rFonts w:ascii="David" w:hAnsi="David"/>
          <w:rtl/>
        </w:rPr>
      </w:pPr>
    </w:p>
    <w:p w14:paraId="19BDB3A4" w14:textId="77777777" w:rsidR="000E24D6" w:rsidRPr="004B7EC4" w:rsidRDefault="000E24D6" w:rsidP="000E24D6">
      <w:pPr>
        <w:spacing w:line="360" w:lineRule="auto"/>
        <w:jc w:val="both"/>
        <w:rPr>
          <w:rFonts w:ascii="David" w:hAnsi="David"/>
          <w:b/>
          <w:bCs/>
          <w:sz w:val="26"/>
          <w:szCs w:val="26"/>
          <w:rtl/>
        </w:rPr>
      </w:pPr>
      <w:r w:rsidRPr="004B7EC4">
        <w:rPr>
          <w:rFonts w:ascii="David" w:hAnsi="David"/>
          <w:b/>
          <w:bCs/>
          <w:sz w:val="26"/>
          <w:szCs w:val="26"/>
          <w:u w:val="single"/>
          <w:rtl/>
        </w:rPr>
        <w:t>רקע והשתלשלות הדברים</w:t>
      </w:r>
    </w:p>
    <w:p w14:paraId="1DA14F08" w14:textId="77777777" w:rsidR="000E24D6" w:rsidRDefault="000E24D6" w:rsidP="000E24D6">
      <w:pPr>
        <w:spacing w:line="360" w:lineRule="auto"/>
        <w:jc w:val="both"/>
        <w:rPr>
          <w:rFonts w:ascii="David" w:hAnsi="David"/>
          <w:rtl/>
        </w:rPr>
      </w:pPr>
      <w:r>
        <w:rPr>
          <w:rFonts w:ascii="David" w:hAnsi="David"/>
          <w:rtl/>
        </w:rPr>
        <w:lastRenderedPageBreak/>
        <w:t>1.</w:t>
      </w:r>
      <w:r>
        <w:rPr>
          <w:rFonts w:ascii="David" w:hAnsi="David"/>
          <w:rtl/>
        </w:rPr>
        <w:tab/>
        <w:t>האירוע המתואר בכתב האישום ב</w:t>
      </w:r>
      <w:hyperlink r:id="rId27" w:history="1">
        <w:r w:rsidR="001B6A44" w:rsidRPr="001B6A44">
          <w:rPr>
            <w:rFonts w:ascii="David" w:hAnsi="David"/>
            <w:color w:val="0000FF"/>
            <w:u w:val="single"/>
            <w:rtl/>
          </w:rPr>
          <w:t>ת"פ 27417-07-23</w:t>
        </w:r>
      </w:hyperlink>
      <w:r>
        <w:rPr>
          <w:rFonts w:ascii="David" w:hAnsi="David"/>
          <w:rtl/>
        </w:rPr>
        <w:t xml:space="preserve"> הינו חלק מפרשיה וכתב אישום שהוגש בבית המשפט המחוזי. בהמשך, בהסכמת הצדדים הופרד עניינו של ה נאשם מעניינו של האחר, והועבר לבית המשפט השלום. </w:t>
      </w:r>
    </w:p>
    <w:p w14:paraId="50619F13" w14:textId="77777777" w:rsidR="000E24D6" w:rsidRDefault="000E24D6" w:rsidP="000E24D6">
      <w:pPr>
        <w:spacing w:line="360" w:lineRule="auto"/>
        <w:jc w:val="both"/>
        <w:rPr>
          <w:rFonts w:ascii="David" w:hAnsi="David"/>
          <w:rtl/>
        </w:rPr>
      </w:pPr>
      <w:r>
        <w:rPr>
          <w:rFonts w:ascii="David" w:hAnsi="David"/>
          <w:rtl/>
        </w:rPr>
        <w:t xml:space="preserve">במסגרת הליך המעצר שהתנהל בבית המשפט המחוזי בפני כב' השופט אבו טהה נבחנה האפשרות להפנות את הנאשם להליך טיפולי בקהילה סגורה ומשהועבר התיק לבית המשפט השלום, הובא בפני כב' השופט יניב בן הרוש. </w:t>
      </w:r>
    </w:p>
    <w:p w14:paraId="4C208C72" w14:textId="77777777" w:rsidR="000E24D6" w:rsidRDefault="000E24D6" w:rsidP="000E24D6">
      <w:pPr>
        <w:spacing w:line="360" w:lineRule="auto"/>
        <w:jc w:val="both"/>
        <w:rPr>
          <w:rFonts w:ascii="David" w:hAnsi="David"/>
          <w:rtl/>
        </w:rPr>
      </w:pPr>
      <w:r>
        <w:rPr>
          <w:rFonts w:ascii="David" w:hAnsi="David"/>
          <w:rtl/>
        </w:rPr>
        <w:t>בדיון שהתקיים בפני כב' השופט בן הרוש ביום 18.7.2023 בכובעו כשופט מעצרים, עבר הדיון להתנהל בתיק זה, הוא התיק העיקרי, אז תוקן כתב האישום והנאשם הודה והורשע כאמור.</w:t>
      </w:r>
    </w:p>
    <w:p w14:paraId="17B8C483" w14:textId="77777777" w:rsidR="000E24D6" w:rsidRDefault="000E24D6" w:rsidP="000E24D6">
      <w:pPr>
        <w:spacing w:line="360" w:lineRule="auto"/>
        <w:jc w:val="both"/>
        <w:rPr>
          <w:rFonts w:ascii="David" w:hAnsi="David"/>
          <w:rtl/>
        </w:rPr>
      </w:pPr>
      <w:r>
        <w:rPr>
          <w:rFonts w:ascii="David" w:hAnsi="David"/>
          <w:rtl/>
        </w:rPr>
        <w:t xml:space="preserve">במסגרת אותו דיון, לבקשת ההגנה, חזר ובחן כב' השופט בן הרוש את האפשרות לשילוב הנאשם בקהילה טיפולית. </w:t>
      </w:r>
    </w:p>
    <w:p w14:paraId="265799ED" w14:textId="77777777" w:rsidR="000E24D6" w:rsidRDefault="000E24D6" w:rsidP="000E24D6">
      <w:pPr>
        <w:spacing w:line="360" w:lineRule="auto"/>
        <w:jc w:val="both"/>
        <w:rPr>
          <w:rFonts w:ascii="David" w:hAnsi="David"/>
          <w:rtl/>
        </w:rPr>
      </w:pPr>
      <w:r>
        <w:rPr>
          <w:rFonts w:ascii="David" w:hAnsi="David"/>
          <w:rtl/>
        </w:rPr>
        <w:t xml:space="preserve">בהחלטה מיום 20.7.2023 ציין כב' השופט בן הרוש, בין היתר, במוטיבציה שהביע הנאשם בהשתלבותו בקהילה טיפולית והגם שמצא כי הנאשם עומד בדוחק בתנאים שנקבעו בהלכת סויסה, הורה על שחרורו של הנאשם ממעצר לחלופה הטיפולית "רוח במדבר". </w:t>
      </w:r>
    </w:p>
    <w:p w14:paraId="09B8E5C1" w14:textId="77777777" w:rsidR="000E24D6" w:rsidRDefault="000E24D6" w:rsidP="000E24D6">
      <w:pPr>
        <w:spacing w:line="360" w:lineRule="auto"/>
        <w:jc w:val="both"/>
        <w:rPr>
          <w:rFonts w:ascii="David" w:hAnsi="David"/>
          <w:rtl/>
        </w:rPr>
      </w:pPr>
      <w:r>
        <w:rPr>
          <w:rFonts w:ascii="David" w:hAnsi="David"/>
          <w:rtl/>
        </w:rPr>
        <w:t xml:space="preserve">עוד באותו יום וטרם קם </w:t>
      </w:r>
      <w:r>
        <w:rPr>
          <w:rFonts w:ascii="David" w:hAnsi="David" w:hint="cs"/>
          <w:rtl/>
        </w:rPr>
        <w:t xml:space="preserve">בית המשפט </w:t>
      </w:r>
      <w:r>
        <w:rPr>
          <w:rFonts w:ascii="David" w:hAnsi="David"/>
          <w:rtl/>
        </w:rPr>
        <w:t>מכיסאו, הביא שב"ס לידיעת</w:t>
      </w:r>
      <w:r>
        <w:rPr>
          <w:rFonts w:ascii="David" w:hAnsi="David" w:hint="cs"/>
          <w:rtl/>
        </w:rPr>
        <w:t>ו</w:t>
      </w:r>
      <w:r>
        <w:rPr>
          <w:rFonts w:ascii="David" w:hAnsi="David"/>
          <w:rtl/>
        </w:rPr>
        <w:t xml:space="preserve"> כי הנאשם עצור עד תום ההליכים במסגרת תיק אחר, </w:t>
      </w:r>
      <w:hyperlink r:id="rId28" w:history="1">
        <w:r w:rsidR="001B6A44" w:rsidRPr="001B6A44">
          <w:rPr>
            <w:rFonts w:ascii="David" w:hAnsi="David"/>
            <w:color w:val="0000FF"/>
            <w:u w:val="single"/>
            <w:rtl/>
          </w:rPr>
          <w:t>מ"ת 907-03-23</w:t>
        </w:r>
      </w:hyperlink>
      <w:r>
        <w:rPr>
          <w:rFonts w:ascii="David" w:hAnsi="David"/>
          <w:rtl/>
        </w:rPr>
        <w:t xml:space="preserve"> הוא תיק המעצר הקשור בתיק המצורף, בעבירות סמים ונשק. נוכח האמור, עיכב החלטתו לשחרור הנאשם עד להחלטה במסגרת </w:t>
      </w:r>
      <w:hyperlink r:id="rId29" w:history="1">
        <w:r w:rsidR="001B6A44" w:rsidRPr="001B6A44">
          <w:rPr>
            <w:rFonts w:ascii="David" w:hAnsi="David"/>
            <w:color w:val="0000FF"/>
            <w:u w:val="single"/>
            <w:rtl/>
          </w:rPr>
          <w:t>מ"ת 907-03-23</w:t>
        </w:r>
      </w:hyperlink>
      <w:r>
        <w:rPr>
          <w:rFonts w:ascii="David" w:hAnsi="David"/>
          <w:rtl/>
        </w:rPr>
        <w:t xml:space="preserve"> ככל ותוגש בגדרו בקשה לעיון חוזר. </w:t>
      </w:r>
      <w:r>
        <w:rPr>
          <w:rFonts w:ascii="David" w:hAnsi="David" w:hint="cs"/>
          <w:rtl/>
        </w:rPr>
        <w:t xml:space="preserve">בהמשך הוסיף: </w:t>
      </w:r>
    </w:p>
    <w:p w14:paraId="1552C9A0" w14:textId="77777777" w:rsidR="000E24D6" w:rsidRDefault="000E24D6" w:rsidP="000E24D6">
      <w:pPr>
        <w:spacing w:line="360" w:lineRule="auto"/>
        <w:jc w:val="both"/>
        <w:rPr>
          <w:rFonts w:ascii="David" w:hAnsi="David"/>
          <w:b/>
          <w:bCs/>
          <w:rtl/>
        </w:rPr>
      </w:pPr>
      <w:r>
        <w:rPr>
          <w:rFonts w:ascii="David" w:hAnsi="David"/>
          <w:rtl/>
        </w:rPr>
        <w:t>"</w:t>
      </w:r>
      <w:r>
        <w:rPr>
          <w:rFonts w:ascii="David" w:hAnsi="David"/>
          <w:b/>
          <w:bCs/>
          <w:rtl/>
        </w:rPr>
        <w:t xml:space="preserve">אין אלא לראות בחומרה רבה כיצד מי מן הצדדים לא טרח לציין בפני בית המשפט במהלך הדיונים שנשמעו בעניינו של הנאשם – לא בבית המשפט המחוזי ולא בבית המשפט השלום – כי לחובתו של הנאשם הליך תלוי ועומד בעבירות סמים ונשק במסגרת תיק 907-03-23 ובו הוא עצור עד תום ההליכים. מדובר בנתון רלוונטי ביותר שאף יכול היה לשנות את ההחלטה על שחרור הנאשם על פניה. נראה כי בכך הפך הסניגור את חובתו כלפי בית המשפט כ- </w:t>
      </w:r>
      <w:r>
        <w:rPr>
          <w:rFonts w:ascii="David" w:hAnsi="David"/>
          <w:b/>
          <w:bCs/>
        </w:rPr>
        <w:t>officer of court"</w:t>
      </w:r>
      <w:r>
        <w:rPr>
          <w:rFonts w:ascii="David" w:hAnsi="David"/>
          <w:b/>
          <w:bCs/>
          <w:rtl/>
        </w:rPr>
        <w:t xml:space="preserve">" ואילו התביעה הפרה גם את חובתה כלפי הציבור וביטחונו, מי שהסתירה נתונים אלה מפני בית המשפט". </w:t>
      </w:r>
    </w:p>
    <w:p w14:paraId="240DAE8F" w14:textId="77777777" w:rsidR="000E24D6" w:rsidRDefault="000E24D6" w:rsidP="000E24D6">
      <w:pPr>
        <w:spacing w:line="360" w:lineRule="auto"/>
        <w:jc w:val="both"/>
        <w:rPr>
          <w:rFonts w:ascii="David" w:hAnsi="David"/>
          <w:b/>
          <w:bCs/>
          <w:rtl/>
        </w:rPr>
      </w:pPr>
    </w:p>
    <w:p w14:paraId="3BEE569A" w14:textId="77777777" w:rsidR="000E24D6" w:rsidRDefault="000E24D6" w:rsidP="000E24D6">
      <w:pPr>
        <w:spacing w:line="360" w:lineRule="auto"/>
        <w:jc w:val="both"/>
        <w:rPr>
          <w:rFonts w:ascii="David" w:hAnsi="David"/>
          <w:rtl/>
        </w:rPr>
      </w:pPr>
      <w:r>
        <w:rPr>
          <w:rFonts w:ascii="David" w:hAnsi="David"/>
          <w:rtl/>
        </w:rPr>
        <w:t xml:space="preserve">בקשה לעיון חוזר אכן הוגשה במסגרת </w:t>
      </w:r>
      <w:hyperlink r:id="rId30" w:history="1">
        <w:r w:rsidR="001B6A44" w:rsidRPr="001B6A44">
          <w:rPr>
            <w:rFonts w:ascii="David" w:hAnsi="David"/>
            <w:color w:val="0000FF"/>
            <w:u w:val="single"/>
            <w:rtl/>
          </w:rPr>
          <w:t>מ"ת 907-03-23</w:t>
        </w:r>
      </w:hyperlink>
      <w:r>
        <w:rPr>
          <w:rFonts w:ascii="David" w:hAnsi="David"/>
          <w:rtl/>
        </w:rPr>
        <w:t xml:space="preserve"> (הקשור לתיק המצורף) </w:t>
      </w:r>
      <w:r>
        <w:rPr>
          <w:rFonts w:ascii="David" w:hAnsi="David" w:hint="cs"/>
          <w:rtl/>
        </w:rPr>
        <w:t xml:space="preserve">וזו </w:t>
      </w:r>
      <w:r>
        <w:rPr>
          <w:rFonts w:ascii="David" w:hAnsi="David"/>
          <w:rtl/>
        </w:rPr>
        <w:t xml:space="preserve">התבררה בפני כב' השופט בן הרוש( בכובעו כשופט מעצרים) אשר דחה את הבקשה. </w:t>
      </w:r>
    </w:p>
    <w:p w14:paraId="417D23B1" w14:textId="77777777" w:rsidR="000E24D6" w:rsidRDefault="000E24D6" w:rsidP="000E24D6">
      <w:pPr>
        <w:spacing w:line="360" w:lineRule="auto"/>
        <w:jc w:val="both"/>
        <w:rPr>
          <w:rFonts w:ascii="David" w:hAnsi="David"/>
          <w:rtl/>
        </w:rPr>
      </w:pPr>
    </w:p>
    <w:p w14:paraId="78CF1DA8" w14:textId="77777777" w:rsidR="000E24D6" w:rsidRDefault="000E24D6" w:rsidP="000E24D6">
      <w:pPr>
        <w:spacing w:line="360" w:lineRule="auto"/>
        <w:jc w:val="both"/>
        <w:rPr>
          <w:rFonts w:ascii="David" w:hAnsi="David"/>
          <w:rtl/>
        </w:rPr>
      </w:pPr>
      <w:r>
        <w:rPr>
          <w:rFonts w:ascii="David" w:hAnsi="David"/>
          <w:rtl/>
        </w:rPr>
        <w:t xml:space="preserve">בהמשך וכאמור, ביום 2.01.2024 צירף הנאשם לתיק הנ"ל את </w:t>
      </w:r>
      <w:hyperlink r:id="rId31" w:history="1">
        <w:r w:rsidR="001B6A44" w:rsidRPr="001B6A44">
          <w:rPr>
            <w:rFonts w:ascii="David" w:hAnsi="David"/>
            <w:color w:val="0000FF"/>
            <w:u w:val="single"/>
            <w:rtl/>
          </w:rPr>
          <w:t>ת"פ 924-03-23</w:t>
        </w:r>
      </w:hyperlink>
      <w:r>
        <w:rPr>
          <w:rFonts w:ascii="David" w:hAnsi="David"/>
          <w:rtl/>
        </w:rPr>
        <w:t xml:space="preserve">. יוער כי עד למועד בו צורף </w:t>
      </w:r>
      <w:hyperlink r:id="rId32" w:history="1">
        <w:r w:rsidR="001B6A44" w:rsidRPr="001B6A44">
          <w:rPr>
            <w:rFonts w:ascii="David" w:hAnsi="David"/>
            <w:color w:val="0000FF"/>
            <w:u w:val="single"/>
            <w:rtl/>
          </w:rPr>
          <w:t>ת"פ 924-03-23</w:t>
        </w:r>
      </w:hyperlink>
      <w:r>
        <w:rPr>
          <w:rFonts w:ascii="David" w:hAnsi="David"/>
          <w:rtl/>
        </w:rPr>
        <w:t xml:space="preserve"> ל</w:t>
      </w:r>
      <w:hyperlink r:id="rId33" w:history="1">
        <w:r w:rsidR="001B6A44" w:rsidRPr="001B6A44">
          <w:rPr>
            <w:rFonts w:ascii="David" w:hAnsi="David"/>
            <w:color w:val="0000FF"/>
            <w:u w:val="single"/>
            <w:rtl/>
          </w:rPr>
          <w:t>ת"פ 27417-07-23</w:t>
        </w:r>
      </w:hyperlink>
      <w:r>
        <w:rPr>
          <w:rFonts w:ascii="David" w:hAnsi="David"/>
          <w:rtl/>
        </w:rPr>
        <w:t xml:space="preserve"> ייצג את הנאשם עו"ד אבו גררה, ומיום הצירוף </w:t>
      </w:r>
      <w:r>
        <w:rPr>
          <w:rFonts w:ascii="David" w:hAnsi="David" w:hint="cs"/>
          <w:rtl/>
        </w:rPr>
        <w:t>ע</w:t>
      </w:r>
      <w:r>
        <w:rPr>
          <w:rFonts w:ascii="David" w:hAnsi="David"/>
          <w:rtl/>
        </w:rPr>
        <w:t xml:space="preserve">ו"ד נעם אליגון </w:t>
      </w:r>
      <w:r>
        <w:rPr>
          <w:rFonts w:ascii="David" w:hAnsi="David" w:hint="cs"/>
          <w:rtl/>
        </w:rPr>
        <w:t xml:space="preserve">החל </w:t>
      </w:r>
      <w:r>
        <w:rPr>
          <w:rFonts w:ascii="David" w:hAnsi="David"/>
          <w:rtl/>
        </w:rPr>
        <w:t>לייצג את הנאשם גם ב</w:t>
      </w:r>
      <w:hyperlink r:id="rId34" w:history="1">
        <w:r w:rsidR="001B6A44" w:rsidRPr="001B6A44">
          <w:rPr>
            <w:rFonts w:ascii="David" w:hAnsi="David"/>
            <w:color w:val="0000FF"/>
            <w:u w:val="single"/>
            <w:rtl/>
          </w:rPr>
          <w:t>ת"פ 27417-07-23</w:t>
        </w:r>
      </w:hyperlink>
      <w:r>
        <w:rPr>
          <w:rFonts w:ascii="David" w:hAnsi="David"/>
          <w:rtl/>
        </w:rPr>
        <w:t xml:space="preserve">. </w:t>
      </w:r>
    </w:p>
    <w:p w14:paraId="3CB1A680" w14:textId="77777777" w:rsidR="000E24D6" w:rsidRDefault="000E24D6" w:rsidP="000E24D6">
      <w:pPr>
        <w:spacing w:line="360" w:lineRule="auto"/>
        <w:jc w:val="both"/>
        <w:rPr>
          <w:rFonts w:ascii="David" w:hAnsi="David"/>
          <w:rtl/>
        </w:rPr>
      </w:pPr>
    </w:p>
    <w:p w14:paraId="064D48B5" w14:textId="77777777" w:rsidR="000E24D6" w:rsidRDefault="000E24D6" w:rsidP="000E24D6">
      <w:pPr>
        <w:spacing w:line="360" w:lineRule="auto"/>
        <w:jc w:val="both"/>
        <w:rPr>
          <w:rFonts w:ascii="David" w:hAnsi="David"/>
          <w:rtl/>
        </w:rPr>
      </w:pPr>
      <w:r>
        <w:rPr>
          <w:rFonts w:ascii="David" w:hAnsi="David" w:hint="cs"/>
          <w:rtl/>
        </w:rPr>
        <w:t xml:space="preserve">להשלמת התמונה נציין כי </w:t>
      </w:r>
      <w:r w:rsidRPr="00B23143">
        <w:rPr>
          <w:rFonts w:ascii="David" w:hAnsi="David"/>
          <w:rtl/>
        </w:rPr>
        <w:t xml:space="preserve">הנאשם עצור בתיק 27417-07-23 מיום </w:t>
      </w:r>
      <w:r>
        <w:rPr>
          <w:rFonts w:ascii="David" w:hAnsi="David" w:hint="cs"/>
          <w:rtl/>
        </w:rPr>
        <w:t>,</w:t>
      </w:r>
      <w:r w:rsidRPr="00B23143">
        <w:rPr>
          <w:rFonts w:ascii="David" w:hAnsi="David"/>
          <w:rtl/>
        </w:rPr>
        <w:t>16.3.2023 ובתיק 942-03-23 מיום 08.02.2023</w:t>
      </w:r>
      <w:r>
        <w:rPr>
          <w:rFonts w:ascii="David" w:hAnsi="David" w:hint="cs"/>
          <w:rtl/>
        </w:rPr>
        <w:t xml:space="preserve">. </w:t>
      </w:r>
    </w:p>
    <w:p w14:paraId="5DEAF0D0" w14:textId="77777777" w:rsidR="000E24D6" w:rsidRDefault="000E24D6" w:rsidP="000E24D6">
      <w:pPr>
        <w:spacing w:line="360" w:lineRule="auto"/>
        <w:jc w:val="both"/>
        <w:rPr>
          <w:rFonts w:ascii="David" w:hAnsi="David"/>
          <w:rtl/>
        </w:rPr>
      </w:pPr>
    </w:p>
    <w:p w14:paraId="19254A16" w14:textId="77777777" w:rsidR="000E24D6" w:rsidRDefault="000E24D6" w:rsidP="000E24D6">
      <w:pPr>
        <w:spacing w:line="360" w:lineRule="auto"/>
        <w:rPr>
          <w:rFonts w:ascii="David" w:hAnsi="David"/>
          <w:b/>
          <w:bCs/>
          <w:sz w:val="26"/>
          <w:szCs w:val="26"/>
          <w:u w:val="single"/>
          <w:rtl/>
        </w:rPr>
      </w:pPr>
      <w:r>
        <w:rPr>
          <w:rFonts w:ascii="David" w:hAnsi="David"/>
          <w:b/>
          <w:bCs/>
          <w:sz w:val="26"/>
          <w:szCs w:val="26"/>
          <w:u w:val="single"/>
          <w:rtl/>
        </w:rPr>
        <w:t xml:space="preserve">כתב האישום  </w:t>
      </w:r>
      <w:r>
        <w:rPr>
          <w:rFonts w:ascii="David" w:hAnsi="David"/>
          <w:sz w:val="26"/>
          <w:szCs w:val="26"/>
          <w:u w:val="single"/>
          <w:rtl/>
        </w:rPr>
        <w:t>ב</w:t>
      </w:r>
      <w:hyperlink r:id="rId35" w:history="1">
        <w:r w:rsidR="001B6A44" w:rsidRPr="001B6A44">
          <w:rPr>
            <w:rFonts w:ascii="David" w:hAnsi="David"/>
            <w:b/>
            <w:bCs/>
            <w:color w:val="0000FF"/>
            <w:sz w:val="26"/>
            <w:szCs w:val="26"/>
            <w:u w:val="single"/>
            <w:rtl/>
          </w:rPr>
          <w:t>ת"פ 27417-07-23</w:t>
        </w:r>
      </w:hyperlink>
      <w:r>
        <w:rPr>
          <w:rFonts w:ascii="David" w:hAnsi="David"/>
          <w:b/>
          <w:bCs/>
          <w:sz w:val="26"/>
          <w:szCs w:val="26"/>
          <w:u w:val="single"/>
          <w:rtl/>
        </w:rPr>
        <w:t xml:space="preserve"> </w:t>
      </w:r>
    </w:p>
    <w:p w14:paraId="4697DE65" w14:textId="77777777" w:rsidR="000E24D6" w:rsidRDefault="000E24D6" w:rsidP="000E24D6">
      <w:pPr>
        <w:spacing w:line="360" w:lineRule="auto"/>
        <w:jc w:val="both"/>
        <w:rPr>
          <w:rFonts w:ascii="David" w:hAnsi="David"/>
          <w:rtl/>
        </w:rPr>
      </w:pPr>
      <w:r>
        <w:rPr>
          <w:rFonts w:ascii="David" w:hAnsi="David"/>
          <w:rtl/>
        </w:rPr>
        <w:t>2.</w:t>
      </w:r>
      <w:r>
        <w:rPr>
          <w:rFonts w:ascii="David" w:hAnsi="David"/>
          <w:rtl/>
        </w:rPr>
        <w:tab/>
        <w:t xml:space="preserve">מהחלק הכללי עולה כי במהלך החודשים יוני 2022 ועד מרץ 2023, הפעילה משטרת ישראל את נ.פ כסוכן סמוי לשם איסוף ראיות נגד חשודים שונים ובכללם גם נגד הנאשם. בין הנאשם ורון דוידוב, לבין הסוכן, קיימת היכרות מוקדמת לאירועים נשוא כתב האישום. </w:t>
      </w:r>
    </w:p>
    <w:p w14:paraId="4B3BAF91" w14:textId="77777777" w:rsidR="000E24D6" w:rsidRDefault="000E24D6" w:rsidP="000E24D6">
      <w:pPr>
        <w:spacing w:line="360" w:lineRule="auto"/>
        <w:jc w:val="both"/>
        <w:rPr>
          <w:rFonts w:ascii="David" w:hAnsi="David"/>
          <w:rtl/>
        </w:rPr>
      </w:pPr>
      <w:r>
        <w:rPr>
          <w:rFonts w:ascii="David" w:hAnsi="David"/>
          <w:rtl/>
        </w:rPr>
        <w:lastRenderedPageBreak/>
        <w:t xml:space="preserve">על פי העובדות, ביום 05.12.2022, רון והסוכן שוחחו באמצעות אפליקציית "ווטסאפ" על כך שרון ימכור לסוכן 10 גרם "דוסה" תמורת כסף. במסגרת שיחה זו סייע רון לתווך בין הסוכן לבין הנאשם לאספקת 45 גרם קריסטל (סם מסוכן מסוג קוקאין). בהמשך היום, התכתב רון עם הסוכן ושלח הודעות קוליות באמצעות </w:t>
      </w:r>
      <w:r>
        <w:rPr>
          <w:rFonts w:ascii="David" w:hAnsi="David" w:hint="cs"/>
          <w:rtl/>
        </w:rPr>
        <w:t>"</w:t>
      </w:r>
      <w:r>
        <w:rPr>
          <w:rFonts w:ascii="David" w:hAnsi="David"/>
          <w:rtl/>
        </w:rPr>
        <w:t xml:space="preserve">ווטסאפ" בכדי לתאם עמו מועד להיפגש למימוש העסקה של 10 גרם דוסה. ביום 07.12.2022, בשעת צהריים, פגש הנאשם את הסוכן מחוץ לבניין והשניים נכנסו לחדר המדרגות, שם מסר הנאשם לסוכן סם מסוג קוקאין במשקל של 45 גרם נטו, והסוכן מסר לנאשם  14,000 ₪ במזומן. מאוחר יותר, סמוך לשעה 18:22, לטובת קידום עסקת הדוסה, שלח רון הודעה באמצעות </w:t>
      </w:r>
      <w:r>
        <w:rPr>
          <w:rFonts w:ascii="David" w:hAnsi="David" w:hint="cs"/>
          <w:rtl/>
        </w:rPr>
        <w:t xml:space="preserve"> "</w:t>
      </w:r>
      <w:r>
        <w:rPr>
          <w:rFonts w:ascii="David" w:hAnsi="David"/>
          <w:rtl/>
        </w:rPr>
        <w:t>וואט</w:t>
      </w:r>
      <w:r>
        <w:rPr>
          <w:rFonts w:ascii="David" w:hAnsi="David" w:hint="cs"/>
          <w:rtl/>
        </w:rPr>
        <w:t>ס</w:t>
      </w:r>
      <w:r>
        <w:rPr>
          <w:rFonts w:ascii="David" w:hAnsi="David"/>
          <w:rtl/>
        </w:rPr>
        <w:t xml:space="preserve">אפ" לסוכן, והודיע לו כי הוא נמצא בסמוך לבניין מגוריו, הסוכן יצא ובמעמד זה מסר רון לסוכן סם מסוג  </w:t>
      </w:r>
      <w:r>
        <w:rPr>
          <w:rFonts w:ascii="David" w:hAnsi="David"/>
        </w:rPr>
        <w:t>MDMA</w:t>
      </w:r>
      <w:r>
        <w:rPr>
          <w:rFonts w:ascii="David" w:hAnsi="David"/>
          <w:rtl/>
        </w:rPr>
        <w:t xml:space="preserve"> וסם מסוג קטאמין במשקל כולל של 9 גרם נטו, בתמורה לסם קיבל רון  מהסוכן  1,200 ₪. במעשיו המתוארים לעיל  עשה הנאשם עסקה אחרת בתמורה לסם מסוכן מסוג קוקאין במשקל 45 גרם נטו. </w:t>
      </w:r>
    </w:p>
    <w:p w14:paraId="4BCB3693" w14:textId="77777777" w:rsidR="000E24D6" w:rsidRDefault="000E24D6" w:rsidP="000E24D6">
      <w:pPr>
        <w:spacing w:line="360" w:lineRule="auto"/>
        <w:jc w:val="both"/>
        <w:rPr>
          <w:rFonts w:ascii="David" w:hAnsi="David"/>
          <w:rtl/>
        </w:rPr>
      </w:pPr>
    </w:p>
    <w:p w14:paraId="4DF98AA1" w14:textId="77777777" w:rsidR="000E24D6" w:rsidRDefault="000E24D6" w:rsidP="000E24D6">
      <w:pPr>
        <w:spacing w:line="360" w:lineRule="auto"/>
        <w:jc w:val="both"/>
        <w:rPr>
          <w:rFonts w:ascii="David" w:hAnsi="David"/>
          <w:rtl/>
        </w:rPr>
      </w:pPr>
    </w:p>
    <w:p w14:paraId="79482B89"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כתב האישום ב</w:t>
      </w:r>
      <w:hyperlink r:id="rId36" w:history="1">
        <w:r w:rsidR="001B6A44" w:rsidRPr="001B6A44">
          <w:rPr>
            <w:rFonts w:ascii="David" w:hAnsi="David"/>
            <w:b/>
            <w:bCs/>
            <w:color w:val="0000FF"/>
            <w:sz w:val="26"/>
            <w:szCs w:val="26"/>
            <w:u w:val="single"/>
            <w:rtl/>
          </w:rPr>
          <w:t>ת"פ 924-03-23</w:t>
        </w:r>
      </w:hyperlink>
      <w:r>
        <w:rPr>
          <w:rFonts w:ascii="David" w:hAnsi="David"/>
          <w:b/>
          <w:bCs/>
          <w:sz w:val="26"/>
          <w:szCs w:val="26"/>
          <w:u w:val="single"/>
          <w:rtl/>
        </w:rPr>
        <w:t xml:space="preserve"> </w:t>
      </w:r>
    </w:p>
    <w:p w14:paraId="60BB19EF" w14:textId="77777777" w:rsidR="000E24D6" w:rsidRDefault="000E24D6" w:rsidP="000E24D6">
      <w:pPr>
        <w:spacing w:line="360" w:lineRule="auto"/>
        <w:jc w:val="both"/>
        <w:rPr>
          <w:rFonts w:ascii="David" w:hAnsi="David"/>
          <w:rtl/>
        </w:rPr>
      </w:pPr>
      <w:r>
        <w:rPr>
          <w:rFonts w:ascii="David" w:hAnsi="David"/>
          <w:rtl/>
        </w:rPr>
        <w:t>3.</w:t>
      </w:r>
      <w:r>
        <w:rPr>
          <w:rFonts w:ascii="David" w:hAnsi="David"/>
          <w:rtl/>
        </w:rPr>
        <w:tab/>
        <w:t xml:space="preserve">על פי העובדות,  ביום 08.02.2023  נמצא הנאשם מחזיק בביתו סמים מסוכנים כמפורט להלן: </w:t>
      </w:r>
    </w:p>
    <w:p w14:paraId="04DEC6B6" w14:textId="77777777" w:rsidR="000E24D6" w:rsidRDefault="000E24D6" w:rsidP="000E24D6">
      <w:pPr>
        <w:spacing w:line="360" w:lineRule="auto"/>
        <w:jc w:val="both"/>
        <w:rPr>
          <w:rFonts w:ascii="David" w:hAnsi="David"/>
          <w:rtl/>
        </w:rPr>
      </w:pPr>
      <w:r>
        <w:rPr>
          <w:rFonts w:ascii="David" w:hAnsi="David"/>
          <w:rtl/>
        </w:rPr>
        <w:t xml:space="preserve">בחדר שינה ממ"ד - סם קטאמין במשקל נטו של 9.002 גרם. </w:t>
      </w:r>
    </w:p>
    <w:p w14:paraId="7179E245" w14:textId="77777777" w:rsidR="000E24D6" w:rsidRDefault="000E24D6" w:rsidP="000E24D6">
      <w:pPr>
        <w:spacing w:line="360" w:lineRule="auto"/>
        <w:jc w:val="both"/>
        <w:rPr>
          <w:rFonts w:ascii="David" w:hAnsi="David"/>
          <w:rtl/>
        </w:rPr>
      </w:pPr>
      <w:r>
        <w:rPr>
          <w:rFonts w:ascii="David" w:hAnsi="David"/>
          <w:rtl/>
        </w:rPr>
        <w:t xml:space="preserve">בקרטון מטף כיבוי אש בממ"ד - סם </w:t>
      </w:r>
      <w:r>
        <w:rPr>
          <w:rFonts w:ascii="David" w:hAnsi="David"/>
        </w:rPr>
        <w:t xml:space="preserve">m-METHYLMETHCATHINONE </w:t>
      </w:r>
      <w:r>
        <w:rPr>
          <w:rFonts w:ascii="David" w:hAnsi="David"/>
          <w:rtl/>
        </w:rPr>
        <w:t xml:space="preserve"> במשקל 18 גרם. </w:t>
      </w:r>
    </w:p>
    <w:p w14:paraId="6BEA6D12" w14:textId="77777777" w:rsidR="000E24D6" w:rsidRDefault="000E24D6" w:rsidP="000E24D6">
      <w:pPr>
        <w:spacing w:after="160" w:line="360" w:lineRule="auto"/>
        <w:contextualSpacing/>
        <w:jc w:val="both"/>
        <w:rPr>
          <w:rFonts w:ascii="David" w:hAnsi="David"/>
        </w:rPr>
      </w:pPr>
      <w:r>
        <w:rPr>
          <w:rFonts w:ascii="David" w:hAnsi="David"/>
          <w:rtl/>
        </w:rPr>
        <w:t xml:space="preserve">בחדר שינה - סם קנבוס במשקל נטו של 50 גרם. </w:t>
      </w:r>
    </w:p>
    <w:p w14:paraId="1B673D0F" w14:textId="77777777" w:rsidR="000E24D6" w:rsidRDefault="000E24D6" w:rsidP="000E24D6">
      <w:pPr>
        <w:spacing w:after="160" w:line="360" w:lineRule="auto"/>
        <w:contextualSpacing/>
        <w:jc w:val="both"/>
        <w:rPr>
          <w:rFonts w:ascii="David" w:hAnsi="David"/>
          <w:rtl/>
        </w:rPr>
      </w:pPr>
      <w:r>
        <w:rPr>
          <w:rFonts w:ascii="David" w:hAnsi="David"/>
          <w:rtl/>
        </w:rPr>
        <w:t xml:space="preserve">בחדר שינה - תערובת של סם מסוג </w:t>
      </w:r>
      <w:r>
        <w:rPr>
          <w:rFonts w:ascii="David" w:hAnsi="David"/>
        </w:rPr>
        <w:t>MDMA</w:t>
      </w:r>
      <w:r>
        <w:rPr>
          <w:rFonts w:ascii="David" w:hAnsi="David"/>
          <w:rtl/>
        </w:rPr>
        <w:t xml:space="preserve"> וקטמין במשקל נטו של 15 גרם. </w:t>
      </w:r>
    </w:p>
    <w:p w14:paraId="629E231E" w14:textId="77777777" w:rsidR="000E24D6" w:rsidRDefault="000E24D6" w:rsidP="000E24D6">
      <w:pPr>
        <w:spacing w:after="160" w:line="360" w:lineRule="auto"/>
        <w:contextualSpacing/>
        <w:jc w:val="both"/>
        <w:rPr>
          <w:rFonts w:ascii="David" w:hAnsi="David"/>
        </w:rPr>
      </w:pPr>
      <w:r>
        <w:rPr>
          <w:rFonts w:ascii="David" w:hAnsi="David"/>
          <w:rtl/>
        </w:rPr>
        <w:t xml:space="preserve">בחדר שינה  - תערובת של סם מסוג </w:t>
      </w:r>
      <w:r>
        <w:rPr>
          <w:rFonts w:ascii="David" w:hAnsi="David"/>
        </w:rPr>
        <w:t>MDMA</w:t>
      </w:r>
      <w:r>
        <w:rPr>
          <w:rFonts w:ascii="David" w:hAnsi="David"/>
          <w:rtl/>
        </w:rPr>
        <w:t xml:space="preserve"> וקטמין במשקל נטו של 10 גרם. </w:t>
      </w:r>
    </w:p>
    <w:p w14:paraId="67B6185A" w14:textId="77777777" w:rsidR="000E24D6" w:rsidRDefault="000E24D6" w:rsidP="000E24D6">
      <w:pPr>
        <w:spacing w:after="160" w:line="360" w:lineRule="auto"/>
        <w:contextualSpacing/>
        <w:jc w:val="both"/>
        <w:rPr>
          <w:rFonts w:ascii="David" w:hAnsi="David"/>
        </w:rPr>
      </w:pPr>
      <w:r>
        <w:rPr>
          <w:rFonts w:ascii="David" w:hAnsi="David"/>
          <w:rtl/>
        </w:rPr>
        <w:t xml:space="preserve">בחדר שינה -  35 יחידות של סם מסוכן מסוג </w:t>
      </w:r>
      <w:r>
        <w:rPr>
          <w:rFonts w:ascii="David" w:hAnsi="David"/>
        </w:rPr>
        <w:t>MDMA</w:t>
      </w:r>
      <w:r>
        <w:rPr>
          <w:rFonts w:ascii="David" w:hAnsi="David"/>
          <w:rtl/>
        </w:rPr>
        <w:t xml:space="preserve">. </w:t>
      </w:r>
    </w:p>
    <w:p w14:paraId="4FD12875" w14:textId="77777777" w:rsidR="000E24D6" w:rsidRDefault="000E24D6" w:rsidP="000E24D6">
      <w:pPr>
        <w:spacing w:line="360" w:lineRule="auto"/>
        <w:jc w:val="both"/>
        <w:rPr>
          <w:rFonts w:ascii="David" w:hAnsi="David"/>
        </w:rPr>
      </w:pPr>
    </w:p>
    <w:p w14:paraId="260A02B2" w14:textId="77777777" w:rsidR="000E24D6" w:rsidRDefault="000E24D6" w:rsidP="000E24D6">
      <w:pPr>
        <w:spacing w:line="360" w:lineRule="auto"/>
        <w:jc w:val="both"/>
        <w:rPr>
          <w:rFonts w:ascii="David" w:hAnsi="David"/>
          <w:rtl/>
        </w:rPr>
      </w:pPr>
      <w:r>
        <w:rPr>
          <w:rFonts w:ascii="David" w:hAnsi="David"/>
          <w:rtl/>
        </w:rPr>
        <w:t xml:space="preserve">עוד נמצא הנאשם כשהוא מחזיק בצידנית מאחורי דלת חדר הממ"ד - אקדח הזנקה חצי אוטומטי, קליבר </w:t>
      </w:r>
      <w:r>
        <w:rPr>
          <w:rFonts w:ascii="David" w:hAnsi="David"/>
        </w:rPr>
        <w:t>P.A.K</w:t>
      </w:r>
      <w:r>
        <w:rPr>
          <w:rFonts w:ascii="David" w:hAnsi="David"/>
          <w:rtl/>
        </w:rPr>
        <w:t xml:space="preserve"> 9 מ"מ אשר הוסב לירי תחמושת קליעית בקליבר 9 מ"מ פאראבלום; אקדח הזנקה חצי אוטומטי, קליבר </w:t>
      </w:r>
      <w:r>
        <w:rPr>
          <w:rFonts w:ascii="David" w:hAnsi="David"/>
        </w:rPr>
        <w:t>P.A.K</w:t>
      </w:r>
      <w:r>
        <w:rPr>
          <w:rFonts w:ascii="David" w:hAnsi="David"/>
          <w:rtl/>
        </w:rPr>
        <w:t xml:space="preserve"> 9 מ"מ אשר הוסב לירי תחמושת קליעית בקליבר 9 מ"מ קצר, כאשר בכל אחד מהאקדחים מחסנית ריקה המתאימה לאקדחים. עוד החזיק הנאשם בצידנית, 6 כדורי תחמושת 9 מ"מ.</w:t>
      </w:r>
    </w:p>
    <w:p w14:paraId="6916399C" w14:textId="77777777" w:rsidR="000E24D6" w:rsidRDefault="000E24D6" w:rsidP="000E24D6">
      <w:pPr>
        <w:spacing w:line="360" w:lineRule="auto"/>
        <w:jc w:val="both"/>
        <w:rPr>
          <w:rFonts w:ascii="David" w:hAnsi="David"/>
          <w:rtl/>
        </w:rPr>
      </w:pPr>
      <w:r>
        <w:rPr>
          <w:rFonts w:ascii="David" w:hAnsi="David"/>
          <w:rtl/>
        </w:rPr>
        <w:t xml:space="preserve">במעשיו המתוארים, החזיק הנאשם בנשק בלא רשות על פי דין להחזיקו, </w:t>
      </w:r>
      <w:r>
        <w:rPr>
          <w:rFonts w:ascii="David" w:hAnsi="David"/>
          <w:b/>
          <w:bCs/>
          <w:rtl/>
        </w:rPr>
        <w:t xml:space="preserve">וסייע </w:t>
      </w:r>
      <w:r>
        <w:rPr>
          <w:rFonts w:ascii="David" w:hAnsi="David"/>
          <w:rtl/>
        </w:rPr>
        <w:t xml:space="preserve">לאחר להחזיק נשק שלא כדין. עוד במעשיו, החזיק הנאשם במחסניות ובתחמושת ללא רשות על פי דין להחזקתם. </w:t>
      </w:r>
    </w:p>
    <w:p w14:paraId="14ACF270" w14:textId="77777777" w:rsidR="000E24D6" w:rsidRDefault="000E24D6" w:rsidP="000E24D6">
      <w:pPr>
        <w:spacing w:line="360" w:lineRule="auto"/>
        <w:jc w:val="both"/>
        <w:rPr>
          <w:rFonts w:ascii="David" w:hAnsi="David"/>
          <w:rtl/>
        </w:rPr>
      </w:pPr>
    </w:p>
    <w:p w14:paraId="49DD6138"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תסקיר שירות מבחן</w:t>
      </w:r>
    </w:p>
    <w:p w14:paraId="4CE77377" w14:textId="77777777" w:rsidR="000E24D6" w:rsidRDefault="000E24D6" w:rsidP="000E24D6">
      <w:pPr>
        <w:spacing w:line="360" w:lineRule="auto"/>
        <w:jc w:val="both"/>
        <w:rPr>
          <w:rFonts w:ascii="David" w:hAnsi="David"/>
          <w:rtl/>
        </w:rPr>
      </w:pPr>
      <w:r>
        <w:rPr>
          <w:rFonts w:ascii="David" w:hAnsi="David"/>
          <w:rtl/>
        </w:rPr>
        <w:t>4.</w:t>
      </w:r>
      <w:r>
        <w:rPr>
          <w:rFonts w:ascii="David" w:hAnsi="David"/>
          <w:rtl/>
        </w:rPr>
        <w:tab/>
        <w:t xml:space="preserve">מתסקיר שהוגש ביום 28.01.2024 עולה כי הנאשם, כבן 24, רווק, טרם מעצרו לא עבד, התגורר בגפו בדירה שכורה בבאר שבע. מסקירת עברו של הנאשם נלמד כי משפחת מוצאו מנתה זוג הורים גרושים ו-6 . אביו נפטר בשנת 2021 , אמו כבת 46 עקרת בית, מאובחנת כחולת סרטן הדם. </w:t>
      </w:r>
    </w:p>
    <w:p w14:paraId="66457911" w14:textId="77777777" w:rsidR="000E24D6" w:rsidRDefault="000E24D6" w:rsidP="000E24D6">
      <w:pPr>
        <w:spacing w:line="360" w:lineRule="auto"/>
        <w:jc w:val="both"/>
        <w:rPr>
          <w:rFonts w:ascii="David" w:hAnsi="David"/>
          <w:rtl/>
        </w:rPr>
      </w:pPr>
    </w:p>
    <w:p w14:paraId="12425D0A" w14:textId="77777777" w:rsidR="000E24D6" w:rsidRDefault="000E24D6" w:rsidP="000E24D6">
      <w:pPr>
        <w:spacing w:line="360" w:lineRule="auto"/>
        <w:jc w:val="both"/>
        <w:rPr>
          <w:rFonts w:ascii="David" w:hAnsi="David"/>
          <w:rtl/>
        </w:rPr>
      </w:pPr>
      <w:r>
        <w:rPr>
          <w:rFonts w:ascii="David" w:hAnsi="David"/>
          <w:rtl/>
        </w:rPr>
        <w:t>בהיותו כבן 12 הוצא הנאשם מביתו בצו בית המשפט בהמלצת גורמי הרווחה, למסגרת חוץ ביתית והתגורר במשפחתון של משרד הרווחה במשך שנתיים. בהמשך הועבר לפנימיית  "העוגן הקהילתי" בבאר שבע, שם שהה מגיל 13 ועד גיל 17 וחצי ולאחר סיום לימודיו עבר להתגורר עם אביו.  לדבריו שירת בצה"ל כשנה וחצי, על רקע קשיים כלכליים ערק מהשירות משך  8 חודשים ובהמשך קיבל פטור מהמשך שירותו הצבאי. לאחר שחרורו החל לעבוד בתחום השיפוצים עד מעצרו הקודם.</w:t>
      </w:r>
    </w:p>
    <w:p w14:paraId="16F816A3" w14:textId="77777777" w:rsidR="000E24D6" w:rsidRDefault="000E24D6" w:rsidP="000E24D6">
      <w:pPr>
        <w:spacing w:line="360" w:lineRule="auto"/>
        <w:jc w:val="both"/>
        <w:rPr>
          <w:rFonts w:ascii="David" w:hAnsi="David"/>
          <w:rtl/>
        </w:rPr>
      </w:pPr>
    </w:p>
    <w:p w14:paraId="46892210" w14:textId="77777777" w:rsidR="000E24D6" w:rsidRDefault="000E24D6" w:rsidP="000E24D6">
      <w:pPr>
        <w:spacing w:line="360" w:lineRule="auto"/>
        <w:jc w:val="both"/>
        <w:rPr>
          <w:rFonts w:ascii="David" w:hAnsi="David"/>
          <w:rtl/>
        </w:rPr>
      </w:pPr>
      <w:r>
        <w:rPr>
          <w:rFonts w:ascii="David" w:hAnsi="David"/>
          <w:rtl/>
        </w:rPr>
        <w:t xml:space="preserve">הנאשם מוכר לשירות המבחן </w:t>
      </w:r>
      <w:r>
        <w:rPr>
          <w:rFonts w:ascii="David" w:hAnsi="David" w:hint="cs"/>
          <w:rtl/>
        </w:rPr>
        <w:t xml:space="preserve">בהליך פלילי </w:t>
      </w:r>
      <w:r>
        <w:rPr>
          <w:rFonts w:ascii="David" w:hAnsi="David"/>
          <w:rtl/>
        </w:rPr>
        <w:t>משנת 2019</w:t>
      </w:r>
      <w:r>
        <w:rPr>
          <w:rFonts w:ascii="David" w:hAnsi="David" w:hint="cs"/>
          <w:rtl/>
        </w:rPr>
        <w:t>, ו</w:t>
      </w:r>
      <w:r>
        <w:rPr>
          <w:rFonts w:ascii="David" w:hAnsi="David"/>
          <w:rtl/>
        </w:rPr>
        <w:t xml:space="preserve">בתיק הנדון במסגרת הליך המעצר. שירות </w:t>
      </w:r>
      <w:r>
        <w:rPr>
          <w:rFonts w:ascii="David" w:hAnsi="David" w:hint="cs"/>
          <w:rtl/>
        </w:rPr>
        <w:t xml:space="preserve">ציין בהתרשמותו לפיה </w:t>
      </w:r>
      <w:r>
        <w:rPr>
          <w:rFonts w:ascii="David" w:hAnsi="David"/>
          <w:rtl/>
        </w:rPr>
        <w:t xml:space="preserve">מדובר בבחור אשר על רקע תנאי גדילתו מצא מענה בחומרים ממכרים ועל כן נזקק לטיפול בהתמכרותו. לאור מוטיבציה שהביע בהשתלבותו בקהילה טיפולית הופנה ל"רוח במדבר".  בית המשפט (כב' השופט יניב בן הרוש) הורה על שחרורו לחלופה הטיפולית בהחלטה מיום 20.07.23 , אולם סמוך לאחר מכן הוברר כי לא ניתן ליישם את החלטת בית המשפט. </w:t>
      </w:r>
    </w:p>
    <w:p w14:paraId="15EC9828" w14:textId="77777777" w:rsidR="000E24D6" w:rsidRDefault="000E24D6" w:rsidP="000E24D6">
      <w:pPr>
        <w:spacing w:line="360" w:lineRule="auto"/>
        <w:jc w:val="both"/>
        <w:rPr>
          <w:rFonts w:ascii="David" w:hAnsi="David"/>
          <w:rtl/>
        </w:rPr>
      </w:pPr>
      <w:r>
        <w:rPr>
          <w:rFonts w:ascii="David" w:hAnsi="David"/>
          <w:rtl/>
        </w:rPr>
        <w:t>השירות ציין כי ביחס לעבירה של עסקה אחרת בסם, הביע הנאשם חרטה על ביצועה, הודה ולקח אחריות על מעשיו. בהקשר זה, הנאשם מסר לשירות המבחן כי בתקופה הרלוונטית חזר לשימוש מאסיבי, שכר דירה ונקלע לקשיים בתשלום שכר הדירה, לא פנה לעזרה והחליט למכור סמים לצורך עשיית כסף קל ורווח נקי, גם במחיר של מעבר על החוק. לדבריו, לא הבין את חומרת מעשיו ולא חשב על השלכותיהם, לרבות פוטנציאל הנזק</w:t>
      </w:r>
      <w:r w:rsidRPr="006D7BF6">
        <w:rPr>
          <w:rFonts w:ascii="David" w:hAnsi="David"/>
          <w:rtl/>
        </w:rPr>
        <w:t>, שכן באותה עת היה ממוקד בהתמכרותו.</w:t>
      </w:r>
      <w:r>
        <w:rPr>
          <w:rFonts w:ascii="David" w:hAnsi="David"/>
          <w:rtl/>
        </w:rPr>
        <w:t xml:space="preserve"> </w:t>
      </w:r>
    </w:p>
    <w:p w14:paraId="3095EFED" w14:textId="77777777" w:rsidR="000E24D6" w:rsidRPr="006D7BF6" w:rsidRDefault="000E24D6" w:rsidP="000E24D6">
      <w:pPr>
        <w:spacing w:line="360" w:lineRule="auto"/>
        <w:jc w:val="both"/>
        <w:rPr>
          <w:rFonts w:ascii="David" w:hAnsi="David"/>
          <w:rtl/>
        </w:rPr>
      </w:pPr>
      <w:r w:rsidRPr="006D7BF6">
        <w:rPr>
          <w:rFonts w:ascii="David" w:hAnsi="David"/>
          <w:b/>
          <w:bCs/>
          <w:rtl/>
        </w:rPr>
        <w:t>אשר לעבירות בהן הורשע ב</w:t>
      </w:r>
      <w:hyperlink r:id="rId37" w:history="1">
        <w:r w:rsidR="001B6A44" w:rsidRPr="001B6A44">
          <w:rPr>
            <w:rFonts w:ascii="David" w:hAnsi="David"/>
            <w:b/>
            <w:bCs/>
            <w:color w:val="0000FF"/>
            <w:u w:val="single"/>
            <w:rtl/>
          </w:rPr>
          <w:t>ת"פ 924-03-23</w:t>
        </w:r>
      </w:hyperlink>
      <w:r w:rsidRPr="006D7BF6">
        <w:rPr>
          <w:rFonts w:ascii="David" w:hAnsi="David"/>
          <w:rtl/>
        </w:rPr>
        <w:t xml:space="preserve">, מסר הנאשם כי בתקופה הרלוונטית עסק בתחום הסמים, התרועע עם אוכלוסייה המעורבת בתחום הסמים, צרך והחזיק בביתו סמים מסוגים שונים.  באשר לעבירות של החזקת נשק ציין השירות בקושי של הנאשם להסביר מדוע החזיק באקדחים וכל שמסר בעניין הוא כי פעל מתוך תחושת פרנויות וחרדה הגם ששלל סכסוכים עם אחרים. </w:t>
      </w:r>
    </w:p>
    <w:p w14:paraId="03223630" w14:textId="77777777" w:rsidR="000E24D6" w:rsidRPr="006D7BF6" w:rsidRDefault="000E24D6" w:rsidP="000E24D6">
      <w:pPr>
        <w:spacing w:line="360" w:lineRule="auto"/>
        <w:jc w:val="both"/>
        <w:rPr>
          <w:rFonts w:ascii="David" w:hAnsi="David"/>
          <w:rtl/>
        </w:rPr>
      </w:pPr>
      <w:r w:rsidRPr="006D7BF6">
        <w:rPr>
          <w:rFonts w:ascii="David" w:hAnsi="David"/>
          <w:rtl/>
        </w:rPr>
        <w:t xml:space="preserve">ממידע עדכני של שב"ס עולה  כי לא שולב במהלך מעצרו לא במסגרת התעסוקה או החינוך; </w:t>
      </w:r>
      <w:r w:rsidRPr="006D7BF6">
        <w:rPr>
          <w:rFonts w:ascii="David" w:hAnsi="David"/>
        </w:rPr>
        <w:t xml:space="preserve"> </w:t>
      </w:r>
      <w:r w:rsidRPr="006D7BF6">
        <w:rPr>
          <w:rFonts w:ascii="David" w:hAnsi="David"/>
          <w:rtl/>
        </w:rPr>
        <w:t>כי קיימת לו עבירת משמעת יחידה מיום 08.11.2023; דגימות שתן לאיתור סם נמצאו נקיות</w:t>
      </w:r>
      <w:r w:rsidRPr="006D7BF6">
        <w:rPr>
          <w:rFonts w:ascii="David" w:hAnsi="David"/>
        </w:rPr>
        <w:t xml:space="preserve"> </w:t>
      </w:r>
      <w:r w:rsidRPr="006D7BF6">
        <w:rPr>
          <w:rFonts w:ascii="David" w:hAnsi="David"/>
          <w:rtl/>
        </w:rPr>
        <w:t xml:space="preserve"> וכי בהיבט הטיפולי  נמצא הנאשם בקשר מעקבי עם עובדת סוציאלית. </w:t>
      </w:r>
    </w:p>
    <w:p w14:paraId="52856FCE" w14:textId="77777777" w:rsidR="000E24D6" w:rsidRPr="006D7BF6" w:rsidRDefault="000E24D6" w:rsidP="000E24D6">
      <w:pPr>
        <w:spacing w:line="360" w:lineRule="auto"/>
        <w:jc w:val="both"/>
        <w:rPr>
          <w:rFonts w:ascii="David" w:hAnsi="David"/>
          <w:rtl/>
        </w:rPr>
      </w:pPr>
      <w:r w:rsidRPr="006D7BF6">
        <w:rPr>
          <w:rFonts w:ascii="David" w:hAnsi="David"/>
          <w:rtl/>
        </w:rPr>
        <w:t xml:space="preserve">בתקופה בה היה עצור בכלא ניצן שולב הנאשם במגוון קבוצות בתחום רגשות, כישורי חיים, זיהוי מצבי סיכון והכנה. נכון למועד הגשת התסקיר לא משולב בהליך טיפולי, הגם שהוצע לו להשתלב בתכנית הכנה לגמילה אשר מתקיימת בבית המעצר אוהלי קידר. בהקשר זה נמסר כי הנאשם הביע רצונו להשתלב בטיפול מחוץ לכותלי הכלא. </w:t>
      </w:r>
    </w:p>
    <w:p w14:paraId="641F1DA9" w14:textId="77777777" w:rsidR="000E24D6" w:rsidRPr="006D7BF6" w:rsidRDefault="000E24D6" w:rsidP="000E24D6">
      <w:pPr>
        <w:spacing w:line="360" w:lineRule="auto"/>
        <w:jc w:val="both"/>
        <w:rPr>
          <w:rFonts w:ascii="David" w:hAnsi="David"/>
          <w:rtl/>
        </w:rPr>
      </w:pPr>
    </w:p>
    <w:p w14:paraId="18C1B57D" w14:textId="77777777" w:rsidR="000E24D6" w:rsidRPr="006D7BF6" w:rsidRDefault="000E24D6" w:rsidP="000E24D6">
      <w:pPr>
        <w:spacing w:line="360" w:lineRule="auto"/>
        <w:jc w:val="both"/>
        <w:rPr>
          <w:rFonts w:ascii="David" w:hAnsi="David"/>
          <w:rtl/>
        </w:rPr>
      </w:pPr>
      <w:r w:rsidRPr="006D7BF6">
        <w:rPr>
          <w:rFonts w:ascii="David" w:hAnsi="David"/>
          <w:rtl/>
        </w:rPr>
        <w:t xml:space="preserve">השירות התרשם מהנאשם כבעל כוחות, מקדם עצמו, כריזמטי, בעל יכולת לגייס את האחר עבורו, בעל כישורים ופוטנציאל לא ממומשים אשר ניכר כי המעצר וההליך המשפטי המתנהל נגדו מהווים גורם מרתיע עבורו, והוא עובר תהליך משמעותי ומשנה אורחות חייו. </w:t>
      </w:r>
    </w:p>
    <w:p w14:paraId="5A5C2EC3" w14:textId="77777777" w:rsidR="000E24D6" w:rsidRDefault="000E24D6" w:rsidP="000E24D6">
      <w:pPr>
        <w:spacing w:line="360" w:lineRule="auto"/>
        <w:jc w:val="both"/>
        <w:rPr>
          <w:rFonts w:ascii="David" w:hAnsi="David"/>
          <w:rtl/>
        </w:rPr>
      </w:pPr>
      <w:r w:rsidRPr="006D7BF6">
        <w:rPr>
          <w:rFonts w:ascii="David" w:hAnsi="David"/>
          <w:b/>
          <w:bCs/>
          <w:rtl/>
        </w:rPr>
        <w:t>בהתייחסו לגורמי הסיכוי לשיקום,</w:t>
      </w:r>
      <w:r w:rsidRPr="006D7BF6">
        <w:rPr>
          <w:rFonts w:ascii="David" w:hAnsi="David"/>
          <w:rtl/>
        </w:rPr>
        <w:t xml:space="preserve"> ציין שירות המבחן ביכולות וורבליות</w:t>
      </w:r>
      <w:r>
        <w:rPr>
          <w:rFonts w:ascii="David" w:hAnsi="David"/>
          <w:rtl/>
        </w:rPr>
        <w:t xml:space="preserve"> וקוגניטיביות תקינות אצל הנאשם, אשר על אף נסיבות חייו הצליח לגייס כוחות הישרדותיים להתמודדות ונראה שהצליח להסתגל למסגרות השונות בחייו כמו במישור הלימודי והתעסוקתי והזוגי. </w:t>
      </w:r>
    </w:p>
    <w:p w14:paraId="1D7ACB14" w14:textId="77777777" w:rsidR="000E24D6" w:rsidRPr="006D7BF6" w:rsidRDefault="000E24D6" w:rsidP="000E24D6">
      <w:pPr>
        <w:spacing w:line="360" w:lineRule="auto"/>
        <w:jc w:val="both"/>
        <w:rPr>
          <w:rFonts w:ascii="David" w:hAnsi="David"/>
          <w:rtl/>
        </w:rPr>
      </w:pPr>
      <w:r>
        <w:rPr>
          <w:rFonts w:ascii="David" w:hAnsi="David"/>
          <w:b/>
          <w:bCs/>
          <w:rtl/>
        </w:rPr>
        <w:t>בהתייחס לגורמי הסיכון להישנות עבירות</w:t>
      </w:r>
      <w:r>
        <w:rPr>
          <w:rFonts w:ascii="David" w:hAnsi="David"/>
          <w:rtl/>
        </w:rPr>
        <w:t>, ציין השירות בילדות מורכבת שחווה הנאשם אשר נותק מהתא המשפחתי, ללא הכוונה וללא גבולות, כשבהמשך חבר לנוער שוליים במסגרות חוץ ביתיות בהן שולב; בקשיים בגיבוש זהות עצמית על רקע ילדות מורכבת;</w:t>
      </w:r>
      <w:r>
        <w:rPr>
          <w:rFonts w:ascii="David" w:hAnsi="David"/>
        </w:rPr>
        <w:t xml:space="preserve"> </w:t>
      </w:r>
      <w:r>
        <w:rPr>
          <w:rFonts w:ascii="David" w:hAnsi="David"/>
          <w:rtl/>
        </w:rPr>
        <w:t xml:space="preserve"> בקושי בהפעלת שיקול דעת מעמיק במצבים חברתיים שונים;</w:t>
      </w:r>
      <w:r>
        <w:rPr>
          <w:rFonts w:ascii="David" w:hAnsi="David"/>
        </w:rPr>
        <w:t xml:space="preserve">c </w:t>
      </w:r>
      <w:r>
        <w:rPr>
          <w:rFonts w:ascii="David" w:hAnsi="David"/>
          <w:rtl/>
        </w:rPr>
        <w:t xml:space="preserve">העדר כלים להתמודדות שקולה ונכונה. שירות </w:t>
      </w:r>
      <w:r w:rsidRPr="006D7BF6">
        <w:rPr>
          <w:rFonts w:ascii="David" w:hAnsi="David"/>
          <w:rtl/>
        </w:rPr>
        <w:t xml:space="preserve">המבחן העריך כי חלה התדרדרות במצבו הרגשי בחודשים האחרונים שקדמו לעבירות הנידונות אשר השפיעה על התנהלותו. </w:t>
      </w:r>
    </w:p>
    <w:p w14:paraId="0ACD88BF" w14:textId="77777777" w:rsidR="000E24D6" w:rsidRDefault="000E24D6" w:rsidP="000E24D6">
      <w:pPr>
        <w:spacing w:line="360" w:lineRule="auto"/>
        <w:jc w:val="both"/>
        <w:rPr>
          <w:rFonts w:ascii="David" w:hAnsi="David"/>
          <w:rtl/>
        </w:rPr>
      </w:pPr>
      <w:r w:rsidRPr="006D7BF6">
        <w:rPr>
          <w:rFonts w:ascii="David" w:hAnsi="David"/>
          <w:rtl/>
        </w:rPr>
        <w:t xml:space="preserve">בהמשך, לאחר שקלול כלל הנתונים הנדרשים לו, העריך השירות  כי במקרה זה נדרשת ענישה מוחשית אשר תבהיר לנאשם את חומרת מעשיו, ומצד שני תביא בחשבון תקופת מעצרו, את שיתוף הפעולה עם גורמי הטיפול, ההליך הטיפולי שעובר הנאשם, את גילו הצעיר, סיפור חייו המורכב וכוחותיו לשיקום, והמליץ לבחינת שב"ס  אפשרות שילוב הנאשם בהליך טיפולי המתאים לצרכיו הרגשיים בתחום ההתמכרויות. </w:t>
      </w:r>
      <w:r>
        <w:rPr>
          <w:rFonts w:ascii="David" w:hAnsi="David"/>
          <w:rtl/>
        </w:rPr>
        <w:t xml:space="preserve"> </w:t>
      </w:r>
    </w:p>
    <w:p w14:paraId="0A03CFFF" w14:textId="77777777" w:rsidR="000E24D6" w:rsidRDefault="000E24D6" w:rsidP="000E24D6">
      <w:pPr>
        <w:spacing w:line="360" w:lineRule="auto"/>
        <w:jc w:val="both"/>
        <w:rPr>
          <w:rFonts w:ascii="David" w:hAnsi="David"/>
          <w:rtl/>
        </w:rPr>
      </w:pPr>
      <w:r>
        <w:rPr>
          <w:rFonts w:ascii="David" w:hAnsi="David"/>
          <w:rtl/>
        </w:rPr>
        <w:t xml:space="preserve">בסוף הדברים, הוסיף השירות כי ככל ובית המשפט יחליט לאפשר בחינת שילובו של הנאשם  בקהילת "רוח במדבר" תידרש דחייה בעניינו.   </w:t>
      </w:r>
    </w:p>
    <w:p w14:paraId="4F4F1D7D" w14:textId="77777777" w:rsidR="000E24D6" w:rsidRDefault="000E24D6" w:rsidP="000E24D6">
      <w:pPr>
        <w:spacing w:line="360" w:lineRule="auto"/>
        <w:jc w:val="both"/>
        <w:rPr>
          <w:rFonts w:ascii="David" w:hAnsi="David"/>
          <w:b/>
          <w:bCs/>
          <w:u w:val="single"/>
          <w:rtl/>
        </w:rPr>
      </w:pPr>
    </w:p>
    <w:p w14:paraId="292B1290"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ראיות ותמצית טיעוני התביעה</w:t>
      </w:r>
    </w:p>
    <w:p w14:paraId="7473E318" w14:textId="77777777" w:rsidR="000E24D6" w:rsidRDefault="000E24D6" w:rsidP="000E24D6">
      <w:pPr>
        <w:spacing w:line="360" w:lineRule="auto"/>
        <w:jc w:val="both"/>
        <w:rPr>
          <w:rFonts w:ascii="David" w:hAnsi="David"/>
          <w:rtl/>
        </w:rPr>
      </w:pPr>
      <w:r>
        <w:rPr>
          <w:rFonts w:ascii="David" w:hAnsi="David"/>
          <w:rtl/>
        </w:rPr>
        <w:t>5.</w:t>
      </w:r>
      <w:r>
        <w:rPr>
          <w:rFonts w:ascii="David" w:hAnsi="David"/>
          <w:rtl/>
        </w:rPr>
        <w:tab/>
        <w:t>התביעה הגישה לראיה את רישומו הפלילי והתעבורתי של הנאשם; מאסר מותנה בן 10 חודשים ופסילה מותנית בת 6  חודשים  מ</w:t>
      </w:r>
      <w:hyperlink r:id="rId38" w:history="1">
        <w:r w:rsidR="001B6A44" w:rsidRPr="001B6A44">
          <w:rPr>
            <w:rFonts w:ascii="David" w:hAnsi="David"/>
            <w:color w:val="0000FF"/>
            <w:u w:val="single"/>
            <w:rtl/>
          </w:rPr>
          <w:t>ת"פ 27269-02-19</w:t>
        </w:r>
      </w:hyperlink>
      <w:r>
        <w:rPr>
          <w:rFonts w:ascii="David" w:hAnsi="David"/>
          <w:rtl/>
        </w:rPr>
        <w:t>; כתב אישום, הכרעת דין וגזר דין מ</w:t>
      </w:r>
      <w:hyperlink r:id="rId39" w:history="1">
        <w:r w:rsidR="001B6A44" w:rsidRPr="001B6A44">
          <w:rPr>
            <w:rFonts w:ascii="David" w:hAnsi="David"/>
            <w:color w:val="0000FF"/>
            <w:u w:val="single"/>
            <w:rtl/>
          </w:rPr>
          <w:t>ת"פ 50474-02-21</w:t>
        </w:r>
      </w:hyperlink>
      <w:r>
        <w:rPr>
          <w:rFonts w:ascii="David" w:hAnsi="David"/>
          <w:rtl/>
        </w:rPr>
        <w:t xml:space="preserve"> בעבירות סמים מסוג פשע</w:t>
      </w:r>
      <w:r>
        <w:rPr>
          <w:rFonts w:ascii="David" w:hAnsi="David" w:hint="cs"/>
          <w:rtl/>
        </w:rPr>
        <w:t>.</w:t>
      </w:r>
    </w:p>
    <w:p w14:paraId="1CDC062F" w14:textId="77777777" w:rsidR="000E24D6" w:rsidRDefault="000E24D6" w:rsidP="000E24D6">
      <w:pPr>
        <w:spacing w:line="360" w:lineRule="auto"/>
        <w:jc w:val="both"/>
        <w:rPr>
          <w:rFonts w:ascii="David" w:hAnsi="David"/>
          <w:rtl/>
        </w:rPr>
      </w:pPr>
      <w:r>
        <w:rPr>
          <w:rFonts w:ascii="David" w:hAnsi="David"/>
          <w:rtl/>
        </w:rPr>
        <w:t xml:space="preserve">בטיעוניה לעונש בכתב ועל פה עתרה </w:t>
      </w:r>
      <w:r w:rsidRPr="006D7BF6">
        <w:rPr>
          <w:rFonts w:ascii="David" w:hAnsi="David"/>
          <w:rtl/>
        </w:rPr>
        <w:t>לקבוע 3 מתחמי ענישה נפרשים: ב</w:t>
      </w:r>
      <w:hyperlink r:id="rId40" w:history="1">
        <w:r w:rsidR="001B6A44" w:rsidRPr="001B6A44">
          <w:rPr>
            <w:rFonts w:ascii="David" w:hAnsi="David"/>
            <w:color w:val="0000FF"/>
            <w:u w:val="single"/>
            <w:rtl/>
          </w:rPr>
          <w:t>ת"פ 27417-07-23</w:t>
        </w:r>
      </w:hyperlink>
      <w:r w:rsidRPr="006D7BF6">
        <w:rPr>
          <w:rFonts w:ascii="David" w:hAnsi="David"/>
          <w:rtl/>
        </w:rPr>
        <w:t xml:space="preserve"> טענה למתחם עונש שינוע בין 3 שנים ל – 5 שנות מאסר בפועל.</w:t>
      </w:r>
      <w:r>
        <w:rPr>
          <w:rFonts w:ascii="David" w:hAnsi="David"/>
          <w:rtl/>
        </w:rPr>
        <w:t xml:space="preserve"> </w:t>
      </w:r>
    </w:p>
    <w:p w14:paraId="3FE5F34B" w14:textId="77777777" w:rsidR="000E24D6" w:rsidRDefault="000E24D6" w:rsidP="000E24D6">
      <w:pPr>
        <w:spacing w:line="360" w:lineRule="auto"/>
        <w:jc w:val="both"/>
        <w:rPr>
          <w:rFonts w:ascii="David" w:hAnsi="David"/>
          <w:rtl/>
        </w:rPr>
      </w:pPr>
      <w:r w:rsidRPr="006D7BF6">
        <w:rPr>
          <w:rFonts w:ascii="David" w:hAnsi="David"/>
          <w:rtl/>
        </w:rPr>
        <w:t>ב</w:t>
      </w:r>
      <w:hyperlink r:id="rId41" w:history="1">
        <w:r w:rsidR="001B6A44" w:rsidRPr="001B6A44">
          <w:rPr>
            <w:rFonts w:ascii="David" w:hAnsi="David"/>
            <w:color w:val="0000FF"/>
            <w:u w:val="single"/>
            <w:rtl/>
          </w:rPr>
          <w:t>ת"פ 924-03-23</w:t>
        </w:r>
      </w:hyperlink>
      <w:r w:rsidRPr="006D7BF6">
        <w:rPr>
          <w:rFonts w:ascii="David" w:hAnsi="David"/>
          <w:rtl/>
        </w:rPr>
        <w:t xml:space="preserve"> (התיק המצורף), בעבירות הסמים טענה למתחם עונש שינוע בין 24 ל -48 חודשי מאסר בפועל, ובעבירות הנשק טענה למתחם שינוע בין 30 ל – 50 חודשי מאסר בפועל, כך שמתחם העונש לכלל העבירות ינוע בין 4 וחצי שנים ל- 6 שנות מאסר בפועל.</w:t>
      </w:r>
      <w:r>
        <w:rPr>
          <w:rFonts w:ascii="David" w:hAnsi="David"/>
          <w:rtl/>
        </w:rPr>
        <w:t xml:space="preserve"> </w:t>
      </w:r>
    </w:p>
    <w:p w14:paraId="73B36341" w14:textId="77777777" w:rsidR="000E24D6" w:rsidRDefault="000E24D6" w:rsidP="000E24D6">
      <w:pPr>
        <w:spacing w:line="360" w:lineRule="auto"/>
        <w:jc w:val="both"/>
        <w:rPr>
          <w:rFonts w:ascii="David" w:hAnsi="David"/>
          <w:rtl/>
        </w:rPr>
      </w:pPr>
    </w:p>
    <w:p w14:paraId="43F39ABE" w14:textId="77777777" w:rsidR="000E24D6" w:rsidRDefault="000E24D6" w:rsidP="000E24D6">
      <w:pPr>
        <w:spacing w:line="360" w:lineRule="auto"/>
        <w:jc w:val="both"/>
        <w:rPr>
          <w:rFonts w:ascii="David" w:hAnsi="David"/>
          <w:rtl/>
        </w:rPr>
      </w:pPr>
      <w:r>
        <w:rPr>
          <w:rFonts w:ascii="David" w:hAnsi="David"/>
          <w:rtl/>
        </w:rPr>
        <w:t>ב"כ התביעה הפנתה לטיעוניה הכתובים שם עמדה על דברי הנאשם בפני בית המשפט בהליך פלילי אחר שקדם לתיקים שבכותרת, שם הודה לבית המשפט על ההזדמנות שניתנה לו כשמאוחר יותר, באותו הליך, התברר כי דברי הנאשם היו מילים ריקות מתוכן. ב"כ התביעה עמדה בהרחבה על פגיעתו הגבוהה של הנאשם בערכים המוגנים שבבסיס האיסור על עבירות נשק ועבירות סמים. במעמד הדיון הוסיפה נתונים לפיהם עניינו של הנאשם הופרד בעניינו של רון דוידוב אשר הדיון בו המשיך בבית המשפט המחוזי, שם החל גם ההליך הפלילי  ב</w:t>
      </w:r>
      <w:hyperlink r:id="rId42" w:history="1">
        <w:r w:rsidR="001B6A44" w:rsidRPr="001B6A44">
          <w:rPr>
            <w:rFonts w:ascii="David" w:hAnsi="David"/>
            <w:color w:val="0000FF"/>
            <w:u w:val="single"/>
            <w:rtl/>
          </w:rPr>
          <w:t>ת"פ 27417-07-23</w:t>
        </w:r>
      </w:hyperlink>
      <w:r>
        <w:rPr>
          <w:rFonts w:ascii="David" w:hAnsi="David"/>
          <w:rtl/>
        </w:rPr>
        <w:t xml:space="preserve"> נגד הנאשם.  </w:t>
      </w:r>
    </w:p>
    <w:p w14:paraId="738434AD" w14:textId="77777777" w:rsidR="000E24D6" w:rsidRDefault="000E24D6" w:rsidP="000E24D6">
      <w:pPr>
        <w:spacing w:line="360" w:lineRule="auto"/>
        <w:jc w:val="both"/>
        <w:rPr>
          <w:rFonts w:ascii="David" w:hAnsi="David"/>
          <w:rtl/>
        </w:rPr>
      </w:pPr>
      <w:r>
        <w:rPr>
          <w:rFonts w:ascii="David" w:hAnsi="David"/>
          <w:rtl/>
        </w:rPr>
        <w:t xml:space="preserve">בטיעוניה הכתובים הרחיבה המאשימה במדיניות הענישה הנוהגת בעבירות נשק ועבירות סמים, </w:t>
      </w:r>
      <w:r>
        <w:rPr>
          <w:rFonts w:ascii="David" w:hAnsi="David" w:hint="cs"/>
          <w:rtl/>
        </w:rPr>
        <w:t>ו</w:t>
      </w:r>
      <w:r>
        <w:rPr>
          <w:rFonts w:ascii="David" w:hAnsi="David"/>
          <w:rtl/>
        </w:rPr>
        <w:t>הפנתה לפסיקת בתי משפט שונים</w:t>
      </w:r>
      <w:r>
        <w:rPr>
          <w:rFonts w:ascii="David" w:hAnsi="David" w:hint="cs"/>
          <w:rtl/>
        </w:rPr>
        <w:t xml:space="preserve">, והוסיפה כי </w:t>
      </w:r>
      <w:r>
        <w:rPr>
          <w:rFonts w:ascii="David" w:hAnsi="David"/>
          <w:rtl/>
        </w:rPr>
        <w:t xml:space="preserve">מתחמי הענישה למעשי הנאשם נבחנו על ידה בכל אחד מהתיקים, בשים לב לנסיבות ביצוע העבירות, הפסיקה הנוהגת ומידת פגיעת הנאשם בערכים המוגנים ובאינטרס הציבורי המוגן. </w:t>
      </w:r>
    </w:p>
    <w:p w14:paraId="31E5BFE5" w14:textId="77777777" w:rsidR="000E24D6" w:rsidRDefault="000E24D6" w:rsidP="000E24D6">
      <w:pPr>
        <w:spacing w:line="360" w:lineRule="auto"/>
        <w:jc w:val="both"/>
        <w:rPr>
          <w:rFonts w:ascii="David" w:hAnsi="David"/>
          <w:rtl/>
        </w:rPr>
      </w:pPr>
      <w:r>
        <w:rPr>
          <w:rFonts w:ascii="David" w:hAnsi="David"/>
          <w:rtl/>
        </w:rPr>
        <w:t xml:space="preserve">אשר לעונשו של הנאשם עתרה לקבוע אותו ברף הבינוני גבוה של מתחמי הענישה שבכל אחד מהתיקים, זאת, לאחר שהביאה בחשבון את עברו הפלילי של הנאשם שהינו עבר פלילי קרוב רצוף ורלוונטי. בהקשר זה הפנתה להתנהלותו הפלילית של הנאשם אשר בעודו ממתין לגזר דינו בתיק אחר בעבירות סמים, ביצע את העבירות בתיקים שבכותרת. </w:t>
      </w:r>
    </w:p>
    <w:p w14:paraId="55FF6F29" w14:textId="77777777" w:rsidR="000E24D6" w:rsidRDefault="000E24D6" w:rsidP="000E24D6">
      <w:pPr>
        <w:spacing w:line="360" w:lineRule="auto"/>
        <w:jc w:val="both"/>
        <w:rPr>
          <w:rFonts w:ascii="David" w:hAnsi="David"/>
          <w:rtl/>
        </w:rPr>
      </w:pPr>
      <w:r w:rsidRPr="009C7107">
        <w:rPr>
          <w:rFonts w:ascii="David" w:hAnsi="David"/>
          <w:rtl/>
        </w:rPr>
        <w:t xml:space="preserve">בנוסף עתרה להפעיל מאסר על תנאי </w:t>
      </w:r>
      <w:r w:rsidRPr="009C7107">
        <w:rPr>
          <w:rFonts w:ascii="David" w:hAnsi="David" w:hint="cs"/>
          <w:rtl/>
        </w:rPr>
        <w:t xml:space="preserve">בן 10 חודשים העומד נגד הנאשם, במצטבר לעונש שיושת עליו, </w:t>
      </w:r>
      <w:r w:rsidRPr="009C7107">
        <w:rPr>
          <w:rFonts w:ascii="David" w:hAnsi="David"/>
          <w:rtl/>
        </w:rPr>
        <w:t xml:space="preserve"> ענישה נלווית בדמות קנס משמעותי, נוכח שמדובר בעבירות סמים שבוצעו על רקע כלכלי מובהק ובשים לב לסכום כסף שהתקבל על ידי הסוכן ולרבות להרתעת היחיד והרבים הנדרשת בעבירות מסוג</w:t>
      </w:r>
      <w:r>
        <w:rPr>
          <w:rFonts w:ascii="David" w:hAnsi="David"/>
          <w:rtl/>
        </w:rPr>
        <w:t xml:space="preserve"> זה</w:t>
      </w:r>
      <w:r>
        <w:rPr>
          <w:rFonts w:ascii="David" w:hAnsi="David" w:hint="cs"/>
          <w:rtl/>
        </w:rPr>
        <w:t>, ו</w:t>
      </w:r>
      <w:r>
        <w:rPr>
          <w:rFonts w:ascii="David" w:hAnsi="David"/>
          <w:rtl/>
        </w:rPr>
        <w:t xml:space="preserve">פסילה בפועל מלנהוג / להחזיק רישיון נהיגה, פסילה על תנאי, הפעלת הפסילה המותנית ומאסרים מותנים </w:t>
      </w:r>
      <w:r>
        <w:rPr>
          <w:rFonts w:ascii="David" w:hAnsi="David" w:hint="cs"/>
          <w:rtl/>
        </w:rPr>
        <w:t xml:space="preserve">אותם הותירה לשיקול </w:t>
      </w:r>
      <w:r>
        <w:rPr>
          <w:rFonts w:ascii="David" w:hAnsi="David"/>
          <w:rtl/>
        </w:rPr>
        <w:t xml:space="preserve">דעת ביהמ"ש. </w:t>
      </w:r>
    </w:p>
    <w:p w14:paraId="43584FDC" w14:textId="77777777" w:rsidR="000E24D6" w:rsidRDefault="000E24D6" w:rsidP="000E24D6">
      <w:pPr>
        <w:spacing w:line="360" w:lineRule="auto"/>
        <w:jc w:val="both"/>
        <w:rPr>
          <w:rFonts w:ascii="David" w:hAnsi="David"/>
          <w:rtl/>
        </w:rPr>
      </w:pPr>
    </w:p>
    <w:p w14:paraId="2DFC8E34"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תמצית טיעוני ההגנה</w:t>
      </w:r>
    </w:p>
    <w:p w14:paraId="4CE82E37" w14:textId="77777777" w:rsidR="000E24D6" w:rsidRDefault="000E24D6" w:rsidP="000E24D6">
      <w:pPr>
        <w:spacing w:line="360" w:lineRule="auto"/>
        <w:jc w:val="both"/>
        <w:rPr>
          <w:rFonts w:ascii="David" w:hAnsi="David"/>
          <w:rtl/>
        </w:rPr>
      </w:pPr>
      <w:r>
        <w:rPr>
          <w:rFonts w:ascii="David" w:hAnsi="David"/>
          <w:rtl/>
        </w:rPr>
        <w:t>6.</w:t>
      </w:r>
      <w:r>
        <w:rPr>
          <w:rFonts w:ascii="David" w:hAnsi="David"/>
          <w:rtl/>
        </w:rPr>
        <w:tab/>
        <w:t>הסנגור, עוה"ד נעם אל</w:t>
      </w:r>
      <w:r>
        <w:rPr>
          <w:rFonts w:ascii="David" w:hAnsi="David" w:hint="cs"/>
          <w:rtl/>
        </w:rPr>
        <w:t>י</w:t>
      </w:r>
      <w:r>
        <w:rPr>
          <w:rFonts w:ascii="David" w:hAnsi="David"/>
          <w:rtl/>
        </w:rPr>
        <w:t xml:space="preserve">גון, מיקד עיקר טיעוניו בניסיון לשכנע את בית המשפט להורות על פי הסיפא שבתסקיר אותו הגיש שירות המבחן, דהיינו, לשקול אפשרות לשלב את הנאשם בקהילה טיפולית "רוח במדבר" קהילה סגורה לטיפול למכורים סמים. </w:t>
      </w:r>
    </w:p>
    <w:p w14:paraId="0241DF35" w14:textId="77777777" w:rsidR="000E24D6" w:rsidRDefault="000E24D6" w:rsidP="000E24D6">
      <w:pPr>
        <w:spacing w:line="360" w:lineRule="auto"/>
        <w:jc w:val="both"/>
        <w:rPr>
          <w:rFonts w:ascii="David" w:hAnsi="David"/>
          <w:rtl/>
        </w:rPr>
      </w:pPr>
      <w:r>
        <w:rPr>
          <w:rFonts w:ascii="David" w:hAnsi="David"/>
          <w:rtl/>
        </w:rPr>
        <w:t xml:space="preserve">הסנגור הרחיב בטיעוניו בעניין זה תוך שציין שהגם שהנאשם הורשע בעבירות נשק, הרי "כשמפזרים את הערפל " ניתן לאתר את הסיבה למעורבות הנאשם בפלילים, שכן מעבר לנסיבות חייו המורכבות של הנאשם, סיפורו מתחיל נגמר בשימוש ובהתמכרות לסמים. </w:t>
      </w:r>
    </w:p>
    <w:p w14:paraId="341CA4F5" w14:textId="77777777" w:rsidR="000E24D6" w:rsidRDefault="000E24D6" w:rsidP="000E24D6">
      <w:pPr>
        <w:spacing w:line="360" w:lineRule="auto"/>
        <w:jc w:val="both"/>
        <w:rPr>
          <w:rFonts w:ascii="David" w:hAnsi="David"/>
          <w:rtl/>
        </w:rPr>
      </w:pPr>
      <w:r>
        <w:rPr>
          <w:rFonts w:ascii="David" w:hAnsi="David"/>
          <w:rtl/>
        </w:rPr>
        <w:t xml:space="preserve">ב"כ הנאשם הפנה לתסקיר שירות המבחן ממנו עולה כי במסגרת </w:t>
      </w:r>
      <w:hyperlink r:id="rId43" w:history="1">
        <w:r w:rsidR="001B6A44" w:rsidRPr="001B6A44">
          <w:rPr>
            <w:rFonts w:ascii="David" w:hAnsi="David"/>
            <w:color w:val="0000FF"/>
            <w:u w:val="single"/>
            <w:rtl/>
          </w:rPr>
          <w:t>ת"פ 924-03-23</w:t>
        </w:r>
      </w:hyperlink>
      <w:r>
        <w:rPr>
          <w:rFonts w:ascii="David" w:hAnsi="David"/>
          <w:rtl/>
        </w:rPr>
        <w:t xml:space="preserve"> הופנה הנאשם לקהילה טיפולית רוח </w:t>
      </w:r>
      <w:r w:rsidRPr="006D7BF6">
        <w:rPr>
          <w:rFonts w:ascii="David" w:hAnsi="David"/>
          <w:rtl/>
        </w:rPr>
        <w:t>במדבר, התקבל לקהילה</w:t>
      </w:r>
      <w:r w:rsidRPr="006D7BF6">
        <w:rPr>
          <w:rFonts w:ascii="David" w:hAnsi="David" w:hint="cs"/>
          <w:rtl/>
        </w:rPr>
        <w:t xml:space="preserve">, אלא שבהחלטת </w:t>
      </w:r>
      <w:r w:rsidRPr="006D7BF6">
        <w:rPr>
          <w:rFonts w:ascii="David" w:hAnsi="David"/>
          <w:rtl/>
        </w:rPr>
        <w:t>ביהמ"ש בהליך המעצר המותב לא אפשר את השילוב בקהילה, בין היתר, בשל התנגדות התביעה אשר טענה כי שלב הפניית הנאשם להליך שיקומי צריך ותיעשה בתיק העיקרי. לדידו של הסנגור "יש כאן הזדמנות" ולא רק לנאשם אלא גם לאינטרס</w:t>
      </w:r>
      <w:r>
        <w:rPr>
          <w:rFonts w:ascii="David" w:hAnsi="David"/>
          <w:rtl/>
        </w:rPr>
        <w:t xml:space="preserve"> הציבורי שכן ככל שהנאשם לא יעבור הליך טיפולי, כי אז קיים סיכון ממשי להישנות העבירות ואף חמורות יותר.</w:t>
      </w:r>
    </w:p>
    <w:p w14:paraId="49F12764" w14:textId="77777777" w:rsidR="000E24D6" w:rsidRDefault="000E24D6" w:rsidP="000E24D6">
      <w:pPr>
        <w:spacing w:line="360" w:lineRule="auto"/>
        <w:jc w:val="both"/>
        <w:rPr>
          <w:rFonts w:ascii="David" w:hAnsi="David"/>
          <w:rtl/>
        </w:rPr>
      </w:pPr>
      <w:r>
        <w:rPr>
          <w:rFonts w:ascii="David" w:hAnsi="David"/>
          <w:rtl/>
        </w:rPr>
        <w:t xml:space="preserve">לדידו של הסנגור, אין מה להפסיד משילובו של הנאשם בהליך טיפולי בגדרו ילמד להיות אזרח ויאיין את הסיכונים להישנות העבירות. </w:t>
      </w:r>
    </w:p>
    <w:p w14:paraId="438116BF" w14:textId="77777777" w:rsidR="000E24D6" w:rsidRPr="006D7BF6" w:rsidRDefault="000E24D6" w:rsidP="000E24D6">
      <w:pPr>
        <w:spacing w:line="360" w:lineRule="auto"/>
        <w:jc w:val="both"/>
        <w:rPr>
          <w:rFonts w:ascii="David" w:hAnsi="David"/>
          <w:rtl/>
        </w:rPr>
      </w:pPr>
      <w:r>
        <w:rPr>
          <w:rFonts w:ascii="David" w:hAnsi="David"/>
          <w:rtl/>
        </w:rPr>
        <w:t>הסנגור הפנה לפסיקת בית המשפט העליון ממנה ביקש ללמד כי גם לאחר שנאשם עובר הליך שיקומי הושתו עונשי מאסר בפועל, אם כי קצרים בהרבה מאלה להם עותרת התביעה.  כך למשל ב</w:t>
      </w:r>
      <w:hyperlink r:id="rId44" w:history="1">
        <w:r w:rsidR="001B6A44" w:rsidRPr="001B6A44">
          <w:rPr>
            <w:rFonts w:ascii="David" w:hAnsi="David"/>
            <w:color w:val="0000FF"/>
            <w:u w:val="single"/>
            <w:rtl/>
          </w:rPr>
          <w:t>רע"פ 5757/18</w:t>
        </w:r>
      </w:hyperlink>
      <w:r>
        <w:rPr>
          <w:rFonts w:ascii="David" w:hAnsi="David"/>
          <w:rtl/>
        </w:rPr>
        <w:t xml:space="preserve"> </w:t>
      </w:r>
      <w:r>
        <w:rPr>
          <w:rFonts w:ascii="David" w:hAnsi="David"/>
          <w:b/>
          <w:bCs/>
          <w:rtl/>
        </w:rPr>
        <w:t>מריסאת אשרף נ' מדינת ישראל,</w:t>
      </w:r>
      <w:r>
        <w:rPr>
          <w:rFonts w:ascii="David" w:hAnsi="David"/>
          <w:rtl/>
        </w:rPr>
        <w:t xml:space="preserve"> שם דובר בהחזקת נשק מסוג </w:t>
      </w:r>
      <w:r>
        <w:rPr>
          <w:rFonts w:ascii="David" w:hAnsi="David"/>
        </w:rPr>
        <w:t xml:space="preserve"> M16</w:t>
      </w:r>
      <w:r>
        <w:rPr>
          <w:rFonts w:ascii="David" w:hAnsi="David"/>
          <w:rtl/>
        </w:rPr>
        <w:t>, אקדח ותחמושת, ולאחר הליך שיקומי שעבר הנאשם עונשו נגזר ל-9 חודשי מאסר בפועל. עוד הפנה ל</w:t>
      </w:r>
      <w:hyperlink r:id="rId45" w:history="1">
        <w:r w:rsidR="001B6A44" w:rsidRPr="001B6A44">
          <w:rPr>
            <w:rFonts w:ascii="David" w:hAnsi="David"/>
            <w:color w:val="0000FF"/>
            <w:u w:val="single"/>
            <w:rtl/>
          </w:rPr>
          <w:t>רע"פ 6306/17</w:t>
        </w:r>
      </w:hyperlink>
      <w:r>
        <w:rPr>
          <w:rFonts w:ascii="David" w:hAnsi="David"/>
          <w:rtl/>
        </w:rPr>
        <w:t xml:space="preserve">, </w:t>
      </w:r>
      <w:r w:rsidRPr="006D7BF6">
        <w:rPr>
          <w:rFonts w:ascii="David" w:hAnsi="David"/>
          <w:b/>
          <w:bCs/>
          <w:rtl/>
        </w:rPr>
        <w:t>מוחמד חטיב נ' מדינת ישראל</w:t>
      </w:r>
      <w:r w:rsidRPr="006D7BF6">
        <w:rPr>
          <w:rFonts w:ascii="David" w:hAnsi="David"/>
          <w:rtl/>
        </w:rPr>
        <w:t xml:space="preserve">, שם דובר בהחזקת תת מקלע עוזי ועוד שני אקדחים ותחמושת בכמות עצומה. מתחם העונש שנקבע נע בין 6 חודשים לשנתיים מאסר, ועונשו של הנאשם לאחר הליך שיקומי נגזר ל-12 חודשי מאסר. </w:t>
      </w:r>
    </w:p>
    <w:p w14:paraId="4A527B0C" w14:textId="77777777" w:rsidR="000E24D6" w:rsidRPr="006D7BF6" w:rsidRDefault="000E24D6" w:rsidP="000E24D6">
      <w:pPr>
        <w:spacing w:line="360" w:lineRule="auto"/>
        <w:jc w:val="both"/>
        <w:rPr>
          <w:rFonts w:ascii="David" w:hAnsi="David"/>
          <w:rtl/>
        </w:rPr>
      </w:pPr>
      <w:r w:rsidRPr="006D7BF6">
        <w:rPr>
          <w:rFonts w:ascii="David" w:hAnsi="David"/>
          <w:rtl/>
        </w:rPr>
        <w:t xml:space="preserve">הסנגור ציין בתקופה הארוכה בה נתון הנאשם במעצר. חזר והפנה לתסקיר שירות המבחן שם מציינת קצינת המבחן כי מדובר בבחור צעיר שהוא רגיש, תיאור שאינו שכיח; הפנה לעמ' 4 בתסקיר תחת הכותרת "גורמי סיכון"  וחזר וטען לקיומה של הזדמנות לטפל בשורש הבעיה שאצל הנאשם להיגמל מהתמכרותו לסמים.  </w:t>
      </w:r>
    </w:p>
    <w:p w14:paraId="59475725" w14:textId="77777777" w:rsidR="000E24D6" w:rsidRPr="006D7BF6" w:rsidRDefault="000E24D6" w:rsidP="000E24D6">
      <w:pPr>
        <w:spacing w:line="360" w:lineRule="auto"/>
        <w:jc w:val="both"/>
        <w:rPr>
          <w:rFonts w:ascii="David" w:hAnsi="David"/>
          <w:rtl/>
        </w:rPr>
      </w:pPr>
      <w:r w:rsidRPr="006D7BF6">
        <w:rPr>
          <w:rFonts w:ascii="David" w:hAnsi="David"/>
          <w:rtl/>
        </w:rPr>
        <w:t xml:space="preserve">בהתייחסו למתחמי הענישה טען כי אלה להם עתרה המאשימה אינם הולמים את נסיבות מעשי העבירות וגם לא את נסיבות העושה. </w:t>
      </w:r>
    </w:p>
    <w:p w14:paraId="20E713D7" w14:textId="77777777" w:rsidR="000E24D6" w:rsidRDefault="000E24D6" w:rsidP="000E24D6">
      <w:pPr>
        <w:spacing w:line="360" w:lineRule="auto"/>
        <w:jc w:val="both"/>
        <w:rPr>
          <w:rFonts w:ascii="David" w:hAnsi="David"/>
          <w:rtl/>
        </w:rPr>
      </w:pPr>
      <w:r w:rsidRPr="006D7BF6">
        <w:rPr>
          <w:rFonts w:ascii="David" w:hAnsi="David"/>
          <w:rtl/>
        </w:rPr>
        <w:t xml:space="preserve">אשר למתחם העונש למתחם העונש לעבירה נשוא </w:t>
      </w:r>
      <w:hyperlink r:id="rId46" w:history="1">
        <w:r w:rsidR="001B6A44" w:rsidRPr="001B6A44">
          <w:rPr>
            <w:rFonts w:ascii="David" w:hAnsi="David"/>
            <w:color w:val="0000FF"/>
            <w:u w:val="single"/>
            <w:rtl/>
          </w:rPr>
          <w:t>ת"פ  27417-07-23</w:t>
        </w:r>
      </w:hyperlink>
      <w:r w:rsidRPr="006D7BF6">
        <w:rPr>
          <w:rFonts w:ascii="David" w:hAnsi="David"/>
          <w:rtl/>
        </w:rPr>
        <w:t xml:space="preserve"> טען הפנה לעונשו של שותף לעבירה של הנאשם, רון דוידוב בנסיבות חמורות יותר בעבירות סמים. נטען כי התיק</w:t>
      </w:r>
      <w:r>
        <w:rPr>
          <w:rFonts w:ascii="David" w:hAnsi="David"/>
          <w:rtl/>
        </w:rPr>
        <w:t xml:space="preserve"> נגד שניהם נפתח בבית המשפט המחוזי, כשעניינו של הנאשם הועבר לבית המשפט השלום במסגרת ההסדר בין הצדדים, בעוד שעניינו של שותפו של הנאשם, רון דוידוב, המשיך בדיון בבית המשפט המחוזי, ושם, לאחר שרון הורשע ב-3 עבירות של סחר בקוקאין במשקלים של פעמיים 90 גרם קוקאין ופעם אחת 9 גרם קטאמין, בנוסף להרשעה בעבירה לסיוע לתיווך בסחר של 45 גרם קוקאין – נגזר דינו במסגרת הסדר טיעון ל-40 חודשי מאסר בפועל. לדידו של הסנגור, הגם שמדובר בהסדר טיעון מלא, יש טעם לפגם כאשר לעומת עונשו הכולל של רון בנסיבות האמורות, עותרת התביעה למתחם שבין 3שנים לבין 5 שנות מאסר בעבירת </w:t>
      </w:r>
      <w:r w:rsidRPr="006D7BF6">
        <w:rPr>
          <w:rFonts w:ascii="David" w:hAnsi="David"/>
          <w:rtl/>
        </w:rPr>
        <w:t>אחת של עסקה אחרת ב- 45 גרם קוקאין, כשרון, שותפו לתיק, נדון רק ל- 40 חודשים לאחר שהורשע ב- 3 עבירות סחר כאמור.  לדידו של הסניגור, הגם שאין דין הסדר מלא כדין טיעון פתוח, עדיין,  במקרה בו מדובר בשני שותפים, עונשו</w:t>
      </w:r>
      <w:r>
        <w:rPr>
          <w:rFonts w:ascii="David" w:hAnsi="David"/>
          <w:rtl/>
        </w:rPr>
        <w:t xml:space="preserve"> של רון בהחלט יכול להשליך על קביעת מתחמי הענישה בתיק הנ"ל. </w:t>
      </w:r>
    </w:p>
    <w:p w14:paraId="5BF0DA13" w14:textId="77777777" w:rsidR="000E24D6" w:rsidRDefault="000E24D6" w:rsidP="000E24D6">
      <w:pPr>
        <w:spacing w:line="360" w:lineRule="auto"/>
        <w:jc w:val="both"/>
        <w:rPr>
          <w:rFonts w:ascii="David" w:hAnsi="David"/>
          <w:rtl/>
        </w:rPr>
      </w:pPr>
      <w:r>
        <w:rPr>
          <w:rFonts w:ascii="David" w:hAnsi="David"/>
          <w:rtl/>
        </w:rPr>
        <w:t xml:space="preserve">בהמשך, הפנה הסנגור למקרים בפסיקה ביחס לעבירות סמים ונשק שנטען כי נסיבותיהם חמורות יותר ומתחמי הענישה והעונשים שהושתו מקלים יותר מעתירת המאשימה.  אשר לעבירות הנשק  חזר והדגיש כי "הנאשם הורשע בסופו של יום בהחזקת אקדח הזנקה שהוסב לנשק וסיוע לאחר בהחזקת נשק הזנקה שהוסב לנשק". הוסיף וטען כי עבירת ההחזקה נמצאת בתחתית החומרה מבחינת </w:t>
      </w:r>
      <w:hyperlink r:id="rId47" w:history="1">
        <w:r w:rsidR="001B6A44" w:rsidRPr="001B6A44">
          <w:rPr>
            <w:rFonts w:ascii="David" w:hAnsi="David"/>
            <w:color w:val="0000FF"/>
            <w:u w:val="single"/>
            <w:rtl/>
          </w:rPr>
          <w:t>חוק העונשין</w:t>
        </w:r>
      </w:hyperlink>
      <w:r>
        <w:rPr>
          <w:rFonts w:ascii="David" w:hAnsi="David"/>
          <w:rtl/>
        </w:rPr>
        <w:t xml:space="preserve">, שכן זו  ה"קלה" ביותר בעבירות מסוג זה, וודאי כשמדובר בהחזקת אקדח ולא תת מקלע. </w:t>
      </w:r>
    </w:p>
    <w:p w14:paraId="41EAE2DE" w14:textId="77777777" w:rsidR="000E24D6" w:rsidRDefault="000E24D6" w:rsidP="000E24D6">
      <w:pPr>
        <w:spacing w:line="360" w:lineRule="auto"/>
        <w:jc w:val="both"/>
        <w:rPr>
          <w:rFonts w:ascii="David" w:hAnsi="David"/>
          <w:rtl/>
        </w:rPr>
      </w:pPr>
      <w:r>
        <w:rPr>
          <w:rFonts w:ascii="David" w:hAnsi="David"/>
          <w:rtl/>
        </w:rPr>
        <w:t xml:space="preserve">לדידו של </w:t>
      </w:r>
      <w:r w:rsidRPr="006D7BF6">
        <w:rPr>
          <w:rFonts w:ascii="David" w:hAnsi="David"/>
          <w:rtl/>
        </w:rPr>
        <w:t xml:space="preserve">הסנגור, "בית המשפט המחוזי בבאר שבע, סבור, כי מתחם העונש ההולם בעבירה של החזקת אקדח צריך וינוע בין 10 ל- 30 חודשי מאסר בפועל" וזאת במקרים בהם לא ניתן לחרוג ממתחם העונש, בעוד שבמקרה הנדון ניתן לחרוג אם וכאשר תינתן לו האפשרות הנדירה הזו לשיקום. </w:t>
      </w:r>
    </w:p>
    <w:p w14:paraId="6B0E41ED" w14:textId="77777777" w:rsidR="000E24D6" w:rsidRDefault="000E24D6" w:rsidP="000E24D6">
      <w:pPr>
        <w:spacing w:line="360" w:lineRule="auto"/>
        <w:jc w:val="both"/>
        <w:rPr>
          <w:rFonts w:ascii="David" w:hAnsi="David"/>
          <w:rtl/>
        </w:rPr>
      </w:pPr>
    </w:p>
    <w:p w14:paraId="1D0414CA" w14:textId="77777777" w:rsidR="000E24D6" w:rsidRDefault="000E24D6" w:rsidP="000E24D6">
      <w:pPr>
        <w:spacing w:line="360" w:lineRule="auto"/>
        <w:jc w:val="both"/>
        <w:rPr>
          <w:rFonts w:ascii="David" w:hAnsi="David"/>
          <w:rtl/>
        </w:rPr>
      </w:pPr>
      <w:r w:rsidRPr="006D7BF6">
        <w:rPr>
          <w:rFonts w:ascii="David" w:hAnsi="David"/>
          <w:rtl/>
        </w:rPr>
        <w:t>בהקשר זה הפנה ל</w:t>
      </w:r>
      <w:hyperlink r:id="rId48" w:history="1">
        <w:r w:rsidR="001B6A44" w:rsidRPr="001B6A44">
          <w:rPr>
            <w:rFonts w:ascii="David" w:hAnsi="David"/>
            <w:color w:val="0000FF"/>
            <w:u w:val="single"/>
            <w:rtl/>
          </w:rPr>
          <w:t>ת"פ 57272-12-20</w:t>
        </w:r>
      </w:hyperlink>
      <w:r w:rsidRPr="006D7BF6">
        <w:rPr>
          <w:rFonts w:ascii="David" w:hAnsi="David"/>
          <w:rtl/>
        </w:rPr>
        <w:t xml:space="preserve"> </w:t>
      </w:r>
      <w:r w:rsidRPr="006D7BF6">
        <w:rPr>
          <w:rFonts w:ascii="David" w:hAnsi="David"/>
          <w:b/>
          <w:bCs/>
          <w:rtl/>
        </w:rPr>
        <w:t>מדינת ישראל מ' מטטוב,</w:t>
      </w:r>
      <w:r w:rsidRPr="006D7BF6">
        <w:rPr>
          <w:rFonts w:ascii="David" w:hAnsi="David"/>
          <w:rtl/>
        </w:rPr>
        <w:t xml:space="preserve"> וטען כי שם דובר בהחזקת 4 אקדחים, שני קלצ'ניקובים ורימון יד.  המאשימה טענה ל 3 שנות מאסר ובית המשפט (ס. הנשיא כב' השופט ביתן) גזר על הנאשם 30 חודשי מאסר.  הסנגור הוסיף לציין כי במקרה הנ"ל דובר בהסדר שהמאשימה הגבילה עצמה נוכח קושי ראייתי, ועם זאת, ביקש לשים את עניינו של הנאשם</w:t>
      </w:r>
      <w:r>
        <w:rPr>
          <w:rFonts w:ascii="David" w:hAnsi="David"/>
          <w:rtl/>
        </w:rPr>
        <w:t xml:space="preserve"> כאן אל מול "הארסנל המחלקתי" שהחזיק מטטוב ועליו נגזרו רק 30 חודשי מאסר בפועל. </w:t>
      </w:r>
    </w:p>
    <w:p w14:paraId="409E4E3E" w14:textId="77777777" w:rsidR="000E24D6" w:rsidRDefault="000E24D6" w:rsidP="000E24D6">
      <w:pPr>
        <w:spacing w:line="360" w:lineRule="auto"/>
        <w:jc w:val="both"/>
        <w:rPr>
          <w:rFonts w:ascii="David" w:hAnsi="David"/>
          <w:rtl/>
        </w:rPr>
      </w:pPr>
      <w:r>
        <w:rPr>
          <w:rFonts w:ascii="David" w:hAnsi="David"/>
          <w:rtl/>
        </w:rPr>
        <w:t xml:space="preserve">כן הפנה לעפ"ג 13838-01-28, שם דובר בהחזקת נשק מסוג של </w:t>
      </w:r>
      <w:r>
        <w:rPr>
          <w:rFonts w:ascii="David" w:hAnsi="David"/>
        </w:rPr>
        <w:t>M16</w:t>
      </w:r>
      <w:r>
        <w:rPr>
          <w:rFonts w:ascii="David" w:hAnsi="David"/>
          <w:rtl/>
        </w:rPr>
        <w:t xml:space="preserve"> , שני אקדחים,  ותחמושת רבה והעונש שהושת על הנאשם הועמד על 20 חודשי מאסר  בלבד. </w:t>
      </w:r>
    </w:p>
    <w:p w14:paraId="142C7798" w14:textId="77777777" w:rsidR="000E24D6" w:rsidRDefault="000E24D6" w:rsidP="000E24D6">
      <w:pPr>
        <w:spacing w:line="360" w:lineRule="auto"/>
        <w:jc w:val="both"/>
        <w:rPr>
          <w:rFonts w:ascii="David" w:hAnsi="David"/>
          <w:rtl/>
        </w:rPr>
      </w:pPr>
    </w:p>
    <w:p w14:paraId="08F4B83F" w14:textId="77777777" w:rsidR="000E24D6" w:rsidRDefault="000E24D6" w:rsidP="000E24D6">
      <w:pPr>
        <w:spacing w:line="360" w:lineRule="auto"/>
        <w:jc w:val="both"/>
        <w:rPr>
          <w:rFonts w:ascii="David" w:hAnsi="David"/>
          <w:rtl/>
        </w:rPr>
      </w:pPr>
      <w:r>
        <w:rPr>
          <w:rFonts w:ascii="David" w:hAnsi="David"/>
          <w:rtl/>
        </w:rPr>
        <w:t>בסוף הדברים ביקש הסנגור כי ככל ותידחה בקשת הנאשם להפנותו לבחינת שילובו בקהילה טיפולית סגורה, כי אז יש להביא בחשבון בגזירת עונשו של הנאשם את נסיבות חייו המורכבות כעולה ונלמד מהתסקיר המפורט שהוגש בעניינו, נכונותו להשתלב בטיפול בקהילה סגורה, עונש אשר מתכתב עם מתחמי הענישה והעונשים במקרים אליהם הפנה והגיש, עונש אשר יאפשר לו תקווה לעתיד.</w:t>
      </w:r>
    </w:p>
    <w:p w14:paraId="2F4CFAF1" w14:textId="77777777" w:rsidR="000E24D6" w:rsidRDefault="000E24D6" w:rsidP="000E24D6">
      <w:pPr>
        <w:spacing w:line="360" w:lineRule="auto"/>
        <w:jc w:val="both"/>
        <w:rPr>
          <w:rFonts w:ascii="David" w:hAnsi="David"/>
          <w:b/>
          <w:bCs/>
          <w:rtl/>
        </w:rPr>
      </w:pPr>
    </w:p>
    <w:p w14:paraId="3743AFEA" w14:textId="77777777" w:rsidR="000E24D6" w:rsidRDefault="000E24D6" w:rsidP="000E24D6">
      <w:pPr>
        <w:spacing w:line="360" w:lineRule="auto"/>
        <w:jc w:val="both"/>
        <w:rPr>
          <w:rFonts w:ascii="David" w:hAnsi="David"/>
          <w:rtl/>
        </w:rPr>
      </w:pPr>
      <w:r w:rsidRPr="006D7BF6">
        <w:rPr>
          <w:rFonts w:ascii="David" w:hAnsi="David"/>
          <w:b/>
          <w:bCs/>
          <w:rtl/>
        </w:rPr>
        <w:t>הנאשם בדבריו</w:t>
      </w:r>
      <w:r w:rsidRPr="006D7BF6">
        <w:rPr>
          <w:rFonts w:ascii="David" w:hAnsi="David"/>
          <w:rtl/>
        </w:rPr>
        <w:t xml:space="preserve">,  ציין בפטירת אביו עמו חי ובו טיפל בשנת 2021, ובתוך כך אמו חלתה במחלה קשה. לדבריו עשה טעות וכיום אינו רוצה ללכת בדרך בה הלך עד כה.  </w:t>
      </w:r>
      <w:r w:rsidRPr="006D7BF6">
        <w:rPr>
          <w:rFonts w:ascii="David" w:hAnsi="David"/>
          <w:b/>
          <w:bCs/>
          <w:rtl/>
        </w:rPr>
        <w:t>" אני עצור 13 חודש ואני מבין שזה לא המקום בשבילי, אני רוצה לשקם את חיי. אני חושב ומבקש שלכל אחד מגיעה הזדמנות אחת בחיים ואני עכשיו מבקש את ההזדמנות הזו</w:t>
      </w:r>
      <w:r w:rsidRPr="006D7BF6">
        <w:rPr>
          <w:rFonts w:ascii="David" w:hAnsi="David"/>
          <w:rtl/>
        </w:rPr>
        <w:t xml:space="preserve">". </w:t>
      </w:r>
    </w:p>
    <w:p w14:paraId="3AC07EF9" w14:textId="77777777" w:rsidR="000E24D6" w:rsidRDefault="000E24D6" w:rsidP="000E24D6">
      <w:pPr>
        <w:spacing w:line="360" w:lineRule="auto"/>
        <w:jc w:val="both"/>
        <w:rPr>
          <w:rFonts w:ascii="David" w:hAnsi="David"/>
          <w:rtl/>
        </w:rPr>
      </w:pPr>
    </w:p>
    <w:p w14:paraId="05D3DD91" w14:textId="77777777" w:rsidR="000E24D6" w:rsidRDefault="000E24D6" w:rsidP="000E24D6">
      <w:pPr>
        <w:spacing w:line="360" w:lineRule="auto"/>
        <w:jc w:val="both"/>
        <w:rPr>
          <w:rFonts w:ascii="David" w:hAnsi="David"/>
          <w:rtl/>
        </w:rPr>
      </w:pPr>
    </w:p>
    <w:p w14:paraId="2BE7C59D" w14:textId="77777777" w:rsidR="000E24D6" w:rsidRDefault="000E24D6" w:rsidP="000E24D6">
      <w:pPr>
        <w:spacing w:line="360" w:lineRule="auto"/>
        <w:jc w:val="center"/>
        <w:rPr>
          <w:rFonts w:ascii="David" w:hAnsi="David"/>
          <w:b/>
          <w:bCs/>
          <w:sz w:val="28"/>
          <w:szCs w:val="28"/>
          <w:u w:val="single"/>
          <w:rtl/>
        </w:rPr>
      </w:pPr>
      <w:r>
        <w:rPr>
          <w:rFonts w:ascii="David" w:hAnsi="David"/>
          <w:b/>
          <w:bCs/>
          <w:sz w:val="28"/>
          <w:szCs w:val="28"/>
          <w:u w:val="single"/>
          <w:rtl/>
        </w:rPr>
        <w:t>דיון והכרעה</w:t>
      </w:r>
    </w:p>
    <w:p w14:paraId="7594EBE1"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 xml:space="preserve">מתחם העונש ההולם  </w:t>
      </w:r>
    </w:p>
    <w:p w14:paraId="6D29FA64" w14:textId="77777777" w:rsidR="000E24D6" w:rsidRDefault="000E24D6" w:rsidP="000E24D6">
      <w:pPr>
        <w:spacing w:line="360" w:lineRule="auto"/>
        <w:jc w:val="both"/>
        <w:rPr>
          <w:rFonts w:ascii="David" w:hAnsi="David"/>
          <w:b/>
          <w:bCs/>
          <w:noProof/>
          <w:u w:val="single"/>
          <w:rtl/>
        </w:rPr>
      </w:pPr>
      <w:r>
        <w:rPr>
          <w:rFonts w:ascii="David" w:hAnsi="David"/>
          <w:rtl/>
        </w:rPr>
        <w:t>קביעת מתחם העונש ההולם למעשי העבירות תעשה בהתאם לעקרון ההלימה, ולשם כך יש להתחשב בערך החברתי שנפגע, מידת הפגיעה בו, מדיניות הענישה הנוהגת ובנסיבות הקשורות בביצוע העבירה.</w:t>
      </w:r>
    </w:p>
    <w:p w14:paraId="7E77BEA4" w14:textId="77777777" w:rsidR="000E24D6" w:rsidRPr="00834C17" w:rsidRDefault="000E24D6" w:rsidP="000E24D6">
      <w:pPr>
        <w:spacing w:line="360" w:lineRule="auto"/>
        <w:jc w:val="both"/>
        <w:rPr>
          <w:rFonts w:ascii="David" w:hAnsi="David"/>
          <w:b/>
          <w:bCs/>
          <w:sz w:val="26"/>
          <w:szCs w:val="26"/>
          <w:rtl/>
        </w:rPr>
      </w:pPr>
      <w:r w:rsidRPr="00834C17">
        <w:rPr>
          <w:rFonts w:ascii="David" w:hAnsi="David" w:hint="cs"/>
          <w:noProof/>
          <w:rtl/>
        </w:rPr>
        <w:t>בכל הנוגע למתחמי הענישה בתיקים שבכותרת, כמו ב"כ הצדדים, סבורני כי בתיק המצורף נכון לקבוע מתחם ענישה  נפרש לעבירת הסמים  ומתחם ענישה לעבירות הנשק</w:t>
      </w:r>
      <w:r w:rsidRPr="00834C17">
        <w:rPr>
          <w:rFonts w:ascii="David" w:hAnsi="David" w:hint="cs"/>
          <w:b/>
          <w:bCs/>
          <w:sz w:val="26"/>
          <w:szCs w:val="26"/>
          <w:rtl/>
        </w:rPr>
        <w:t xml:space="preserve">.  </w:t>
      </w:r>
    </w:p>
    <w:p w14:paraId="52D9A492" w14:textId="77777777" w:rsidR="000E24D6" w:rsidRPr="00834C17" w:rsidRDefault="000E24D6" w:rsidP="000E24D6">
      <w:pPr>
        <w:spacing w:line="360" w:lineRule="auto"/>
        <w:jc w:val="both"/>
        <w:rPr>
          <w:rFonts w:ascii="David" w:hAnsi="David"/>
          <w:b/>
          <w:bCs/>
          <w:sz w:val="26"/>
          <w:szCs w:val="26"/>
          <w:u w:val="single"/>
          <w:rtl/>
        </w:rPr>
      </w:pPr>
    </w:p>
    <w:p w14:paraId="028B4CC9"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עבירות סמים</w:t>
      </w:r>
    </w:p>
    <w:p w14:paraId="350D6308" w14:textId="77777777" w:rsidR="000E24D6" w:rsidRDefault="000E24D6" w:rsidP="000E24D6">
      <w:pPr>
        <w:spacing w:line="360" w:lineRule="auto"/>
        <w:jc w:val="both"/>
        <w:rPr>
          <w:rFonts w:ascii="David" w:hAnsi="David"/>
          <w:rtl/>
        </w:rPr>
      </w:pPr>
      <w:r>
        <w:rPr>
          <w:rFonts w:ascii="David" w:hAnsi="David"/>
          <w:rtl/>
        </w:rPr>
        <w:t>7.</w:t>
      </w:r>
      <w:r>
        <w:rPr>
          <w:rFonts w:ascii="David" w:hAnsi="David"/>
          <w:rtl/>
        </w:rPr>
        <w:tab/>
        <w:t>הערכים המוגנים בבסיס האיסור על עבירות סמים, סחר, אספקה והחזקתם שלא לצריכה עצמית, נועדו להגן על שלומו ובריאותו של הציבור מפני הפגיעה והשלכותיה הקשות על החברה מבחינה בריאותית, חברתית וכלכלית.</w:t>
      </w:r>
    </w:p>
    <w:p w14:paraId="5D9D0399" w14:textId="77777777" w:rsidR="000E24D6" w:rsidRDefault="000E24D6" w:rsidP="000E24D6">
      <w:pPr>
        <w:spacing w:line="360" w:lineRule="auto"/>
        <w:jc w:val="both"/>
        <w:rPr>
          <w:rFonts w:ascii="David" w:hAnsi="David"/>
          <w:rtl/>
        </w:rPr>
      </w:pPr>
      <w:r>
        <w:rPr>
          <w:rFonts w:ascii="David" w:hAnsi="David"/>
          <w:rtl/>
        </w:rPr>
        <w:t xml:space="preserve">לשיקולי ההרתעה והגמול בעבירה של החזקת סמים שלא לצריכה עצמית, כמו לסחר בסמים על כל נגזרותיו, ניתן משקל נכבד במכלול השיקולים לעונש. </w:t>
      </w:r>
      <w:r>
        <w:rPr>
          <w:rFonts w:ascii="David" w:hAnsi="David" w:hint="cs"/>
          <w:rtl/>
        </w:rPr>
        <w:t>כך בדברי בית המשפט</w:t>
      </w:r>
      <w:r>
        <w:rPr>
          <w:rFonts w:ascii="David" w:hAnsi="David"/>
          <w:rtl/>
        </w:rPr>
        <w:t xml:space="preserve"> ב</w:t>
      </w:r>
      <w:hyperlink r:id="rId49" w:history="1">
        <w:r w:rsidR="001B6A44" w:rsidRPr="001B6A44">
          <w:rPr>
            <w:rFonts w:ascii="David" w:hAnsi="David"/>
            <w:color w:val="0000FF"/>
            <w:u w:val="single"/>
            <w:rtl/>
          </w:rPr>
          <w:t>ע"פ 9482/09</w:t>
        </w:r>
      </w:hyperlink>
      <w:r>
        <w:rPr>
          <w:rFonts w:ascii="David" w:hAnsi="David"/>
          <w:rtl/>
        </w:rPr>
        <w:t xml:space="preserve"> </w:t>
      </w:r>
      <w:r>
        <w:rPr>
          <w:rFonts w:ascii="David" w:hAnsi="David"/>
          <w:b/>
          <w:bCs/>
          <w:rtl/>
        </w:rPr>
        <w:t>ביטון נגד מדינת ישראל</w:t>
      </w:r>
      <w:r>
        <w:rPr>
          <w:rFonts w:ascii="David" w:hAnsi="David"/>
          <w:rtl/>
        </w:rPr>
        <w:t xml:space="preserve"> (2011), כך גם ב</w:t>
      </w:r>
      <w:hyperlink r:id="rId50" w:history="1">
        <w:r w:rsidR="001B6A44" w:rsidRPr="001B6A44">
          <w:rPr>
            <w:rFonts w:ascii="David" w:hAnsi="David"/>
            <w:color w:val="0000FF"/>
            <w:u w:val="single"/>
            <w:rtl/>
          </w:rPr>
          <w:t>ע"פ 211/09</w:t>
        </w:r>
      </w:hyperlink>
      <w:r>
        <w:rPr>
          <w:rFonts w:ascii="David" w:hAnsi="David"/>
          <w:rtl/>
        </w:rPr>
        <w:t xml:space="preserve"> </w:t>
      </w:r>
      <w:r>
        <w:rPr>
          <w:rFonts w:ascii="David" w:hAnsi="David"/>
          <w:b/>
          <w:bCs/>
          <w:rtl/>
        </w:rPr>
        <w:t>אזולאי נ' מדינת</w:t>
      </w:r>
      <w:r>
        <w:rPr>
          <w:rFonts w:ascii="David" w:hAnsi="David"/>
          <w:rtl/>
        </w:rPr>
        <w:t xml:space="preserve"> </w:t>
      </w:r>
      <w:r>
        <w:rPr>
          <w:rFonts w:ascii="David" w:hAnsi="David"/>
          <w:b/>
          <w:bCs/>
          <w:rtl/>
        </w:rPr>
        <w:t>ישראל</w:t>
      </w:r>
      <w:r>
        <w:rPr>
          <w:rFonts w:ascii="David" w:hAnsi="David"/>
          <w:rtl/>
        </w:rPr>
        <w:t xml:space="preserve"> (22.6.2010):</w:t>
      </w:r>
    </w:p>
    <w:p w14:paraId="6B9FDF51" w14:textId="77777777" w:rsidR="000E24D6" w:rsidRDefault="000E24D6" w:rsidP="000E24D6">
      <w:pPr>
        <w:spacing w:line="360" w:lineRule="auto"/>
        <w:jc w:val="both"/>
        <w:rPr>
          <w:rFonts w:ascii="David" w:hAnsi="David"/>
          <w:rtl/>
        </w:rPr>
      </w:pPr>
    </w:p>
    <w:p w14:paraId="6F47255A" w14:textId="77777777" w:rsidR="000E24D6" w:rsidRDefault="000E24D6" w:rsidP="000E24D6">
      <w:pPr>
        <w:spacing w:line="360" w:lineRule="auto"/>
        <w:ind w:left="1218" w:right="851"/>
        <w:jc w:val="both"/>
        <w:rPr>
          <w:rFonts w:ascii="David" w:hAnsi="David"/>
        </w:rPr>
      </w:pPr>
      <w:r>
        <w:rPr>
          <w:rFonts w:ascii="David" w:hAnsi="David"/>
          <w:rtl/>
        </w:rPr>
        <w:t>"</w:t>
      </w:r>
      <w:r>
        <w:rPr>
          <w:rFonts w:ascii="David" w:hAnsi="David"/>
          <w:b/>
          <w:bCs/>
          <w:rtl/>
        </w:rPr>
        <w:t>הענישה בעבירות מסוג זה נועדה, קודם לכל, לשרת את מטרת הגמול לעבריין על עיסוק בסם העלול לסכן חיי אדם ולפגוע בבריאות המשתמשים בו</w:t>
      </w:r>
      <w:r>
        <w:rPr>
          <w:rFonts w:ascii="David" w:hAnsi="David"/>
          <w:rtl/>
        </w:rPr>
        <w:t>;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1770E283" w14:textId="77777777" w:rsidR="000E24D6" w:rsidRDefault="000E24D6" w:rsidP="000E24D6">
      <w:pPr>
        <w:spacing w:line="360" w:lineRule="auto"/>
        <w:jc w:val="both"/>
        <w:rPr>
          <w:rFonts w:ascii="David" w:hAnsi="David"/>
          <w:b/>
          <w:bCs/>
          <w:u w:val="single"/>
          <w:rtl/>
        </w:rPr>
      </w:pPr>
    </w:p>
    <w:p w14:paraId="60AE75F5"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מתח</w:t>
      </w:r>
      <w:r>
        <w:rPr>
          <w:rFonts w:ascii="David" w:hAnsi="David" w:hint="cs"/>
          <w:b/>
          <w:bCs/>
          <w:sz w:val="26"/>
          <w:szCs w:val="26"/>
          <w:u w:val="single"/>
          <w:rtl/>
        </w:rPr>
        <w:t>ם</w:t>
      </w:r>
      <w:r>
        <w:rPr>
          <w:rFonts w:ascii="David" w:hAnsi="David"/>
          <w:b/>
          <w:bCs/>
          <w:sz w:val="26"/>
          <w:szCs w:val="26"/>
          <w:u w:val="single"/>
          <w:rtl/>
        </w:rPr>
        <w:t xml:space="preserve"> העונש בת"פ 27417-02-23</w:t>
      </w:r>
    </w:p>
    <w:p w14:paraId="1FF024F4" w14:textId="77777777" w:rsidR="000E24D6" w:rsidRDefault="000E24D6" w:rsidP="000E24D6">
      <w:pPr>
        <w:spacing w:line="360" w:lineRule="auto"/>
        <w:jc w:val="both"/>
        <w:rPr>
          <w:rFonts w:ascii="David" w:hAnsi="David"/>
          <w:noProof/>
          <w:rtl/>
        </w:rPr>
      </w:pPr>
      <w:r>
        <w:rPr>
          <w:rFonts w:ascii="David" w:hAnsi="David"/>
          <w:rtl/>
        </w:rPr>
        <w:t>8.</w:t>
      </w:r>
      <w:r>
        <w:rPr>
          <w:rFonts w:ascii="David" w:hAnsi="David"/>
          <w:rtl/>
        </w:rPr>
        <w:tab/>
        <w:t>עבירת הסמים אותה ביצע הנאשם בת"פ 27417-02-23 מעלה פגיעה גבוהה בערכים המוגנים. הנאשם סיפק לסוכן המשטרתי סם מסוכן מסוג קוקאין במשקל של 45 גרם נטו בתמורה ל-14,000 ₪ במזומן.</w:t>
      </w:r>
    </w:p>
    <w:p w14:paraId="5AC65C29" w14:textId="77777777" w:rsidR="000E24D6" w:rsidRDefault="000E24D6" w:rsidP="000E24D6">
      <w:pPr>
        <w:spacing w:after="160" w:line="360" w:lineRule="auto"/>
        <w:jc w:val="both"/>
        <w:rPr>
          <w:rFonts w:ascii="David" w:eastAsia="Calibri" w:hAnsi="David"/>
          <w:rtl/>
        </w:rPr>
      </w:pPr>
      <w:r>
        <w:rPr>
          <w:rFonts w:ascii="David" w:eastAsia="Calibri" w:hAnsi="David"/>
          <w:rtl/>
        </w:rPr>
        <w:t xml:space="preserve">סם הקוקאין </w:t>
      </w:r>
      <w:r>
        <w:rPr>
          <w:rFonts w:ascii="David" w:eastAsia="Calibri" w:hAnsi="David" w:hint="cs"/>
          <w:rtl/>
        </w:rPr>
        <w:t xml:space="preserve">ידוע כסם </w:t>
      </w:r>
      <w:r>
        <w:rPr>
          <w:rFonts w:ascii="David" w:eastAsia="Calibri" w:hAnsi="David"/>
          <w:rtl/>
        </w:rPr>
        <w:t>מהקטלניים שבסמים. הסם ידוע בהשפעותיו ההרסניות (תחושת אופוריה והתרסקות; שיבוש בפעילות החשמלית של הלב עד כדי פוטנציאל להתקף או דום לב) ופוטנציאל ההתמכרות הגבוה הטמון בו, לרבות השלכות השימוש בו על מעגלי הפגיעה בחברה. ראו בהרחבה בדברי בית המשפט ב</w:t>
      </w:r>
      <w:hyperlink r:id="rId51" w:history="1">
        <w:r w:rsidR="001B6A44" w:rsidRPr="001B6A44">
          <w:rPr>
            <w:rFonts w:ascii="David" w:eastAsia="Calibri" w:hAnsi="David"/>
            <w:color w:val="0000FF"/>
            <w:u w:val="single"/>
            <w:rtl/>
          </w:rPr>
          <w:t>ע"פ 972/11</w:t>
        </w:r>
      </w:hyperlink>
      <w:r>
        <w:rPr>
          <w:rFonts w:ascii="David" w:eastAsia="Calibri" w:hAnsi="David"/>
          <w:rtl/>
        </w:rPr>
        <w:t xml:space="preserve"> </w:t>
      </w:r>
      <w:r>
        <w:rPr>
          <w:rFonts w:ascii="David" w:eastAsia="Calibri" w:hAnsi="David"/>
          <w:b/>
          <w:bCs/>
          <w:rtl/>
        </w:rPr>
        <w:t>מדינת ישראל נ' יונה</w:t>
      </w:r>
      <w:r>
        <w:rPr>
          <w:rFonts w:ascii="David" w:eastAsia="Calibri" w:hAnsi="David"/>
          <w:rtl/>
        </w:rPr>
        <w:t xml:space="preserve"> (4.7.2012).</w:t>
      </w:r>
    </w:p>
    <w:p w14:paraId="06CA8197" w14:textId="77777777" w:rsidR="000E24D6" w:rsidRDefault="000E24D6" w:rsidP="000E24D6">
      <w:pPr>
        <w:spacing w:after="160" w:line="360" w:lineRule="auto"/>
        <w:jc w:val="both"/>
        <w:rPr>
          <w:rFonts w:ascii="David" w:eastAsia="Calibri" w:hAnsi="David"/>
          <w:rtl/>
        </w:rPr>
      </w:pPr>
      <w:r>
        <w:rPr>
          <w:rFonts w:ascii="David" w:eastAsia="Calibri" w:hAnsi="David"/>
          <w:rtl/>
        </w:rPr>
        <w:t xml:space="preserve">כטענת התביעה, למקרא כתב האישום ניתן להתרשם כי לנאשם גישה מהירה לסמים קשים, </w:t>
      </w:r>
      <w:r>
        <w:rPr>
          <w:rFonts w:ascii="David" w:eastAsia="Calibri" w:hAnsi="David" w:hint="cs"/>
          <w:rtl/>
        </w:rPr>
        <w:t xml:space="preserve">כי הם זמינים לו ובכמות גדולה, </w:t>
      </w:r>
      <w:r>
        <w:rPr>
          <w:rFonts w:ascii="David" w:eastAsia="Calibri" w:hAnsi="David"/>
          <w:rtl/>
        </w:rPr>
        <w:t>כנלמד מ</w:t>
      </w:r>
      <w:r>
        <w:rPr>
          <w:rFonts w:ascii="David" w:eastAsia="Calibri" w:hAnsi="David" w:hint="cs"/>
          <w:rtl/>
        </w:rPr>
        <w:t xml:space="preserve">עובדות כתב האישום </w:t>
      </w:r>
      <w:r>
        <w:rPr>
          <w:rFonts w:ascii="David" w:eastAsia="Calibri" w:hAnsi="David"/>
          <w:rtl/>
        </w:rPr>
        <w:t>העובדה כי עסקת הסמים נסגרה ובוצעה תוך יומיים.</w:t>
      </w:r>
    </w:p>
    <w:p w14:paraId="21DA3887" w14:textId="77777777" w:rsidR="000E24D6" w:rsidRDefault="000E24D6" w:rsidP="000E24D6">
      <w:pPr>
        <w:spacing w:after="160" w:line="360" w:lineRule="auto"/>
        <w:jc w:val="both"/>
        <w:rPr>
          <w:rFonts w:ascii="David" w:eastAsia="Calibri" w:hAnsi="David"/>
          <w:rtl/>
        </w:rPr>
      </w:pPr>
      <w:r>
        <w:rPr>
          <w:rFonts w:ascii="David" w:eastAsia="Calibri" w:hAnsi="David" w:hint="cs"/>
          <w:rtl/>
        </w:rPr>
        <w:t xml:space="preserve">מעובדות </w:t>
      </w:r>
      <w:r w:rsidRPr="006D7BF6">
        <w:rPr>
          <w:rFonts w:ascii="David" w:eastAsia="Calibri" w:hAnsi="David" w:hint="cs"/>
          <w:rtl/>
        </w:rPr>
        <w:t>כתב האישום ניתן ללמוד כי הנאשם מעורה בתחום הסמים והסחר בהם, לרבות כי הוא בעל קשרים הדוקים עם סוחרי סמים אחרים.</w:t>
      </w:r>
      <w:r>
        <w:rPr>
          <w:rFonts w:ascii="David" w:eastAsia="Calibri" w:hAnsi="David" w:hint="cs"/>
          <w:rtl/>
        </w:rPr>
        <w:t xml:space="preserve"> </w:t>
      </w:r>
    </w:p>
    <w:p w14:paraId="4BB74F23" w14:textId="77777777" w:rsidR="000E24D6" w:rsidRDefault="000E24D6" w:rsidP="000E24D6">
      <w:pPr>
        <w:spacing w:line="360" w:lineRule="auto"/>
        <w:jc w:val="both"/>
        <w:rPr>
          <w:rFonts w:ascii="David" w:hAnsi="David"/>
          <w:bCs/>
          <w:sz w:val="26"/>
          <w:szCs w:val="26"/>
          <w:u w:val="single"/>
          <w:rtl/>
        </w:rPr>
      </w:pPr>
      <w:r>
        <w:rPr>
          <w:rFonts w:ascii="David" w:hAnsi="David"/>
          <w:bCs/>
          <w:sz w:val="26"/>
          <w:szCs w:val="26"/>
          <w:u w:val="single"/>
          <w:rtl/>
        </w:rPr>
        <w:t xml:space="preserve">ענישה נוהגת </w:t>
      </w:r>
    </w:p>
    <w:p w14:paraId="5263BF1D" w14:textId="77777777" w:rsidR="000E24D6" w:rsidRDefault="000E24D6" w:rsidP="000E24D6">
      <w:pPr>
        <w:spacing w:after="160" w:line="360" w:lineRule="auto"/>
        <w:jc w:val="both"/>
        <w:rPr>
          <w:rFonts w:ascii="David" w:hAnsi="David"/>
          <w:noProof/>
          <w:rtl/>
        </w:rPr>
      </w:pPr>
      <w:r>
        <w:rPr>
          <w:rFonts w:ascii="David" w:hAnsi="David"/>
          <w:rtl/>
        </w:rPr>
        <w:t>מתחם הענישה הנוהגת בעבירות של החזקת סמים שלא לצריכה עצמית ובעבירות סחר ואספקה, הינו רחב ומשתנה בהתאם לסוג הסם, כמות הסם, נסיבות החזקתו</w:t>
      </w:r>
      <w:r>
        <w:rPr>
          <w:rFonts w:ascii="David" w:hAnsi="David" w:hint="cs"/>
          <w:rtl/>
        </w:rPr>
        <w:t>,</w:t>
      </w:r>
      <w:r>
        <w:rPr>
          <w:rFonts w:ascii="David" w:hAnsi="David"/>
          <w:rtl/>
        </w:rPr>
        <w:t xml:space="preserve"> ובאשר לעבירת ההחזקה, גם קיומן של אינדיקציות להפצתו. עיון בפסיקה הנוהגת במקרים שנסיבותיהם דומות או קרובות לעבירות הסמים אותם ביצוע הנאשם בנסיבות ביצוען מלמדת על ענישה משמעותית מאחורי סורג ובריח. </w:t>
      </w:r>
    </w:p>
    <w:p w14:paraId="57A7ADBA" w14:textId="77777777" w:rsidR="000E24D6" w:rsidRDefault="000E24D6" w:rsidP="000E24D6">
      <w:pPr>
        <w:spacing w:after="160" w:line="360" w:lineRule="auto"/>
        <w:jc w:val="both"/>
        <w:rPr>
          <w:rFonts w:ascii="David" w:hAnsi="David"/>
          <w:rtl/>
        </w:rPr>
      </w:pPr>
      <w:r>
        <w:rPr>
          <w:rFonts w:ascii="David" w:eastAsia="Calibri" w:hAnsi="David"/>
          <w:rtl/>
        </w:rPr>
        <w:t>עיינתי במקרים אליהם הפנה כל אחד מהצדדים אשר מטבע הדברים ביקש לראות במקרים אליהם הפנה, אמת מידה לקביעת מתחם העונש בתיק הנדון ובתיק המצורף.</w:t>
      </w:r>
      <w:r>
        <w:rPr>
          <w:rFonts w:ascii="David" w:hAnsi="David"/>
          <w:rtl/>
        </w:rPr>
        <w:t xml:space="preserve"> להלן יובאו מקרים שבחלק מהם נמצא נסיבות החמורות פי כמה וכמה מאלה שבתיק דנן, כדלקמן: </w:t>
      </w:r>
    </w:p>
    <w:p w14:paraId="56C08B84" w14:textId="77777777" w:rsidR="000E24D6" w:rsidRDefault="000E24D6" w:rsidP="000E24D6">
      <w:pPr>
        <w:spacing w:after="160" w:line="360" w:lineRule="auto"/>
        <w:jc w:val="both"/>
        <w:rPr>
          <w:rFonts w:ascii="David" w:hAnsi="David"/>
        </w:rPr>
      </w:pPr>
      <w:r>
        <w:rPr>
          <w:rFonts w:ascii="David" w:hAnsi="David"/>
          <w:rtl/>
        </w:rPr>
        <w:t>ב</w:t>
      </w:r>
      <w:hyperlink r:id="rId52" w:history="1">
        <w:r w:rsidR="001B6A44" w:rsidRPr="001B6A44">
          <w:rPr>
            <w:rFonts w:ascii="David" w:hAnsi="David"/>
            <w:color w:val="0000FF"/>
            <w:u w:val="single"/>
            <w:rtl/>
          </w:rPr>
          <w:t>ע"פ 6847/22</w:t>
        </w:r>
      </w:hyperlink>
      <w:r>
        <w:rPr>
          <w:rFonts w:ascii="David" w:hAnsi="David"/>
          <w:rtl/>
        </w:rPr>
        <w:t xml:space="preserve"> </w:t>
      </w:r>
      <w:r>
        <w:rPr>
          <w:rFonts w:ascii="David" w:hAnsi="David"/>
          <w:b/>
          <w:bCs/>
          <w:rtl/>
        </w:rPr>
        <w:t>עדאל אבו צעלוק נ' מדינת ישרא</w:t>
      </w:r>
      <w:r>
        <w:rPr>
          <w:rFonts w:ascii="David" w:hAnsi="David"/>
          <w:rtl/>
        </w:rPr>
        <w:t xml:space="preserve">ל (09.03.23), </w:t>
      </w:r>
      <w:r>
        <w:rPr>
          <w:rFonts w:ascii="David" w:hAnsi="David"/>
          <w:b/>
          <w:bCs/>
          <w:rtl/>
        </w:rPr>
        <w:t>נקבע מתחם עונש הולם בין  3 ל- 5 שנות מאסר בפועל,</w:t>
      </w:r>
      <w:r>
        <w:rPr>
          <w:rFonts w:ascii="David" w:hAnsi="David"/>
          <w:rtl/>
        </w:rPr>
        <w:t xml:space="preserve"> בנסיבות בהן החזיק אבו צעלוק את בין רגליו בזמן שהוא נוהג ברכב, סם </w:t>
      </w:r>
      <w:r>
        <w:rPr>
          <w:rFonts w:ascii="David" w:hAnsi="David"/>
          <w:u w:val="single"/>
          <w:rtl/>
        </w:rPr>
        <w:t>קוקאין במשקל של כ 159 גרם נטו</w:t>
      </w:r>
      <w:r>
        <w:rPr>
          <w:rFonts w:ascii="David" w:hAnsi="David"/>
          <w:rtl/>
        </w:rPr>
        <w:t>, מחולק לארבע אריזות, ובנוסף החזיק בדלת  הקדמית של הרכב קוקאין במשקל של כ 1.5 גרם נטו מחולק לשלוש אריזות.</w:t>
      </w:r>
    </w:p>
    <w:p w14:paraId="33B523B7" w14:textId="77777777" w:rsidR="000E24D6" w:rsidRDefault="000E24D6" w:rsidP="000E24D6">
      <w:pPr>
        <w:spacing w:line="360" w:lineRule="auto"/>
        <w:jc w:val="both"/>
        <w:rPr>
          <w:rFonts w:ascii="David" w:hAnsi="David"/>
          <w:rtl/>
        </w:rPr>
      </w:pPr>
    </w:p>
    <w:p w14:paraId="4727F860" w14:textId="77777777" w:rsidR="000E24D6" w:rsidRDefault="000E24D6" w:rsidP="000E24D6">
      <w:pPr>
        <w:spacing w:line="360" w:lineRule="auto"/>
        <w:jc w:val="both"/>
        <w:rPr>
          <w:rFonts w:ascii="David" w:hAnsi="David"/>
          <w:rtl/>
        </w:rPr>
      </w:pPr>
      <w:r>
        <w:rPr>
          <w:rFonts w:ascii="David" w:hAnsi="David"/>
          <w:rtl/>
        </w:rPr>
        <w:t>ב</w:t>
      </w:r>
      <w:hyperlink r:id="rId53" w:history="1">
        <w:r w:rsidR="001B6A44" w:rsidRPr="001B6A44">
          <w:rPr>
            <w:rFonts w:ascii="David" w:hAnsi="David"/>
            <w:color w:val="0000FF"/>
            <w:u w:val="single"/>
            <w:rtl/>
          </w:rPr>
          <w:t>ע"פ 7688-21</w:t>
        </w:r>
      </w:hyperlink>
      <w:r>
        <w:rPr>
          <w:rFonts w:ascii="David" w:hAnsi="David"/>
          <w:rtl/>
        </w:rPr>
        <w:t xml:space="preserve"> </w:t>
      </w:r>
      <w:r>
        <w:rPr>
          <w:rFonts w:ascii="David" w:hAnsi="David"/>
          <w:b/>
          <w:bCs/>
          <w:rtl/>
        </w:rPr>
        <w:t xml:space="preserve">רסלן עטא נ' מדינת ישראל </w:t>
      </w:r>
      <w:r>
        <w:rPr>
          <w:rFonts w:ascii="David" w:hAnsi="David"/>
          <w:rtl/>
        </w:rPr>
        <w:t xml:space="preserve">(27.6.22), דובר במערער בן 21, סטודנט, ללא עבר פלילי, שהורשע </w:t>
      </w:r>
      <w:r>
        <w:rPr>
          <w:rFonts w:ascii="David" w:hAnsi="David"/>
          <w:u w:val="single"/>
          <w:rtl/>
        </w:rPr>
        <w:t>בהחזקת 487 גרם קוקאין</w:t>
      </w:r>
      <w:r>
        <w:rPr>
          <w:rFonts w:ascii="David" w:hAnsi="David"/>
          <w:b/>
          <w:bCs/>
          <w:rtl/>
        </w:rPr>
        <w:t xml:space="preserve">. </w:t>
      </w:r>
      <w:r>
        <w:rPr>
          <w:rFonts w:ascii="David" w:hAnsi="David"/>
          <w:rtl/>
        </w:rPr>
        <w:t xml:space="preserve">הוצג הסדר טיעון בגדרו עתרה המאשימה ל- 5 שנות מאסר. בית המשפט </w:t>
      </w:r>
      <w:r>
        <w:rPr>
          <w:rFonts w:ascii="David" w:hAnsi="David"/>
          <w:b/>
          <w:bCs/>
          <w:rtl/>
        </w:rPr>
        <w:t xml:space="preserve">קבע את מתחם העונש ההולם בין 4 ל- 7 שנות מאסר </w:t>
      </w:r>
      <w:r>
        <w:rPr>
          <w:rFonts w:ascii="David" w:hAnsi="David"/>
          <w:rtl/>
        </w:rPr>
        <w:t xml:space="preserve">והשית על הנאשם </w:t>
      </w:r>
      <w:r>
        <w:rPr>
          <w:rFonts w:ascii="David" w:hAnsi="David"/>
          <w:b/>
          <w:bCs/>
          <w:rtl/>
        </w:rPr>
        <w:t>4</w:t>
      </w:r>
      <w:r>
        <w:rPr>
          <w:rFonts w:ascii="David" w:hAnsi="David"/>
          <w:rtl/>
        </w:rPr>
        <w:t>.</w:t>
      </w:r>
      <w:r>
        <w:rPr>
          <w:rFonts w:ascii="David" w:hAnsi="David"/>
          <w:b/>
          <w:bCs/>
          <w:rtl/>
        </w:rPr>
        <w:t xml:space="preserve">5 שנות מאסר בפועל. </w:t>
      </w:r>
      <w:r>
        <w:rPr>
          <w:rFonts w:ascii="David" w:hAnsi="David"/>
          <w:rtl/>
        </w:rPr>
        <w:t xml:space="preserve">בית המשפט של הערעור, הפחית מהעונש אשר הועמד על </w:t>
      </w:r>
      <w:r>
        <w:rPr>
          <w:rFonts w:ascii="David" w:hAnsi="David"/>
          <w:b/>
          <w:bCs/>
          <w:rtl/>
        </w:rPr>
        <w:t>4 שנות מאסר בפועל</w:t>
      </w:r>
      <w:r>
        <w:rPr>
          <w:rFonts w:ascii="David" w:hAnsi="David"/>
          <w:rtl/>
        </w:rPr>
        <w:t xml:space="preserve">.  </w:t>
      </w:r>
    </w:p>
    <w:p w14:paraId="63704CFF" w14:textId="77777777" w:rsidR="000E24D6" w:rsidRDefault="000E24D6" w:rsidP="000E24D6">
      <w:pPr>
        <w:spacing w:line="360" w:lineRule="auto"/>
        <w:jc w:val="both"/>
        <w:rPr>
          <w:rFonts w:ascii="David" w:hAnsi="David"/>
          <w:noProof/>
          <w:rtl/>
        </w:rPr>
      </w:pPr>
    </w:p>
    <w:p w14:paraId="6646AF79" w14:textId="77777777" w:rsidR="000E24D6" w:rsidRDefault="000E24D6" w:rsidP="000E24D6">
      <w:pPr>
        <w:spacing w:line="360" w:lineRule="auto"/>
        <w:jc w:val="both"/>
        <w:rPr>
          <w:rFonts w:ascii="David" w:hAnsi="David"/>
          <w:rtl/>
        </w:rPr>
      </w:pPr>
    </w:p>
    <w:p w14:paraId="40C690D2" w14:textId="77777777" w:rsidR="000E24D6" w:rsidRDefault="000E24D6" w:rsidP="000E24D6">
      <w:pPr>
        <w:spacing w:line="360" w:lineRule="auto"/>
        <w:jc w:val="both"/>
        <w:rPr>
          <w:rFonts w:ascii="David" w:hAnsi="David"/>
          <w:rtl/>
        </w:rPr>
      </w:pPr>
      <w:r>
        <w:rPr>
          <w:rFonts w:ascii="David" w:hAnsi="David"/>
          <w:rtl/>
        </w:rPr>
        <w:t>ב</w:t>
      </w:r>
      <w:hyperlink r:id="rId54" w:history="1">
        <w:r w:rsidR="001B6A44" w:rsidRPr="001B6A44">
          <w:rPr>
            <w:rFonts w:ascii="David" w:hAnsi="David"/>
            <w:color w:val="0000FF"/>
            <w:u w:val="single"/>
            <w:rtl/>
          </w:rPr>
          <w:t>ע"פ 2570/17</w:t>
        </w:r>
      </w:hyperlink>
      <w:r>
        <w:rPr>
          <w:rFonts w:ascii="David" w:hAnsi="David"/>
          <w:rtl/>
        </w:rPr>
        <w:t xml:space="preserve"> </w:t>
      </w:r>
      <w:r>
        <w:rPr>
          <w:rFonts w:ascii="David" w:hAnsi="David"/>
          <w:b/>
          <w:bCs/>
          <w:rtl/>
        </w:rPr>
        <w:t xml:space="preserve">דוד קריחלי נ' מדינת ישראל </w:t>
      </w:r>
      <w:r>
        <w:rPr>
          <w:rFonts w:ascii="David" w:hAnsi="David"/>
          <w:rtl/>
        </w:rPr>
        <w:t xml:space="preserve">(17.1.18) המערער החזיק בביתו </w:t>
      </w:r>
      <w:r>
        <w:rPr>
          <w:rFonts w:ascii="David" w:hAnsi="David"/>
          <w:u w:val="single"/>
          <w:rtl/>
        </w:rPr>
        <w:t>סם קוקאין במשקל של כ- 100 גרם</w:t>
      </w:r>
      <w:r>
        <w:rPr>
          <w:rFonts w:ascii="David" w:hAnsi="David"/>
          <w:b/>
          <w:bCs/>
          <w:rtl/>
        </w:rPr>
        <w:t xml:space="preserve">, </w:t>
      </w:r>
      <w:r>
        <w:rPr>
          <w:rFonts w:ascii="David" w:hAnsi="David"/>
          <w:rtl/>
        </w:rPr>
        <w:t xml:space="preserve">כמות קטנה של חשיש, ומשקל דיגיטלי לשקילת הסמים. בית המשפט המחוזי הרשיעו וגזר עליו </w:t>
      </w:r>
      <w:r>
        <w:rPr>
          <w:rFonts w:ascii="David" w:hAnsi="David"/>
          <w:b/>
          <w:bCs/>
          <w:rtl/>
        </w:rPr>
        <w:t>40 חודשי  מאסר בפועל,</w:t>
      </w:r>
      <w:r>
        <w:rPr>
          <w:rFonts w:ascii="David" w:hAnsi="David"/>
          <w:rtl/>
        </w:rPr>
        <w:t xml:space="preserve"> וענישה נלווית. המערער ערער על הרשעתו ועל העונש שהוטל עליו, ובהמלצת בית המשפט העליון  חזר בו מהערעור על הכרעת הדין, ועונשו הועמד על 34 חודשים. </w:t>
      </w:r>
    </w:p>
    <w:p w14:paraId="1CAE964B" w14:textId="77777777" w:rsidR="000E24D6" w:rsidRDefault="000E24D6" w:rsidP="000E24D6">
      <w:pPr>
        <w:spacing w:line="360" w:lineRule="auto"/>
        <w:jc w:val="both"/>
        <w:rPr>
          <w:rFonts w:ascii="David" w:hAnsi="David"/>
          <w:rtl/>
        </w:rPr>
      </w:pPr>
    </w:p>
    <w:p w14:paraId="70C87217" w14:textId="77777777" w:rsidR="000E24D6" w:rsidRDefault="000E24D6" w:rsidP="000E24D6">
      <w:pPr>
        <w:spacing w:line="360" w:lineRule="auto"/>
        <w:jc w:val="both"/>
        <w:rPr>
          <w:rFonts w:ascii="David" w:hAnsi="David"/>
          <w:rtl/>
        </w:rPr>
      </w:pPr>
      <w:r>
        <w:rPr>
          <w:rFonts w:ascii="David" w:hAnsi="David"/>
          <w:rtl/>
        </w:rPr>
        <w:t>ב</w:t>
      </w:r>
      <w:hyperlink r:id="rId55" w:history="1">
        <w:r w:rsidR="001B6A44" w:rsidRPr="001B6A44">
          <w:rPr>
            <w:rFonts w:ascii="David" w:hAnsi="David"/>
            <w:color w:val="0000FF"/>
            <w:u w:val="single"/>
            <w:rtl/>
          </w:rPr>
          <w:t>עפ"ג ( מחוזי מרכז) 62489-07-17</w:t>
        </w:r>
      </w:hyperlink>
      <w:r>
        <w:rPr>
          <w:rFonts w:ascii="David" w:hAnsi="David"/>
          <w:b/>
          <w:bCs/>
          <w:rtl/>
        </w:rPr>
        <w:t xml:space="preserve"> אבו דקה נ' מדינת ישראל</w:t>
      </w:r>
      <w:r>
        <w:rPr>
          <w:rFonts w:ascii="David" w:hAnsi="David"/>
          <w:rtl/>
        </w:rPr>
        <w:t xml:space="preserve"> (31.12.17), אישר בית המשפט  </w:t>
      </w:r>
      <w:r>
        <w:rPr>
          <w:rFonts w:ascii="David" w:hAnsi="David"/>
          <w:b/>
          <w:bCs/>
          <w:rtl/>
        </w:rPr>
        <w:t xml:space="preserve">מתחם עונש שבין 15 ל- 36 חודשי מאסר בפועל </w:t>
      </w:r>
      <w:r>
        <w:rPr>
          <w:rFonts w:ascii="David" w:hAnsi="David"/>
          <w:rtl/>
        </w:rPr>
        <w:t xml:space="preserve">שקבע בית משפט שלום בנסיבות בהן החזיק המערער 29.95 גרם סם מסוג קוקאין, מחולק למנות. </w:t>
      </w:r>
    </w:p>
    <w:p w14:paraId="54CDDB0F" w14:textId="77777777" w:rsidR="000E24D6" w:rsidRDefault="000E24D6" w:rsidP="000E24D6">
      <w:pPr>
        <w:spacing w:line="360" w:lineRule="auto"/>
        <w:jc w:val="both"/>
        <w:rPr>
          <w:rFonts w:ascii="David" w:hAnsi="David"/>
          <w:rtl/>
        </w:rPr>
      </w:pPr>
    </w:p>
    <w:p w14:paraId="7859AE48" w14:textId="77777777" w:rsidR="000E24D6" w:rsidRDefault="000E24D6" w:rsidP="000E24D6">
      <w:pPr>
        <w:spacing w:line="360" w:lineRule="auto"/>
        <w:jc w:val="both"/>
        <w:rPr>
          <w:rFonts w:ascii="David" w:hAnsi="David"/>
          <w:rtl/>
        </w:rPr>
      </w:pPr>
      <w:r>
        <w:rPr>
          <w:rFonts w:ascii="David" w:hAnsi="David"/>
          <w:rtl/>
        </w:rPr>
        <w:t>ב</w:t>
      </w:r>
      <w:hyperlink r:id="rId56" w:history="1">
        <w:r w:rsidR="001B6A44" w:rsidRPr="001B6A44">
          <w:rPr>
            <w:rFonts w:ascii="David" w:hAnsi="David"/>
            <w:color w:val="0000FF"/>
            <w:u w:val="single"/>
            <w:rtl/>
          </w:rPr>
          <w:t>ת"פ 47299-10-22</w:t>
        </w:r>
      </w:hyperlink>
      <w:r>
        <w:rPr>
          <w:rFonts w:ascii="David" w:hAnsi="David"/>
          <w:rtl/>
        </w:rPr>
        <w:t xml:space="preserve"> </w:t>
      </w:r>
      <w:r>
        <w:rPr>
          <w:rFonts w:ascii="David" w:hAnsi="David"/>
          <w:b/>
          <w:bCs/>
          <w:rtl/>
        </w:rPr>
        <w:t xml:space="preserve">מדינת ישראל נ' רמי חכמון </w:t>
      </w:r>
      <w:r>
        <w:rPr>
          <w:rFonts w:ascii="David" w:hAnsi="David"/>
          <w:rtl/>
        </w:rPr>
        <w:t>(18.1.24) הנאשם הורשע בה</w:t>
      </w:r>
      <w:r>
        <w:rPr>
          <w:rFonts w:ascii="David" w:hAnsi="David"/>
          <w:b/>
          <w:bCs/>
          <w:rtl/>
        </w:rPr>
        <w:t xml:space="preserve">חזקת </w:t>
      </w:r>
      <w:r>
        <w:rPr>
          <w:rFonts w:ascii="David" w:hAnsi="David"/>
          <w:b/>
          <w:bCs/>
          <w:u w:val="single"/>
          <w:rtl/>
        </w:rPr>
        <w:t>כ – 105 גרם קוקאין</w:t>
      </w:r>
      <w:r>
        <w:rPr>
          <w:rFonts w:ascii="David" w:hAnsi="David"/>
          <w:u w:val="single"/>
          <w:rtl/>
        </w:rPr>
        <w:t>.</w:t>
      </w:r>
      <w:r>
        <w:rPr>
          <w:rFonts w:ascii="David" w:hAnsi="David"/>
          <w:rtl/>
        </w:rPr>
        <w:t xml:space="preserve"> בית המשפט קבע את מתחם העונש ההולם בין </w:t>
      </w:r>
      <w:r>
        <w:rPr>
          <w:rFonts w:ascii="David" w:hAnsi="David"/>
          <w:b/>
          <w:bCs/>
          <w:rtl/>
        </w:rPr>
        <w:t>3 ל- 5 שנות מאסר בפועל</w:t>
      </w:r>
      <w:r>
        <w:rPr>
          <w:rFonts w:ascii="David" w:hAnsi="David"/>
          <w:rtl/>
        </w:rPr>
        <w:t>, והשית על הנאשם 40 חודשי מאסר בפועל.</w:t>
      </w:r>
    </w:p>
    <w:p w14:paraId="237FE636" w14:textId="77777777" w:rsidR="000E24D6" w:rsidRDefault="000E24D6" w:rsidP="000E24D6">
      <w:pPr>
        <w:spacing w:line="360" w:lineRule="auto"/>
        <w:jc w:val="both"/>
        <w:rPr>
          <w:rFonts w:ascii="David" w:hAnsi="David"/>
          <w:b/>
          <w:bCs/>
          <w:rtl/>
        </w:rPr>
      </w:pPr>
    </w:p>
    <w:p w14:paraId="7CAF6860" w14:textId="77777777" w:rsidR="000E24D6" w:rsidRDefault="000E24D6" w:rsidP="000E24D6">
      <w:pPr>
        <w:spacing w:line="360" w:lineRule="auto"/>
        <w:jc w:val="both"/>
        <w:rPr>
          <w:rFonts w:ascii="David" w:hAnsi="David"/>
          <w:rtl/>
        </w:rPr>
      </w:pPr>
      <w:r>
        <w:rPr>
          <w:rFonts w:ascii="David" w:hAnsi="David"/>
          <w:rtl/>
        </w:rPr>
        <w:t>ב</w:t>
      </w:r>
      <w:hyperlink r:id="rId57" w:history="1">
        <w:r w:rsidR="001B6A44" w:rsidRPr="001B6A44">
          <w:rPr>
            <w:rFonts w:ascii="David" w:hAnsi="David"/>
            <w:color w:val="0000FF"/>
            <w:u w:val="single"/>
            <w:rtl/>
          </w:rPr>
          <w:t>ת"פ (ת"א) 45195-11-20</w:t>
        </w:r>
      </w:hyperlink>
      <w:r>
        <w:rPr>
          <w:rFonts w:ascii="David" w:hAnsi="David"/>
          <w:rtl/>
        </w:rPr>
        <w:t xml:space="preserve"> </w:t>
      </w:r>
      <w:r>
        <w:rPr>
          <w:rFonts w:ascii="David" w:hAnsi="David"/>
          <w:b/>
          <w:bCs/>
          <w:rtl/>
        </w:rPr>
        <w:t>מ"י נ' אחמד מוחמד</w:t>
      </w:r>
      <w:r>
        <w:rPr>
          <w:rFonts w:ascii="David" w:hAnsi="David"/>
          <w:rtl/>
        </w:rPr>
        <w:t xml:space="preserve"> נקבע </w:t>
      </w:r>
      <w:r>
        <w:rPr>
          <w:rFonts w:ascii="David" w:hAnsi="David"/>
          <w:b/>
          <w:bCs/>
          <w:rtl/>
        </w:rPr>
        <w:t xml:space="preserve">מתחם </w:t>
      </w:r>
      <w:r>
        <w:rPr>
          <w:rFonts w:ascii="David" w:hAnsi="David"/>
          <w:rtl/>
        </w:rPr>
        <w:t xml:space="preserve">עונש הנע בין </w:t>
      </w:r>
      <w:r>
        <w:rPr>
          <w:rFonts w:ascii="David" w:hAnsi="David"/>
          <w:b/>
          <w:bCs/>
          <w:rtl/>
        </w:rPr>
        <w:t xml:space="preserve"> 24 ל 60 חודשי</w:t>
      </w:r>
      <w:r>
        <w:rPr>
          <w:rFonts w:ascii="David" w:hAnsi="David"/>
          <w:rtl/>
        </w:rPr>
        <w:t xml:space="preserve"> מאסר בפועל בנסיבות בהן הנאשם החזיק </w:t>
      </w:r>
      <w:r>
        <w:rPr>
          <w:rFonts w:ascii="David" w:hAnsi="David"/>
          <w:b/>
          <w:bCs/>
          <w:u w:val="single"/>
          <w:rtl/>
        </w:rPr>
        <w:t xml:space="preserve"> 113.7 גרם סם מסוכן</w:t>
      </w:r>
      <w:r>
        <w:rPr>
          <w:rFonts w:ascii="David" w:hAnsi="David"/>
          <w:rtl/>
        </w:rPr>
        <w:t xml:space="preserve"> </w:t>
      </w:r>
      <w:r>
        <w:rPr>
          <w:rFonts w:ascii="David" w:hAnsi="David"/>
          <w:b/>
          <w:bCs/>
          <w:u w:val="single"/>
          <w:rtl/>
        </w:rPr>
        <w:t>מסוג קוקאין עבור אחר</w:t>
      </w:r>
      <w:r>
        <w:rPr>
          <w:rFonts w:ascii="David" w:hAnsi="David"/>
          <w:u w:val="single"/>
          <w:rtl/>
        </w:rPr>
        <w:t>,</w:t>
      </w:r>
      <w:r>
        <w:rPr>
          <w:rFonts w:ascii="David" w:hAnsi="David"/>
          <w:rtl/>
        </w:rPr>
        <w:t xml:space="preserve"> ועוד החזיק  </w:t>
      </w:r>
      <w:r>
        <w:rPr>
          <w:rFonts w:ascii="David" w:hAnsi="David"/>
          <w:b/>
          <w:bCs/>
          <w:u w:val="single"/>
          <w:rtl/>
        </w:rPr>
        <w:t>20 גרם סם הרואין</w:t>
      </w:r>
      <w:r>
        <w:rPr>
          <w:rFonts w:ascii="David" w:hAnsi="David"/>
          <w:rtl/>
        </w:rPr>
        <w:t xml:space="preserve">   </w:t>
      </w:r>
      <w:r>
        <w:rPr>
          <w:rFonts w:ascii="David" w:hAnsi="David"/>
          <w:b/>
          <w:bCs/>
          <w:u w:val="single"/>
          <w:rtl/>
        </w:rPr>
        <w:t>ו 29 גרם סם קוקאי</w:t>
      </w:r>
      <w:r>
        <w:rPr>
          <w:rFonts w:ascii="David" w:hAnsi="David"/>
          <w:rtl/>
        </w:rPr>
        <w:t xml:space="preserve">ן שלא עבור אחר. </w:t>
      </w:r>
      <w:r>
        <w:rPr>
          <w:rFonts w:ascii="David" w:hAnsi="David"/>
          <w:b/>
          <w:bCs/>
          <w:rtl/>
        </w:rPr>
        <w:t xml:space="preserve"> </w:t>
      </w:r>
    </w:p>
    <w:p w14:paraId="70442501" w14:textId="77777777" w:rsidR="000E24D6" w:rsidRDefault="000E24D6" w:rsidP="000E24D6">
      <w:pPr>
        <w:spacing w:line="360" w:lineRule="auto"/>
        <w:jc w:val="both"/>
        <w:rPr>
          <w:rFonts w:ascii="David" w:hAnsi="David"/>
          <w:rtl/>
        </w:rPr>
      </w:pPr>
    </w:p>
    <w:p w14:paraId="014C9A91" w14:textId="77777777" w:rsidR="000E24D6" w:rsidRDefault="000E24D6" w:rsidP="000E24D6">
      <w:pPr>
        <w:spacing w:line="360" w:lineRule="auto"/>
        <w:jc w:val="both"/>
        <w:rPr>
          <w:rFonts w:ascii="David" w:hAnsi="David"/>
          <w:rtl/>
        </w:rPr>
      </w:pPr>
      <w:r>
        <w:rPr>
          <w:rFonts w:ascii="David" w:hAnsi="David"/>
          <w:rtl/>
        </w:rPr>
        <w:t>ב</w:t>
      </w:r>
      <w:hyperlink r:id="rId58" w:history="1">
        <w:r w:rsidR="001B6A44" w:rsidRPr="001B6A44">
          <w:rPr>
            <w:rFonts w:ascii="David" w:hAnsi="David"/>
            <w:color w:val="0000FF"/>
            <w:u w:val="single"/>
            <w:rtl/>
          </w:rPr>
          <w:t>ע"פ 1277/17</w:t>
        </w:r>
      </w:hyperlink>
      <w:r>
        <w:rPr>
          <w:rFonts w:ascii="David" w:hAnsi="David"/>
          <w:rtl/>
        </w:rPr>
        <w:t xml:space="preserve"> </w:t>
      </w:r>
      <w:r>
        <w:rPr>
          <w:rFonts w:ascii="David" w:hAnsi="David"/>
          <w:b/>
          <w:bCs/>
          <w:rtl/>
        </w:rPr>
        <w:t>מדינת ישראל נ' בלומנטל</w:t>
      </w:r>
      <w:r>
        <w:rPr>
          <w:rFonts w:ascii="David" w:hAnsi="David"/>
          <w:rtl/>
        </w:rPr>
        <w:t xml:space="preserve"> התקבל ערעור המדינה על קולת העונש, ועונשו של הנאשם הועמד על 5 שנות מאסר. בית המשפט המחוזי (מרכז-לוד) </w:t>
      </w:r>
      <w:r>
        <w:rPr>
          <w:rFonts w:ascii="David" w:hAnsi="David"/>
          <w:b/>
          <w:bCs/>
          <w:rtl/>
        </w:rPr>
        <w:t>קבע מתחם עונש שבין 4 ל-6 שנות מאסר</w:t>
      </w:r>
      <w:r>
        <w:rPr>
          <w:rFonts w:ascii="David" w:hAnsi="David"/>
          <w:rtl/>
        </w:rPr>
        <w:t xml:space="preserve"> בנסיבות בהן הורשע הנאשם </w:t>
      </w:r>
      <w:r>
        <w:rPr>
          <w:rFonts w:ascii="David" w:hAnsi="David"/>
          <w:u w:val="single"/>
          <w:rtl/>
        </w:rPr>
        <w:t>בהחזקת סם קוקאין במצב נוזלי במשקל של 1,800 גרם</w:t>
      </w:r>
      <w:r>
        <w:rPr>
          <w:rFonts w:ascii="David" w:hAnsi="David"/>
          <w:rtl/>
        </w:rPr>
        <w:t xml:space="preserve"> נטו אשר הוחזק בקנקן ואשר ביצע פעולות שונות על מנת להכין את הסם לשימוש באמצעות חומרים כימיים שנמצאו במטבחו. בית המשפט הביא בחשבון הצהרה מוסכמת של הצדדים במסגרת הסדר הטיעון לפיה לא מדובר בקוקאין טהור אם כי לא הייתה מחלוקת מבחינה משפטית כי כל הכמות מהווה סם מסוכן מסוג קוקאין.  </w:t>
      </w:r>
    </w:p>
    <w:p w14:paraId="72D2623F" w14:textId="77777777" w:rsidR="000E24D6" w:rsidRDefault="000E24D6" w:rsidP="000E24D6">
      <w:pPr>
        <w:spacing w:line="360" w:lineRule="auto"/>
        <w:jc w:val="both"/>
        <w:rPr>
          <w:rFonts w:ascii="David" w:hAnsi="David"/>
          <w:rtl/>
        </w:rPr>
      </w:pPr>
    </w:p>
    <w:p w14:paraId="0C100639" w14:textId="77777777" w:rsidR="000E24D6" w:rsidRDefault="000E24D6" w:rsidP="000E24D6">
      <w:pPr>
        <w:spacing w:line="360" w:lineRule="auto"/>
        <w:jc w:val="both"/>
        <w:rPr>
          <w:rFonts w:ascii="David" w:eastAsia="Calibri" w:hAnsi="David"/>
        </w:rPr>
      </w:pPr>
      <w:r w:rsidRPr="001005E0">
        <w:rPr>
          <w:rFonts w:ascii="David" w:hAnsi="David" w:hint="cs"/>
          <w:rtl/>
        </w:rPr>
        <w:t xml:space="preserve">כאן המקום להתייחס לטענת הסנגור לפיה </w:t>
      </w:r>
      <w:r w:rsidRPr="001005E0">
        <w:rPr>
          <w:rFonts w:ascii="David" w:hAnsi="David"/>
          <w:rtl/>
        </w:rPr>
        <w:t xml:space="preserve"> עונשו</w:t>
      </w:r>
      <w:r>
        <w:rPr>
          <w:rFonts w:ascii="David" w:hAnsi="David"/>
          <w:rtl/>
        </w:rPr>
        <w:t xml:space="preserve"> של שותף לעבירה של הנאשם, רון דוידוב </w:t>
      </w:r>
      <w:r>
        <w:rPr>
          <w:rFonts w:ascii="David" w:hAnsi="David" w:hint="cs"/>
          <w:rtl/>
        </w:rPr>
        <w:t xml:space="preserve">שעניינו נדון בבית המשפט המחוזי ועליו נגזרו 40 חודשי מאסר בפועל, </w:t>
      </w:r>
      <w:r>
        <w:rPr>
          <w:rFonts w:ascii="David" w:hAnsi="David"/>
          <w:rtl/>
        </w:rPr>
        <w:t xml:space="preserve">יכול להשליך על קביעת מתחמי הענישה בתיק </w:t>
      </w:r>
      <w:r>
        <w:rPr>
          <w:rFonts w:ascii="David" w:hAnsi="David" w:hint="cs"/>
          <w:rtl/>
        </w:rPr>
        <w:t xml:space="preserve">דנן.  ראשית נציין כי הסנגור לא הגיש לעיון בית המשפט את גזר הדין בעניינו של רון דוידוב הוא האחר בכתב האישום בתיק זה. בכל מקרה, והגם שנטען כי רון הורשע </w:t>
      </w:r>
      <w:r>
        <w:rPr>
          <w:rFonts w:ascii="David" w:hAnsi="David"/>
          <w:rtl/>
        </w:rPr>
        <w:t xml:space="preserve">ב-3 עבירות של סחר בקוקאין במשקלים של פעמיים 90 גרם קוקאין ופעם אחת 9 גרם קטאמין, בנוסף להרשעה בעבירה לסיוע לתיווך בסחר של 45 גרם קוקאין </w:t>
      </w:r>
      <w:r>
        <w:rPr>
          <w:rFonts w:ascii="David" w:hAnsi="David" w:hint="cs"/>
          <w:rtl/>
        </w:rPr>
        <w:t xml:space="preserve">( העבירה בה הורשע הנאשם דנן) </w:t>
      </w:r>
      <w:r>
        <w:rPr>
          <w:rFonts w:ascii="David" w:hAnsi="David"/>
          <w:rtl/>
        </w:rPr>
        <w:t xml:space="preserve">– </w:t>
      </w:r>
      <w:r>
        <w:rPr>
          <w:rFonts w:ascii="David" w:hAnsi="David" w:hint="cs"/>
          <w:rtl/>
        </w:rPr>
        <w:t xml:space="preserve"> איני סבורה כי יש בכך לשמש אמת מידה לקביעת מתחם העונש בעניינו של הנאשם כאן. כנלמד מדברי הסנגור, אין מדובר בקביעת מתחמי ענישה, אלא בעונש שהושת על רון דוידוב שדינו נגזר </w:t>
      </w:r>
      <w:r>
        <w:rPr>
          <w:rFonts w:ascii="David" w:hAnsi="David"/>
          <w:rtl/>
        </w:rPr>
        <w:t>במסגרת הסדר טיעון מלא</w:t>
      </w:r>
      <w:r>
        <w:rPr>
          <w:rFonts w:ascii="David" w:hAnsi="David" w:hint="cs"/>
          <w:rtl/>
        </w:rPr>
        <w:t xml:space="preserve">, בעוד שנימוקי ההסדר אינם בפני ואין בידי כל אפשרות להתייחס לגופה של הטענה לרבות בחינת טעמיה של התביעה להסדר הנטען.  נוכח כך, איני רואה עין בעין טענת הסנגור  לפגם בטיעוני התביעה לעונשו של הנאשם אל מול ההסדר אליו הגיעה </w:t>
      </w:r>
      <w:r>
        <w:rPr>
          <w:rFonts w:ascii="David" w:hAnsi="David"/>
          <w:rtl/>
        </w:rPr>
        <w:t xml:space="preserve"> </w:t>
      </w:r>
      <w:r>
        <w:rPr>
          <w:rFonts w:ascii="David" w:hAnsi="David" w:hint="cs"/>
          <w:rtl/>
        </w:rPr>
        <w:t xml:space="preserve">בעניינו של רון דוידוב ולפגיעה בעקרון אחדות הענישה. </w:t>
      </w:r>
    </w:p>
    <w:p w14:paraId="5DCB76F9" w14:textId="77777777" w:rsidR="000E24D6" w:rsidRDefault="000E24D6" w:rsidP="000E24D6">
      <w:pPr>
        <w:spacing w:after="160" w:line="360" w:lineRule="auto"/>
        <w:ind w:left="-57"/>
        <w:jc w:val="both"/>
        <w:rPr>
          <w:rFonts w:ascii="David" w:eastAsia="Calibri" w:hAnsi="David"/>
          <w:rtl/>
        </w:rPr>
      </w:pPr>
    </w:p>
    <w:p w14:paraId="61A0061F" w14:textId="77777777" w:rsidR="000E24D6" w:rsidRPr="006D7BF6" w:rsidRDefault="000E24D6" w:rsidP="000E24D6">
      <w:pPr>
        <w:spacing w:after="160" w:line="360" w:lineRule="auto"/>
        <w:ind w:left="-57"/>
        <w:jc w:val="both"/>
        <w:rPr>
          <w:rFonts w:ascii="David" w:eastAsia="Calibri" w:hAnsi="David"/>
          <w:b/>
          <w:bCs/>
          <w:rtl/>
        </w:rPr>
      </w:pPr>
      <w:r w:rsidRPr="006D7BF6">
        <w:rPr>
          <w:rFonts w:ascii="David" w:eastAsia="Calibri" w:hAnsi="David"/>
          <w:b/>
          <w:bCs/>
          <w:rtl/>
        </w:rPr>
        <w:t>בסיכום הדברים האמורים, בהתחשב שהנאשם הורשע בעבירה של עסקה אחרת בסם, בחומרת העבירה בנסיבותיה, במידת אשמו של הנאשם והפגיעה בערכים המוגנים ומדיניות הענישה הנוהגת כיום, סבורני כי מתחם העונש ההולם למעשי הנאשם נכון שינוע בין 30 ל 60 חודשי מאסר בפועל.</w:t>
      </w:r>
    </w:p>
    <w:p w14:paraId="5317C108" w14:textId="77777777" w:rsidR="000E24D6" w:rsidRPr="006D7BF6" w:rsidRDefault="000E24D6" w:rsidP="000E24D6">
      <w:pPr>
        <w:spacing w:line="360" w:lineRule="auto"/>
        <w:jc w:val="both"/>
        <w:rPr>
          <w:rFonts w:ascii="David" w:hAnsi="David"/>
          <w:b/>
          <w:bCs/>
          <w:noProof/>
          <w:sz w:val="26"/>
          <w:szCs w:val="26"/>
          <w:u w:val="single"/>
          <w:rtl/>
        </w:rPr>
      </w:pPr>
    </w:p>
    <w:p w14:paraId="51552DB7" w14:textId="77777777" w:rsidR="000E24D6" w:rsidRPr="00EF4240" w:rsidRDefault="000E24D6" w:rsidP="000E24D6">
      <w:pPr>
        <w:spacing w:line="360" w:lineRule="auto"/>
        <w:jc w:val="both"/>
        <w:rPr>
          <w:rFonts w:ascii="David" w:hAnsi="David"/>
          <w:b/>
          <w:bCs/>
          <w:u w:val="single"/>
          <w:rtl/>
        </w:rPr>
      </w:pPr>
      <w:r w:rsidRPr="000C06F7">
        <w:rPr>
          <w:rFonts w:ascii="David" w:hAnsi="David"/>
          <w:b/>
          <w:bCs/>
          <w:sz w:val="26"/>
          <w:szCs w:val="26"/>
          <w:u w:val="single"/>
          <w:rtl/>
        </w:rPr>
        <w:t>מתח</w:t>
      </w:r>
      <w:r>
        <w:rPr>
          <w:rFonts w:ascii="David" w:hAnsi="David" w:hint="cs"/>
          <w:b/>
          <w:bCs/>
          <w:sz w:val="26"/>
          <w:szCs w:val="26"/>
          <w:u w:val="single"/>
          <w:rtl/>
        </w:rPr>
        <w:t xml:space="preserve">מי </w:t>
      </w:r>
      <w:r w:rsidRPr="000C06F7">
        <w:rPr>
          <w:rFonts w:ascii="David" w:hAnsi="David"/>
          <w:b/>
          <w:bCs/>
          <w:sz w:val="26"/>
          <w:szCs w:val="26"/>
          <w:u w:val="single"/>
          <w:rtl/>
        </w:rPr>
        <w:t>העונש ב</w:t>
      </w:r>
      <w:hyperlink r:id="rId59" w:history="1">
        <w:r w:rsidR="001B6A44" w:rsidRPr="001B6A44">
          <w:rPr>
            <w:rFonts w:ascii="David" w:hAnsi="David"/>
            <w:b/>
            <w:bCs/>
            <w:color w:val="0000FF"/>
            <w:sz w:val="26"/>
            <w:szCs w:val="26"/>
            <w:u w:val="single"/>
            <w:rtl/>
          </w:rPr>
          <w:t>ת"פ 924-03-23</w:t>
        </w:r>
        <w:r w:rsidR="001B6A44" w:rsidRPr="001B6A44">
          <w:rPr>
            <w:rFonts w:ascii="David" w:hAnsi="David"/>
            <w:b/>
            <w:bCs/>
            <w:color w:val="0000FF"/>
            <w:sz w:val="26"/>
            <w:szCs w:val="26"/>
            <w:u w:val="single"/>
            <w:rtl/>
          </w:rPr>
          <w:cr/>
        </w:r>
      </w:hyperlink>
      <w:r w:rsidRPr="00EF4240">
        <w:rPr>
          <w:rFonts w:ascii="David" w:hAnsi="David" w:hint="cs"/>
          <w:b/>
          <w:bCs/>
          <w:u w:val="single"/>
          <w:rtl/>
        </w:rPr>
        <w:t>עבירות סמים</w:t>
      </w:r>
    </w:p>
    <w:p w14:paraId="4BC7AF34" w14:textId="77777777" w:rsidR="000E24D6" w:rsidRPr="0004466D" w:rsidRDefault="000E24D6" w:rsidP="000E24D6">
      <w:pPr>
        <w:spacing w:line="360" w:lineRule="auto"/>
        <w:jc w:val="both"/>
        <w:rPr>
          <w:rFonts w:ascii="David" w:hAnsi="David"/>
          <w:rtl/>
        </w:rPr>
      </w:pPr>
      <w:r>
        <w:rPr>
          <w:rFonts w:ascii="David" w:hAnsi="David"/>
          <w:b/>
          <w:bCs/>
          <w:rtl/>
        </w:rPr>
        <w:t>9.</w:t>
      </w:r>
      <w:r>
        <w:rPr>
          <w:rFonts w:ascii="David" w:hAnsi="David"/>
          <w:b/>
          <w:bCs/>
          <w:rtl/>
        </w:rPr>
        <w:tab/>
      </w:r>
      <w:r w:rsidRPr="006D7BF6">
        <w:rPr>
          <w:rFonts w:ascii="David" w:hAnsi="David" w:hint="cs"/>
          <w:rtl/>
        </w:rPr>
        <w:t xml:space="preserve">על פי העובדות בכתב האישום המתוקן, החזיק </w:t>
      </w:r>
      <w:r w:rsidRPr="006D7BF6">
        <w:rPr>
          <w:rFonts w:ascii="David" w:hAnsi="David"/>
          <w:rtl/>
        </w:rPr>
        <w:t>הנאשם</w:t>
      </w:r>
      <w:r>
        <w:rPr>
          <w:rFonts w:ascii="David" w:hAnsi="David"/>
          <w:rtl/>
        </w:rPr>
        <w:t xml:space="preserve"> סמים מסוגים שונים ואף תערובות סמים, בכמויות לא מבוטלות. </w:t>
      </w:r>
      <w:r w:rsidRPr="0004466D">
        <w:rPr>
          <w:rFonts w:ascii="David" w:hAnsi="David"/>
          <w:rtl/>
        </w:rPr>
        <w:t xml:space="preserve">מידת פגיעת הנאשם בערכים המוגנים הינה משמעותית נוכח סוגי הסמים והכמות הכוללת של הסמים אותם החזיק שלא לצריכתו העצמית. </w:t>
      </w:r>
    </w:p>
    <w:p w14:paraId="4699430B" w14:textId="77777777" w:rsidR="000E24D6" w:rsidRDefault="000E24D6" w:rsidP="000E24D6">
      <w:pPr>
        <w:spacing w:line="360" w:lineRule="auto"/>
        <w:jc w:val="both"/>
        <w:rPr>
          <w:rFonts w:ascii="David" w:hAnsi="David"/>
          <w:rtl/>
        </w:rPr>
      </w:pPr>
      <w:r>
        <w:rPr>
          <w:rFonts w:ascii="David" w:hAnsi="David"/>
          <w:rtl/>
        </w:rPr>
        <w:t>המדובר במספר סוגי סמים מסוכנים אשר חלקם נמנים בין הקשים שב</w:t>
      </w:r>
      <w:hyperlink r:id="rId60" w:history="1">
        <w:r w:rsidR="001B6A44" w:rsidRPr="001B6A44">
          <w:rPr>
            <w:rFonts w:ascii="David" w:hAnsi="David"/>
            <w:color w:val="0000FF"/>
            <w:u w:val="single"/>
            <w:rtl/>
          </w:rPr>
          <w:t>פקודת הסמים המסוכנים</w:t>
        </w:r>
      </w:hyperlink>
      <w:r>
        <w:rPr>
          <w:rFonts w:ascii="David" w:hAnsi="David"/>
          <w:rtl/>
        </w:rPr>
        <w:t xml:space="preserve">, וכטענת התביעה יש  " במצבור הסמים" </w:t>
      </w:r>
      <w:r>
        <w:rPr>
          <w:rFonts w:ascii="David" w:hAnsi="David" w:hint="cs"/>
          <w:rtl/>
        </w:rPr>
        <w:t xml:space="preserve"> שהחזיק הנאשם </w:t>
      </w:r>
      <w:r>
        <w:rPr>
          <w:rFonts w:ascii="David" w:hAnsi="David"/>
          <w:rtl/>
        </w:rPr>
        <w:t xml:space="preserve">להצביע במובהק כי פני אלה </w:t>
      </w:r>
      <w:r>
        <w:rPr>
          <w:rFonts w:ascii="David" w:hAnsi="David" w:hint="cs"/>
          <w:rtl/>
        </w:rPr>
        <w:t xml:space="preserve">היו </w:t>
      </w:r>
      <w:r>
        <w:rPr>
          <w:rFonts w:ascii="David" w:hAnsi="David"/>
          <w:rtl/>
        </w:rPr>
        <w:t>להפצה וסחר.</w:t>
      </w:r>
    </w:p>
    <w:p w14:paraId="00ADDF15" w14:textId="77777777" w:rsidR="000E24D6" w:rsidRDefault="000E24D6" w:rsidP="000E24D6">
      <w:pPr>
        <w:spacing w:line="360" w:lineRule="auto"/>
        <w:jc w:val="both"/>
        <w:rPr>
          <w:rFonts w:ascii="David" w:hAnsi="David"/>
          <w:rtl/>
        </w:rPr>
      </w:pPr>
      <w:r>
        <w:rPr>
          <w:rFonts w:ascii="David" w:hAnsi="David"/>
          <w:rtl/>
        </w:rPr>
        <w:t xml:space="preserve"> </w:t>
      </w:r>
      <w:r>
        <w:rPr>
          <w:rFonts w:ascii="David" w:hAnsi="David" w:hint="cs"/>
          <w:rtl/>
        </w:rPr>
        <w:t>באשר ל</w:t>
      </w:r>
      <w:r>
        <w:rPr>
          <w:rFonts w:ascii="David" w:hAnsi="David"/>
          <w:rtl/>
        </w:rPr>
        <w:t xml:space="preserve">השפעת הסמים </w:t>
      </w:r>
      <w:r>
        <w:rPr>
          <w:rFonts w:ascii="David" w:hAnsi="David" w:hint="cs"/>
          <w:rtl/>
        </w:rPr>
        <w:t xml:space="preserve">הקשים והמגוונים </w:t>
      </w:r>
      <w:r>
        <w:rPr>
          <w:rFonts w:ascii="David" w:hAnsi="David"/>
          <w:rtl/>
        </w:rPr>
        <w:t>שהחזיק הנאשם</w:t>
      </w:r>
      <w:r>
        <w:rPr>
          <w:rFonts w:ascii="David" w:hAnsi="David" w:hint="cs"/>
          <w:rtl/>
        </w:rPr>
        <w:t xml:space="preserve">, </w:t>
      </w:r>
      <w:r>
        <w:rPr>
          <w:rFonts w:ascii="David" w:hAnsi="David"/>
          <w:rtl/>
        </w:rPr>
        <w:t xml:space="preserve"> </w:t>
      </w:r>
      <w:r>
        <w:rPr>
          <w:rFonts w:ascii="David" w:hAnsi="David" w:hint="cs"/>
          <w:rtl/>
        </w:rPr>
        <w:t xml:space="preserve">אפנה </w:t>
      </w:r>
      <w:r>
        <w:rPr>
          <w:rFonts w:ascii="David" w:hAnsi="David"/>
          <w:rtl/>
        </w:rPr>
        <w:t>ל</w:t>
      </w:r>
      <w:hyperlink r:id="rId61" w:history="1">
        <w:r w:rsidR="001B6A44" w:rsidRPr="001B6A44">
          <w:rPr>
            <w:rFonts w:ascii="David" w:hAnsi="David"/>
            <w:color w:val="0000FF"/>
            <w:u w:val="single"/>
            <w:rtl/>
          </w:rPr>
          <w:t>ת"פ 21127-08-21</w:t>
        </w:r>
      </w:hyperlink>
      <w:r>
        <w:rPr>
          <w:rFonts w:ascii="David" w:hAnsi="David"/>
          <w:rtl/>
        </w:rPr>
        <w:t xml:space="preserve"> </w:t>
      </w:r>
      <w:r>
        <w:rPr>
          <w:rFonts w:ascii="David" w:hAnsi="David"/>
          <w:b/>
          <w:bCs/>
          <w:rtl/>
        </w:rPr>
        <w:t>מדינת ישראל נ' בן חמו</w:t>
      </w:r>
      <w:r>
        <w:rPr>
          <w:rFonts w:ascii="David" w:hAnsi="David"/>
          <w:rtl/>
        </w:rPr>
        <w:t xml:space="preserve"> (27.6.22) (להלן: עניין בן חמו). בן חמו הורשע בריבוי עסקאות (מנות קטנות) סחר בסם מטילמטאקטינון והחזקת כ- 45 גרם מהסם. במסגרת בירור משפטו הוגשה חוות דעת מומחה ביחס לסם מטילמטאקטינון אותה קיבל בית המשפט בנוגע לטיב הסם והשפעותיו</w:t>
      </w:r>
      <w:r>
        <w:rPr>
          <w:rFonts w:ascii="David" w:hAnsi="David" w:hint="cs"/>
          <w:rtl/>
        </w:rPr>
        <w:t xml:space="preserve">. </w:t>
      </w:r>
      <w:r>
        <w:rPr>
          <w:rFonts w:ascii="David" w:hAnsi="David"/>
          <w:rtl/>
        </w:rPr>
        <w:t>על יסוד חוות דעת זו ועדות המומחית שערכה אותה, קבע</w:t>
      </w:r>
      <w:r>
        <w:rPr>
          <w:rFonts w:ascii="David" w:hAnsi="David" w:hint="cs"/>
          <w:rtl/>
        </w:rPr>
        <w:t xml:space="preserve"> בית המשפט</w:t>
      </w:r>
      <w:r>
        <w:rPr>
          <w:rFonts w:ascii="David" w:hAnsi="David"/>
          <w:rtl/>
        </w:rPr>
        <w:t xml:space="preserve">, בין היתר, כי סם </w:t>
      </w:r>
      <w:r>
        <w:rPr>
          <w:rFonts w:ascii="David" w:hAnsi="David"/>
        </w:rPr>
        <w:t>MMC</w:t>
      </w:r>
      <w:r>
        <w:rPr>
          <w:rFonts w:ascii="David" w:hAnsi="David"/>
          <w:rtl/>
        </w:rPr>
        <w:t xml:space="preserve"> הידוע בכינויו "דוקטור" ו"מפדרון" המשתייך למשפחת "האמפטמינים וקטנוניים סינטטיים", ידוע גם כ"סם פיצוציות" והמינון הידוע למנת סם הוא כ- 75 עד 250 מיליגרם למנה. עוד </w:t>
      </w:r>
      <w:r>
        <w:rPr>
          <w:rFonts w:ascii="David" w:hAnsi="David" w:hint="cs"/>
          <w:rtl/>
        </w:rPr>
        <w:t>נ</w:t>
      </w:r>
      <w:r>
        <w:rPr>
          <w:rFonts w:ascii="David" w:hAnsi="David"/>
          <w:rtl/>
        </w:rPr>
        <w:t>קבע כי השפעות סם ה</w:t>
      </w:r>
      <w:r>
        <w:rPr>
          <w:rFonts w:ascii="David" w:hAnsi="David"/>
        </w:rPr>
        <w:t>MMC</w:t>
      </w:r>
      <w:r>
        <w:rPr>
          <w:rFonts w:ascii="David" w:hAnsi="David"/>
          <w:rtl/>
        </w:rPr>
        <w:t xml:space="preserve"> דומות להשפעות סמים כגון </w:t>
      </w:r>
      <w:r>
        <w:rPr>
          <w:rFonts w:ascii="David" w:hAnsi="David"/>
        </w:rPr>
        <w:t>MDMA</w:t>
      </w:r>
      <w:r>
        <w:rPr>
          <w:rFonts w:ascii="David" w:hAnsi="David"/>
          <w:rtl/>
        </w:rPr>
        <w:t>, אקסטזי וסמים ממריצים אחרים,</w:t>
      </w:r>
      <w:r>
        <w:rPr>
          <w:rFonts w:ascii="David" w:hAnsi="David"/>
        </w:rPr>
        <w:t xml:space="preserve"> </w:t>
      </w:r>
      <w:r>
        <w:rPr>
          <w:rFonts w:ascii="David" w:hAnsi="David"/>
          <w:b/>
          <w:bCs/>
          <w:rtl/>
        </w:rPr>
        <w:t xml:space="preserve">וכי במנעד שבין הסמים המכונים "סמים קלים" כדוגמת קנביס לבין הסמים המכונים "סמים קשים" כדוגמת קוקאין והרואין, </w:t>
      </w:r>
      <w:r>
        <w:rPr>
          <w:rFonts w:ascii="David" w:hAnsi="David"/>
          <w:b/>
          <w:bCs/>
        </w:rPr>
        <w:t>MMC</w:t>
      </w:r>
      <w:r>
        <w:rPr>
          <w:rFonts w:ascii="David" w:hAnsi="David"/>
          <w:b/>
          <w:bCs/>
          <w:rtl/>
        </w:rPr>
        <w:t xml:space="preserve"> נמצא </w:t>
      </w:r>
      <w:r>
        <w:rPr>
          <w:rFonts w:ascii="David" w:hAnsi="David"/>
          <w:b/>
          <w:bCs/>
          <w:u w:val="single"/>
          <w:rtl/>
        </w:rPr>
        <w:t>קרוב יותר</w:t>
      </w:r>
      <w:r>
        <w:rPr>
          <w:rFonts w:ascii="David" w:hAnsi="David"/>
          <w:b/>
          <w:bCs/>
          <w:rtl/>
        </w:rPr>
        <w:t xml:space="preserve"> לסמים הקשים כדוגמת קוקאין. </w:t>
      </w:r>
      <w:r>
        <w:rPr>
          <w:rFonts w:ascii="David" w:hAnsi="David"/>
          <w:rtl/>
        </w:rPr>
        <w:t xml:space="preserve"> </w:t>
      </w:r>
    </w:p>
    <w:p w14:paraId="2953D331" w14:textId="77777777" w:rsidR="000E24D6" w:rsidRDefault="000E24D6" w:rsidP="000E24D6">
      <w:pPr>
        <w:spacing w:line="360" w:lineRule="auto"/>
        <w:jc w:val="both"/>
        <w:rPr>
          <w:rFonts w:ascii="David" w:hAnsi="David"/>
          <w:rtl/>
        </w:rPr>
      </w:pPr>
    </w:p>
    <w:p w14:paraId="0FD9B8E0" w14:textId="77777777" w:rsidR="000E24D6" w:rsidRDefault="000E24D6" w:rsidP="000E24D6">
      <w:pPr>
        <w:spacing w:line="360" w:lineRule="auto"/>
        <w:jc w:val="both"/>
        <w:rPr>
          <w:rFonts w:ascii="David" w:hAnsi="David"/>
          <w:rtl/>
        </w:rPr>
      </w:pPr>
      <w:r w:rsidRPr="006C0923">
        <w:rPr>
          <w:rFonts w:ascii="David" w:hAnsi="David" w:hint="cs"/>
          <w:rtl/>
        </w:rPr>
        <w:t>אשר ל</w:t>
      </w:r>
      <w:r w:rsidRPr="006C0923">
        <w:rPr>
          <w:rFonts w:ascii="David" w:hAnsi="David"/>
          <w:rtl/>
        </w:rPr>
        <w:t>סם מסוג המטילמטאקטינון אמנם אינו קשה כמו סם הקוקאין, ועם זאת, הינו מסוכן והשפעותיו החמורות כוללות</w:t>
      </w:r>
      <w:r>
        <w:rPr>
          <w:rFonts w:ascii="David" w:hAnsi="David"/>
          <w:rtl/>
        </w:rPr>
        <w:t xml:space="preserve">, בין היתר, חוסר אמון קיצוני ולא הגיוני באחרים; הזיות (תחושות ומראות הנראים אמתיים אך אינם אמתיים); דחף מיני מוגבר; התקפי חרדה; מצב בלבולי חריף (התרגשות קיצונית והתנהגות תוקפנית) (ראו בהרחבה באתר הרשות הלאומית לביטחון קהילתי). </w:t>
      </w:r>
    </w:p>
    <w:p w14:paraId="2E961F96" w14:textId="77777777" w:rsidR="000E24D6" w:rsidRDefault="000E24D6" w:rsidP="000E24D6">
      <w:pPr>
        <w:spacing w:line="360" w:lineRule="auto"/>
        <w:jc w:val="both"/>
        <w:rPr>
          <w:rFonts w:ascii="David" w:hAnsi="David"/>
          <w:noProof/>
          <w:rtl/>
        </w:rPr>
      </w:pPr>
    </w:p>
    <w:p w14:paraId="50469425" w14:textId="77777777" w:rsidR="000E24D6" w:rsidRDefault="000E24D6" w:rsidP="000E24D6">
      <w:pPr>
        <w:spacing w:line="360" w:lineRule="auto"/>
        <w:jc w:val="both"/>
        <w:rPr>
          <w:rFonts w:ascii="David" w:hAnsi="David"/>
        </w:rPr>
      </w:pPr>
      <w:r>
        <w:rPr>
          <w:rFonts w:ascii="David" w:hAnsi="David" w:hint="cs"/>
          <w:rtl/>
        </w:rPr>
        <w:t xml:space="preserve">סם </w:t>
      </w:r>
      <w:r>
        <w:rPr>
          <w:rFonts w:ascii="David" w:hAnsi="David"/>
          <w:rtl/>
        </w:rPr>
        <w:t xml:space="preserve">הקטמין ידוע כסם הרדמה המשמש בעיקר להרדמת בעלי חיים, וברפואה הווטרינרית משמש כתרופה. הסם ידוע כסם מסיבות ובכינויו "סם האונס".  </w:t>
      </w:r>
    </w:p>
    <w:p w14:paraId="3EAE3F0C" w14:textId="77777777" w:rsidR="000E24D6" w:rsidRDefault="000E24D6" w:rsidP="000E24D6">
      <w:pPr>
        <w:spacing w:line="360" w:lineRule="auto"/>
        <w:jc w:val="both"/>
        <w:rPr>
          <w:rFonts w:ascii="David" w:hAnsi="David"/>
          <w:highlight w:val="yellow"/>
          <w:rtl/>
        </w:rPr>
      </w:pPr>
    </w:p>
    <w:p w14:paraId="3DB58B39" w14:textId="77777777" w:rsidR="000E24D6" w:rsidRDefault="000E24D6" w:rsidP="000E24D6">
      <w:pPr>
        <w:spacing w:line="360" w:lineRule="auto"/>
        <w:jc w:val="both"/>
        <w:rPr>
          <w:rFonts w:ascii="David" w:hAnsi="David"/>
          <w:rtl/>
        </w:rPr>
      </w:pPr>
      <w:r>
        <w:rPr>
          <w:rFonts w:ascii="David" w:hAnsi="David"/>
          <w:rtl/>
        </w:rPr>
        <w:t>כמות הסם בכל אחד מסוגי הסמים שהחזיק הנאשם אי</w:t>
      </w:r>
      <w:r>
        <w:rPr>
          <w:rFonts w:ascii="David" w:hAnsi="David" w:hint="cs"/>
          <w:rtl/>
        </w:rPr>
        <w:t>נה גדולה</w:t>
      </w:r>
      <w:r>
        <w:rPr>
          <w:rFonts w:ascii="David" w:hAnsi="David"/>
          <w:rtl/>
        </w:rPr>
        <w:t>, אולם המשקל הכולל של סוגי הסמים הקרובים במאפייניהם לסם הקוקאין, עומד על כ – 52 גרם ולכמות זו מתווספות</w:t>
      </w:r>
      <w:r>
        <w:rPr>
          <w:rFonts w:ascii="David" w:hAnsi="David" w:hint="cs"/>
          <w:rtl/>
        </w:rPr>
        <w:t xml:space="preserve"> לא פחות מ</w:t>
      </w:r>
      <w:r>
        <w:rPr>
          <w:rFonts w:ascii="David" w:hAnsi="David"/>
          <w:rtl/>
        </w:rPr>
        <w:t xml:space="preserve"> 35 יחידות של סם מסוג </w:t>
      </w:r>
      <w:r>
        <w:rPr>
          <w:rFonts w:ascii="David" w:hAnsi="David"/>
        </w:rPr>
        <w:t>MDMA</w:t>
      </w:r>
      <w:r>
        <w:rPr>
          <w:rFonts w:ascii="David" w:hAnsi="David"/>
          <w:rtl/>
        </w:rPr>
        <w:t>, אף הוא קרוב יותר לסמים הקשים מסוג קוקאין</w:t>
      </w:r>
      <w:r>
        <w:rPr>
          <w:rFonts w:ascii="David" w:hAnsi="David" w:hint="cs"/>
          <w:rtl/>
        </w:rPr>
        <w:t xml:space="preserve">.  כך יוצא כי </w:t>
      </w:r>
      <w:r>
        <w:rPr>
          <w:rFonts w:ascii="David" w:hAnsi="David"/>
          <w:rtl/>
        </w:rPr>
        <w:t xml:space="preserve">הכמות הכוללת </w:t>
      </w:r>
      <w:r>
        <w:rPr>
          <w:rFonts w:ascii="David" w:hAnsi="David" w:hint="cs"/>
          <w:rtl/>
        </w:rPr>
        <w:t xml:space="preserve">של סמים קשים אותם החזיק הנאשם, </w:t>
      </w:r>
      <w:r>
        <w:rPr>
          <w:rFonts w:ascii="David" w:hAnsi="David"/>
          <w:rtl/>
        </w:rPr>
        <w:t xml:space="preserve">מאפשרת הכנת עשרות רבות של מנות בודדות.  </w:t>
      </w:r>
      <w:r>
        <w:rPr>
          <w:rFonts w:ascii="David" w:hAnsi="David" w:hint="cs"/>
          <w:rtl/>
        </w:rPr>
        <w:t xml:space="preserve">אם לא די באמור, הוסיף והחזיק הנאשם </w:t>
      </w:r>
      <w:r>
        <w:rPr>
          <w:rFonts w:ascii="David" w:hAnsi="David"/>
          <w:rtl/>
        </w:rPr>
        <w:t xml:space="preserve">50 גרם סם מסוג קנבוס. </w:t>
      </w:r>
    </w:p>
    <w:p w14:paraId="78AAD7B4" w14:textId="77777777" w:rsidR="000E24D6" w:rsidRDefault="000E24D6" w:rsidP="000E24D6">
      <w:pPr>
        <w:spacing w:line="360" w:lineRule="auto"/>
        <w:jc w:val="both"/>
        <w:rPr>
          <w:rFonts w:ascii="David" w:hAnsi="David"/>
          <w:rtl/>
        </w:rPr>
      </w:pPr>
    </w:p>
    <w:p w14:paraId="4D2217F7" w14:textId="77777777" w:rsidR="000E24D6" w:rsidRDefault="000E24D6" w:rsidP="000E24D6">
      <w:pPr>
        <w:spacing w:line="360" w:lineRule="auto"/>
        <w:jc w:val="both"/>
        <w:rPr>
          <w:rFonts w:ascii="David" w:hAnsi="David"/>
          <w:rtl/>
        </w:rPr>
      </w:pPr>
      <w:r>
        <w:rPr>
          <w:rFonts w:ascii="David" w:hAnsi="David" w:hint="cs"/>
          <w:rtl/>
        </w:rPr>
        <w:t>אשר למתחמי הענישה בעבירות סמים מהסוגים בהם החזיק הנאשם, הפנו הצדדים ל</w:t>
      </w:r>
      <w:r>
        <w:rPr>
          <w:rFonts w:ascii="David" w:hAnsi="David"/>
          <w:rtl/>
        </w:rPr>
        <w:t>מקרים</w:t>
      </w:r>
      <w:r>
        <w:rPr>
          <w:rFonts w:ascii="David" w:hAnsi="David" w:hint="cs"/>
          <w:rtl/>
        </w:rPr>
        <w:t xml:space="preserve">, שבחלקם נמצא כי </w:t>
      </w:r>
      <w:r>
        <w:rPr>
          <w:rFonts w:ascii="David" w:hAnsi="David"/>
          <w:rtl/>
        </w:rPr>
        <w:t>מדובר בסוג אחד או שניים מבין כלל הסוגים שהחזיק הנאשם בתיק זה</w:t>
      </w:r>
      <w:r>
        <w:rPr>
          <w:rFonts w:ascii="David" w:hAnsi="David" w:hint="cs"/>
          <w:rtl/>
        </w:rPr>
        <w:t xml:space="preserve">,  וברוב הפעמים בכמויות קטנות עד מזעריות. </w:t>
      </w:r>
      <w:r>
        <w:rPr>
          <w:rFonts w:ascii="David" w:hAnsi="David"/>
          <w:rtl/>
        </w:rPr>
        <w:t>כאמת מידה</w:t>
      </w:r>
      <w:r>
        <w:rPr>
          <w:rFonts w:ascii="David" w:hAnsi="David" w:hint="cs"/>
          <w:rtl/>
        </w:rPr>
        <w:t xml:space="preserve"> נוספת</w:t>
      </w:r>
      <w:r>
        <w:rPr>
          <w:rFonts w:ascii="David" w:hAnsi="David"/>
          <w:rtl/>
        </w:rPr>
        <w:t xml:space="preserve">, מצאתי לנכון להביא מגזר דינו של בית </w:t>
      </w:r>
      <w:r w:rsidRPr="000C06F7">
        <w:rPr>
          <w:rFonts w:ascii="David" w:hAnsi="David"/>
          <w:rtl/>
        </w:rPr>
        <w:t>המשפט המחוזי</w:t>
      </w:r>
      <w:r w:rsidRPr="000C06F7">
        <w:rPr>
          <w:rFonts w:ascii="David" w:hAnsi="David" w:hint="cs"/>
          <w:rtl/>
        </w:rPr>
        <w:t xml:space="preserve"> </w:t>
      </w:r>
      <w:r w:rsidRPr="000C06F7">
        <w:rPr>
          <w:rFonts w:ascii="David" w:hAnsi="David"/>
          <w:rtl/>
        </w:rPr>
        <w:t>ב</w:t>
      </w:r>
      <w:hyperlink r:id="rId62" w:history="1">
        <w:r w:rsidR="001B6A44" w:rsidRPr="001B6A44">
          <w:rPr>
            <w:rFonts w:ascii="David" w:hAnsi="David"/>
            <w:color w:val="0000FF"/>
            <w:u w:val="single"/>
            <w:rtl/>
          </w:rPr>
          <w:t>ת"פ 43372-07-23</w:t>
        </w:r>
      </w:hyperlink>
      <w:r w:rsidRPr="000C06F7">
        <w:rPr>
          <w:rFonts w:ascii="David" w:hAnsi="David"/>
          <w:rtl/>
        </w:rPr>
        <w:t xml:space="preserve"> </w:t>
      </w:r>
      <w:r w:rsidRPr="000C06F7">
        <w:rPr>
          <w:rFonts w:ascii="David" w:hAnsi="David"/>
          <w:b/>
          <w:bCs/>
          <w:rtl/>
        </w:rPr>
        <w:t xml:space="preserve">מדינת ישראל נ' אזולאי ואח' </w:t>
      </w:r>
      <w:r w:rsidRPr="000C06F7">
        <w:rPr>
          <w:rFonts w:ascii="David" w:hAnsi="David"/>
          <w:rtl/>
        </w:rPr>
        <w:t>(14.3.24), מקרה שנסיבותיו חמורות מהמקרה הנדון.</w:t>
      </w:r>
      <w:r>
        <w:rPr>
          <w:rFonts w:ascii="David" w:hAnsi="David"/>
          <w:rtl/>
        </w:rPr>
        <w:t xml:space="preserve">  </w:t>
      </w:r>
    </w:p>
    <w:p w14:paraId="2FFE3712" w14:textId="77777777" w:rsidR="000E24D6" w:rsidRDefault="000E24D6" w:rsidP="000E24D6">
      <w:pPr>
        <w:spacing w:line="360" w:lineRule="auto"/>
        <w:jc w:val="both"/>
        <w:rPr>
          <w:rFonts w:ascii="David" w:hAnsi="David"/>
          <w:rtl/>
        </w:rPr>
      </w:pPr>
      <w:r w:rsidRPr="00C86E74">
        <w:rPr>
          <w:rFonts w:ascii="David" w:hAnsi="David"/>
          <w:rtl/>
        </w:rPr>
        <w:t>ב</w:t>
      </w:r>
      <w:r w:rsidRPr="00C86E74">
        <w:rPr>
          <w:rFonts w:ascii="David" w:hAnsi="David" w:hint="cs"/>
          <w:rtl/>
        </w:rPr>
        <w:t xml:space="preserve">עניינו של  אזולאי, </w:t>
      </w:r>
      <w:r w:rsidRPr="00C86E74">
        <w:rPr>
          <w:rFonts w:ascii="David" w:hAnsi="David"/>
          <w:rtl/>
        </w:rPr>
        <w:t>קבע בית</w:t>
      </w:r>
      <w:r>
        <w:rPr>
          <w:rFonts w:ascii="David" w:hAnsi="David"/>
          <w:rtl/>
        </w:rPr>
        <w:t xml:space="preserve"> המשפט (סגן הנשיא, כב' השופט אליהו ביתן) מתחם עונש הולם </w:t>
      </w:r>
      <w:r>
        <w:rPr>
          <w:rFonts w:ascii="David" w:hAnsi="David"/>
          <w:b/>
          <w:bCs/>
          <w:rtl/>
        </w:rPr>
        <w:t xml:space="preserve">שבין 3.5 ל – 6 שנות מאסר </w:t>
      </w:r>
      <w:r>
        <w:rPr>
          <w:rFonts w:ascii="David" w:hAnsi="David"/>
          <w:rtl/>
        </w:rPr>
        <w:t xml:space="preserve">בנסיבות בהן הורשע נאשם </w:t>
      </w:r>
      <w:r>
        <w:rPr>
          <w:rFonts w:ascii="David" w:hAnsi="David"/>
          <w:b/>
          <w:bCs/>
          <w:rtl/>
        </w:rPr>
        <w:t>בהחזקת סם מסוכן מסוג מטילמטאקטינון במשקל של 344 גרם וסם קוקאין במשקל של 4.6 גרם</w:t>
      </w:r>
      <w:r>
        <w:rPr>
          <w:rFonts w:ascii="David" w:hAnsi="David"/>
          <w:rtl/>
        </w:rPr>
        <w:t xml:space="preserve"> שהיו מחולקים </w:t>
      </w:r>
      <w:r>
        <w:rPr>
          <w:rFonts w:ascii="David" w:hAnsi="David" w:hint="cs"/>
          <w:rtl/>
        </w:rPr>
        <w:t>ב כ -</w:t>
      </w:r>
      <w:r>
        <w:rPr>
          <w:rFonts w:ascii="David" w:hAnsi="David"/>
          <w:rtl/>
        </w:rPr>
        <w:t xml:space="preserve"> 45 אריזות נפרדות, ובנסיבות בהן נהג נאשם 1 ברכב בו נמצאו גבר נוסף, אישה ותינוק וכשהסמים שהיו בשקית הוסלקו מתחת למושב הנהג. בלשי משטרה שחשדו בהתרחשות ברכב, עקפו וחסמו את נתיב נסיעתו. בשלב זה נאשם 1 הוציא את שקית הסמים מתחת למושב וברח מהרכב בריצה כשהבלשים רודפים אחריו, שלפו אקדח לעברו והוא בתגובה זרק את הסמים למרחק. </w:t>
      </w:r>
    </w:p>
    <w:p w14:paraId="46938D4C" w14:textId="77777777" w:rsidR="000E24D6" w:rsidRPr="00307FC7" w:rsidRDefault="000E24D6" w:rsidP="000E24D6">
      <w:pPr>
        <w:spacing w:line="360" w:lineRule="auto"/>
        <w:jc w:val="both"/>
        <w:rPr>
          <w:rFonts w:ascii="David" w:hAnsi="David"/>
          <w:b/>
          <w:bCs/>
          <w:rtl/>
        </w:rPr>
      </w:pPr>
      <w:r>
        <w:rPr>
          <w:rFonts w:ascii="David" w:hAnsi="David"/>
          <w:rtl/>
        </w:rPr>
        <w:t xml:space="preserve">אמנם דובר בשני סוגי סמים, </w:t>
      </w:r>
      <w:r>
        <w:rPr>
          <w:rFonts w:ascii="David" w:hAnsi="David" w:hint="cs"/>
          <w:rtl/>
        </w:rPr>
        <w:t xml:space="preserve">עם זאת, </w:t>
      </w:r>
      <w:r>
        <w:rPr>
          <w:rFonts w:ascii="David" w:hAnsi="David"/>
          <w:rtl/>
        </w:rPr>
        <w:t>לא יכול להיות חולק כי נסיבותיו חמורות מהמקרה הנדון</w:t>
      </w:r>
      <w:r>
        <w:rPr>
          <w:rFonts w:ascii="David" w:hAnsi="David" w:hint="cs"/>
          <w:rtl/>
        </w:rPr>
        <w:t xml:space="preserve">, ועם זאת, </w:t>
      </w:r>
      <w:r>
        <w:rPr>
          <w:rFonts w:ascii="David" w:hAnsi="David"/>
          <w:rtl/>
        </w:rPr>
        <w:t>המאשימה הגיעה ע</w:t>
      </w:r>
      <w:r>
        <w:rPr>
          <w:rFonts w:ascii="David" w:hAnsi="David" w:hint="cs"/>
          <w:rtl/>
        </w:rPr>
        <w:t xml:space="preserve">ם אזולאי </w:t>
      </w:r>
      <w:r>
        <w:rPr>
          <w:rFonts w:ascii="David" w:hAnsi="David"/>
          <w:rtl/>
        </w:rPr>
        <w:t>להסדר טיעון לפיו יושתו עליו 24 חודשי מאסר בפועל,</w:t>
      </w:r>
      <w:r>
        <w:rPr>
          <w:rFonts w:ascii="David" w:hAnsi="David" w:hint="cs"/>
          <w:rtl/>
        </w:rPr>
        <w:t xml:space="preserve">. </w:t>
      </w:r>
      <w:r>
        <w:rPr>
          <w:rFonts w:ascii="David" w:hAnsi="David"/>
          <w:rtl/>
        </w:rPr>
        <w:t xml:space="preserve">מאחר וטיעוניה להסדר </w:t>
      </w:r>
      <w:r>
        <w:rPr>
          <w:rFonts w:ascii="David" w:hAnsi="David" w:hint="cs"/>
          <w:rtl/>
        </w:rPr>
        <w:t>ה</w:t>
      </w:r>
      <w:r>
        <w:rPr>
          <w:rFonts w:ascii="David" w:hAnsi="David"/>
          <w:rtl/>
        </w:rPr>
        <w:t xml:space="preserve">תמצו בטענה </w:t>
      </w:r>
      <w:r>
        <w:rPr>
          <w:rFonts w:ascii="David" w:hAnsi="David" w:hint="cs"/>
          <w:rtl/>
        </w:rPr>
        <w:t xml:space="preserve">לפיה </w:t>
      </w:r>
      <w:r>
        <w:rPr>
          <w:rFonts w:ascii="David" w:hAnsi="David"/>
          <w:rtl/>
        </w:rPr>
        <w:t>הענישה הנוהגת במקרים שנסיבותיהם דומות, סבר בית המשפט כי עונש המאסר המוצע בהסדר הטיעון, אינו עולה בקנה אחד עם מדיניות הענישה הנוהגת.</w:t>
      </w:r>
      <w:r>
        <w:rPr>
          <w:rFonts w:ascii="David" w:hAnsi="David" w:hint="cs"/>
          <w:b/>
          <w:bCs/>
          <w:rtl/>
        </w:rPr>
        <w:t xml:space="preserve"> </w:t>
      </w:r>
      <w:r>
        <w:rPr>
          <w:rFonts w:ascii="David" w:hAnsi="David"/>
          <w:b/>
          <w:bCs/>
          <w:rtl/>
        </w:rPr>
        <w:t xml:space="preserve">מכאן ובהעדר כל טענה לקושי ראייתי, </w:t>
      </w:r>
      <w:r>
        <w:rPr>
          <w:rFonts w:ascii="David" w:hAnsi="David" w:hint="cs"/>
          <w:b/>
          <w:bCs/>
          <w:rtl/>
        </w:rPr>
        <w:t>דחה את הסדר הטיעון ו</w:t>
      </w:r>
      <w:r>
        <w:rPr>
          <w:rFonts w:ascii="David" w:hAnsi="David"/>
          <w:b/>
          <w:bCs/>
          <w:rtl/>
        </w:rPr>
        <w:t>קבע את מתחם העונש בין 3 וחצי ל- 6 שנות מאסר</w:t>
      </w:r>
      <w:r>
        <w:rPr>
          <w:rFonts w:ascii="David" w:hAnsi="David" w:hint="cs"/>
          <w:b/>
          <w:bCs/>
          <w:rtl/>
        </w:rPr>
        <w:t xml:space="preserve">, זאת, </w:t>
      </w:r>
      <w:r>
        <w:rPr>
          <w:rFonts w:ascii="David" w:hAnsi="David"/>
          <w:b/>
          <w:bCs/>
          <w:rtl/>
        </w:rPr>
        <w:t xml:space="preserve">לאחר שהביא בחשבון </w:t>
      </w:r>
      <w:r>
        <w:rPr>
          <w:rFonts w:ascii="David" w:hAnsi="David"/>
          <w:rtl/>
        </w:rPr>
        <w:t xml:space="preserve">כי הודאת נאשם 1 ניתנה במסגרת הסדר טיעון הכולל המלצה משותפת של הצדדים לעונש ובציפייה שבית המשפט יקבל את המלצת הצדדים, השית על הנאשם עונש מתון מזה שהיה ראוי לולא הסדר הטיעון – 33 חודשי מאסר בפועל. </w:t>
      </w:r>
    </w:p>
    <w:p w14:paraId="25A07BB2" w14:textId="77777777" w:rsidR="000E24D6" w:rsidRDefault="000E24D6" w:rsidP="000E24D6">
      <w:pPr>
        <w:spacing w:line="360" w:lineRule="auto"/>
        <w:jc w:val="both"/>
        <w:rPr>
          <w:rFonts w:ascii="David" w:hAnsi="David"/>
          <w:rtl/>
        </w:rPr>
      </w:pPr>
    </w:p>
    <w:p w14:paraId="18B62266" w14:textId="77777777" w:rsidR="000E24D6" w:rsidRPr="006D7BF6" w:rsidRDefault="000E24D6" w:rsidP="000E24D6">
      <w:pPr>
        <w:spacing w:after="160" w:line="360" w:lineRule="auto"/>
        <w:ind w:left="-57"/>
        <w:jc w:val="both"/>
        <w:rPr>
          <w:rFonts w:ascii="David" w:eastAsia="Calibri" w:hAnsi="David"/>
          <w:b/>
          <w:bCs/>
          <w:rtl/>
        </w:rPr>
      </w:pPr>
      <w:r w:rsidRPr="006D7BF6">
        <w:rPr>
          <w:rFonts w:ascii="David" w:eastAsia="Calibri" w:hAnsi="David"/>
          <w:b/>
          <w:bCs/>
          <w:rtl/>
        </w:rPr>
        <w:t xml:space="preserve">מכלל האמור, ובהתחשב בחומרת מעשה העבירה בנסיבותיה, במידת אשמו של הנאשם ופגיעתו בערכים המוגנים לרבות במדיניות הענישה הנוהגת, סבורני כי מתחם העונש ההולם למעשי הנאשם נכון שינוע בין </w:t>
      </w:r>
      <w:r w:rsidRPr="006D7BF6">
        <w:rPr>
          <w:rFonts w:ascii="David" w:eastAsia="Calibri" w:hAnsi="David" w:hint="cs"/>
          <w:b/>
          <w:bCs/>
          <w:rtl/>
        </w:rPr>
        <w:t xml:space="preserve">24 </w:t>
      </w:r>
      <w:r w:rsidRPr="006D7BF6">
        <w:rPr>
          <w:rFonts w:ascii="David" w:eastAsia="Calibri" w:hAnsi="David"/>
          <w:b/>
          <w:bCs/>
          <w:rtl/>
        </w:rPr>
        <w:t>ל 48  חודשי מאסר בפועל .</w:t>
      </w:r>
    </w:p>
    <w:p w14:paraId="1E526884" w14:textId="77777777" w:rsidR="000E24D6" w:rsidRDefault="000E24D6" w:rsidP="000E24D6">
      <w:pPr>
        <w:spacing w:line="360" w:lineRule="auto"/>
        <w:jc w:val="both"/>
        <w:rPr>
          <w:rFonts w:ascii="David" w:hAnsi="David"/>
          <w:b/>
          <w:bCs/>
          <w:sz w:val="26"/>
          <w:szCs w:val="26"/>
          <w:u w:val="single"/>
          <w:rtl/>
        </w:rPr>
      </w:pPr>
    </w:p>
    <w:p w14:paraId="5A80520A"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 xml:space="preserve">עבירות </w:t>
      </w:r>
      <w:r w:rsidRPr="005F542A">
        <w:rPr>
          <w:rFonts w:ascii="David" w:hAnsi="David"/>
          <w:b/>
          <w:bCs/>
          <w:sz w:val="26"/>
          <w:szCs w:val="26"/>
          <w:u w:val="single"/>
          <w:rtl/>
        </w:rPr>
        <w:t xml:space="preserve">נשק </w:t>
      </w:r>
    </w:p>
    <w:p w14:paraId="07D82B6B" w14:textId="77777777" w:rsidR="000E24D6" w:rsidRDefault="000E24D6" w:rsidP="000E24D6">
      <w:pPr>
        <w:spacing w:after="160" w:line="360" w:lineRule="auto"/>
        <w:jc w:val="both"/>
        <w:rPr>
          <w:rFonts w:ascii="David" w:hAnsi="David"/>
          <w:rtl/>
        </w:rPr>
      </w:pPr>
      <w:r>
        <w:rPr>
          <w:rFonts w:ascii="David" w:hAnsi="David" w:hint="cs"/>
          <w:rtl/>
        </w:rPr>
        <w:t>10.</w:t>
      </w:r>
      <w:r>
        <w:rPr>
          <w:rFonts w:ascii="David" w:hAnsi="David" w:hint="cs"/>
          <w:rtl/>
        </w:rPr>
        <w:tab/>
        <w:t xml:space="preserve">הערכים המוגנים בבסיס האיסור על החזקת נשק הם שמירה על הגוף והחיים, שמירה על הסדר הציבורי והביטחון האישי. </w:t>
      </w:r>
      <w:r>
        <w:rPr>
          <w:rFonts w:ascii="David" w:hAnsi="David"/>
          <w:rtl/>
        </w:rPr>
        <w:t>אשר לחומרת עבירות בנשק והענישה הראויה להן</w:t>
      </w:r>
      <w:r>
        <w:rPr>
          <w:rFonts w:ascii="David" w:hAnsi="David" w:hint="cs"/>
          <w:rtl/>
        </w:rPr>
        <w:t xml:space="preserve">, יפים </w:t>
      </w:r>
      <w:r>
        <w:rPr>
          <w:rFonts w:ascii="David" w:hAnsi="David"/>
          <w:rtl/>
        </w:rPr>
        <w:t>דברי בית המשפט  ב</w:t>
      </w:r>
      <w:hyperlink r:id="rId63" w:history="1">
        <w:r w:rsidR="001B6A44" w:rsidRPr="001B6A44">
          <w:rPr>
            <w:rFonts w:ascii="David" w:hAnsi="David"/>
            <w:color w:val="0000FF"/>
            <w:u w:val="single"/>
            <w:rtl/>
          </w:rPr>
          <w:t>ע"פ 5833/07</w:t>
        </w:r>
      </w:hyperlink>
      <w:r>
        <w:rPr>
          <w:rFonts w:ascii="David" w:hAnsi="David"/>
          <w:rtl/>
        </w:rPr>
        <w:t xml:space="preserve"> ח'ורי נ' מדינת ישראל (18.11.2007):</w:t>
      </w:r>
    </w:p>
    <w:p w14:paraId="0B065CED" w14:textId="77777777" w:rsidR="000E24D6" w:rsidRDefault="000E24D6" w:rsidP="000E24D6">
      <w:pPr>
        <w:spacing w:after="160" w:line="360" w:lineRule="auto"/>
        <w:ind w:left="1275" w:right="1134"/>
        <w:jc w:val="both"/>
        <w:rPr>
          <w:rFonts w:ascii="David" w:eastAsia="Calibri" w:hAnsi="David"/>
          <w:b/>
          <w:bCs/>
          <w:sz w:val="22"/>
          <w:szCs w:val="22"/>
          <w:rtl/>
        </w:rPr>
      </w:pPr>
      <w:r>
        <w:rPr>
          <w:rFonts w:ascii="David" w:eastAsia="Calibri" w:hAnsi="David"/>
          <w:b/>
          <w:bCs/>
          <w:sz w:val="22"/>
          <w:szCs w:val="22"/>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0E27944B" w14:textId="77777777" w:rsidR="000E24D6" w:rsidRPr="00910270" w:rsidRDefault="000E24D6" w:rsidP="000E24D6">
      <w:pPr>
        <w:spacing w:after="160" w:line="360" w:lineRule="auto"/>
        <w:jc w:val="both"/>
        <w:rPr>
          <w:rFonts w:ascii="David" w:eastAsia="Calibri" w:hAnsi="David"/>
          <w:rtl/>
        </w:rPr>
      </w:pPr>
      <w:r>
        <w:rPr>
          <w:rFonts w:ascii="David" w:eastAsia="Calibri" w:hAnsi="David"/>
          <w:rtl/>
        </w:rPr>
        <w:t>ב</w:t>
      </w:r>
      <w:hyperlink r:id="rId64" w:history="1">
        <w:r w:rsidR="001B6A44" w:rsidRPr="001B6A44">
          <w:rPr>
            <w:rFonts w:ascii="David" w:eastAsia="Calibri" w:hAnsi="David"/>
            <w:color w:val="0000FF"/>
            <w:u w:val="single"/>
            <w:rtl/>
          </w:rPr>
          <w:t>ע"פ 4215/18</w:t>
        </w:r>
      </w:hyperlink>
      <w:r>
        <w:rPr>
          <w:rFonts w:ascii="David" w:eastAsia="Calibri" w:hAnsi="David"/>
          <w:rtl/>
        </w:rPr>
        <w:t xml:space="preserve"> חטיב נ' מדינת ישראל (8/7/18), חזר והדגיש בית המשפט העליון בסכנה הפוטנציאלית הגלומה בעבירות נשק, בציינו כי </w:t>
      </w:r>
      <w:r w:rsidRPr="00910270">
        <w:rPr>
          <w:rFonts w:ascii="David" w:eastAsia="Calibri" w:hAnsi="David" w:hint="cs"/>
          <w:rtl/>
        </w:rPr>
        <w:t xml:space="preserve">עבירות מסוג זה מחייבות כולן </w:t>
      </w:r>
      <w:r w:rsidRPr="00910270">
        <w:rPr>
          <w:rFonts w:ascii="David" w:eastAsia="Calibri" w:hAnsi="David"/>
          <w:rtl/>
        </w:rPr>
        <w:t>ענישה משמעותית, גם על נאשם הנעדר עבר פלילי</w:t>
      </w:r>
      <w:r w:rsidRPr="00910270">
        <w:rPr>
          <w:rFonts w:ascii="David" w:eastAsia="Calibri" w:hAnsi="David" w:hint="cs"/>
          <w:rtl/>
        </w:rPr>
        <w:t>.</w:t>
      </w:r>
    </w:p>
    <w:p w14:paraId="1F70AA75" w14:textId="77777777" w:rsidR="000E24D6" w:rsidRDefault="000E24D6" w:rsidP="000E24D6">
      <w:pPr>
        <w:spacing w:line="360" w:lineRule="auto"/>
        <w:jc w:val="both"/>
        <w:rPr>
          <w:rFonts w:ascii="David" w:hAnsi="David"/>
          <w:rtl/>
        </w:rPr>
      </w:pPr>
      <w:r>
        <w:rPr>
          <w:rFonts w:ascii="David" w:hAnsi="David"/>
          <w:rtl/>
        </w:rPr>
        <w:t xml:space="preserve">החומרה </w:t>
      </w:r>
      <w:r>
        <w:rPr>
          <w:rFonts w:ascii="David" w:hAnsi="David" w:hint="cs"/>
          <w:rtl/>
        </w:rPr>
        <w:t>ב</w:t>
      </w:r>
      <w:r>
        <w:rPr>
          <w:rFonts w:ascii="David" w:hAnsi="David"/>
          <w:rtl/>
        </w:rPr>
        <w:t>עבירה בה הורשע הנאשם, מקבלת ביטוי בעונש המרבי הקבוע לצדה</w:t>
      </w:r>
      <w:r>
        <w:rPr>
          <w:rFonts w:ascii="David" w:hAnsi="David" w:hint="cs"/>
          <w:rtl/>
        </w:rPr>
        <w:t xml:space="preserve"> </w:t>
      </w:r>
      <w:r>
        <w:rPr>
          <w:rFonts w:ascii="David" w:hAnsi="David"/>
          <w:rtl/>
        </w:rPr>
        <w:t>- 7 שנות מאסר.</w:t>
      </w:r>
      <w:r>
        <w:rPr>
          <w:rFonts w:ascii="David" w:hAnsi="David" w:hint="cs"/>
          <w:rtl/>
        </w:rPr>
        <w:t xml:space="preserve"> </w:t>
      </w:r>
      <w:r>
        <w:rPr>
          <w:rFonts w:ascii="David" w:hAnsi="David"/>
          <w:rtl/>
        </w:rPr>
        <w:t>שיקולי ההרתעה הם האינטרס הציבורי הראשון במעלה</w:t>
      </w:r>
      <w:r>
        <w:rPr>
          <w:rFonts w:ascii="David" w:hAnsi="David" w:hint="cs"/>
          <w:rtl/>
        </w:rPr>
        <w:t>,</w:t>
      </w:r>
      <w:r>
        <w:rPr>
          <w:rFonts w:ascii="David" w:hAnsi="David"/>
          <w:rtl/>
        </w:rPr>
        <w:t xml:space="preserve"> בהינתן כי הנ</w:t>
      </w:r>
      <w:r>
        <w:rPr>
          <w:rFonts w:ascii="David" w:hAnsi="David" w:hint="cs"/>
          <w:rtl/>
        </w:rPr>
        <w:t>ם</w:t>
      </w:r>
      <w:r>
        <w:rPr>
          <w:rFonts w:ascii="David" w:hAnsi="David"/>
          <w:rtl/>
        </w:rPr>
        <w:t xml:space="preserve"> תנאי הכרחי למאבק בתופעה של החזקה ושימוש בנשק ללא היתר</w:t>
      </w:r>
      <w:r>
        <w:rPr>
          <w:rFonts w:ascii="David" w:hAnsi="David" w:hint="cs"/>
          <w:rtl/>
        </w:rPr>
        <w:t xml:space="preserve">, אשר </w:t>
      </w:r>
      <w:r>
        <w:rPr>
          <w:rFonts w:ascii="David" w:hAnsi="David"/>
          <w:rtl/>
        </w:rPr>
        <w:t>הפכה למכת מדינה</w:t>
      </w:r>
      <w:r>
        <w:rPr>
          <w:rFonts w:ascii="David" w:hAnsi="David" w:hint="cs"/>
          <w:rtl/>
        </w:rPr>
        <w:t>.</w:t>
      </w:r>
      <w:r>
        <w:rPr>
          <w:rFonts w:ascii="David" w:hAnsi="David"/>
          <w:rtl/>
        </w:rPr>
        <w:t xml:space="preserve"> </w:t>
      </w:r>
    </w:p>
    <w:p w14:paraId="40482099" w14:textId="77777777" w:rsidR="000E24D6" w:rsidRDefault="000E24D6" w:rsidP="000E24D6">
      <w:pPr>
        <w:spacing w:line="360" w:lineRule="auto"/>
        <w:jc w:val="both"/>
        <w:rPr>
          <w:rFonts w:ascii="David" w:hAnsi="David"/>
          <w:rtl/>
        </w:rPr>
      </w:pPr>
    </w:p>
    <w:p w14:paraId="2A175C1C" w14:textId="77777777" w:rsidR="000E24D6" w:rsidRDefault="000E24D6" w:rsidP="000E24D6">
      <w:pPr>
        <w:spacing w:line="360" w:lineRule="auto"/>
        <w:jc w:val="both"/>
        <w:rPr>
          <w:rFonts w:ascii="David" w:hAnsi="David"/>
        </w:rPr>
      </w:pPr>
      <w:r>
        <w:rPr>
          <w:rFonts w:ascii="David" w:hAnsi="David" w:hint="cs"/>
          <w:rtl/>
        </w:rPr>
        <w:t>ב</w:t>
      </w:r>
      <w:hyperlink r:id="rId65" w:history="1">
        <w:r w:rsidR="001B6A44" w:rsidRPr="001B6A44">
          <w:rPr>
            <w:rFonts w:ascii="David" w:hAnsi="David"/>
            <w:color w:val="0000FF"/>
            <w:u w:val="single"/>
            <w:rtl/>
          </w:rPr>
          <w:t>ע"פ 4406/19</w:t>
        </w:r>
      </w:hyperlink>
      <w:r>
        <w:rPr>
          <w:rFonts w:ascii="David" w:hAnsi="David"/>
          <w:rtl/>
        </w:rPr>
        <w:t xml:space="preserve"> </w:t>
      </w:r>
      <w:r>
        <w:rPr>
          <w:rFonts w:ascii="David" w:hAnsi="David"/>
          <w:b/>
          <w:bCs/>
          <w:rtl/>
        </w:rPr>
        <w:t>מדינת ישראל נ' סוחב</w:t>
      </w:r>
      <w:r>
        <w:rPr>
          <w:rFonts w:ascii="David" w:hAnsi="David"/>
          <w:rtl/>
        </w:rPr>
        <w:t xml:space="preserve"> (05.11.19) נקבע כי הענישה הקיימת בנוגע לעבירת נשק אינה משקפת נכונה את חומרת התופעה ומוצדק להעלות את רף הענישה בעבירת נשק</w:t>
      </w:r>
      <w:r>
        <w:rPr>
          <w:rFonts w:ascii="David" w:hAnsi="David" w:hint="cs"/>
          <w:rtl/>
        </w:rPr>
        <w:t xml:space="preserve">. </w:t>
      </w:r>
      <w:r>
        <w:rPr>
          <w:rFonts w:ascii="David" w:hAnsi="David"/>
          <w:rtl/>
        </w:rPr>
        <w:t xml:space="preserve">ראו גם </w:t>
      </w:r>
      <w:hyperlink r:id="rId66" w:history="1">
        <w:r w:rsidR="001B6A44" w:rsidRPr="001B6A44">
          <w:rPr>
            <w:rFonts w:ascii="David" w:hAnsi="David"/>
            <w:color w:val="0000FF"/>
            <w:u w:val="single"/>
            <w:rtl/>
          </w:rPr>
          <w:t>ע"פ 1729/19</w:t>
        </w:r>
      </w:hyperlink>
      <w:r>
        <w:rPr>
          <w:rFonts w:ascii="David" w:hAnsi="David"/>
          <w:rtl/>
        </w:rPr>
        <w:t xml:space="preserve"> </w:t>
      </w:r>
      <w:r>
        <w:rPr>
          <w:rFonts w:ascii="David" w:hAnsi="David"/>
          <w:b/>
          <w:bCs/>
          <w:rtl/>
        </w:rPr>
        <w:t xml:space="preserve">עבאהרה נ' מדינת ישראל </w:t>
      </w:r>
      <w:r>
        <w:rPr>
          <w:rFonts w:ascii="David" w:hAnsi="David"/>
          <w:rtl/>
        </w:rPr>
        <w:t>וסקירת פסיקה ב</w:t>
      </w:r>
      <w:hyperlink r:id="rId67" w:history="1">
        <w:r w:rsidR="001B6A44" w:rsidRPr="001B6A44">
          <w:rPr>
            <w:rFonts w:ascii="David" w:hAnsi="David"/>
            <w:color w:val="0000FF"/>
            <w:u w:val="single"/>
            <w:rtl/>
          </w:rPr>
          <w:t>ע"פ 3169/21</w:t>
        </w:r>
      </w:hyperlink>
      <w:r>
        <w:rPr>
          <w:rFonts w:ascii="David" w:hAnsi="David"/>
          <w:b/>
          <w:bCs/>
          <w:rtl/>
        </w:rPr>
        <w:t xml:space="preserve"> מדינת ישראל נ' אגבריה</w:t>
      </w:r>
      <w:r>
        <w:rPr>
          <w:rFonts w:ascii="David" w:hAnsi="David" w:hint="cs"/>
          <w:b/>
          <w:bCs/>
          <w:rtl/>
        </w:rPr>
        <w:t xml:space="preserve"> </w:t>
      </w:r>
      <w:r>
        <w:rPr>
          <w:rFonts w:ascii="David" w:hAnsi="David"/>
          <w:rtl/>
        </w:rPr>
        <w:t>(21.06.23).</w:t>
      </w:r>
    </w:p>
    <w:p w14:paraId="5D355F6F" w14:textId="77777777" w:rsidR="000E24D6" w:rsidRDefault="000E24D6" w:rsidP="000E24D6">
      <w:pPr>
        <w:spacing w:before="240" w:line="360" w:lineRule="auto"/>
        <w:jc w:val="both"/>
        <w:rPr>
          <w:rFonts w:ascii="David" w:hAnsi="David"/>
        </w:rPr>
      </w:pPr>
      <w:r>
        <w:rPr>
          <w:rFonts w:ascii="David" w:hAnsi="David"/>
          <w:rtl/>
        </w:rPr>
        <w:t xml:space="preserve">נוכח התפשטות התופעה והשלכותיה הקשות על הסדר והביטחון הציבורי נדרשה </w:t>
      </w:r>
      <w:r w:rsidRPr="00D01B0E">
        <w:rPr>
          <w:rFonts w:ascii="David" w:hAnsi="David"/>
          <w:u w:val="single"/>
          <w:rtl/>
        </w:rPr>
        <w:t>התערבות המחוקק בדמות הוראת השעה שבתיקון מספר 140 ב</w:t>
      </w:r>
      <w:hyperlink r:id="rId68" w:history="1">
        <w:r w:rsidR="001B6A44" w:rsidRPr="001B6A44">
          <w:rPr>
            <w:rFonts w:ascii="David" w:hAnsi="David"/>
            <w:color w:val="0000FF"/>
            <w:u w:val="single"/>
            <w:rtl/>
          </w:rPr>
          <w:t>חוק העונשין</w:t>
        </w:r>
      </w:hyperlink>
      <w:r w:rsidRPr="00D01B0E">
        <w:rPr>
          <w:rFonts w:ascii="David" w:hAnsi="David"/>
          <w:u w:val="single"/>
          <w:rtl/>
        </w:rPr>
        <w:t>,</w:t>
      </w:r>
      <w:r>
        <w:rPr>
          <w:rFonts w:ascii="David" w:hAnsi="David"/>
          <w:rtl/>
        </w:rPr>
        <w:t xml:space="preserve"> תשפ"ב – 2021</w:t>
      </w:r>
      <w:r w:rsidR="001B6A44">
        <w:rPr>
          <w:rFonts w:ascii="David" w:hAnsi="David"/>
          <w:rtl/>
        </w:rPr>
        <w:t xml:space="preserve"> </w:t>
      </w:r>
      <w:r>
        <w:rPr>
          <w:rFonts w:ascii="David" w:hAnsi="David"/>
          <w:rtl/>
        </w:rPr>
        <w:t xml:space="preserve"> (</w:t>
      </w:r>
      <w:r w:rsidRPr="00910270">
        <w:rPr>
          <w:rFonts w:ascii="David" w:hAnsi="David"/>
          <w:b/>
          <w:bCs/>
          <w:rtl/>
        </w:rPr>
        <w:t>להלן: התיקון לחוק</w:t>
      </w:r>
      <w:r>
        <w:rPr>
          <w:rFonts w:ascii="David" w:hAnsi="David"/>
          <w:rtl/>
        </w:rPr>
        <w:t xml:space="preserve">) אשר באופן מכוון קורא להחמרת הענישה תוך קביעת עונש מינימום. על פי התיקון לחוק, משהורשע אדם בעבירה לפי סעיף (א) רישא (ב 2) או (ב 3) רישא - לא יפחת עונשו מרבע העונש המרבי שנקבע לאותה עבירה, דהיינו, 21 חודשי מאסר בפועל (כולל מאסר על תנאי) אלא אם יחליט בית המשפט מטעמים מיוחדים שירשמו, להקל בעונשו. </w:t>
      </w:r>
    </w:p>
    <w:p w14:paraId="639B072E" w14:textId="77777777" w:rsidR="000E24D6" w:rsidRDefault="000E24D6" w:rsidP="000E24D6">
      <w:pPr>
        <w:spacing w:before="240" w:line="360" w:lineRule="auto"/>
        <w:jc w:val="both"/>
        <w:rPr>
          <w:rFonts w:ascii="David" w:hAnsi="David"/>
          <w:rtl/>
        </w:rPr>
      </w:pPr>
      <w:r>
        <w:rPr>
          <w:rFonts w:ascii="David" w:hAnsi="David"/>
          <w:rtl/>
        </w:rPr>
        <w:t xml:space="preserve">הדברים האמורים מקבלים מקום </w:t>
      </w:r>
      <w:r>
        <w:rPr>
          <w:rFonts w:ascii="David" w:hAnsi="David" w:hint="cs"/>
          <w:rtl/>
        </w:rPr>
        <w:t>בפסיקה שבאה לאחר התיקון, ב</w:t>
      </w:r>
      <w:r>
        <w:rPr>
          <w:rFonts w:ascii="David" w:hAnsi="David"/>
          <w:rtl/>
        </w:rPr>
        <w:t>דברי בית המשפט ב</w:t>
      </w:r>
      <w:hyperlink r:id="rId69" w:history="1">
        <w:r w:rsidR="001B6A44" w:rsidRPr="001B6A44">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המתמצתים במדויק בפגיעה בערכים המוגנים שבעבירות הנשק, במידת פגיעתן ההולכת ומעמיקה בחברה הישראלית, ובעיקר בחובת בתי המשפט לענישה מכבידה להרתיע</w:t>
      </w:r>
      <w:r>
        <w:rPr>
          <w:rFonts w:ascii="David" w:hAnsi="David" w:hint="cs"/>
          <w:rtl/>
        </w:rPr>
        <w:t>:</w:t>
      </w:r>
    </w:p>
    <w:p w14:paraId="4D6F5217" w14:textId="77777777" w:rsidR="000E24D6" w:rsidRDefault="001B6A44" w:rsidP="000E24D6">
      <w:pPr>
        <w:spacing w:before="240" w:line="360" w:lineRule="auto"/>
        <w:ind w:left="850" w:right="993"/>
        <w:jc w:val="both"/>
        <w:rPr>
          <w:rFonts w:ascii="David" w:hAnsi="David"/>
          <w:sz w:val="22"/>
          <w:szCs w:val="22"/>
          <w:rtl/>
        </w:rPr>
      </w:pPr>
      <w:r>
        <w:rPr>
          <w:rFonts w:ascii="David" w:hAnsi="David"/>
          <w:rtl/>
        </w:rPr>
        <w:t xml:space="preserve"> </w:t>
      </w:r>
      <w:r w:rsidR="000E24D6">
        <w:rPr>
          <w:rFonts w:ascii="David" w:hAnsi="David"/>
          <w:rtl/>
        </w:rPr>
        <w:t xml:space="preserve"> "</w:t>
      </w:r>
      <w:r w:rsidR="000E24D6" w:rsidRPr="006704CF">
        <w:rPr>
          <w:rFonts w:ascii="David" w:hAnsi="David"/>
          <w:rtl/>
        </w:rPr>
        <w:t>החזקת נשק שלא כדין מאיימת על שלום הציבור ובטחונו [...].</w:t>
      </w:r>
      <w:r w:rsidR="000E24D6" w:rsidRPr="006704CF">
        <w:rPr>
          <w:rFonts w:ascii="David" w:hAnsi="David" w:hint="cs"/>
          <w:b/>
          <w:bCs/>
          <w:rtl/>
        </w:rPr>
        <w:t xml:space="preserve"> </w:t>
      </w:r>
      <w:r w:rsidR="000E24D6" w:rsidRPr="006704CF">
        <w:rPr>
          <w:rFonts w:ascii="David" w:hAnsi="David"/>
          <w:b/>
          <w:bCs/>
          <w:rtl/>
        </w:rPr>
        <w:t>ענייננו ב'מכת מדינה' שהצורך להילחם בה על מנת להגן</w:t>
      </w:r>
      <w:r w:rsidR="000E24D6">
        <w:rPr>
          <w:rFonts w:ascii="David" w:hAnsi="David"/>
          <w:b/>
          <w:bCs/>
          <w:rtl/>
        </w:rPr>
        <w:t xml:space="preserve"> על הציבור, מצריך מענה הולם והטלת עונשי מאסר משמעותיים</w:t>
      </w:r>
      <w:r w:rsidR="000E24D6">
        <w:rPr>
          <w:rFonts w:ascii="David" w:hAnsi="David"/>
          <w:rtl/>
        </w:rPr>
        <w:t xml:space="preserve"> [...]. ידע כל מי שמחזיק בנשק בלתי חוקי כי צפוי הוא להיענש בחומרה</w:t>
      </w:r>
      <w:r w:rsidR="000E24D6">
        <w:rPr>
          <w:rFonts w:ascii="David" w:hAnsi="David"/>
          <w:b/>
          <w:bCs/>
          <w:rtl/>
        </w:rPr>
        <w:t>, בבחינת 'אם מחזיקים – למאסר נשלחים".</w:t>
      </w:r>
    </w:p>
    <w:p w14:paraId="42AD2927" w14:textId="77777777" w:rsidR="000E24D6" w:rsidRDefault="000E24D6" w:rsidP="000E24D6">
      <w:pPr>
        <w:spacing w:after="160" w:line="360" w:lineRule="auto"/>
        <w:jc w:val="both"/>
        <w:rPr>
          <w:rFonts w:ascii="David" w:eastAsia="Calibri" w:hAnsi="David"/>
          <w:b/>
          <w:bCs/>
          <w:rtl/>
        </w:rPr>
      </w:pPr>
    </w:p>
    <w:p w14:paraId="08108D1F" w14:textId="77777777" w:rsidR="000E24D6" w:rsidRPr="000911D6" w:rsidRDefault="000E24D6" w:rsidP="000E24D6">
      <w:pPr>
        <w:spacing w:after="160" w:line="360" w:lineRule="auto"/>
        <w:jc w:val="both"/>
        <w:rPr>
          <w:rFonts w:ascii="David" w:eastAsia="Calibri" w:hAnsi="David"/>
          <w:rtl/>
        </w:rPr>
      </w:pPr>
      <w:r>
        <w:rPr>
          <w:rFonts w:ascii="David" w:eastAsia="Calibri" w:hAnsi="David"/>
          <w:b/>
          <w:bCs/>
          <w:rtl/>
        </w:rPr>
        <w:t xml:space="preserve">בחינת נסיבות הקשורות בביצוע העבירה </w:t>
      </w:r>
      <w:r>
        <w:rPr>
          <w:rFonts w:ascii="David" w:eastAsia="Calibri" w:hAnsi="David"/>
          <w:rtl/>
        </w:rPr>
        <w:t xml:space="preserve">מעלה כי מידת פגיעתו של הנאשם בערכים המוגנים הינה </w:t>
      </w:r>
      <w:r>
        <w:rPr>
          <w:rFonts w:ascii="David" w:eastAsia="Calibri" w:hAnsi="David" w:hint="cs"/>
          <w:rtl/>
        </w:rPr>
        <w:t>גבוהה ו</w:t>
      </w:r>
      <w:r>
        <w:rPr>
          <w:rFonts w:ascii="David" w:eastAsia="Calibri" w:hAnsi="David"/>
          <w:rtl/>
        </w:rPr>
        <w:t xml:space="preserve">משמעותית . מבלי שיש לו היתר, החזיק הנאשם </w:t>
      </w:r>
      <w:r>
        <w:rPr>
          <w:rFonts w:ascii="David" w:eastAsia="Calibri" w:hAnsi="David" w:hint="cs"/>
          <w:rtl/>
        </w:rPr>
        <w:t xml:space="preserve">באקדח הזנקה חצי אוטומטי שהוסב לירי. בנוסף, סייע הנאשם לאחר להחזיק אקדח הזנקה חצי אוטומטי, גם הוא הוסב לירי. את שני האקדחים התקינים שבכוחם להמית, החזיק בחדר הממ"ד שבביתו, זאת, כשלכל אחד  מהאקדחים מחסנית ריקה מתאימה. עוד החזיק הנאשם </w:t>
      </w:r>
      <w:r w:rsidRPr="000911D6">
        <w:rPr>
          <w:rFonts w:ascii="David" w:eastAsia="Calibri" w:hAnsi="David" w:hint="cs"/>
          <w:rtl/>
        </w:rPr>
        <w:t xml:space="preserve"> ב-6 כדורי תחמושת של 9 מ"מ.</w:t>
      </w:r>
    </w:p>
    <w:p w14:paraId="7E028A77" w14:textId="77777777" w:rsidR="000E24D6" w:rsidRDefault="000E24D6" w:rsidP="000E24D6">
      <w:pPr>
        <w:spacing w:line="360" w:lineRule="auto"/>
        <w:jc w:val="both"/>
        <w:rPr>
          <w:rFonts w:ascii="David" w:hAnsi="David"/>
          <w:rtl/>
        </w:rPr>
      </w:pPr>
      <w:r w:rsidRPr="000911D6">
        <w:rPr>
          <w:rFonts w:ascii="David" w:hAnsi="David"/>
          <w:rtl/>
        </w:rPr>
        <w:t>שני האקדחים הוס</w:t>
      </w:r>
      <w:r w:rsidRPr="000911D6">
        <w:rPr>
          <w:rFonts w:ascii="David" w:hAnsi="David" w:hint="cs"/>
          <w:rtl/>
        </w:rPr>
        <w:t>ב</w:t>
      </w:r>
      <w:r w:rsidRPr="000911D6">
        <w:rPr>
          <w:rFonts w:ascii="David" w:hAnsi="David"/>
          <w:rtl/>
        </w:rPr>
        <w:t>ו</w:t>
      </w:r>
      <w:r w:rsidRPr="000911D6">
        <w:rPr>
          <w:rFonts w:ascii="David" w:hAnsi="David" w:hint="cs"/>
          <w:rtl/>
        </w:rPr>
        <w:t xml:space="preserve"> מאקדחי הזנקה לאקדחי ירי שבכוחם להמית</w:t>
      </w:r>
      <w:r w:rsidRPr="000911D6">
        <w:rPr>
          <w:rFonts w:ascii="David" w:hAnsi="David"/>
          <w:rtl/>
        </w:rPr>
        <w:t>,</w:t>
      </w:r>
      <w:r w:rsidRPr="000911D6">
        <w:rPr>
          <w:rFonts w:ascii="David" w:hAnsi="David" w:hint="cs"/>
          <w:rtl/>
        </w:rPr>
        <w:t xml:space="preserve"> ועל כך אין חולק. מכאן שאני רואה מה מצא ב"כ הנאשם בטענתו כי </w:t>
      </w:r>
      <w:r w:rsidRPr="000911D6">
        <w:rPr>
          <w:rFonts w:ascii="David" w:hAnsi="David"/>
          <w:rtl/>
        </w:rPr>
        <w:t>"</w:t>
      </w:r>
      <w:r w:rsidRPr="003470DB">
        <w:rPr>
          <w:rFonts w:ascii="David" w:hAnsi="David"/>
          <w:b/>
          <w:bCs/>
          <w:rtl/>
        </w:rPr>
        <w:t>הנאשם הורשע בסופו של יום בהחזקת אקדח הזנקה שהוסב לנשק וסיוע לאחר בהחזקת נשק הזנקה שהוסב לנשק</w:t>
      </w:r>
      <w:r>
        <w:rPr>
          <w:rFonts w:ascii="David" w:hAnsi="David"/>
          <w:rtl/>
        </w:rPr>
        <w:t>"</w:t>
      </w:r>
      <w:r>
        <w:rPr>
          <w:rFonts w:ascii="David" w:hAnsi="David" w:hint="cs"/>
          <w:rtl/>
        </w:rPr>
        <w:t>. בהקשר זה נזכיר בעובדה כי הנאשם הורשע בהוראות החיקוק הרלוונטיות לעבירות של  החזקת נשק, באין הבדל בין נשק לבין נשק שהוסב לנשק תיקני שבכוחו להמית. בהקשר זה ראו בפסיקה אליה הפנתה התביעה (</w:t>
      </w:r>
      <w:hyperlink r:id="rId70" w:history="1">
        <w:r w:rsidR="001B6A44" w:rsidRPr="001B6A44">
          <w:rPr>
            <w:rFonts w:ascii="David" w:hAnsi="David"/>
            <w:color w:val="0000FF"/>
            <w:u w:val="single"/>
            <w:rtl/>
          </w:rPr>
          <w:t>ע"פ 2141/21</w:t>
        </w:r>
      </w:hyperlink>
      <w:r>
        <w:rPr>
          <w:rFonts w:ascii="David" w:hAnsi="David" w:hint="cs"/>
          <w:rtl/>
        </w:rPr>
        <w:t xml:space="preserve"> חנני נ' מדינת ישראל ו</w:t>
      </w:r>
      <w:hyperlink r:id="rId71" w:history="1">
        <w:r w:rsidR="001B6A44" w:rsidRPr="001B6A44">
          <w:rPr>
            <w:rFonts w:ascii="David" w:hAnsi="David"/>
            <w:color w:val="0000FF"/>
            <w:u w:val="single"/>
            <w:rtl/>
          </w:rPr>
          <w:t>ע"פ 5681/23</w:t>
        </w:r>
      </w:hyperlink>
      <w:r>
        <w:rPr>
          <w:rFonts w:ascii="David" w:hAnsi="David" w:hint="cs"/>
          <w:rtl/>
        </w:rPr>
        <w:t xml:space="preserve"> נוח חווא נ' מדינת ישראל).</w:t>
      </w:r>
    </w:p>
    <w:p w14:paraId="4286FDE0" w14:textId="77777777" w:rsidR="000E24D6" w:rsidRDefault="000E24D6" w:rsidP="000E24D6">
      <w:pPr>
        <w:spacing w:line="360" w:lineRule="auto"/>
        <w:jc w:val="both"/>
        <w:rPr>
          <w:rFonts w:ascii="David" w:hAnsi="David"/>
          <w:rtl/>
        </w:rPr>
      </w:pPr>
    </w:p>
    <w:p w14:paraId="4FC663F3" w14:textId="77777777" w:rsidR="000E24D6" w:rsidRDefault="000E24D6" w:rsidP="000E24D6">
      <w:pPr>
        <w:spacing w:after="160" w:line="360" w:lineRule="auto"/>
        <w:ind w:left="-57"/>
        <w:jc w:val="both"/>
        <w:rPr>
          <w:rFonts w:ascii="David" w:eastAsia="Calibri" w:hAnsi="David"/>
          <w:rtl/>
        </w:rPr>
      </w:pPr>
      <w:r>
        <w:rPr>
          <w:rFonts w:ascii="David" w:eastAsia="Calibri" w:hAnsi="David" w:hint="cs"/>
          <w:rtl/>
        </w:rPr>
        <w:t xml:space="preserve">בשיחה עם שירות המבחן שלל הנאשם שלל סכסוכים עם אחרים, אולם התקשה להסביר את הסיבות והנסיבות שברקע החזקת כלי הנשק. מכאן, כי </w:t>
      </w:r>
      <w:r w:rsidRPr="00987161">
        <w:rPr>
          <w:rFonts w:ascii="David" w:eastAsia="Calibri" w:hAnsi="David"/>
          <w:rtl/>
        </w:rPr>
        <w:t>לעובדה</w:t>
      </w:r>
      <w:r>
        <w:rPr>
          <w:rFonts w:ascii="David" w:eastAsia="Calibri" w:hAnsi="David"/>
          <w:rtl/>
        </w:rPr>
        <w:t xml:space="preserve"> שלא נמצאה אינדיקציה להחזקת הנשק לצורך ועניין קונקרטיים או על רקע סכסוך קיים, כמו גם לעובדה כי לאור תפיסת המשטרה את הנשק לא נגרם נזק בפועל, אין כדי להפיג מהחומרה הרבה הכרוכה בפוטנציאל הנזק הנובע מעצם החזקת הנשק</w:t>
      </w:r>
      <w:r>
        <w:rPr>
          <w:rFonts w:ascii="David" w:eastAsia="Calibri" w:hAnsi="David" w:hint="cs"/>
          <w:rtl/>
        </w:rPr>
        <w:t xml:space="preserve"> עבור עצמו וסיועו לאחר להחזיק את הנשק. </w:t>
      </w:r>
    </w:p>
    <w:p w14:paraId="08F5387F" w14:textId="77777777" w:rsidR="000E24D6" w:rsidRDefault="000E24D6" w:rsidP="000E24D6">
      <w:pPr>
        <w:spacing w:after="160" w:line="360" w:lineRule="auto"/>
        <w:ind w:right="-284"/>
        <w:jc w:val="both"/>
        <w:rPr>
          <w:rFonts w:ascii="David" w:eastAsia="Calibri" w:hAnsi="David"/>
          <w:sz w:val="26"/>
          <w:szCs w:val="26"/>
          <w:u w:val="single"/>
          <w:rtl/>
        </w:rPr>
      </w:pPr>
      <w:r>
        <w:rPr>
          <w:rFonts w:ascii="David" w:eastAsia="Calibri" w:hAnsi="David"/>
          <w:b/>
          <w:bCs/>
          <w:sz w:val="26"/>
          <w:szCs w:val="26"/>
          <w:u w:val="single"/>
          <w:rtl/>
        </w:rPr>
        <w:t>ענישה נוהגת</w:t>
      </w:r>
      <w:r>
        <w:rPr>
          <w:rFonts w:ascii="David" w:eastAsia="Calibri" w:hAnsi="David"/>
          <w:sz w:val="26"/>
          <w:szCs w:val="26"/>
          <w:u w:val="single"/>
          <w:rtl/>
        </w:rPr>
        <w:t xml:space="preserve"> </w:t>
      </w:r>
    </w:p>
    <w:p w14:paraId="42852419"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 xml:space="preserve">כל אחד מהצדדים </w:t>
      </w:r>
      <w:r>
        <w:rPr>
          <w:rFonts w:ascii="David" w:eastAsia="Calibri" w:hAnsi="David" w:hint="cs"/>
          <w:rtl/>
        </w:rPr>
        <w:t xml:space="preserve">הפנה </w:t>
      </w:r>
      <w:r>
        <w:rPr>
          <w:rFonts w:ascii="David" w:eastAsia="Calibri" w:hAnsi="David"/>
          <w:rtl/>
        </w:rPr>
        <w:t xml:space="preserve">למקרים בפסיקה ובקש כי אלה ישמשו אמת מידה במקרה הנדון בפני. מטבע הדברים, </w:t>
      </w:r>
      <w:r>
        <w:rPr>
          <w:rFonts w:ascii="David" w:eastAsia="Calibri" w:hAnsi="David" w:hint="cs"/>
          <w:rtl/>
        </w:rPr>
        <w:t xml:space="preserve">בחלק מהמקרים אליהם הפנתה </w:t>
      </w:r>
      <w:r>
        <w:rPr>
          <w:rFonts w:ascii="David" w:eastAsia="Calibri" w:hAnsi="David"/>
          <w:rtl/>
        </w:rPr>
        <w:t xml:space="preserve">התביעה </w:t>
      </w:r>
      <w:r>
        <w:rPr>
          <w:rFonts w:ascii="David" w:eastAsia="Calibri" w:hAnsi="David" w:hint="cs"/>
          <w:rtl/>
        </w:rPr>
        <w:t xml:space="preserve">נמצא כי </w:t>
      </w:r>
      <w:r>
        <w:rPr>
          <w:rFonts w:ascii="David" w:eastAsia="Calibri" w:hAnsi="David"/>
          <w:rtl/>
        </w:rPr>
        <w:t xml:space="preserve">נסיבותיהם חמורות יותר ומתחם העונש שנקבע הוא גבוה יותר. </w:t>
      </w:r>
    </w:p>
    <w:p w14:paraId="08C6A342"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הסנגור מצדו</w:t>
      </w:r>
      <w:r>
        <w:rPr>
          <w:rFonts w:ascii="David" w:eastAsia="Calibri" w:hAnsi="David" w:hint="cs"/>
          <w:rtl/>
        </w:rPr>
        <w:t>,</w:t>
      </w:r>
      <w:r>
        <w:rPr>
          <w:rFonts w:ascii="David" w:eastAsia="Calibri" w:hAnsi="David"/>
          <w:rtl/>
        </w:rPr>
        <w:t xml:space="preserve"> </w:t>
      </w:r>
      <w:r w:rsidRPr="000C06F7">
        <w:rPr>
          <w:rFonts w:ascii="David" w:eastAsia="Calibri" w:hAnsi="David"/>
          <w:rtl/>
        </w:rPr>
        <w:t>הפנה למקרים בהם נקבעו מתחמי ענישה מקלים באופן חריג ביותר בעבירות נשק ואף בנסיבות חמורות יותר, וכבר יאמר</w:t>
      </w:r>
      <w:r w:rsidRPr="000C06F7">
        <w:rPr>
          <w:rFonts w:ascii="David" w:eastAsia="Calibri" w:hAnsi="David" w:hint="cs"/>
          <w:rtl/>
        </w:rPr>
        <w:t>,</w:t>
      </w:r>
      <w:r w:rsidRPr="000C06F7">
        <w:rPr>
          <w:rFonts w:ascii="David" w:eastAsia="Calibri" w:hAnsi="David"/>
          <w:rtl/>
        </w:rPr>
        <w:t xml:space="preserve"> כי פסיקה זו</w:t>
      </w:r>
      <w:r w:rsidRPr="000C06F7">
        <w:rPr>
          <w:rFonts w:ascii="David" w:eastAsia="Calibri" w:hAnsi="David" w:hint="cs"/>
          <w:rtl/>
        </w:rPr>
        <w:t xml:space="preserve"> </w:t>
      </w:r>
      <w:r w:rsidRPr="000C06F7">
        <w:rPr>
          <w:rFonts w:ascii="David" w:eastAsia="Calibri" w:hAnsi="David"/>
          <w:rtl/>
        </w:rPr>
        <w:t>אינה עולה בקנה אחד</w:t>
      </w:r>
      <w:r>
        <w:rPr>
          <w:rFonts w:ascii="David" w:eastAsia="Calibri" w:hAnsi="David"/>
          <w:rtl/>
        </w:rPr>
        <w:t xml:space="preserve"> עם הקו המרכזי בענישה הנוהגת כיום בעבירות נשק, כדברי בית המשפט המחוזי (</w:t>
      </w:r>
      <w:r>
        <w:rPr>
          <w:rFonts w:ascii="David" w:eastAsia="Calibri" w:hAnsi="David" w:hint="cs"/>
          <w:rtl/>
        </w:rPr>
        <w:t xml:space="preserve">סגן הנשיא, </w:t>
      </w:r>
      <w:r>
        <w:rPr>
          <w:rFonts w:ascii="David" w:eastAsia="Calibri" w:hAnsi="David"/>
          <w:rtl/>
        </w:rPr>
        <w:t>כב' השופט אליהו ביתן) ב</w:t>
      </w:r>
      <w:hyperlink r:id="rId72" w:history="1">
        <w:r w:rsidR="001B6A44" w:rsidRPr="001B6A44">
          <w:rPr>
            <w:rFonts w:ascii="David" w:eastAsia="Calibri" w:hAnsi="David"/>
            <w:color w:val="0000FF"/>
            <w:u w:val="single"/>
            <w:rtl/>
          </w:rPr>
          <w:t>עפ"ג 41707-03-22</w:t>
        </w:r>
      </w:hyperlink>
      <w:r>
        <w:rPr>
          <w:rFonts w:ascii="David" w:eastAsia="Calibri" w:hAnsi="David"/>
          <w:rtl/>
        </w:rPr>
        <w:t xml:space="preserve"> </w:t>
      </w:r>
      <w:r>
        <w:rPr>
          <w:rFonts w:ascii="David" w:eastAsia="Calibri" w:hAnsi="David"/>
          <w:b/>
          <w:bCs/>
          <w:rtl/>
        </w:rPr>
        <w:t xml:space="preserve">(מחוזי ב"ש) מדינת ישראל נ' אבו טראש </w:t>
      </w:r>
      <w:r>
        <w:rPr>
          <w:rFonts w:ascii="David" w:eastAsia="Calibri" w:hAnsi="David"/>
          <w:rtl/>
        </w:rPr>
        <w:t>(ניתן 23.06.22):</w:t>
      </w:r>
    </w:p>
    <w:p w14:paraId="4771DC17" w14:textId="77777777" w:rsidR="000E24D6" w:rsidRDefault="000E24D6" w:rsidP="000E24D6">
      <w:pPr>
        <w:spacing w:after="160" w:line="360" w:lineRule="auto"/>
        <w:ind w:left="1134" w:right="1134"/>
        <w:contextualSpacing/>
        <w:jc w:val="both"/>
        <w:rPr>
          <w:rFonts w:ascii="David" w:hAnsi="David"/>
          <w:noProof/>
        </w:rPr>
      </w:pPr>
      <w:r>
        <w:rPr>
          <w:rFonts w:ascii="David" w:hAnsi="David"/>
          <w:b/>
          <w:bCs/>
          <w:rtl/>
        </w:rPr>
        <w:t xml:space="preserve">"באופן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w:t>
      </w:r>
      <w:r>
        <w:rPr>
          <w:rFonts w:ascii="David" w:hAnsi="David"/>
          <w:u w:val="single"/>
          <w:rtl/>
        </w:rPr>
        <w:t>נקודת ההתייחסות צריכה להיות לקו המרכזי בענישה ולא לחריגים</w:t>
      </w:r>
      <w:r>
        <w:rPr>
          <w:rFonts w:ascii="David" w:hAnsi="David"/>
          <w:rtl/>
        </w:rPr>
        <w:t>". (ההדגשה אינה במקור)</w:t>
      </w:r>
    </w:p>
    <w:p w14:paraId="76153246" w14:textId="77777777" w:rsidR="000E24D6" w:rsidRDefault="000E24D6" w:rsidP="000E24D6">
      <w:pPr>
        <w:spacing w:after="160" w:line="360" w:lineRule="auto"/>
        <w:ind w:left="510" w:right="851" w:firstLine="142"/>
        <w:contextualSpacing/>
        <w:jc w:val="both"/>
        <w:rPr>
          <w:rFonts w:ascii="David" w:hAnsi="David"/>
          <w:rtl/>
        </w:rPr>
      </w:pPr>
    </w:p>
    <w:p w14:paraId="2636920E" w14:textId="77777777" w:rsidR="000E24D6" w:rsidRPr="003470DB" w:rsidRDefault="000E24D6" w:rsidP="000E24D6">
      <w:pPr>
        <w:spacing w:after="160" w:line="360" w:lineRule="auto"/>
        <w:ind w:right="-284"/>
        <w:jc w:val="both"/>
        <w:rPr>
          <w:rFonts w:ascii="David" w:eastAsia="Calibri" w:hAnsi="David"/>
          <w:b/>
          <w:bCs/>
          <w:rtl/>
        </w:rPr>
      </w:pPr>
      <w:r w:rsidRPr="003470DB">
        <w:rPr>
          <w:rFonts w:ascii="David" w:eastAsia="Calibri" w:hAnsi="David"/>
          <w:b/>
          <w:bCs/>
          <w:rtl/>
        </w:rPr>
        <w:t>להלן נביא מספר מקרים בפסיקה שנסיבותיהם קרובות לנסיבות המקרה לפניי, חלקם</w:t>
      </w:r>
      <w:r>
        <w:rPr>
          <w:rFonts w:ascii="David" w:eastAsia="Calibri" w:hAnsi="David"/>
          <w:b/>
          <w:bCs/>
          <w:rtl/>
        </w:rPr>
        <w:t xml:space="preserve"> קודם לתיקון החוק וחלקם לאחריו</w:t>
      </w:r>
      <w:r>
        <w:rPr>
          <w:rFonts w:ascii="David" w:eastAsia="Calibri" w:hAnsi="David" w:hint="cs"/>
          <w:b/>
          <w:bCs/>
          <w:rtl/>
        </w:rPr>
        <w:t>:</w:t>
      </w:r>
    </w:p>
    <w:p w14:paraId="168DE8D9" w14:textId="77777777" w:rsidR="000E24D6" w:rsidRDefault="000E24D6" w:rsidP="000E24D6">
      <w:pPr>
        <w:spacing w:after="160" w:line="360" w:lineRule="auto"/>
        <w:ind w:right="-284"/>
        <w:jc w:val="both"/>
        <w:rPr>
          <w:rFonts w:ascii="David" w:eastAsia="Calibri" w:hAnsi="David"/>
          <w:b/>
          <w:bCs/>
          <w:rtl/>
        </w:rPr>
      </w:pPr>
      <w:r w:rsidRPr="00F549F7">
        <w:rPr>
          <w:rFonts w:ascii="David" w:eastAsia="Calibri" w:hAnsi="David"/>
          <w:rtl/>
        </w:rPr>
        <w:t>ב</w:t>
      </w:r>
      <w:hyperlink r:id="rId73" w:history="1">
        <w:r w:rsidR="001B6A44" w:rsidRPr="001B6A44">
          <w:rPr>
            <w:rFonts w:ascii="David" w:eastAsia="Calibri" w:hAnsi="David"/>
            <w:color w:val="0000FF"/>
            <w:u w:val="single"/>
            <w:rtl/>
          </w:rPr>
          <w:t>רע"פ 5613/20</w:t>
        </w:r>
      </w:hyperlink>
      <w:r w:rsidRPr="00F549F7">
        <w:rPr>
          <w:rFonts w:ascii="David" w:eastAsia="Calibri" w:hAnsi="David"/>
          <w:rtl/>
        </w:rPr>
        <w:t xml:space="preserve"> </w:t>
      </w:r>
      <w:r w:rsidRPr="00F549F7">
        <w:rPr>
          <w:rFonts w:ascii="David" w:eastAsia="Calibri" w:hAnsi="David"/>
          <w:b/>
          <w:bCs/>
          <w:rtl/>
        </w:rPr>
        <w:t xml:space="preserve">אל הוזייל נ' מדינת ישראל </w:t>
      </w:r>
      <w:r w:rsidRPr="00F549F7">
        <w:rPr>
          <w:rFonts w:ascii="David" w:eastAsia="Calibri" w:hAnsi="David"/>
          <w:rtl/>
        </w:rPr>
        <w:t xml:space="preserve">[25.8.2020] נדרש בית המשפט העליון לבקשת רשות ערעור של המבקש, כבן 40 נעדר עבר פלילי רלוונטי, אשר עובר למעצרו קיים אורח חיים נורמטיבי ויצרני. המבקש הורשע בהחזקת אקדח ו-20 כדורים. המבקש נרתם להליך טיפולי ושירות המבחן המליץ על הטלת צו מבחן לצד מאסר בדרך של עבודות שירות. בית משפט שלום </w:t>
      </w:r>
      <w:r w:rsidRPr="00F549F7">
        <w:rPr>
          <w:rFonts w:ascii="David" w:eastAsia="Calibri" w:hAnsi="David"/>
          <w:b/>
          <w:bCs/>
          <w:rtl/>
        </w:rPr>
        <w:t>קבע מתחם העונש ההולם בין 11 ל 33 חודשי מאסר בפועל, ו</w:t>
      </w:r>
      <w:r w:rsidRPr="00F549F7">
        <w:rPr>
          <w:rFonts w:ascii="David" w:eastAsia="Calibri" w:hAnsi="David"/>
          <w:rtl/>
        </w:rPr>
        <w:t>השית על הנאשם 12 חודשים בפועל ומאסר על תנאי. המחוזי (</w:t>
      </w:r>
      <w:hyperlink r:id="rId74" w:history="1">
        <w:r w:rsidR="001B6A44" w:rsidRPr="001B6A44">
          <w:rPr>
            <w:rFonts w:ascii="David" w:eastAsia="Calibri" w:hAnsi="David"/>
            <w:color w:val="0000FF"/>
            <w:u w:val="single"/>
            <w:rtl/>
          </w:rPr>
          <w:t>עפ"ג 7552-07-20</w:t>
        </w:r>
      </w:hyperlink>
      <w:r w:rsidRPr="00F549F7">
        <w:rPr>
          <w:rFonts w:ascii="David" w:eastAsia="Calibri" w:hAnsi="David"/>
          <w:rtl/>
        </w:rPr>
        <w:t xml:space="preserve"> </w:t>
      </w:r>
      <w:r w:rsidRPr="00F549F7">
        <w:rPr>
          <w:rFonts w:ascii="David" w:eastAsia="Calibri" w:hAnsi="David"/>
          <w:b/>
          <w:bCs/>
          <w:rtl/>
        </w:rPr>
        <w:t xml:space="preserve">אלהוזייל נ' מדינת ישראל </w:t>
      </w:r>
      <w:r w:rsidRPr="00F549F7">
        <w:rPr>
          <w:rFonts w:ascii="David" w:eastAsia="Calibri" w:hAnsi="David"/>
          <w:rtl/>
        </w:rPr>
        <w:t>(22.7.2020)) דחה את הערעור, ובית המשפט העליון דחה את בר"ע וציין:</w:t>
      </w:r>
      <w:r w:rsidRPr="00F549F7">
        <w:rPr>
          <w:rFonts w:ascii="David" w:eastAsia="Calibri" w:hAnsi="David"/>
          <w:b/>
          <w:bCs/>
          <w:rtl/>
        </w:rPr>
        <w:t xml:space="preserve"> </w:t>
      </w:r>
    </w:p>
    <w:p w14:paraId="5D2A846D" w14:textId="77777777" w:rsidR="000E24D6" w:rsidRDefault="000E24D6" w:rsidP="000E24D6">
      <w:pPr>
        <w:spacing w:after="160" w:line="360" w:lineRule="auto"/>
        <w:ind w:right="-284"/>
        <w:jc w:val="both"/>
        <w:rPr>
          <w:rFonts w:ascii="David" w:eastAsia="Calibri" w:hAnsi="David"/>
          <w:rtl/>
        </w:rPr>
      </w:pPr>
      <w:r w:rsidRPr="00F549F7">
        <w:rPr>
          <w:rFonts w:ascii="David" w:eastAsia="Calibri" w:hAnsi="David"/>
          <w:b/>
          <w:bCs/>
          <w:rtl/>
        </w:rPr>
        <w:t xml:space="preserve">"עבירות </w:t>
      </w:r>
      <w:r>
        <w:rPr>
          <w:rFonts w:ascii="David" w:eastAsia="Calibri" w:hAnsi="David"/>
          <w:b/>
          <w:bCs/>
          <w:rtl/>
        </w:rPr>
        <w:t xml:space="preserve">בנשק הפכו בשנים האחרונות, למרבה הצער, לתופעה נפוצה בקרב אוכלוסיות שונות בחברה הישראלית, המביאה לעתים מזומנות לפגיעה בחפים מפשע ולאובדן חיי אדם. [...] לא מצאתי ממש בטענה בדבר סטיית בית משפט השלום מהמלצת שירות המבחן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 ...".   </w:t>
      </w:r>
    </w:p>
    <w:p w14:paraId="43274142" w14:textId="77777777" w:rsidR="000E24D6" w:rsidRDefault="000E24D6" w:rsidP="000E24D6">
      <w:pPr>
        <w:spacing w:before="240" w:after="160" w:line="360" w:lineRule="auto"/>
        <w:ind w:right="-284"/>
        <w:jc w:val="both"/>
        <w:rPr>
          <w:rFonts w:ascii="David" w:eastAsia="Calibri" w:hAnsi="David"/>
        </w:rPr>
      </w:pPr>
      <w:r>
        <w:rPr>
          <w:rFonts w:ascii="David" w:eastAsia="Calibri" w:hAnsi="David"/>
          <w:rtl/>
        </w:rPr>
        <w:t xml:space="preserve">בעפ"ג 1475-12-20 ( מחוזי ב"ש)  </w:t>
      </w:r>
      <w:r>
        <w:rPr>
          <w:rFonts w:ascii="David" w:eastAsia="Calibri" w:hAnsi="David"/>
          <w:b/>
          <w:bCs/>
          <w:rtl/>
        </w:rPr>
        <w:t xml:space="preserve">אבו עראר נ' מדינת ישראל </w:t>
      </w:r>
      <w:r>
        <w:rPr>
          <w:rFonts w:ascii="David" w:eastAsia="Calibri" w:hAnsi="David"/>
          <w:rtl/>
        </w:rPr>
        <w:t xml:space="preserve">(24.2.21), נדחה ערעורו של צעיר, נעדר עבר פלילי קודם אשר החזיק באקדח ובתחמושת שהסליק בביתו, על חומרת העונש, 12 חודשי מאסר בפועל. בהתייחסו למתחם שקבע בית משפט השלום, בין 11 ל 33 חודשי מאסר בפועל, ציין בית המשפט המחוזי: </w:t>
      </w:r>
      <w:r>
        <w:rPr>
          <w:rFonts w:ascii="David" w:eastAsia="Calibri" w:hAnsi="David"/>
          <w:b/>
          <w:bCs/>
          <w:rtl/>
        </w:rPr>
        <w:t>"לא מצאנו כי מתחם העונש ההולם חורג ממתחמי הענישה הנקבעים לעבירה זו בנסיבות הללו של ביצוע העבירה".</w:t>
      </w:r>
      <w:r>
        <w:rPr>
          <w:rFonts w:ascii="David" w:eastAsia="Calibri" w:hAnsi="David"/>
          <w:rtl/>
        </w:rPr>
        <w:t xml:space="preserve"> אשר לעונש בתוך המתחם ציין: </w:t>
      </w:r>
      <w:r>
        <w:rPr>
          <w:rFonts w:ascii="David" w:eastAsia="Calibri" w:hAnsi="David"/>
          <w:b/>
          <w:bCs/>
          <w:rtl/>
        </w:rPr>
        <w:t>"הענישה של 12 חודשי מאסר מגלמת גם את הנסיבות לקולא בדבר היעדר עבר פלילי וגילו הצעיר של המערער".</w:t>
      </w:r>
    </w:p>
    <w:p w14:paraId="53FF5DE3" w14:textId="77777777" w:rsidR="000E24D6" w:rsidRPr="00567CE8" w:rsidRDefault="000E24D6" w:rsidP="000E24D6">
      <w:pPr>
        <w:spacing w:before="240" w:after="160" w:line="360" w:lineRule="auto"/>
        <w:ind w:right="-284"/>
        <w:jc w:val="both"/>
        <w:rPr>
          <w:rFonts w:ascii="David" w:eastAsia="Calibri" w:hAnsi="David"/>
          <w:rtl/>
        </w:rPr>
      </w:pPr>
      <w:r w:rsidRPr="00567CE8">
        <w:rPr>
          <w:rFonts w:ascii="David" w:eastAsia="Calibri" w:hAnsi="David"/>
          <w:rtl/>
        </w:rPr>
        <w:t>ב</w:t>
      </w:r>
      <w:hyperlink r:id="rId75" w:history="1">
        <w:r w:rsidR="001B6A44" w:rsidRPr="001B6A44">
          <w:rPr>
            <w:rFonts w:ascii="David" w:eastAsia="Calibri" w:hAnsi="David"/>
            <w:color w:val="0000FF"/>
            <w:u w:val="single"/>
            <w:rtl/>
          </w:rPr>
          <w:t>עפ"ג 21260-10-19</w:t>
        </w:r>
      </w:hyperlink>
      <w:r w:rsidRPr="00567CE8">
        <w:rPr>
          <w:rFonts w:ascii="David" w:eastAsia="Calibri" w:hAnsi="David"/>
          <w:rtl/>
        </w:rPr>
        <w:t xml:space="preserve"> (מחוזי נצרת) </w:t>
      </w:r>
      <w:r w:rsidRPr="00567CE8">
        <w:rPr>
          <w:rFonts w:ascii="David" w:eastAsia="Calibri" w:hAnsi="David"/>
          <w:b/>
          <w:bCs/>
          <w:rtl/>
        </w:rPr>
        <w:t>מדינת ישראל נ' מזאריב</w:t>
      </w:r>
      <w:r w:rsidRPr="00567CE8">
        <w:rPr>
          <w:rFonts w:ascii="David" w:eastAsia="Calibri" w:hAnsi="David"/>
          <w:rtl/>
        </w:rPr>
        <w:t xml:space="preserve"> (24.11.19) התקבל ערעור המדינה על קלות העונש, 9 חודשי מאסר בפועל לריצוי בדרך של עבודות שירות, בעניינו של צעיר נעדר עבר פלילי, אשר שירות המבחן המליץ להשית עליו צו מבחן ושל"צ, והעמיד את עונשו על 12 חודשי  מאסר בפועל,</w:t>
      </w:r>
      <w:r w:rsidRPr="00567CE8">
        <w:rPr>
          <w:rFonts w:ascii="David" w:eastAsia="Calibri" w:hAnsi="David"/>
          <w:b/>
          <w:bCs/>
          <w:rtl/>
        </w:rPr>
        <w:t xml:space="preserve"> </w:t>
      </w:r>
      <w:r w:rsidRPr="00567CE8">
        <w:rPr>
          <w:rFonts w:ascii="David" w:eastAsia="Calibri" w:hAnsi="David"/>
          <w:rtl/>
        </w:rPr>
        <w:t>לאחר שאמר את הדברים הבאים</w:t>
      </w:r>
      <w:r w:rsidRPr="00567CE8">
        <w:rPr>
          <w:rFonts w:ascii="David" w:eastAsia="Calibri" w:hAnsi="David"/>
          <w:b/>
          <w:bCs/>
          <w:rtl/>
        </w:rPr>
        <w:t>: "...</w:t>
      </w:r>
      <w:r w:rsidRPr="00EB0045">
        <w:rPr>
          <w:rFonts w:ascii="David" w:eastAsia="Calibri" w:hAnsi="David"/>
          <w:rtl/>
        </w:rPr>
        <w:t>תופעת השימוש בנשק חם, גובה קורבנות כמעט מידי יום ביומו [...]</w:t>
      </w:r>
      <w:r w:rsidRPr="00EB0045">
        <w:rPr>
          <w:rFonts w:ascii="David" w:eastAsia="Calibri" w:hAnsi="David" w:hint="cs"/>
          <w:rtl/>
        </w:rPr>
        <w:t xml:space="preserve"> </w:t>
      </w:r>
      <w:r w:rsidRPr="00EB0045">
        <w:rPr>
          <w:rFonts w:ascii="David" w:eastAsia="Calibri" w:hAnsi="David"/>
          <w:rtl/>
        </w:rPr>
        <w:t>מחייבת העברת מסר תקיף וברור מצד בתי המשפט שלפיו כל מי שמעורב בהחזקה, נשיאה ... צפוי לעונשים כבדים מאחורי סורג ובריח [...]  אנו סבורים כי נכון היה לנקוט בקו המתחייב בשעה זו של העלאת רף הענישה [...]  החמרה זו צריכה לבוא לידי ביטוי בהחמרת מתחמי הענישה תוך מתן דגש לשיקולים הנוגעים לערכים החברתיים הנפגעים ו מידת הפגיעה בהם [...]".</w:t>
      </w:r>
      <w:r w:rsidRPr="00567CE8">
        <w:rPr>
          <w:rFonts w:ascii="David" w:eastAsia="Calibri" w:hAnsi="David"/>
          <w:b/>
          <w:bCs/>
          <w:rtl/>
        </w:rPr>
        <w:t xml:space="preserve">  </w:t>
      </w:r>
    </w:p>
    <w:p w14:paraId="06C1B04D" w14:textId="77777777" w:rsidR="000E24D6" w:rsidRPr="00530F70" w:rsidRDefault="000E24D6" w:rsidP="000E24D6">
      <w:pPr>
        <w:spacing w:before="240" w:after="160" w:line="360" w:lineRule="auto"/>
        <w:ind w:right="-284"/>
        <w:jc w:val="both"/>
        <w:rPr>
          <w:rFonts w:ascii="David" w:eastAsia="Calibri" w:hAnsi="David"/>
          <w:rtl/>
        </w:rPr>
      </w:pPr>
      <w:r w:rsidRPr="00567CE8">
        <w:rPr>
          <w:rFonts w:ascii="David" w:eastAsia="Calibri" w:hAnsi="David"/>
          <w:rtl/>
        </w:rPr>
        <w:t>ב</w:t>
      </w:r>
      <w:hyperlink r:id="rId76" w:history="1">
        <w:r w:rsidR="001B6A44" w:rsidRPr="001B6A44">
          <w:rPr>
            <w:rFonts w:ascii="David" w:eastAsia="Calibri" w:hAnsi="David"/>
            <w:color w:val="0000FF"/>
            <w:u w:val="single"/>
            <w:rtl/>
          </w:rPr>
          <w:t>עפ"ג 19687-06-18</w:t>
        </w:r>
      </w:hyperlink>
      <w:r w:rsidRPr="00567CE8">
        <w:rPr>
          <w:rFonts w:ascii="David" w:eastAsia="Calibri" w:hAnsi="David"/>
          <w:rtl/>
        </w:rPr>
        <w:t xml:space="preserve"> ( מחוזי </w:t>
      </w:r>
      <w:r>
        <w:rPr>
          <w:rFonts w:ascii="David" w:eastAsia="Calibri" w:hAnsi="David"/>
          <w:rtl/>
        </w:rPr>
        <w:t xml:space="preserve">ב"ש) </w:t>
      </w:r>
      <w:r>
        <w:rPr>
          <w:rFonts w:ascii="David" w:eastAsia="Calibri" w:hAnsi="David"/>
          <w:b/>
          <w:bCs/>
          <w:rtl/>
        </w:rPr>
        <w:t xml:space="preserve">אבו עאבד נ' מדינת ישראל </w:t>
      </w:r>
      <w:r>
        <w:rPr>
          <w:rFonts w:ascii="David" w:eastAsia="Calibri" w:hAnsi="David"/>
          <w:rtl/>
        </w:rPr>
        <w:t>(14.11.18) נדחה ערעור על חומרת העונש, 11 חודשי מאסר בפועל שהושתו על המערער, נעדר עבר פלילי שבעניינו המליץ שירות המבחן על מאסר בעבודות שירות. המערער  החזיק אקדח ותחמושת בעליית הגג בביתו. מתחם העונש ההולם נקבע בין 10 חודשי מאסר בפועל ל 24 חודשי מאסר בפועל. בדחותו את הערעור, בית המשפט ציין: "</w:t>
      </w:r>
      <w:r>
        <w:rPr>
          <w:rFonts w:ascii="David" w:eastAsia="Calibri" w:hAnsi="David"/>
          <w:b/>
          <w:bCs/>
          <w:rtl/>
        </w:rPr>
        <w:t>...</w:t>
      </w:r>
      <w:r w:rsidRPr="00EB0045">
        <w:rPr>
          <w:rFonts w:ascii="David" w:eastAsia="Calibri" w:hAnsi="David"/>
          <w:rtl/>
        </w:rPr>
        <w:t xml:space="preserve">נוכח הממדים המדאיגים של תופעת החזקת הנשק הבלתי חוקית ולאור הסכנות הנשקפות מתופעה זו והקלות היחסית הרבה שניתן לבצע עבירות אלה, יש מקום להחמיר בענישה שניתנה עד כה בגין עבירות אלה [...] </w:t>
      </w:r>
      <w:r w:rsidRPr="00530F70">
        <w:rPr>
          <w:rFonts w:ascii="David" w:eastAsia="Calibri" w:hAnsi="David"/>
          <w:rtl/>
        </w:rPr>
        <w:t>הצורך בהחמרה בענישה בעבירות אלה, נכון גם במקרה שבפנינו, חרף נסיבותיו האישיות של המערער, כפי שאלו קיבלו ביטוי בתסקירים, חרף גילו הצעיר, חרף העדר הרשעות קודמות, ואף חרף המלצת שירות המבחן...".</w:t>
      </w:r>
    </w:p>
    <w:p w14:paraId="4F951D7D" w14:textId="77777777" w:rsidR="000E24D6" w:rsidRPr="00EB0045" w:rsidRDefault="000E24D6" w:rsidP="000E24D6">
      <w:pPr>
        <w:spacing w:after="160" w:line="360" w:lineRule="auto"/>
        <w:ind w:right="-284"/>
        <w:jc w:val="both"/>
        <w:rPr>
          <w:rFonts w:ascii="David" w:eastAsia="Calibri" w:hAnsi="David"/>
          <w:b/>
          <w:bCs/>
        </w:rPr>
      </w:pPr>
      <w:r>
        <w:rPr>
          <w:rFonts w:ascii="David" w:eastAsia="Calibri" w:hAnsi="David" w:hint="cs"/>
          <w:b/>
          <w:bCs/>
          <w:rtl/>
        </w:rPr>
        <w:t>מ</w:t>
      </w:r>
      <w:r w:rsidRPr="00EB0045">
        <w:rPr>
          <w:rFonts w:ascii="David" w:eastAsia="Calibri" w:hAnsi="David"/>
          <w:b/>
          <w:bCs/>
          <w:rtl/>
        </w:rPr>
        <w:t>פסקי דין מהשנים האחרונות</w:t>
      </w:r>
      <w:r w:rsidRPr="00EB0045">
        <w:rPr>
          <w:rFonts w:ascii="David" w:eastAsia="Calibri" w:hAnsi="David" w:hint="cs"/>
          <w:b/>
          <w:bCs/>
          <w:rtl/>
        </w:rPr>
        <w:t xml:space="preserve"> </w:t>
      </w:r>
      <w:r>
        <w:rPr>
          <w:rFonts w:ascii="David" w:eastAsia="Calibri" w:hAnsi="David" w:hint="cs"/>
          <w:b/>
          <w:bCs/>
          <w:rtl/>
        </w:rPr>
        <w:t xml:space="preserve">נלמד </w:t>
      </w:r>
      <w:r w:rsidRPr="00EB0045">
        <w:rPr>
          <w:rFonts w:ascii="David" w:eastAsia="Calibri" w:hAnsi="David" w:hint="cs"/>
          <w:b/>
          <w:bCs/>
          <w:rtl/>
        </w:rPr>
        <w:t xml:space="preserve">על מגמת החמרה </w:t>
      </w:r>
      <w:r>
        <w:rPr>
          <w:rFonts w:ascii="David" w:eastAsia="Calibri" w:hAnsi="David"/>
          <w:b/>
          <w:bCs/>
          <w:rtl/>
        </w:rPr>
        <w:t>במתחמי הע</w:t>
      </w:r>
      <w:r>
        <w:rPr>
          <w:rFonts w:ascii="David" w:eastAsia="Calibri" w:hAnsi="David" w:hint="cs"/>
          <w:b/>
          <w:bCs/>
          <w:rtl/>
        </w:rPr>
        <w:t>נישה והעונש אשר מתכתבים</w:t>
      </w:r>
      <w:r w:rsidRPr="00EB0045">
        <w:rPr>
          <w:rFonts w:ascii="David" w:eastAsia="Calibri" w:hAnsi="David"/>
          <w:b/>
          <w:bCs/>
          <w:rtl/>
        </w:rPr>
        <w:t xml:space="preserve"> עם תיקון החוק</w:t>
      </w:r>
      <w:r>
        <w:rPr>
          <w:rFonts w:ascii="David" w:eastAsia="Calibri" w:hAnsi="David" w:hint="cs"/>
          <w:b/>
          <w:bCs/>
          <w:rtl/>
        </w:rPr>
        <w:t xml:space="preserve"> כאמור</w:t>
      </w:r>
      <w:r w:rsidRPr="00EB0045">
        <w:rPr>
          <w:rFonts w:ascii="David" w:eastAsia="Calibri" w:hAnsi="David"/>
          <w:b/>
          <w:bCs/>
          <w:rtl/>
        </w:rPr>
        <w:t xml:space="preserve">. כך למשל:   </w:t>
      </w:r>
    </w:p>
    <w:p w14:paraId="269921FF"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ב</w:t>
      </w:r>
      <w:hyperlink r:id="rId77" w:history="1">
        <w:r w:rsidR="001B6A44" w:rsidRPr="001B6A44">
          <w:rPr>
            <w:rFonts w:ascii="David" w:eastAsia="Calibri" w:hAnsi="David"/>
            <w:color w:val="0000FF"/>
            <w:u w:val="single"/>
            <w:rtl/>
          </w:rPr>
          <w:t>ת"פ 18327-09-22</w:t>
        </w:r>
      </w:hyperlink>
      <w:r>
        <w:rPr>
          <w:rFonts w:ascii="David" w:eastAsia="Calibri" w:hAnsi="David"/>
          <w:rtl/>
        </w:rPr>
        <w:t xml:space="preserve"> </w:t>
      </w:r>
      <w:r>
        <w:rPr>
          <w:rFonts w:ascii="David" w:eastAsia="Calibri" w:hAnsi="David"/>
          <w:b/>
          <w:bCs/>
          <w:rtl/>
        </w:rPr>
        <w:t xml:space="preserve"> (</w:t>
      </w:r>
      <w:r>
        <w:rPr>
          <w:rFonts w:ascii="David" w:eastAsia="Calibri" w:hAnsi="David"/>
          <w:rtl/>
        </w:rPr>
        <w:t>שלום ב"ש)</w:t>
      </w:r>
      <w:r>
        <w:rPr>
          <w:rFonts w:ascii="David" w:eastAsia="Calibri" w:hAnsi="David"/>
          <w:b/>
          <w:bCs/>
          <w:rtl/>
        </w:rPr>
        <w:t>מדינת ישראל נ' מרציאנו</w:t>
      </w:r>
      <w:r>
        <w:rPr>
          <w:rFonts w:ascii="David" w:eastAsia="Calibri" w:hAnsi="David"/>
          <w:rtl/>
        </w:rPr>
        <w:t xml:space="preserve"> (24.5.23), (נדון בפני) הנאשם הורשע  בהחזקת </w:t>
      </w:r>
      <w:r>
        <w:rPr>
          <w:rFonts w:ascii="David" w:eastAsia="Calibri" w:hAnsi="David"/>
          <w:u w:val="single"/>
          <w:rtl/>
        </w:rPr>
        <w:t>אקדח חצי אוטומטי ותחמושת</w:t>
      </w:r>
      <w:r>
        <w:rPr>
          <w:rFonts w:ascii="David" w:eastAsia="Calibri" w:hAnsi="David"/>
          <w:rtl/>
        </w:rPr>
        <w:t xml:space="preserve"> (מחסנית שכללה 15 כדורי </w:t>
      </w:r>
      <w:r>
        <w:rPr>
          <w:rFonts w:ascii="David" w:eastAsia="Calibri" w:hAnsi="David"/>
        </w:rPr>
        <w:t>M9</w:t>
      </w:r>
      <w:r>
        <w:rPr>
          <w:rFonts w:ascii="David" w:eastAsia="Calibri" w:hAnsi="David"/>
          <w:rtl/>
        </w:rPr>
        <w:t xml:space="preserve"> ) בחדר בבית אמו. </w:t>
      </w:r>
      <w:r>
        <w:rPr>
          <w:rFonts w:ascii="David" w:eastAsia="Calibri" w:hAnsi="David"/>
          <w:b/>
          <w:bCs/>
          <w:rtl/>
        </w:rPr>
        <w:t xml:space="preserve">מתחם העונש נקבע בין 14 ל- 36 חודשי מאסר בפועל, </w:t>
      </w:r>
      <w:r>
        <w:rPr>
          <w:rFonts w:ascii="David" w:eastAsia="Calibri" w:hAnsi="David"/>
          <w:rtl/>
        </w:rPr>
        <w:t>ועונשו של הנאשם, צעיר נעדר עבר פלילי שנסיבותיו האישיות מורכבות כנלמד מתסקיר שהוגש בעניינו, נגזר ל- 14 חודשי מאסר בפועל.</w:t>
      </w:r>
    </w:p>
    <w:p w14:paraId="5BBA0874" w14:textId="77777777" w:rsidR="000E24D6" w:rsidRPr="000E24D6" w:rsidRDefault="000E24D6" w:rsidP="000E24D6">
      <w:pPr>
        <w:spacing w:after="160" w:line="360" w:lineRule="auto"/>
        <w:ind w:right="-284"/>
        <w:jc w:val="both"/>
        <w:rPr>
          <w:rFonts w:ascii="David" w:eastAsia="Calibri" w:hAnsi="David"/>
          <w:color w:val="000000"/>
        </w:rPr>
      </w:pPr>
      <w:r>
        <w:rPr>
          <w:rFonts w:ascii="David" w:eastAsia="Calibri" w:hAnsi="David"/>
          <w:rtl/>
        </w:rPr>
        <w:t>ב</w:t>
      </w:r>
      <w:hyperlink r:id="rId78" w:history="1">
        <w:r w:rsidR="001B6A44" w:rsidRPr="001B6A44">
          <w:rPr>
            <w:rFonts w:ascii="David" w:eastAsia="Calibri" w:hAnsi="David"/>
            <w:color w:val="0000FF"/>
            <w:u w:val="single"/>
            <w:rtl/>
          </w:rPr>
          <w:t>ת"פ (שלום ב"ש)  13471-01-22</w:t>
        </w:r>
      </w:hyperlink>
      <w:r>
        <w:rPr>
          <w:rFonts w:ascii="David" w:eastAsia="Calibri" w:hAnsi="David"/>
          <w:rtl/>
        </w:rPr>
        <w:t xml:space="preserve"> </w:t>
      </w:r>
      <w:r>
        <w:rPr>
          <w:rFonts w:ascii="David" w:eastAsia="Calibri" w:hAnsi="David"/>
          <w:b/>
          <w:bCs/>
          <w:rtl/>
        </w:rPr>
        <w:t>מדינת ישראל נ' אל סייד</w:t>
      </w:r>
      <w:r>
        <w:rPr>
          <w:rFonts w:ascii="David" w:eastAsia="Calibri" w:hAnsi="David"/>
          <w:rtl/>
        </w:rPr>
        <w:t xml:space="preserve"> (29.09.22) </w:t>
      </w:r>
      <w:r>
        <w:rPr>
          <w:rFonts w:ascii="David" w:eastAsia="Calibri" w:hAnsi="David" w:hint="cs"/>
          <w:rtl/>
        </w:rPr>
        <w:t xml:space="preserve">( נדון בפני) </w:t>
      </w:r>
      <w:r>
        <w:rPr>
          <w:rFonts w:ascii="David" w:eastAsia="Calibri" w:hAnsi="David"/>
          <w:rtl/>
        </w:rPr>
        <w:t xml:space="preserve">הנאשם הורשע בהחזקת </w:t>
      </w:r>
      <w:r>
        <w:rPr>
          <w:rFonts w:ascii="David" w:eastAsia="Calibri" w:hAnsi="David"/>
          <w:u w:val="single"/>
          <w:rtl/>
        </w:rPr>
        <w:t>אקדח חצי אוטומטי ומחסנית בתוכה 9 כדורי 9 מ</w:t>
      </w:r>
      <w:r>
        <w:rPr>
          <w:rFonts w:ascii="David" w:eastAsia="Calibri" w:hAnsi="David"/>
          <w:rtl/>
        </w:rPr>
        <w:t xml:space="preserve">"מ. </w:t>
      </w:r>
      <w:r>
        <w:rPr>
          <w:rFonts w:ascii="David" w:eastAsia="Calibri" w:hAnsi="David"/>
          <w:b/>
          <w:bCs/>
          <w:rtl/>
        </w:rPr>
        <w:t>מתחם העונש נקבע בין 13 -36 חודשי מאסר בפועל</w:t>
      </w:r>
      <w:r>
        <w:rPr>
          <w:rFonts w:ascii="David" w:eastAsia="Calibri" w:hAnsi="David"/>
          <w:rtl/>
        </w:rPr>
        <w:t xml:space="preserve">. עונשו של הנאשם, נעדר עבר פלילי שבעת ביצוע העבירה גילו היה 18 ו-4 חודשים, נגזר ל- 14 חודשי מאסר בפועל, חרף תסקיר שהמליץ שלא להכביד בענישה לאור גילו הצעיר והחשש מהעמקת דפוסים עברייניים בשהייה ממושכת </w:t>
      </w:r>
      <w:r w:rsidRPr="000E24D6">
        <w:rPr>
          <w:rFonts w:ascii="David" w:eastAsia="Calibri" w:hAnsi="David"/>
          <w:color w:val="000000"/>
          <w:rtl/>
        </w:rPr>
        <w:t xml:space="preserve">מאחורי סורג ובריח. </w:t>
      </w:r>
    </w:p>
    <w:p w14:paraId="0AE33BA9" w14:textId="77777777" w:rsidR="000E24D6" w:rsidRDefault="000E24D6" w:rsidP="000E24D6">
      <w:pPr>
        <w:spacing w:after="160" w:line="360" w:lineRule="auto"/>
        <w:ind w:right="-284"/>
        <w:jc w:val="both"/>
        <w:rPr>
          <w:rFonts w:ascii="David" w:eastAsia="Calibri" w:hAnsi="David"/>
          <w:rtl/>
        </w:rPr>
      </w:pPr>
      <w:r w:rsidRPr="000E24D6">
        <w:rPr>
          <w:rFonts w:ascii="David" w:eastAsia="Calibri" w:hAnsi="David"/>
          <w:color w:val="000000"/>
          <w:rtl/>
        </w:rPr>
        <w:t>ב</w:t>
      </w:r>
      <w:hyperlink r:id="rId79" w:history="1">
        <w:r w:rsidR="001B6A44" w:rsidRPr="001B6A44">
          <w:rPr>
            <w:rFonts w:ascii="David" w:eastAsia="Calibri" w:hAnsi="David"/>
            <w:color w:val="0000FF"/>
            <w:u w:val="single"/>
            <w:rtl/>
          </w:rPr>
          <w:t>עפ"ג ( מחוזי ב"ש) 41707-03-22</w:t>
        </w:r>
      </w:hyperlink>
      <w:r w:rsidRPr="000E24D6">
        <w:rPr>
          <w:rFonts w:ascii="David" w:eastAsia="Calibri" w:hAnsi="David"/>
          <w:color w:val="000000"/>
          <w:rtl/>
        </w:rPr>
        <w:t xml:space="preserve"> </w:t>
      </w:r>
      <w:r w:rsidRPr="000E24D6">
        <w:rPr>
          <w:rFonts w:ascii="David" w:eastAsia="Calibri" w:hAnsi="David" w:hint="cs"/>
          <w:b/>
          <w:bCs/>
          <w:color w:val="000000"/>
          <w:rtl/>
        </w:rPr>
        <w:t xml:space="preserve">אבו טראש </w:t>
      </w:r>
      <w:r>
        <w:rPr>
          <w:rFonts w:ascii="David" w:eastAsia="Calibri" w:hAnsi="David"/>
          <w:b/>
          <w:bCs/>
          <w:rtl/>
        </w:rPr>
        <w:t xml:space="preserve">הנזכר לעיל, </w:t>
      </w:r>
      <w:r>
        <w:rPr>
          <w:rFonts w:ascii="David" w:eastAsia="Calibri" w:hAnsi="David"/>
          <w:rtl/>
        </w:rPr>
        <w:t xml:space="preserve">(אליו הפנתה המאשימה בתימוכין למתחם העונש לו עתרה בהחזקת כלי נשק אחד) התקבל ערעור המדינה ועונשו של הנאשם , בן 21 נעדר עבר פלילי, הוחמר. המדובר במי שהורשע </w:t>
      </w:r>
      <w:r>
        <w:rPr>
          <w:rFonts w:ascii="David" w:eastAsia="Calibri" w:hAnsi="David"/>
          <w:u w:val="single"/>
          <w:rtl/>
        </w:rPr>
        <w:t>בהחזקת אקדח חצי אוטומטי מסוג ברטה, ללא פין הדק ועצר</w:t>
      </w:r>
      <w:r>
        <w:rPr>
          <w:rFonts w:ascii="David" w:eastAsia="Calibri" w:hAnsi="David"/>
          <w:rtl/>
        </w:rPr>
        <w:t xml:space="preserve">, בתוך שיח בחורשה ליד ביתו. </w:t>
      </w:r>
      <w:r>
        <w:rPr>
          <w:rFonts w:ascii="David" w:eastAsia="Calibri" w:hAnsi="David"/>
          <w:b/>
          <w:bCs/>
          <w:rtl/>
        </w:rPr>
        <w:t>חלף 5 חודשי מאסר לריצוי בעבודות שירות שגזר עליו בית המשפט השלום, העמיד בית המשפט המחוזי את עונשו ל 10 חודשי מאסר</w:t>
      </w:r>
      <w:r>
        <w:rPr>
          <w:rFonts w:ascii="David" w:eastAsia="Calibri" w:hAnsi="David"/>
          <w:rtl/>
        </w:rPr>
        <w:t xml:space="preserve"> </w:t>
      </w:r>
      <w:r>
        <w:rPr>
          <w:rFonts w:ascii="David" w:eastAsia="Calibri" w:hAnsi="David"/>
          <w:b/>
          <w:bCs/>
          <w:rtl/>
        </w:rPr>
        <w:t>בפועל</w:t>
      </w:r>
      <w:r>
        <w:rPr>
          <w:rFonts w:ascii="David" w:eastAsia="Calibri" w:hAnsi="David"/>
          <w:rtl/>
        </w:rPr>
        <w:t xml:space="preserve">, זאת בהתחשב - בהלכה לפיה ערכאת הערעור אינה ממצה את הדין, בגילו הצעיר של הנאשם נעדר עבר פלילי קודם, בהמלצה חיובית של שירות המבחן לעבודות שירות לאור הליך טיפולי מסוים, הודאה, ולרבות משקל שניתן לעובדה שהאקדח לא היה תקין. בדבריו, עמד בית המשפט המחוזי על הסכנות הכרוכות בהחזקת נשק שלא כדין, תוך קריאה ברורה לערכאות הדיוניות לממש את מדיניות ההחמרה בענישה מכבידה. </w:t>
      </w:r>
    </w:p>
    <w:p w14:paraId="4A747CFD"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בעניינו של אבו טראש נוסיף, כי שלא כטענת המאשימה, בית המשפט המחוזי לא קבע כי הרף התחתון של מתחם העונש בעבירה של החזקת נשק ( אקדח אחד ותחמושת לצדו) הינו 18 חודשים, אלא, הפנה בין היתר,</w:t>
      </w:r>
      <w:r>
        <w:rPr>
          <w:rtl/>
        </w:rPr>
        <w:t xml:space="preserve"> </w:t>
      </w:r>
      <w:r w:rsidRPr="000E24D6">
        <w:rPr>
          <w:color w:val="000000"/>
          <w:rtl/>
        </w:rPr>
        <w:t>ל</w:t>
      </w:r>
      <w:hyperlink r:id="rId80" w:history="1">
        <w:r w:rsidR="001B6A44" w:rsidRPr="001B6A44">
          <w:rPr>
            <w:rFonts w:ascii="David" w:eastAsia="Calibri" w:hAnsi="David"/>
            <w:color w:val="0000FF"/>
            <w:u w:val="single"/>
            <w:rtl/>
          </w:rPr>
          <w:t>ע"פ 2141-21</w:t>
        </w:r>
      </w:hyperlink>
      <w:r w:rsidRPr="000E24D6">
        <w:rPr>
          <w:rFonts w:ascii="David" w:eastAsia="Calibri" w:hAnsi="David"/>
          <w:color w:val="000000"/>
          <w:rtl/>
        </w:rPr>
        <w:t xml:space="preserve"> </w:t>
      </w:r>
      <w:r w:rsidRPr="000E24D6">
        <w:rPr>
          <w:rFonts w:ascii="David" w:eastAsia="Calibri" w:hAnsi="David" w:hint="cs"/>
          <w:b/>
          <w:bCs/>
          <w:color w:val="000000"/>
          <w:rtl/>
        </w:rPr>
        <w:t xml:space="preserve">איתן </w:t>
      </w:r>
      <w:r>
        <w:rPr>
          <w:rFonts w:ascii="David" w:eastAsia="Calibri" w:hAnsi="David"/>
          <w:b/>
          <w:bCs/>
          <w:rtl/>
        </w:rPr>
        <w:t>חניני</w:t>
      </w:r>
      <w:r>
        <w:rPr>
          <w:rFonts w:ascii="David" w:eastAsia="Calibri" w:hAnsi="David"/>
          <w:rtl/>
        </w:rPr>
        <w:t xml:space="preserve"> נ' </w:t>
      </w:r>
      <w:r>
        <w:rPr>
          <w:rFonts w:ascii="David" w:eastAsia="Calibri" w:hAnsi="David"/>
          <w:b/>
          <w:bCs/>
          <w:rtl/>
        </w:rPr>
        <w:t>מדינת ישראל</w:t>
      </w:r>
      <w:r>
        <w:rPr>
          <w:rFonts w:ascii="David" w:eastAsia="Calibri" w:hAnsi="David"/>
          <w:rtl/>
        </w:rPr>
        <w:t xml:space="preserve"> (27/05/21) </w:t>
      </w:r>
      <w:r w:rsidRPr="000E24D6">
        <w:rPr>
          <w:rFonts w:ascii="David" w:eastAsia="Calibri" w:hAnsi="David"/>
          <w:color w:val="000000"/>
          <w:rtl/>
        </w:rPr>
        <w:t>ול</w:t>
      </w:r>
      <w:hyperlink r:id="rId81" w:history="1">
        <w:r w:rsidR="001B6A44" w:rsidRPr="001B6A44">
          <w:rPr>
            <w:rFonts w:ascii="David" w:eastAsia="Calibri" w:hAnsi="David"/>
            <w:color w:val="0000FF"/>
            <w:u w:val="single"/>
            <w:rtl/>
          </w:rPr>
          <w:t>ע"פ 2892/13</w:t>
        </w:r>
      </w:hyperlink>
      <w:r w:rsidRPr="000E24D6">
        <w:rPr>
          <w:rFonts w:ascii="David" w:eastAsia="Calibri" w:hAnsi="David"/>
          <w:color w:val="000000"/>
          <w:rtl/>
        </w:rPr>
        <w:t xml:space="preserve"> </w:t>
      </w:r>
      <w:r w:rsidRPr="000E24D6">
        <w:rPr>
          <w:rFonts w:ascii="David" w:eastAsia="Calibri" w:hAnsi="David"/>
          <w:b/>
          <w:bCs/>
          <w:color w:val="000000"/>
          <w:rtl/>
        </w:rPr>
        <w:t xml:space="preserve">מוחמד </w:t>
      </w:r>
      <w:r>
        <w:rPr>
          <w:rFonts w:ascii="David" w:eastAsia="Calibri" w:hAnsi="David"/>
          <w:b/>
          <w:bCs/>
          <w:rtl/>
        </w:rPr>
        <w:t>עודתאללה</w:t>
      </w:r>
      <w:r>
        <w:rPr>
          <w:rFonts w:ascii="David" w:eastAsia="Calibri" w:hAnsi="David"/>
          <w:rtl/>
        </w:rPr>
        <w:t xml:space="preserve"> נ' </w:t>
      </w:r>
      <w:r>
        <w:rPr>
          <w:rFonts w:ascii="David" w:eastAsia="Calibri" w:hAnsi="David"/>
          <w:b/>
          <w:bCs/>
          <w:rtl/>
        </w:rPr>
        <w:t>מדינת ישראל</w:t>
      </w:r>
      <w:r>
        <w:rPr>
          <w:rFonts w:ascii="David" w:eastAsia="Calibri" w:hAnsi="David"/>
          <w:rtl/>
        </w:rPr>
        <w:t xml:space="preserve"> (29/09/13), מקרים בהם דובר בהחזקת אקדח ( בניהם אקדח אוויר שהוסב), אולם בנסיבות בהן נאשם אחד נשא על גופו את הנשק ונאשם שני הוביל את הנשק ברכבו, נסיבות מחמירות יותר המצדיקות החמרה של המתחם והעונש מאלה הנוהגים בהחזקת אקדח כבמקרה הנדון. </w:t>
      </w:r>
    </w:p>
    <w:p w14:paraId="71EBD165" w14:textId="77777777" w:rsidR="000E24D6" w:rsidRPr="00333542" w:rsidRDefault="000E24D6" w:rsidP="000E24D6">
      <w:pPr>
        <w:spacing w:after="160" w:line="360" w:lineRule="auto"/>
        <w:jc w:val="both"/>
        <w:rPr>
          <w:rFonts w:ascii="David" w:eastAsia="Calibri" w:hAnsi="David"/>
          <w:b/>
          <w:bCs/>
          <w:rtl/>
        </w:rPr>
      </w:pPr>
      <w:r w:rsidRPr="00EB0045">
        <w:rPr>
          <w:rFonts w:ascii="David" w:eastAsia="Calibri" w:hAnsi="David"/>
          <w:b/>
          <w:bCs/>
          <w:rtl/>
        </w:rPr>
        <w:t>סיכום הדברים האמורים, בהתחשב בחומרת  עבירות  הנשק ובנסיבות ביצוען, מידת אשמו</w:t>
      </w:r>
      <w:r w:rsidRPr="00EB0045">
        <w:rPr>
          <w:rFonts w:ascii="David" w:eastAsia="Calibri" w:hAnsi="David" w:hint="cs"/>
          <w:b/>
          <w:bCs/>
          <w:rtl/>
        </w:rPr>
        <w:t xml:space="preserve"> </w:t>
      </w:r>
      <w:r>
        <w:rPr>
          <w:rFonts w:ascii="David" w:eastAsia="Calibri" w:hAnsi="David" w:hint="cs"/>
          <w:b/>
          <w:bCs/>
          <w:rtl/>
        </w:rPr>
        <w:t xml:space="preserve">של הנאשם בכל </w:t>
      </w:r>
      <w:r w:rsidRPr="00EB0045">
        <w:rPr>
          <w:rFonts w:ascii="David" w:eastAsia="Calibri" w:hAnsi="David" w:hint="cs"/>
          <w:b/>
          <w:bCs/>
          <w:rtl/>
        </w:rPr>
        <w:t xml:space="preserve">אחת מהעבירות, </w:t>
      </w:r>
      <w:r w:rsidRPr="00EB0045">
        <w:rPr>
          <w:rFonts w:ascii="David" w:eastAsia="Calibri" w:hAnsi="David"/>
          <w:b/>
          <w:bCs/>
          <w:rtl/>
        </w:rPr>
        <w:t xml:space="preserve"> הפגיעה בערכים המוגנים ומדיניות הענישה הנוהגת כיום, סבורני כי מתחם העונש ההולם למעשי הנאשם נכון כי ינוע בין </w:t>
      </w:r>
      <w:r w:rsidRPr="00EB0045">
        <w:rPr>
          <w:rFonts w:ascii="David" w:eastAsia="Calibri" w:hAnsi="David" w:hint="cs"/>
          <w:b/>
          <w:bCs/>
          <w:rtl/>
        </w:rPr>
        <w:t>23</w:t>
      </w:r>
      <w:r w:rsidRPr="00EB0045">
        <w:rPr>
          <w:rFonts w:ascii="David" w:eastAsia="Calibri" w:hAnsi="David"/>
          <w:b/>
          <w:bCs/>
          <w:rtl/>
        </w:rPr>
        <w:t xml:space="preserve"> ל - 46  חודשי מאסר בפועל</w:t>
      </w:r>
      <w:r w:rsidRPr="00EB0045">
        <w:rPr>
          <w:rFonts w:ascii="David" w:eastAsia="Calibri" w:hAnsi="David" w:hint="cs"/>
          <w:b/>
          <w:bCs/>
          <w:rtl/>
        </w:rPr>
        <w:t>.</w:t>
      </w:r>
    </w:p>
    <w:p w14:paraId="7ECD0793" w14:textId="77777777" w:rsidR="000E24D6" w:rsidRDefault="000E24D6" w:rsidP="000E24D6">
      <w:pPr>
        <w:spacing w:line="360" w:lineRule="auto"/>
        <w:ind w:right="-284"/>
        <w:jc w:val="both"/>
        <w:rPr>
          <w:rFonts w:ascii="David" w:hAnsi="David"/>
          <w:b/>
          <w:bCs/>
          <w:sz w:val="26"/>
          <w:szCs w:val="26"/>
          <w:u w:val="single"/>
          <w:rtl/>
        </w:rPr>
      </w:pPr>
    </w:p>
    <w:p w14:paraId="1AA88439" w14:textId="77777777" w:rsidR="000E24D6" w:rsidRDefault="000E24D6" w:rsidP="000E24D6">
      <w:pPr>
        <w:spacing w:line="360" w:lineRule="auto"/>
        <w:ind w:right="-284"/>
        <w:jc w:val="both"/>
        <w:rPr>
          <w:rFonts w:ascii="David" w:hAnsi="David"/>
          <w:b/>
          <w:bCs/>
          <w:sz w:val="26"/>
          <w:szCs w:val="26"/>
          <w:u w:val="single"/>
          <w:rtl/>
        </w:rPr>
      </w:pPr>
      <w:r>
        <w:rPr>
          <w:rFonts w:ascii="David" w:hAnsi="David"/>
          <w:b/>
          <w:bCs/>
          <w:sz w:val="26"/>
          <w:szCs w:val="26"/>
          <w:u w:val="single"/>
          <w:rtl/>
        </w:rPr>
        <w:t xml:space="preserve">עונשו של הנאשם </w:t>
      </w:r>
    </w:p>
    <w:p w14:paraId="4DE52EE3" w14:textId="77777777" w:rsidR="000E24D6" w:rsidRPr="00530F70" w:rsidRDefault="000E24D6" w:rsidP="000E24D6">
      <w:pPr>
        <w:spacing w:line="360" w:lineRule="auto"/>
        <w:ind w:right="-284"/>
        <w:jc w:val="both"/>
        <w:rPr>
          <w:rFonts w:ascii="David" w:hAnsi="David"/>
          <w:rtl/>
        </w:rPr>
      </w:pPr>
      <w:r w:rsidRPr="00E35A2F">
        <w:rPr>
          <w:rFonts w:ascii="David" w:hAnsi="David" w:hint="cs"/>
          <w:rtl/>
        </w:rPr>
        <w:t>11</w:t>
      </w:r>
      <w:r>
        <w:rPr>
          <w:rFonts w:ascii="David" w:hAnsi="David" w:hint="cs"/>
          <w:b/>
          <w:bCs/>
          <w:rtl/>
        </w:rPr>
        <w:t>.</w:t>
      </w:r>
      <w:r>
        <w:rPr>
          <w:rFonts w:ascii="David" w:hAnsi="David" w:hint="cs"/>
          <w:b/>
          <w:bCs/>
          <w:rtl/>
        </w:rPr>
        <w:tab/>
      </w:r>
      <w:r w:rsidRPr="00530F70">
        <w:rPr>
          <w:rFonts w:ascii="David" w:hAnsi="David" w:hint="cs"/>
          <w:rtl/>
        </w:rPr>
        <w:t xml:space="preserve">בעניינו של הנאשם לא נמצא שיקולי שיקום. על כן, העונש הכולל של הנאשם יקבע בגדרי המתחמים שנקבעו. </w:t>
      </w:r>
    </w:p>
    <w:p w14:paraId="6C448C6F" w14:textId="77777777" w:rsidR="000E24D6" w:rsidRDefault="000E24D6" w:rsidP="000E24D6">
      <w:pPr>
        <w:spacing w:line="360" w:lineRule="auto"/>
        <w:ind w:right="-284"/>
        <w:jc w:val="both"/>
        <w:rPr>
          <w:rFonts w:ascii="David" w:hAnsi="David"/>
          <w:rtl/>
        </w:rPr>
      </w:pPr>
      <w:r w:rsidRPr="00EE20AA">
        <w:rPr>
          <w:rFonts w:ascii="David" w:hAnsi="David" w:hint="cs"/>
          <w:rtl/>
        </w:rPr>
        <w:t xml:space="preserve">קודם האמור, באשר לבקשת הסנגור במסגרת הטיעונים לעונש בפני, להפנות את הנאשם לשירות המבחן לבחינת שילובו בקהילה טיפולית סגורה, אומר כי זו דינה להידחות בשתי ידיים. </w:t>
      </w:r>
    </w:p>
    <w:p w14:paraId="1CCC7397" w14:textId="77777777" w:rsidR="000E24D6" w:rsidRDefault="000E24D6" w:rsidP="000E24D6">
      <w:pPr>
        <w:spacing w:line="360" w:lineRule="auto"/>
        <w:ind w:right="-284"/>
        <w:jc w:val="both"/>
        <w:rPr>
          <w:rFonts w:ascii="David" w:hAnsi="David"/>
          <w:rtl/>
        </w:rPr>
      </w:pPr>
    </w:p>
    <w:p w14:paraId="6A7B25AB" w14:textId="77777777" w:rsidR="000E24D6" w:rsidRPr="00EE20AA" w:rsidRDefault="000E24D6" w:rsidP="000E24D6">
      <w:pPr>
        <w:spacing w:line="360" w:lineRule="auto"/>
        <w:ind w:right="-284"/>
        <w:jc w:val="both"/>
        <w:rPr>
          <w:rFonts w:ascii="David" w:hAnsi="David"/>
          <w:rtl/>
        </w:rPr>
      </w:pPr>
      <w:r>
        <w:rPr>
          <w:rFonts w:ascii="David" w:hAnsi="David" w:hint="cs"/>
          <w:rtl/>
        </w:rPr>
        <w:t>שאלת המשך בחינת שילובו של הנאשם בקהילה טיפולית, נדונה בהרחבה ולבסוף נדחתה ע"י בית המשפט, כב' השופט בן הרוש, הן במסגרת ההליך העיקרי ב</w:t>
      </w:r>
      <w:hyperlink r:id="rId82" w:history="1">
        <w:r w:rsidR="001B6A44" w:rsidRPr="001B6A44">
          <w:rPr>
            <w:rFonts w:ascii="David" w:hAnsi="David"/>
            <w:color w:val="0000FF"/>
            <w:u w:val="single"/>
            <w:rtl/>
          </w:rPr>
          <w:t>ת"פ 27417-07-23</w:t>
        </w:r>
      </w:hyperlink>
      <w:r>
        <w:rPr>
          <w:rFonts w:ascii="David" w:hAnsi="David" w:hint="cs"/>
          <w:rtl/>
        </w:rPr>
        <w:t xml:space="preserve">  ( </w:t>
      </w:r>
      <w:r w:rsidRPr="006C0923">
        <w:rPr>
          <w:rFonts w:ascii="David" w:hAnsi="David" w:hint="cs"/>
          <w:b/>
          <w:bCs/>
          <w:rtl/>
        </w:rPr>
        <w:t>להלן</w:t>
      </w:r>
      <w:r>
        <w:rPr>
          <w:rFonts w:ascii="David" w:hAnsi="David" w:hint="cs"/>
          <w:b/>
          <w:bCs/>
          <w:rtl/>
        </w:rPr>
        <w:t>:</w:t>
      </w:r>
      <w:r w:rsidRPr="006C0923">
        <w:rPr>
          <w:rFonts w:ascii="David" w:hAnsi="David" w:hint="cs"/>
          <w:b/>
          <w:bCs/>
          <w:rtl/>
        </w:rPr>
        <w:t xml:space="preserve"> ההליך העיקרי</w:t>
      </w:r>
      <w:r>
        <w:rPr>
          <w:rFonts w:ascii="David" w:hAnsi="David" w:hint="cs"/>
          <w:rtl/>
        </w:rPr>
        <w:t xml:space="preserve">) והן במסגרת הליך </w:t>
      </w:r>
      <w:hyperlink r:id="rId83" w:history="1">
        <w:r w:rsidR="001B6A44" w:rsidRPr="001B6A44">
          <w:rPr>
            <w:rFonts w:ascii="David" w:hAnsi="David"/>
            <w:color w:val="0000FF"/>
            <w:u w:val="single"/>
            <w:rtl/>
          </w:rPr>
          <w:t>מ"ת 907-03-23</w:t>
        </w:r>
      </w:hyperlink>
      <w:r>
        <w:rPr>
          <w:rFonts w:ascii="David" w:hAnsi="David"/>
          <w:rtl/>
        </w:rPr>
        <w:t xml:space="preserve"> </w:t>
      </w:r>
      <w:r>
        <w:rPr>
          <w:rFonts w:ascii="David" w:hAnsi="David" w:hint="cs"/>
          <w:rtl/>
        </w:rPr>
        <w:t xml:space="preserve">הקשור בתיק המצורף שלעיל ( להלן:  </w:t>
      </w:r>
      <w:r w:rsidRPr="006C0923">
        <w:rPr>
          <w:rFonts w:ascii="David" w:hAnsi="David" w:hint="cs"/>
          <w:b/>
          <w:bCs/>
          <w:rtl/>
        </w:rPr>
        <w:t>"הליך המ"ת</w:t>
      </w:r>
      <w:r>
        <w:rPr>
          <w:rFonts w:ascii="David" w:hAnsi="David" w:hint="cs"/>
          <w:rtl/>
        </w:rPr>
        <w:t xml:space="preserve">" ).   </w:t>
      </w:r>
    </w:p>
    <w:p w14:paraId="11610BB5" w14:textId="77777777" w:rsidR="000E24D6" w:rsidRPr="00EE20AA" w:rsidRDefault="000E24D6" w:rsidP="000E24D6">
      <w:pPr>
        <w:spacing w:line="360" w:lineRule="auto"/>
        <w:ind w:right="-284"/>
        <w:jc w:val="both"/>
        <w:rPr>
          <w:rFonts w:ascii="David" w:hAnsi="David"/>
          <w:rtl/>
        </w:rPr>
      </w:pPr>
    </w:p>
    <w:p w14:paraId="530AD886" w14:textId="77777777" w:rsidR="000E24D6" w:rsidRPr="00EE20AA" w:rsidRDefault="000E24D6" w:rsidP="000E24D6">
      <w:pPr>
        <w:spacing w:line="360" w:lineRule="auto"/>
        <w:ind w:right="-284"/>
        <w:jc w:val="both"/>
        <w:rPr>
          <w:rFonts w:ascii="David" w:hAnsi="David"/>
          <w:rtl/>
        </w:rPr>
      </w:pPr>
      <w:r w:rsidRPr="00EE20AA">
        <w:rPr>
          <w:rFonts w:ascii="David" w:hAnsi="David" w:hint="cs"/>
          <w:rtl/>
        </w:rPr>
        <w:t xml:space="preserve">נפנה ונזכיר את האמור בפרק השתלשלות הצדדים שלעיל, בהחלטת השופט בן הרוש מיום  </w:t>
      </w:r>
      <w:r>
        <w:rPr>
          <w:rFonts w:ascii="David" w:hAnsi="David" w:hint="cs"/>
          <w:rtl/>
        </w:rPr>
        <w:t>20.07.23</w:t>
      </w:r>
      <w:r w:rsidRPr="00EE20AA">
        <w:rPr>
          <w:rFonts w:ascii="David" w:hAnsi="David" w:hint="cs"/>
          <w:rtl/>
        </w:rPr>
        <w:t xml:space="preserve">    בהליך העיקרי אשר  "עיכבה"  החלטתו מאותו יום לשחרר את הנאשם לחלופה הטיפולית , תוך שהעביר ביקורת חריפה על התנהלות הצדדים (בעיקר ההגנה) שהסתירו ממנו ומבית המשפט המחוזי את העובדה כי הנאשם עצור עד תום ההליכים ב</w:t>
      </w:r>
      <w:r>
        <w:rPr>
          <w:rFonts w:ascii="David" w:hAnsi="David" w:hint="cs"/>
          <w:rtl/>
        </w:rPr>
        <w:t>הליך ה</w:t>
      </w:r>
      <w:r w:rsidRPr="00EE20AA">
        <w:rPr>
          <w:rFonts w:ascii="David" w:hAnsi="David" w:hint="cs"/>
          <w:rtl/>
        </w:rPr>
        <w:t>מ"ת הקשור בתיק</w:t>
      </w:r>
      <w:r w:rsidRPr="00EE20AA">
        <w:rPr>
          <w:rFonts w:ascii="David" w:hAnsi="David" w:hint="cs"/>
          <w:u w:val="single"/>
          <w:rtl/>
        </w:rPr>
        <w:t xml:space="preserve"> </w:t>
      </w:r>
      <w:r w:rsidRPr="00EE20AA">
        <w:rPr>
          <w:rFonts w:ascii="David" w:hAnsi="David" w:hint="cs"/>
          <w:rtl/>
        </w:rPr>
        <w:t xml:space="preserve">המצורף. </w:t>
      </w:r>
    </w:p>
    <w:p w14:paraId="6221683E" w14:textId="77777777" w:rsidR="000E24D6" w:rsidRDefault="000E24D6" w:rsidP="000E24D6">
      <w:pPr>
        <w:spacing w:line="360" w:lineRule="auto"/>
        <w:ind w:right="-284"/>
        <w:jc w:val="both"/>
        <w:rPr>
          <w:rFonts w:ascii="David" w:hAnsi="David"/>
          <w:rtl/>
        </w:rPr>
      </w:pPr>
    </w:p>
    <w:p w14:paraId="36A8EB04" w14:textId="77777777" w:rsidR="000E24D6" w:rsidRPr="00EE20AA" w:rsidRDefault="000E24D6" w:rsidP="000E24D6">
      <w:pPr>
        <w:spacing w:line="360" w:lineRule="auto"/>
        <w:ind w:right="-284"/>
        <w:jc w:val="both"/>
        <w:rPr>
          <w:rFonts w:ascii="David" w:hAnsi="David"/>
          <w:rtl/>
        </w:rPr>
      </w:pPr>
      <w:r w:rsidRPr="00EE20AA">
        <w:rPr>
          <w:rFonts w:ascii="David" w:hAnsi="David" w:hint="cs"/>
          <w:rtl/>
        </w:rPr>
        <w:t>לא רק זאת, אלא, שבהמשך השתלשלות הדברים</w:t>
      </w:r>
      <w:r>
        <w:rPr>
          <w:rFonts w:ascii="David" w:hAnsi="David" w:hint="cs"/>
          <w:rtl/>
        </w:rPr>
        <w:t xml:space="preserve">, </w:t>
      </w:r>
      <w:r w:rsidRPr="00EE20AA">
        <w:rPr>
          <w:rFonts w:ascii="David" w:hAnsi="David" w:hint="cs"/>
          <w:rtl/>
        </w:rPr>
        <w:t xml:space="preserve"> עלה כי הפה שהתיר (השופט בן הרוש) את שחרורו של הנאשם לחלופה טיפולית ב</w:t>
      </w:r>
      <w:r>
        <w:rPr>
          <w:rFonts w:ascii="David" w:hAnsi="David" w:hint="cs"/>
          <w:rtl/>
        </w:rPr>
        <w:t xml:space="preserve">הליך העיקרי </w:t>
      </w:r>
      <w:r w:rsidRPr="00EE20AA">
        <w:rPr>
          <w:rFonts w:ascii="David" w:hAnsi="David" w:hint="cs"/>
          <w:rtl/>
        </w:rPr>
        <w:t xml:space="preserve"> -  הוא הפה שדחה את בקשת הנאשם בעיון חוזר ( בכובעו כשופט מעצרים) אותה הגיש  </w:t>
      </w:r>
      <w:r>
        <w:rPr>
          <w:rFonts w:ascii="David" w:hAnsi="David" w:hint="cs"/>
          <w:rtl/>
        </w:rPr>
        <w:t>בהליך ה</w:t>
      </w:r>
      <w:r w:rsidRPr="00EE20AA">
        <w:rPr>
          <w:rFonts w:ascii="David" w:hAnsi="David" w:hint="cs"/>
          <w:rtl/>
        </w:rPr>
        <w:t xml:space="preserve">מ"ת - לשחררו ממעצר ועל מנת להוציא לפועל את </w:t>
      </w:r>
      <w:r>
        <w:rPr>
          <w:rFonts w:ascii="David" w:hAnsi="David" w:hint="cs"/>
          <w:rtl/>
        </w:rPr>
        <w:t>החלטת השחרור</w:t>
      </w:r>
      <w:r w:rsidRPr="00EE20AA">
        <w:rPr>
          <w:rFonts w:ascii="David" w:hAnsi="David" w:hint="cs"/>
          <w:rtl/>
        </w:rPr>
        <w:t xml:space="preserve"> לקהילה טיפולית שנת</w:t>
      </w:r>
      <w:r>
        <w:rPr>
          <w:rFonts w:ascii="David" w:hAnsi="David" w:hint="cs"/>
          <w:rtl/>
        </w:rPr>
        <w:t xml:space="preserve">נה בהליך העיקרי. </w:t>
      </w:r>
      <w:r w:rsidRPr="00EE20AA">
        <w:rPr>
          <w:rFonts w:ascii="David" w:hAnsi="David" w:hint="cs"/>
          <w:rtl/>
        </w:rPr>
        <w:t xml:space="preserve"> למעשה, השופט בן הרוש, </w:t>
      </w:r>
      <w:r>
        <w:rPr>
          <w:rFonts w:ascii="David" w:hAnsi="David" w:hint="cs"/>
          <w:rtl/>
        </w:rPr>
        <w:t xml:space="preserve">ביטל </w:t>
      </w:r>
      <w:r w:rsidRPr="00EE20AA">
        <w:rPr>
          <w:rFonts w:ascii="David" w:hAnsi="David" w:hint="cs"/>
          <w:rtl/>
        </w:rPr>
        <w:t xml:space="preserve">את החלטתו מיום 20.7.23  </w:t>
      </w:r>
      <w:r>
        <w:rPr>
          <w:rFonts w:ascii="David" w:hAnsi="David" w:hint="cs"/>
          <w:rtl/>
        </w:rPr>
        <w:t xml:space="preserve">בהליך העיקרי </w:t>
      </w:r>
      <w:r w:rsidRPr="00EE20AA">
        <w:rPr>
          <w:rFonts w:ascii="David" w:hAnsi="David" w:hint="cs"/>
          <w:rtl/>
        </w:rPr>
        <w:t xml:space="preserve">לשחרר את הנאשם לחלופה טיפולית, בהחלטה שנתן בתיק המ"ת הקשור לתיק המצורף. </w:t>
      </w:r>
    </w:p>
    <w:p w14:paraId="094CBFCA" w14:textId="77777777" w:rsidR="000E24D6" w:rsidRPr="00EE20AA" w:rsidRDefault="000E24D6" w:rsidP="000E24D6">
      <w:pPr>
        <w:spacing w:line="360" w:lineRule="auto"/>
        <w:ind w:right="-284"/>
        <w:jc w:val="both"/>
        <w:rPr>
          <w:rFonts w:ascii="David" w:hAnsi="David"/>
          <w:rtl/>
        </w:rPr>
      </w:pPr>
    </w:p>
    <w:p w14:paraId="606658DC" w14:textId="77777777" w:rsidR="000E24D6" w:rsidRPr="00EE20AA" w:rsidRDefault="000E24D6" w:rsidP="000E24D6">
      <w:pPr>
        <w:spacing w:line="360" w:lineRule="auto"/>
        <w:ind w:right="-284"/>
        <w:jc w:val="both"/>
        <w:rPr>
          <w:rFonts w:ascii="David" w:hAnsi="David"/>
          <w:rtl/>
        </w:rPr>
      </w:pPr>
      <w:r w:rsidRPr="00EE20AA">
        <w:rPr>
          <w:rFonts w:ascii="David" w:hAnsi="David" w:hint="cs"/>
          <w:rtl/>
        </w:rPr>
        <w:t xml:space="preserve">ההגנה לא ערערה על החלטת השופט בן הרוש (וטוב שלא עשתה כן) אולם, </w:t>
      </w:r>
      <w:r>
        <w:rPr>
          <w:rFonts w:ascii="David" w:hAnsi="David" w:hint="cs"/>
          <w:rtl/>
        </w:rPr>
        <w:t>ו</w:t>
      </w:r>
      <w:r w:rsidRPr="00EE20AA">
        <w:rPr>
          <w:rFonts w:ascii="David" w:hAnsi="David" w:hint="cs"/>
          <w:rtl/>
        </w:rPr>
        <w:t xml:space="preserve">נראה שלא בכדי, לא מצאה לנכון להגיש את החלטתו האמורה על נימוקיה. הדברים מקבלים משנה תוקף בהינתן כי בטיעוניה בהקשר זה, הפנתה אצבע כלפי התביעה כמי שבהתנגדותה לשחרור הנאשם ממעצר בתיק המצורף, היא בעיקר זו שגרמה לכך שהנאשם איבד את ההזדמנות שנתנה לו על ידי בית המשפט. </w:t>
      </w:r>
    </w:p>
    <w:p w14:paraId="516BDDC4" w14:textId="77777777" w:rsidR="000E24D6" w:rsidRDefault="000E24D6" w:rsidP="000E24D6">
      <w:pPr>
        <w:spacing w:line="360" w:lineRule="auto"/>
        <w:ind w:right="-284"/>
        <w:jc w:val="both"/>
        <w:rPr>
          <w:rFonts w:ascii="David" w:hAnsi="David"/>
          <w:rtl/>
        </w:rPr>
      </w:pPr>
      <w:r>
        <w:rPr>
          <w:rFonts w:ascii="David" w:hAnsi="David" w:hint="cs"/>
          <w:rtl/>
        </w:rPr>
        <w:t>מותב זה אינו יושב כ</w:t>
      </w:r>
      <w:r w:rsidRPr="00EE20AA">
        <w:rPr>
          <w:rFonts w:ascii="David" w:hAnsi="David" w:hint="cs"/>
          <w:rtl/>
        </w:rPr>
        <w:t xml:space="preserve">ערכאת ערעור על החלטות כב' השופט בן הרוש. אשר נחזור ונדגיש, בחן את אפשרות שילובו של הנאשם במסגרת </w:t>
      </w:r>
      <w:r>
        <w:rPr>
          <w:rFonts w:ascii="David" w:hAnsi="David" w:hint="cs"/>
          <w:rtl/>
        </w:rPr>
        <w:t xml:space="preserve">ההליך העיקרי </w:t>
      </w:r>
      <w:r w:rsidRPr="00EE20AA">
        <w:rPr>
          <w:rFonts w:ascii="David" w:hAnsi="David" w:hint="cs"/>
          <w:rtl/>
        </w:rPr>
        <w:t xml:space="preserve">, עיכב אותה ובהמשך, במסגרת תיק המעצר כאמור, לאחר שברי כי בחן את כלל הנתונים שהיו בפניו, מצא לנכון לדחות את בקשת הנאשם לעיון חוזר ולמעשה ביטל את ההחלטה שנתן בתיק העיקרי. </w:t>
      </w:r>
      <w:r>
        <w:rPr>
          <w:rFonts w:ascii="David" w:hAnsi="David" w:hint="cs"/>
          <w:rtl/>
        </w:rPr>
        <w:t xml:space="preserve"> </w:t>
      </w:r>
    </w:p>
    <w:p w14:paraId="32278CFC" w14:textId="77777777" w:rsidR="000E24D6" w:rsidRDefault="000E24D6" w:rsidP="000E24D6">
      <w:pPr>
        <w:spacing w:line="360" w:lineRule="auto"/>
        <w:ind w:right="-284"/>
        <w:jc w:val="both"/>
        <w:rPr>
          <w:rFonts w:ascii="David" w:hAnsi="David"/>
          <w:rtl/>
        </w:rPr>
      </w:pPr>
    </w:p>
    <w:p w14:paraId="32585ECA" w14:textId="77777777" w:rsidR="000E24D6" w:rsidRDefault="000E24D6" w:rsidP="000E24D6">
      <w:pPr>
        <w:spacing w:line="360" w:lineRule="auto"/>
        <w:ind w:right="-284"/>
        <w:jc w:val="both"/>
        <w:rPr>
          <w:rFonts w:ascii="David" w:hAnsi="David"/>
          <w:rtl/>
        </w:rPr>
      </w:pPr>
      <w:r w:rsidRPr="00EE20AA">
        <w:rPr>
          <w:rFonts w:ascii="David" w:hAnsi="David" w:hint="cs"/>
          <w:rtl/>
        </w:rPr>
        <w:t>למעלה מן הצורך, אוסיף כי עיקר טיעוני הסנגור להפנות שוב את הנאשם לבחינת שילובו בק</w:t>
      </w:r>
      <w:r w:rsidRPr="00EE20AA">
        <w:rPr>
          <w:rFonts w:ascii="David" w:hAnsi="David"/>
          <w:rtl/>
        </w:rPr>
        <w:t>הילה טיפולית</w:t>
      </w:r>
      <w:r w:rsidRPr="00EE20AA">
        <w:rPr>
          <w:rFonts w:ascii="David" w:hAnsi="David" w:hint="cs"/>
          <w:rtl/>
        </w:rPr>
        <w:t xml:space="preserve"> סגורה </w:t>
      </w:r>
      <w:r w:rsidRPr="00EE20AA">
        <w:rPr>
          <w:rFonts w:ascii="David" w:hAnsi="David"/>
          <w:rtl/>
        </w:rPr>
        <w:t>למכורים סמים</w:t>
      </w:r>
      <w:r w:rsidRPr="00EE20AA">
        <w:rPr>
          <w:rFonts w:ascii="David" w:hAnsi="David" w:hint="cs"/>
          <w:rtl/>
        </w:rPr>
        <w:t>, כעולה מהסיפא של התסקיר בעניינו, מתמצה בדבריו כי "</w:t>
      </w:r>
      <w:r w:rsidRPr="00EE20AA">
        <w:rPr>
          <w:rFonts w:ascii="David" w:hAnsi="David" w:hint="cs"/>
          <w:b/>
          <w:bCs/>
          <w:rtl/>
        </w:rPr>
        <w:t xml:space="preserve">הסיפור </w:t>
      </w:r>
      <w:r w:rsidRPr="00EE20AA">
        <w:rPr>
          <w:rFonts w:ascii="David" w:hAnsi="David"/>
          <w:b/>
          <w:bCs/>
          <w:rtl/>
        </w:rPr>
        <w:t xml:space="preserve">מתחיל </w:t>
      </w:r>
      <w:r w:rsidRPr="00EE20AA">
        <w:rPr>
          <w:rFonts w:ascii="David" w:hAnsi="David" w:hint="cs"/>
          <w:b/>
          <w:bCs/>
          <w:rtl/>
        </w:rPr>
        <w:t>ו</w:t>
      </w:r>
      <w:r w:rsidRPr="00EE20AA">
        <w:rPr>
          <w:rFonts w:ascii="David" w:hAnsi="David"/>
          <w:b/>
          <w:bCs/>
          <w:rtl/>
        </w:rPr>
        <w:t>נגמר בשימוש ובהתמכרות לסמים</w:t>
      </w:r>
      <w:r w:rsidRPr="00EE20AA">
        <w:rPr>
          <w:rFonts w:ascii="David" w:hAnsi="David" w:hint="cs"/>
          <w:b/>
          <w:bCs/>
          <w:rtl/>
        </w:rPr>
        <w:t>"</w:t>
      </w:r>
      <w:r w:rsidRPr="00EE20AA">
        <w:rPr>
          <w:rFonts w:ascii="David" w:hAnsi="David" w:hint="cs"/>
          <w:rtl/>
        </w:rPr>
        <w:t xml:space="preserve"> של הנאשם. בניגוד לסנגור, סבורני, כי  סיפורו של הנאשם  התחיל  והמשיך בעיקר על רקע רצונו לעשות רווח כספי קל מעסקאות</w:t>
      </w:r>
      <w:r w:rsidRPr="001B204E">
        <w:rPr>
          <w:rFonts w:ascii="David" w:hAnsi="David" w:hint="cs"/>
          <w:rtl/>
        </w:rPr>
        <w:t xml:space="preserve"> סמים ועל חשבון בריאותו של הציבור וחוסנה החברתי והכלכלי של החברה</w:t>
      </w:r>
      <w:r>
        <w:rPr>
          <w:rFonts w:ascii="David" w:hAnsi="David" w:hint="cs"/>
          <w:rtl/>
        </w:rPr>
        <w:t xml:space="preserve">.  </w:t>
      </w:r>
    </w:p>
    <w:p w14:paraId="03392A8D" w14:textId="77777777" w:rsidR="000E24D6" w:rsidRPr="001B204E" w:rsidRDefault="000E24D6" w:rsidP="000E24D6">
      <w:pPr>
        <w:spacing w:line="360" w:lineRule="auto"/>
        <w:ind w:right="-284"/>
        <w:jc w:val="both"/>
        <w:rPr>
          <w:rFonts w:ascii="David" w:hAnsi="David"/>
          <w:rtl/>
        </w:rPr>
      </w:pPr>
      <w:r>
        <w:rPr>
          <w:rFonts w:ascii="David" w:hAnsi="David" w:hint="cs"/>
          <w:rtl/>
        </w:rPr>
        <w:t xml:space="preserve">כך בהתייחסו לעבירות הסמים בשני התיקים שבכותרת, מסר הנאשם לשירות  המבחן כי </w:t>
      </w:r>
      <w:r>
        <w:rPr>
          <w:rFonts w:ascii="David" w:hAnsi="David"/>
          <w:rtl/>
        </w:rPr>
        <w:t>שכר דירה ונקלע לקשיים בתשלום שכר הדירה,</w:t>
      </w:r>
      <w:r>
        <w:rPr>
          <w:rFonts w:ascii="David" w:hAnsi="David" w:hint="cs"/>
          <w:rtl/>
        </w:rPr>
        <w:t xml:space="preserve"> נוכח שימוש מאסיבי בסמים </w:t>
      </w:r>
      <w:r w:rsidRPr="000C06F7">
        <w:rPr>
          <w:rFonts w:ascii="David" w:hAnsi="David"/>
          <w:b/>
          <w:bCs/>
          <w:rtl/>
        </w:rPr>
        <w:t>והחליט למכור סמים לצורך עשיית כסף קל ורווח</w:t>
      </w:r>
      <w:r>
        <w:rPr>
          <w:rFonts w:ascii="David" w:hAnsi="David"/>
          <w:b/>
          <w:bCs/>
          <w:rtl/>
        </w:rPr>
        <w:t xml:space="preserve"> נקי, גם במחיר של מעבר על החוק</w:t>
      </w:r>
      <w:r>
        <w:rPr>
          <w:rFonts w:ascii="David" w:hAnsi="David" w:hint="cs"/>
          <w:b/>
          <w:bCs/>
          <w:rtl/>
        </w:rPr>
        <w:t xml:space="preserve">. ועוד הסביר כי </w:t>
      </w:r>
      <w:r>
        <w:rPr>
          <w:rFonts w:ascii="David" w:hAnsi="David" w:hint="cs"/>
          <w:rtl/>
        </w:rPr>
        <w:t>ב</w:t>
      </w:r>
      <w:r>
        <w:rPr>
          <w:rFonts w:ascii="David" w:hAnsi="David"/>
          <w:rtl/>
        </w:rPr>
        <w:t xml:space="preserve">תקופה הרלוונטית </w:t>
      </w:r>
      <w:r>
        <w:rPr>
          <w:rFonts w:ascii="David" w:hAnsi="David" w:hint="cs"/>
          <w:rtl/>
        </w:rPr>
        <w:t xml:space="preserve">לאירוע בתיק המצורף </w:t>
      </w:r>
      <w:r>
        <w:rPr>
          <w:rFonts w:ascii="David" w:hAnsi="David"/>
          <w:rtl/>
        </w:rPr>
        <w:t>עסק בתחום הסמים, התרועע עם אוכלוסייה המעורבת בתחום הסמים, צרך והחזיק בביתו סמים מסוגים שונים</w:t>
      </w:r>
      <w:r>
        <w:rPr>
          <w:rFonts w:ascii="David" w:hAnsi="David" w:hint="cs"/>
          <w:rtl/>
        </w:rPr>
        <w:t xml:space="preserve">, כשבנוגע </w:t>
      </w:r>
      <w:r>
        <w:rPr>
          <w:rFonts w:ascii="David" w:hAnsi="David"/>
          <w:rtl/>
        </w:rPr>
        <w:t xml:space="preserve">לעבירות של החזקת </w:t>
      </w:r>
      <w:r w:rsidRPr="000C06F7">
        <w:rPr>
          <w:rFonts w:ascii="David" w:hAnsi="David"/>
          <w:rtl/>
        </w:rPr>
        <w:t xml:space="preserve">נשק </w:t>
      </w:r>
      <w:r w:rsidRPr="000C06F7">
        <w:rPr>
          <w:rFonts w:ascii="David" w:hAnsi="David" w:hint="cs"/>
          <w:rtl/>
        </w:rPr>
        <w:t xml:space="preserve">התקשרה </w:t>
      </w:r>
      <w:r w:rsidRPr="000C06F7">
        <w:rPr>
          <w:rFonts w:ascii="David" w:hAnsi="David"/>
          <w:rtl/>
        </w:rPr>
        <w:t>להסביר מדוע החזיק באקדחים</w:t>
      </w:r>
      <w:r w:rsidRPr="000C06F7">
        <w:rPr>
          <w:rFonts w:ascii="David" w:hAnsi="David" w:hint="cs"/>
          <w:rtl/>
        </w:rPr>
        <w:t>.</w:t>
      </w:r>
      <w:r>
        <w:rPr>
          <w:rFonts w:ascii="David" w:hAnsi="David" w:hint="cs"/>
          <w:rtl/>
        </w:rPr>
        <w:t xml:space="preserve"> </w:t>
      </w:r>
      <w:r>
        <w:rPr>
          <w:rFonts w:ascii="David" w:hAnsi="David"/>
          <w:rtl/>
        </w:rPr>
        <w:t xml:space="preserve"> </w:t>
      </w:r>
    </w:p>
    <w:p w14:paraId="43221B6B" w14:textId="77777777" w:rsidR="000E24D6" w:rsidRDefault="000E24D6" w:rsidP="000E24D6">
      <w:pPr>
        <w:spacing w:line="360" w:lineRule="auto"/>
        <w:ind w:right="-284"/>
        <w:jc w:val="both"/>
        <w:rPr>
          <w:rFonts w:ascii="David" w:hAnsi="David"/>
          <w:highlight w:val="cyan"/>
          <w:rtl/>
        </w:rPr>
      </w:pPr>
    </w:p>
    <w:p w14:paraId="0E82BA8F" w14:textId="77777777" w:rsidR="000E24D6" w:rsidRPr="009F7E83" w:rsidRDefault="000E24D6" w:rsidP="000E24D6">
      <w:pPr>
        <w:spacing w:line="360" w:lineRule="auto"/>
        <w:ind w:right="-284"/>
        <w:jc w:val="both"/>
        <w:rPr>
          <w:rFonts w:ascii="David" w:hAnsi="David"/>
          <w:rtl/>
        </w:rPr>
      </w:pPr>
      <w:r w:rsidRPr="009F7E83">
        <w:rPr>
          <w:rFonts w:ascii="David" w:hAnsi="David" w:hint="cs"/>
          <w:rtl/>
        </w:rPr>
        <w:t xml:space="preserve">זאת ועוד, אין חולק כי הנאשם לא החל בהליך טיפולי שיקומי משמעותי עליו ניתן ללמוד מהתסקיר שהוגש בעניינו. בעניין זה נוסיף לומר כי גם אילו היה משולב הנאשם בהליך טיפולי גם בין כותלי בית המעצר, לא ניתן היה, נוכח חומרת העבירות ונסיבות ביצוען לצד משקלם של שיקולי הרתעת היחיד והרבים </w:t>
      </w:r>
      <w:r w:rsidRPr="009F7E83">
        <w:rPr>
          <w:rFonts w:ascii="David" w:hAnsi="David"/>
          <w:rtl/>
        </w:rPr>
        <w:t>–</w:t>
      </w:r>
      <w:r w:rsidRPr="009F7E83">
        <w:rPr>
          <w:rFonts w:ascii="David" w:hAnsi="David" w:hint="cs"/>
          <w:rtl/>
        </w:rPr>
        <w:t xml:space="preserve"> לסטות ממתחם העונש ההולם, וודאי לא כפי הסטייה אליה כוון הסנגור בהפנייתו לאותם מקרים בפסיקה. בהקשר זה, די אם נפנה לדברי בית המשפט ב</w:t>
      </w:r>
      <w:hyperlink r:id="rId84" w:history="1">
        <w:r w:rsidR="001B6A44" w:rsidRPr="001B6A44">
          <w:rPr>
            <w:rFonts w:ascii="David" w:hAnsi="David"/>
            <w:color w:val="0000FF"/>
            <w:u w:val="single"/>
            <w:rtl/>
          </w:rPr>
          <w:t>רע"פ 7150/21</w:t>
        </w:r>
      </w:hyperlink>
      <w:r w:rsidRPr="009F7E83">
        <w:rPr>
          <w:rFonts w:ascii="David" w:hAnsi="David" w:hint="cs"/>
          <w:rtl/>
        </w:rPr>
        <w:t xml:space="preserve">, </w:t>
      </w:r>
      <w:r w:rsidRPr="009F7E83">
        <w:rPr>
          <w:rFonts w:ascii="David" w:hAnsi="David" w:hint="cs"/>
          <w:b/>
          <w:bCs/>
          <w:rtl/>
        </w:rPr>
        <w:t>בניהו מנשירוב נ' מדינת ישראל</w:t>
      </w:r>
      <w:r>
        <w:rPr>
          <w:rFonts w:ascii="David" w:hAnsi="David" w:hint="cs"/>
          <w:rtl/>
        </w:rPr>
        <w:t xml:space="preserve">, </w:t>
      </w:r>
      <w:r w:rsidRPr="009F7E83">
        <w:rPr>
          <w:rFonts w:ascii="David" w:hAnsi="David" w:hint="cs"/>
          <w:rtl/>
        </w:rPr>
        <w:t xml:space="preserve"> </w:t>
      </w:r>
      <w:r w:rsidRPr="009F7E83">
        <w:rPr>
          <w:rFonts w:ascii="David" w:hAnsi="David" w:hint="cs"/>
          <w:b/>
          <w:bCs/>
          <w:sz w:val="26"/>
          <w:szCs w:val="26"/>
          <w:rtl/>
        </w:rPr>
        <w:t>"</w:t>
      </w:r>
      <w:r w:rsidRPr="009F7E83">
        <w:rPr>
          <w:rFonts w:ascii="David" w:hAnsi="David"/>
          <w:rtl/>
        </w:rPr>
        <w:t>בית</w:t>
      </w:r>
      <w:r w:rsidRPr="009F7E83">
        <w:rPr>
          <w:rFonts w:ascii="David" w:hAnsi="David" w:hint="cs"/>
        </w:rPr>
        <w:t xml:space="preserve"> </w:t>
      </w:r>
      <w:r w:rsidRPr="009F7E83">
        <w:rPr>
          <w:rFonts w:ascii="David" w:hAnsi="David"/>
          <w:rtl/>
        </w:rPr>
        <w:t>משפט</w:t>
      </w:r>
      <w:r w:rsidRPr="009F7E83">
        <w:rPr>
          <w:rFonts w:ascii="David" w:hAnsi="David" w:hint="cs"/>
        </w:rPr>
        <w:t xml:space="preserve"> </w:t>
      </w:r>
      <w:r w:rsidRPr="009F7E83">
        <w:rPr>
          <w:rFonts w:ascii="David" w:hAnsi="David"/>
          <w:rtl/>
        </w:rPr>
        <w:t>זה</w:t>
      </w:r>
      <w:r w:rsidRPr="009F7E83">
        <w:rPr>
          <w:rFonts w:ascii="David" w:hAnsi="David" w:hint="cs"/>
        </w:rPr>
        <w:t xml:space="preserve"> </w:t>
      </w:r>
      <w:r w:rsidRPr="009F7E83">
        <w:rPr>
          <w:rFonts w:ascii="David" w:hAnsi="David"/>
          <w:rtl/>
        </w:rPr>
        <w:t>חזר</w:t>
      </w:r>
      <w:r w:rsidRPr="009F7E83">
        <w:rPr>
          <w:rFonts w:ascii="David" w:hAnsi="David" w:hint="cs"/>
        </w:rPr>
        <w:t xml:space="preserve"> </w:t>
      </w:r>
      <w:r w:rsidRPr="009F7E83">
        <w:rPr>
          <w:rFonts w:ascii="David" w:hAnsi="David"/>
          <w:rtl/>
        </w:rPr>
        <w:t>וקבע</w:t>
      </w:r>
      <w:r w:rsidRPr="009F7E83">
        <w:rPr>
          <w:rFonts w:ascii="David" w:hAnsi="David" w:hint="cs"/>
        </w:rPr>
        <w:t xml:space="preserve"> </w:t>
      </w:r>
      <w:r w:rsidRPr="009F7E83">
        <w:rPr>
          <w:rFonts w:ascii="David" w:hAnsi="David"/>
          <w:rtl/>
        </w:rPr>
        <w:t>כי</w:t>
      </w:r>
      <w:r w:rsidRPr="009F7E83">
        <w:rPr>
          <w:rFonts w:ascii="David" w:hAnsi="David"/>
        </w:rPr>
        <w:t xml:space="preserve"> "</w:t>
      </w:r>
      <w:r w:rsidRPr="009F7E83">
        <w:rPr>
          <w:rFonts w:ascii="David" w:hAnsi="David"/>
          <w:rtl/>
        </w:rPr>
        <w:t>שיקול</w:t>
      </w:r>
      <w:r w:rsidRPr="009F7E83">
        <w:rPr>
          <w:rFonts w:ascii="David" w:hAnsi="David" w:hint="cs"/>
        </w:rPr>
        <w:t xml:space="preserve"> </w:t>
      </w:r>
      <w:r w:rsidRPr="009F7E83">
        <w:rPr>
          <w:rFonts w:ascii="David" w:hAnsi="David"/>
          <w:rtl/>
        </w:rPr>
        <w:t>השיקום</w:t>
      </w:r>
      <w:r w:rsidRPr="009F7E83">
        <w:rPr>
          <w:rFonts w:ascii="David" w:hAnsi="David" w:hint="cs"/>
        </w:rPr>
        <w:t xml:space="preserve"> </w:t>
      </w:r>
      <w:r w:rsidRPr="009F7E83">
        <w:rPr>
          <w:rFonts w:ascii="David" w:hAnsi="David"/>
          <w:rtl/>
        </w:rPr>
        <w:t>אינו</w:t>
      </w:r>
      <w:r w:rsidRPr="009F7E83">
        <w:rPr>
          <w:rFonts w:ascii="David" w:hAnsi="David" w:hint="cs"/>
        </w:rPr>
        <w:t xml:space="preserve"> </w:t>
      </w:r>
      <w:r w:rsidRPr="009F7E83">
        <w:rPr>
          <w:rFonts w:ascii="David" w:hAnsi="David"/>
          <w:rtl/>
        </w:rPr>
        <w:t>חזות</w:t>
      </w:r>
      <w:r w:rsidRPr="009F7E83">
        <w:rPr>
          <w:rFonts w:ascii="David" w:hAnsi="David" w:hint="cs"/>
        </w:rPr>
        <w:t xml:space="preserve"> </w:t>
      </w:r>
      <w:r w:rsidRPr="009F7E83">
        <w:rPr>
          <w:rFonts w:ascii="David" w:hAnsi="David"/>
          <w:rtl/>
        </w:rPr>
        <w:t>הכל</w:t>
      </w:r>
      <w:r w:rsidRPr="009F7E83">
        <w:rPr>
          <w:rFonts w:ascii="David" w:hAnsi="David"/>
        </w:rPr>
        <w:t xml:space="preserve">", </w:t>
      </w:r>
      <w:r w:rsidRPr="009F7E83">
        <w:rPr>
          <w:rFonts w:ascii="David" w:hAnsi="David"/>
          <w:rtl/>
        </w:rPr>
        <w:t>וכי</w:t>
      </w:r>
      <w:r w:rsidRPr="009F7E83">
        <w:rPr>
          <w:rFonts w:ascii="David" w:hAnsi="David" w:hint="cs"/>
        </w:rPr>
        <w:t xml:space="preserve"> </w:t>
      </w:r>
      <w:r w:rsidRPr="009F7E83">
        <w:rPr>
          <w:rFonts w:ascii="David" w:hAnsi="David"/>
          <w:rtl/>
        </w:rPr>
        <w:t>השאלה</w:t>
      </w:r>
      <w:r w:rsidRPr="009F7E83">
        <w:rPr>
          <w:rFonts w:ascii="David" w:hAnsi="David" w:hint="cs"/>
        </w:rPr>
        <w:t xml:space="preserve"> </w:t>
      </w:r>
      <w:r w:rsidRPr="009F7E83">
        <w:rPr>
          <w:rFonts w:ascii="David" w:hAnsi="David"/>
          <w:rtl/>
        </w:rPr>
        <w:t>האם</w:t>
      </w:r>
      <w:r w:rsidRPr="009F7E83">
        <w:rPr>
          <w:rFonts w:ascii="David" w:hAnsi="David" w:hint="cs"/>
          <w:rtl/>
        </w:rPr>
        <w:t xml:space="preserve"> </w:t>
      </w:r>
      <w:r w:rsidRPr="009F7E83">
        <w:rPr>
          <w:rFonts w:ascii="David" w:hAnsi="David"/>
          <w:rtl/>
        </w:rPr>
        <w:t>הליך</w:t>
      </w:r>
      <w:r w:rsidRPr="009F7E83">
        <w:rPr>
          <w:rFonts w:ascii="David" w:hAnsi="David" w:hint="cs"/>
        </w:rPr>
        <w:t xml:space="preserve"> </w:t>
      </w:r>
      <w:r w:rsidRPr="009F7E83">
        <w:rPr>
          <w:rFonts w:ascii="David" w:hAnsi="David"/>
          <w:rtl/>
        </w:rPr>
        <w:t>טיפולי</w:t>
      </w:r>
      <w:r w:rsidRPr="009F7E83">
        <w:rPr>
          <w:rFonts w:ascii="David" w:hAnsi="David" w:hint="cs"/>
        </w:rPr>
        <w:t xml:space="preserve"> </w:t>
      </w:r>
      <w:r w:rsidRPr="009F7E83">
        <w:rPr>
          <w:rFonts w:ascii="David" w:hAnsi="David"/>
          <w:rtl/>
        </w:rPr>
        <w:t>שנאשם</w:t>
      </w:r>
      <w:r w:rsidRPr="009F7E83">
        <w:rPr>
          <w:rFonts w:ascii="David" w:hAnsi="David" w:hint="cs"/>
        </w:rPr>
        <w:t xml:space="preserve"> </w:t>
      </w:r>
      <w:r w:rsidRPr="009F7E83">
        <w:rPr>
          <w:rFonts w:ascii="David" w:hAnsi="David"/>
          <w:rtl/>
        </w:rPr>
        <w:t>מסוים</w:t>
      </w:r>
      <w:r w:rsidRPr="009F7E83">
        <w:rPr>
          <w:rFonts w:ascii="David" w:hAnsi="David" w:hint="cs"/>
        </w:rPr>
        <w:t xml:space="preserve"> </w:t>
      </w:r>
      <w:r w:rsidRPr="009F7E83">
        <w:rPr>
          <w:rFonts w:ascii="David" w:hAnsi="David"/>
          <w:rtl/>
        </w:rPr>
        <w:t>עבר</w:t>
      </w:r>
      <w:r w:rsidRPr="009F7E83">
        <w:rPr>
          <w:rFonts w:ascii="David" w:hAnsi="David" w:hint="cs"/>
        </w:rPr>
        <w:t xml:space="preserve"> </w:t>
      </w:r>
      <w:r w:rsidRPr="009F7E83">
        <w:rPr>
          <w:rFonts w:ascii="David" w:hAnsi="David"/>
          <w:rtl/>
        </w:rPr>
        <w:t>עולה</w:t>
      </w:r>
      <w:r w:rsidRPr="009F7E83">
        <w:rPr>
          <w:rFonts w:ascii="David" w:hAnsi="David" w:hint="cs"/>
        </w:rPr>
        <w:t xml:space="preserve"> </w:t>
      </w:r>
      <w:r w:rsidRPr="009F7E83">
        <w:rPr>
          <w:rFonts w:ascii="David" w:hAnsi="David"/>
          <w:rtl/>
        </w:rPr>
        <w:t>כדי</w:t>
      </w:r>
      <w:r w:rsidRPr="009F7E83">
        <w:rPr>
          <w:rFonts w:ascii="David" w:hAnsi="David"/>
        </w:rPr>
        <w:t xml:space="preserve"> "</w:t>
      </w:r>
      <w:r w:rsidRPr="009F7E83">
        <w:rPr>
          <w:rFonts w:ascii="David" w:hAnsi="David"/>
          <w:rtl/>
        </w:rPr>
        <w:t>שיקום</w:t>
      </w:r>
      <w:r w:rsidRPr="009F7E83">
        <w:rPr>
          <w:rFonts w:ascii="David" w:hAnsi="David"/>
        </w:rPr>
        <w:t xml:space="preserve">", </w:t>
      </w:r>
      <w:r w:rsidRPr="009F7E83">
        <w:rPr>
          <w:rFonts w:ascii="David" w:hAnsi="David"/>
          <w:rtl/>
        </w:rPr>
        <w:t>או</w:t>
      </w:r>
      <w:r w:rsidRPr="009F7E83">
        <w:rPr>
          <w:rFonts w:ascii="David" w:hAnsi="David" w:hint="cs"/>
        </w:rPr>
        <w:t xml:space="preserve"> </w:t>
      </w:r>
      <w:r w:rsidRPr="009F7E83">
        <w:rPr>
          <w:rFonts w:ascii="David" w:hAnsi="David"/>
          <w:rtl/>
        </w:rPr>
        <w:t>מלמד</w:t>
      </w:r>
      <w:r w:rsidRPr="009F7E83">
        <w:rPr>
          <w:rFonts w:ascii="David" w:hAnsi="David" w:hint="cs"/>
        </w:rPr>
        <w:t xml:space="preserve"> </w:t>
      </w:r>
      <w:r w:rsidRPr="009F7E83">
        <w:rPr>
          <w:rFonts w:ascii="David" w:hAnsi="David"/>
          <w:rtl/>
        </w:rPr>
        <w:t>על</w:t>
      </w:r>
      <w:r w:rsidRPr="009F7E83">
        <w:rPr>
          <w:rFonts w:ascii="David" w:hAnsi="David" w:hint="cs"/>
        </w:rPr>
        <w:t xml:space="preserve"> </w:t>
      </w:r>
      <w:r w:rsidRPr="009F7E83">
        <w:rPr>
          <w:rFonts w:ascii="David" w:hAnsi="David"/>
          <w:rtl/>
        </w:rPr>
        <w:t>סיכויי</w:t>
      </w:r>
      <w:r w:rsidRPr="009F7E83">
        <w:rPr>
          <w:rFonts w:ascii="David" w:hAnsi="David" w:hint="cs"/>
        </w:rPr>
        <w:t xml:space="preserve"> </w:t>
      </w:r>
      <w:r w:rsidRPr="009F7E83">
        <w:rPr>
          <w:rFonts w:ascii="David" w:hAnsi="David"/>
          <w:rtl/>
        </w:rPr>
        <w:t>שיקומו</w:t>
      </w:r>
      <w:r w:rsidRPr="009F7E83">
        <w:rPr>
          <w:rFonts w:ascii="David" w:hAnsi="David"/>
        </w:rPr>
        <w:t xml:space="preserve">, </w:t>
      </w:r>
      <w:r w:rsidRPr="009F7E83">
        <w:rPr>
          <w:rFonts w:ascii="David" w:hAnsi="David"/>
          <w:rtl/>
        </w:rPr>
        <w:t>היא</w:t>
      </w:r>
      <w:r w:rsidRPr="009F7E83">
        <w:rPr>
          <w:rFonts w:ascii="David" w:hAnsi="David" w:hint="cs"/>
          <w:rtl/>
        </w:rPr>
        <w:t xml:space="preserve"> </w:t>
      </w:r>
      <w:r w:rsidRPr="009F7E83">
        <w:rPr>
          <w:rFonts w:ascii="David" w:hAnsi="David"/>
          <w:rtl/>
        </w:rPr>
        <w:t>עניין</w:t>
      </w:r>
      <w:r w:rsidRPr="009F7E83">
        <w:rPr>
          <w:rFonts w:ascii="David" w:hAnsi="David" w:hint="cs"/>
        </w:rPr>
        <w:t xml:space="preserve"> </w:t>
      </w:r>
      <w:r w:rsidRPr="009F7E83">
        <w:rPr>
          <w:rFonts w:ascii="David" w:hAnsi="David"/>
          <w:rtl/>
        </w:rPr>
        <w:t>הנתון</w:t>
      </w:r>
      <w:r w:rsidRPr="009F7E83">
        <w:rPr>
          <w:rFonts w:ascii="David" w:hAnsi="David" w:hint="cs"/>
        </w:rPr>
        <w:t xml:space="preserve"> </w:t>
      </w:r>
      <w:r w:rsidRPr="009F7E83">
        <w:rPr>
          <w:rFonts w:ascii="David" w:hAnsi="David"/>
          <w:rtl/>
        </w:rPr>
        <w:t>לשיקול</w:t>
      </w:r>
      <w:r w:rsidRPr="009F7E83">
        <w:rPr>
          <w:rFonts w:ascii="David" w:hAnsi="David" w:hint="cs"/>
        </w:rPr>
        <w:t xml:space="preserve"> </w:t>
      </w:r>
      <w:r w:rsidRPr="009F7E83">
        <w:rPr>
          <w:rFonts w:ascii="David" w:hAnsi="David"/>
          <w:rtl/>
        </w:rPr>
        <w:t>דעתו</w:t>
      </w:r>
      <w:r w:rsidRPr="009F7E83">
        <w:rPr>
          <w:rFonts w:ascii="David" w:hAnsi="David" w:hint="cs"/>
        </w:rPr>
        <w:t xml:space="preserve"> </w:t>
      </w:r>
      <w:r w:rsidRPr="009F7E83">
        <w:rPr>
          <w:rFonts w:ascii="David" w:hAnsi="David"/>
          <w:rtl/>
        </w:rPr>
        <w:t>של</w:t>
      </w:r>
      <w:r w:rsidRPr="009F7E83">
        <w:rPr>
          <w:rFonts w:ascii="David" w:hAnsi="David" w:hint="cs"/>
        </w:rPr>
        <w:t xml:space="preserve"> </w:t>
      </w:r>
      <w:r w:rsidRPr="009F7E83">
        <w:rPr>
          <w:rFonts w:ascii="David" w:hAnsi="David"/>
          <w:rtl/>
        </w:rPr>
        <w:t>בית</w:t>
      </w:r>
      <w:r w:rsidRPr="009F7E83">
        <w:rPr>
          <w:rFonts w:ascii="David" w:hAnsi="David" w:hint="cs"/>
        </w:rPr>
        <w:t xml:space="preserve"> </w:t>
      </w:r>
      <w:r w:rsidRPr="009F7E83">
        <w:rPr>
          <w:rFonts w:ascii="David" w:hAnsi="David"/>
          <w:rtl/>
        </w:rPr>
        <w:t>המשפט</w:t>
      </w:r>
      <w:r w:rsidRPr="009F7E83">
        <w:rPr>
          <w:rFonts w:ascii="David" w:hAnsi="David" w:hint="cs"/>
        </w:rPr>
        <w:t xml:space="preserve"> </w:t>
      </w:r>
      <w:r w:rsidRPr="009F7E83">
        <w:rPr>
          <w:rFonts w:ascii="David" w:hAnsi="David"/>
          <w:rtl/>
        </w:rPr>
        <w:t>הבוחן</w:t>
      </w:r>
      <w:r w:rsidRPr="009F7E83">
        <w:rPr>
          <w:rFonts w:ascii="David" w:hAnsi="David" w:hint="cs"/>
        </w:rPr>
        <w:t xml:space="preserve"> </w:t>
      </w:r>
      <w:r w:rsidRPr="009F7E83">
        <w:rPr>
          <w:rFonts w:ascii="David" w:hAnsi="David"/>
          <w:rtl/>
        </w:rPr>
        <w:t>את</w:t>
      </w:r>
      <w:r w:rsidRPr="009F7E83">
        <w:rPr>
          <w:rFonts w:ascii="David" w:hAnsi="David" w:hint="cs"/>
        </w:rPr>
        <w:t xml:space="preserve"> </w:t>
      </w:r>
      <w:r w:rsidRPr="009F7E83">
        <w:rPr>
          <w:rFonts w:ascii="David" w:hAnsi="David"/>
          <w:rtl/>
        </w:rPr>
        <w:t>העניין</w:t>
      </w:r>
      <w:r w:rsidRPr="009F7E83">
        <w:rPr>
          <w:rFonts w:ascii="David" w:hAnsi="David" w:hint="cs"/>
          <w:rtl/>
        </w:rPr>
        <w:t>".</w:t>
      </w:r>
      <w:r>
        <w:rPr>
          <w:rFonts w:ascii="David" w:hAnsi="David" w:hint="cs"/>
          <w:rtl/>
        </w:rPr>
        <w:t xml:space="preserve"> </w:t>
      </w:r>
    </w:p>
    <w:p w14:paraId="483BAC88" w14:textId="77777777" w:rsidR="000E24D6" w:rsidRDefault="000E24D6" w:rsidP="000E24D6">
      <w:pPr>
        <w:spacing w:line="360" w:lineRule="auto"/>
        <w:ind w:right="-284"/>
        <w:jc w:val="both"/>
        <w:rPr>
          <w:rFonts w:ascii="David" w:hAnsi="David"/>
          <w:b/>
          <w:bCs/>
          <w:sz w:val="26"/>
          <w:szCs w:val="26"/>
          <w:u w:val="single"/>
          <w:rtl/>
        </w:rPr>
      </w:pPr>
    </w:p>
    <w:p w14:paraId="3456BA2B" w14:textId="77777777" w:rsidR="000E24D6" w:rsidRDefault="000E24D6" w:rsidP="000E24D6">
      <w:pPr>
        <w:spacing w:line="360" w:lineRule="auto"/>
        <w:jc w:val="both"/>
        <w:rPr>
          <w:rFonts w:ascii="David" w:hAnsi="David"/>
          <w:highlight w:val="cyan"/>
          <w:rtl/>
        </w:rPr>
      </w:pPr>
    </w:p>
    <w:p w14:paraId="7E30D883" w14:textId="77777777" w:rsidR="000E24D6" w:rsidRPr="00530F70" w:rsidRDefault="000E24D6" w:rsidP="000E24D6">
      <w:pPr>
        <w:spacing w:line="360" w:lineRule="auto"/>
        <w:jc w:val="both"/>
        <w:rPr>
          <w:rFonts w:ascii="David" w:hAnsi="David"/>
          <w:noProof/>
        </w:rPr>
      </w:pPr>
      <w:r w:rsidRPr="00530F70">
        <w:rPr>
          <w:rFonts w:ascii="David" w:hAnsi="David" w:hint="cs"/>
          <w:rtl/>
        </w:rPr>
        <w:t>אשר לעונשו של הנאשם, עיון ברישומו הפלילי מעלה כי לחובתו 2 הרשעות קודמות . עברו הפלילי קרוב</w:t>
      </w:r>
      <w:r w:rsidRPr="00530F70">
        <w:rPr>
          <w:rFonts w:ascii="David" w:hAnsi="David"/>
          <w:noProof/>
          <w:rtl/>
        </w:rPr>
        <w:t xml:space="preserve">, רצוף ורלוונטי, ולחובתו מאסר על תנאי חב הפעלה של 10 חודשים, שלא הרתיע אותו מלשוב ולבצע עבירות חמורות יותר. </w:t>
      </w:r>
    </w:p>
    <w:p w14:paraId="32EF1213" w14:textId="77777777" w:rsidR="000E24D6" w:rsidRPr="00530F70" w:rsidRDefault="000E24D6" w:rsidP="000E24D6">
      <w:pPr>
        <w:spacing w:line="360" w:lineRule="auto"/>
        <w:jc w:val="both"/>
        <w:rPr>
          <w:rFonts w:ascii="David" w:hAnsi="David"/>
          <w:noProof/>
          <w:rtl/>
        </w:rPr>
      </w:pPr>
    </w:p>
    <w:p w14:paraId="18953FBE" w14:textId="77777777" w:rsidR="000E24D6" w:rsidRPr="00530F70" w:rsidRDefault="000E24D6" w:rsidP="000E24D6">
      <w:pPr>
        <w:spacing w:line="360" w:lineRule="auto"/>
        <w:jc w:val="both"/>
        <w:rPr>
          <w:rFonts w:ascii="David" w:hAnsi="David"/>
        </w:rPr>
      </w:pPr>
      <w:r w:rsidRPr="00530F70">
        <w:rPr>
          <w:rFonts w:ascii="David" w:hAnsi="David" w:hint="cs"/>
          <w:noProof/>
          <w:rtl/>
        </w:rPr>
        <w:t>רק ביום  08.03.23 נגזרו על הנאשם 8</w:t>
      </w:r>
      <w:r w:rsidRPr="00530F70">
        <w:rPr>
          <w:rFonts w:ascii="David" w:hAnsi="David"/>
          <w:noProof/>
          <w:rtl/>
        </w:rPr>
        <w:t xml:space="preserve"> חודשי מאסר</w:t>
      </w:r>
      <w:r w:rsidRPr="00530F70">
        <w:rPr>
          <w:rFonts w:ascii="David" w:hAnsi="David" w:hint="cs"/>
          <w:noProof/>
          <w:rtl/>
        </w:rPr>
        <w:t xml:space="preserve"> בעבירת סמים. יותר מכך, </w:t>
      </w:r>
      <w:r w:rsidRPr="00530F70">
        <w:rPr>
          <w:rFonts w:ascii="David" w:hAnsi="David"/>
          <w:noProof/>
          <w:rtl/>
        </w:rPr>
        <w:t xml:space="preserve">ומעובדות כתב האישום שעליו נידון, </w:t>
      </w:r>
      <w:r w:rsidRPr="00530F70">
        <w:rPr>
          <w:rFonts w:ascii="David" w:hAnsi="David" w:hint="cs"/>
          <w:noProof/>
          <w:rtl/>
        </w:rPr>
        <w:t xml:space="preserve">והוגש לעיוני </w:t>
      </w:r>
      <w:r w:rsidRPr="00530F70">
        <w:rPr>
          <w:rFonts w:ascii="David" w:hAnsi="David" w:hint="cs"/>
          <w:rtl/>
        </w:rPr>
        <w:t>(</w:t>
      </w:r>
      <w:hyperlink r:id="rId85" w:history="1">
        <w:r w:rsidR="001B6A44" w:rsidRPr="001B6A44">
          <w:rPr>
            <w:rFonts w:ascii="David" w:hAnsi="David"/>
            <w:color w:val="0000FF"/>
            <w:u w:val="single"/>
            <w:rtl/>
          </w:rPr>
          <w:t>ת"פ 50474-02-21</w:t>
        </w:r>
      </w:hyperlink>
      <w:r w:rsidRPr="00530F70">
        <w:rPr>
          <w:rFonts w:ascii="David" w:hAnsi="David"/>
          <w:rtl/>
        </w:rPr>
        <w:t xml:space="preserve"> </w:t>
      </w:r>
      <w:r w:rsidRPr="00530F70">
        <w:rPr>
          <w:rFonts w:ascii="David" w:hAnsi="David" w:hint="cs"/>
          <w:rtl/>
        </w:rPr>
        <w:t xml:space="preserve">) </w:t>
      </w:r>
      <w:r w:rsidRPr="00530F70">
        <w:rPr>
          <w:rFonts w:ascii="David" w:hAnsi="David"/>
          <w:rtl/>
        </w:rPr>
        <w:t>מעלה כי בתאר</w:t>
      </w:r>
      <w:r w:rsidRPr="00530F70">
        <w:rPr>
          <w:rFonts w:ascii="David" w:hAnsi="David" w:hint="cs"/>
          <w:rtl/>
        </w:rPr>
        <w:t>י</w:t>
      </w:r>
      <w:r w:rsidRPr="00530F70">
        <w:rPr>
          <w:rFonts w:ascii="David" w:hAnsi="David"/>
          <w:rtl/>
        </w:rPr>
        <w:t>ך 6.02.21 התייצב הנאשם לריצוי מאסר במכל</w:t>
      </w:r>
      <w:r w:rsidRPr="00530F70">
        <w:rPr>
          <w:rFonts w:ascii="David" w:hAnsi="David" w:hint="cs"/>
          <w:rtl/>
        </w:rPr>
        <w:t>ו</w:t>
      </w:r>
      <w:r w:rsidRPr="00530F70">
        <w:rPr>
          <w:rFonts w:ascii="David" w:hAnsi="David"/>
          <w:rtl/>
        </w:rPr>
        <w:t xml:space="preserve">ל הקליטה של כלא ""אלא" </w:t>
      </w:r>
      <w:r w:rsidRPr="00530F70">
        <w:rPr>
          <w:rFonts w:ascii="David" w:hAnsi="David" w:hint="cs"/>
          <w:rtl/>
        </w:rPr>
        <w:t xml:space="preserve"> כבמעמד זה </w:t>
      </w:r>
      <w:r w:rsidRPr="00530F70">
        <w:rPr>
          <w:rFonts w:ascii="David" w:hAnsi="David"/>
          <w:rtl/>
        </w:rPr>
        <w:t>החזיק בסוליות נעליו – 3 יחידות חשיש במשקל כולל של 60 גרם ו 48 יחידות של סם מסוכן מסוג בופרנופין . במסגרת הסדר דיוני לאחר תיקון כתב האישום, הנאשם הודה ובית המשפט מצא לנכון להפנותו לממונה על עבודות השירות. הנאשם לא התייצב וחרף שלא קיבל את הסברי ב"כ הנאשם להעדר התייצבות הנאשם כאמור, נעתר לבקשת ההגנה</w:t>
      </w:r>
      <w:r w:rsidRPr="00530F70">
        <w:rPr>
          <w:rFonts w:ascii="David" w:hAnsi="David" w:hint="cs"/>
          <w:rtl/>
        </w:rPr>
        <w:t xml:space="preserve"> </w:t>
      </w:r>
      <w:r w:rsidRPr="00530F70">
        <w:rPr>
          <w:rFonts w:ascii="David" w:hAnsi="David"/>
          <w:rtl/>
        </w:rPr>
        <w:t>להפנות פעם נוספת את הנאשם לממונה.  אך גם זו הפעם, לא התייצב הנאשם.</w:t>
      </w:r>
    </w:p>
    <w:p w14:paraId="30BB1186" w14:textId="77777777" w:rsidR="000E24D6" w:rsidRPr="00530F70" w:rsidRDefault="000E24D6" w:rsidP="000E24D6">
      <w:pPr>
        <w:spacing w:line="360" w:lineRule="auto"/>
        <w:jc w:val="both"/>
        <w:rPr>
          <w:rFonts w:ascii="David" w:hAnsi="David"/>
          <w:noProof/>
          <w:rtl/>
        </w:rPr>
      </w:pPr>
    </w:p>
    <w:p w14:paraId="139C0FAF" w14:textId="77777777" w:rsidR="000E24D6" w:rsidRPr="00530F70" w:rsidRDefault="000E24D6" w:rsidP="000E24D6">
      <w:pPr>
        <w:spacing w:line="360" w:lineRule="auto"/>
        <w:jc w:val="both"/>
        <w:rPr>
          <w:rFonts w:ascii="David" w:hAnsi="David"/>
          <w:rtl/>
        </w:rPr>
      </w:pPr>
      <w:r w:rsidRPr="00530F70">
        <w:rPr>
          <w:rFonts w:ascii="David" w:hAnsi="David" w:hint="cs"/>
          <w:noProof/>
          <w:rtl/>
        </w:rPr>
        <w:t>עיון ב</w:t>
      </w:r>
      <w:r w:rsidRPr="00530F70">
        <w:rPr>
          <w:rFonts w:ascii="David" w:hAnsi="David"/>
          <w:rtl/>
        </w:rPr>
        <w:t xml:space="preserve"> ב</w:t>
      </w:r>
      <w:hyperlink r:id="rId86" w:history="1">
        <w:r w:rsidR="001B6A44" w:rsidRPr="001B6A44">
          <w:rPr>
            <w:rFonts w:ascii="David" w:hAnsi="David"/>
            <w:color w:val="0000FF"/>
            <w:u w:val="single"/>
            <w:rtl/>
          </w:rPr>
          <w:t>ת"פ 27269-02-19</w:t>
        </w:r>
      </w:hyperlink>
      <w:r w:rsidRPr="00530F70">
        <w:rPr>
          <w:rFonts w:ascii="David" w:hAnsi="David"/>
          <w:rtl/>
        </w:rPr>
        <w:t xml:space="preserve"> אשר הוגש לעיוני </w:t>
      </w:r>
      <w:r w:rsidRPr="00530F70">
        <w:rPr>
          <w:rFonts w:ascii="David" w:hAnsi="David" w:hint="cs"/>
          <w:rtl/>
        </w:rPr>
        <w:t xml:space="preserve">גם הוא מעלה כי לנאשם נתנו הזדמנויות, אולם האחרון דחה אותן בשתי ידיים, ועל כן, אין מקום לטענות הסנגור והנאשם עצמו, לפיהן יש לתת לנאשם ולו פעם אחת הזדמנות לעלות לדרך הישר. </w:t>
      </w:r>
    </w:p>
    <w:p w14:paraId="6512636B" w14:textId="77777777" w:rsidR="000E24D6" w:rsidRPr="00530F70" w:rsidRDefault="000E24D6" w:rsidP="000E24D6">
      <w:pPr>
        <w:spacing w:line="360" w:lineRule="auto"/>
        <w:jc w:val="both"/>
        <w:rPr>
          <w:rFonts w:ascii="David" w:hAnsi="David"/>
          <w:noProof/>
          <w:rtl/>
        </w:rPr>
      </w:pPr>
    </w:p>
    <w:p w14:paraId="0D7CFE94" w14:textId="77777777" w:rsidR="000E24D6" w:rsidRPr="00530F70" w:rsidRDefault="000E24D6" w:rsidP="000E24D6">
      <w:pPr>
        <w:spacing w:line="360" w:lineRule="auto"/>
        <w:jc w:val="both"/>
        <w:rPr>
          <w:rFonts w:ascii="David" w:hAnsi="David"/>
          <w:noProof/>
          <w:rtl/>
        </w:rPr>
      </w:pPr>
      <w:r w:rsidRPr="00530F70">
        <w:rPr>
          <w:rFonts w:ascii="David" w:hAnsi="David"/>
          <w:noProof/>
          <w:rtl/>
        </w:rPr>
        <w:t xml:space="preserve">בשקלול כל השיקולים הצריכים לעניין ובשים לב לצורך בהרתעת הרבית והרתעת היחיד, </w:t>
      </w:r>
      <w:r w:rsidRPr="00530F70">
        <w:rPr>
          <w:rFonts w:ascii="David" w:hAnsi="David" w:hint="cs"/>
          <w:noProof/>
          <w:rtl/>
        </w:rPr>
        <w:t xml:space="preserve">יש ממש בעתירת התביעה לקבוע את עונשו של הנאשם </w:t>
      </w:r>
      <w:r w:rsidRPr="00530F70">
        <w:rPr>
          <w:rFonts w:ascii="David" w:hAnsi="David"/>
          <w:b/>
          <w:bCs/>
          <w:noProof/>
          <w:rtl/>
        </w:rPr>
        <w:t>ברף הבינוני גבוה</w:t>
      </w:r>
      <w:r w:rsidRPr="00530F70">
        <w:rPr>
          <w:rFonts w:ascii="David" w:hAnsi="David"/>
          <w:noProof/>
          <w:rtl/>
        </w:rPr>
        <w:t xml:space="preserve"> </w:t>
      </w:r>
      <w:r w:rsidRPr="00530F70">
        <w:rPr>
          <w:rFonts w:ascii="David" w:hAnsi="David" w:hint="cs"/>
          <w:noProof/>
          <w:rtl/>
        </w:rPr>
        <w:t xml:space="preserve">במתחמי העונש שנקבעו. </w:t>
      </w:r>
      <w:r w:rsidRPr="00530F70">
        <w:rPr>
          <w:rFonts w:ascii="David" w:hAnsi="David"/>
          <w:noProof/>
          <w:rtl/>
        </w:rPr>
        <w:t xml:space="preserve"> </w:t>
      </w:r>
      <w:r w:rsidRPr="00530F70">
        <w:rPr>
          <w:rFonts w:ascii="David" w:hAnsi="David" w:hint="cs"/>
          <w:noProof/>
          <w:rtl/>
        </w:rPr>
        <w:t xml:space="preserve">לצד האמור, סבורני כי יש לתת משקל משמעותי לאחריות שנטל הנאשם על מעשיו, בשני התיקים שבכותרת, להודאתו שחסכה זמן שיפוטי משמעותי ולמעשה לכלל הנוגעים בתיקים אלה. </w:t>
      </w:r>
      <w:r w:rsidRPr="00530F70">
        <w:rPr>
          <w:rFonts w:ascii="David" w:hAnsi="David"/>
          <w:noProof/>
          <w:rtl/>
        </w:rPr>
        <w:t xml:space="preserve"> </w:t>
      </w:r>
    </w:p>
    <w:p w14:paraId="0F3F2D2A" w14:textId="77777777" w:rsidR="000E24D6" w:rsidRPr="00530F70" w:rsidRDefault="000E24D6" w:rsidP="000E24D6">
      <w:pPr>
        <w:spacing w:line="360" w:lineRule="auto"/>
        <w:jc w:val="both"/>
        <w:rPr>
          <w:rFonts w:ascii="David" w:hAnsi="David"/>
          <w:b/>
          <w:bCs/>
          <w:rtl/>
        </w:rPr>
      </w:pPr>
    </w:p>
    <w:p w14:paraId="05B45CFB" w14:textId="77777777" w:rsidR="000E24D6" w:rsidRPr="00F9435C" w:rsidRDefault="000E24D6" w:rsidP="000E24D6">
      <w:pPr>
        <w:spacing w:line="360" w:lineRule="auto"/>
        <w:jc w:val="both"/>
        <w:rPr>
          <w:rFonts w:ascii="David" w:hAnsi="David"/>
          <w:b/>
          <w:bCs/>
          <w:sz w:val="26"/>
          <w:szCs w:val="26"/>
          <w:u w:val="single"/>
          <w:rtl/>
        </w:rPr>
      </w:pPr>
      <w:r w:rsidRPr="00F9435C">
        <w:rPr>
          <w:rFonts w:ascii="David" w:hAnsi="David" w:hint="cs"/>
          <w:b/>
          <w:bCs/>
          <w:sz w:val="26"/>
          <w:szCs w:val="26"/>
          <w:u w:val="single"/>
          <w:rtl/>
        </w:rPr>
        <w:t xml:space="preserve">סוף דבר </w:t>
      </w:r>
    </w:p>
    <w:p w14:paraId="735FCFEA" w14:textId="77777777" w:rsidR="000E24D6" w:rsidRPr="00530F70" w:rsidRDefault="000E24D6" w:rsidP="000E24D6">
      <w:pPr>
        <w:spacing w:line="360" w:lineRule="auto"/>
        <w:jc w:val="both"/>
        <w:rPr>
          <w:rFonts w:ascii="David" w:hAnsi="David"/>
          <w:rtl/>
        </w:rPr>
      </w:pPr>
      <w:r w:rsidRPr="00530F70">
        <w:rPr>
          <w:rFonts w:ascii="David" w:hAnsi="David" w:hint="cs"/>
          <w:rtl/>
        </w:rPr>
        <w:t xml:space="preserve">מכלל </w:t>
      </w:r>
      <w:r>
        <w:rPr>
          <w:rFonts w:ascii="David" w:hAnsi="David" w:hint="cs"/>
          <w:rtl/>
        </w:rPr>
        <w:t xml:space="preserve">הדברים האמורים, </w:t>
      </w:r>
      <w:r w:rsidRPr="00530F70">
        <w:rPr>
          <w:rFonts w:ascii="David" w:hAnsi="David" w:hint="cs"/>
          <w:rtl/>
        </w:rPr>
        <w:t xml:space="preserve">מצאתי לגזור על הנאשם עונש כולל שיביא בחשבון , בין היתר, את מתחמי הענישה שנקבעו כאמור, לצד נסיבותיו האישיות שלא נעלמו מעיני, לרבות הודאתו והאחריות שנטל על מעשיו, כדלקמן: </w:t>
      </w:r>
      <w:r w:rsidRPr="00530F70">
        <w:rPr>
          <w:rFonts w:ascii="David" w:hAnsi="David"/>
          <w:rtl/>
        </w:rPr>
        <w:t xml:space="preserve"> </w:t>
      </w:r>
    </w:p>
    <w:p w14:paraId="3DB82FD5" w14:textId="77777777" w:rsidR="000E24D6" w:rsidRDefault="000E24D6" w:rsidP="000E24D6">
      <w:pPr>
        <w:spacing w:line="360" w:lineRule="auto"/>
        <w:jc w:val="both"/>
        <w:rPr>
          <w:rFonts w:ascii="David" w:hAnsi="David"/>
          <w:noProof/>
          <w:rtl/>
        </w:rPr>
      </w:pPr>
    </w:p>
    <w:p w14:paraId="5E0FC08A" w14:textId="77777777" w:rsidR="000E24D6" w:rsidRDefault="000E24D6" w:rsidP="000E24D6">
      <w:pPr>
        <w:numPr>
          <w:ilvl w:val="0"/>
          <w:numId w:val="1"/>
        </w:numPr>
        <w:spacing w:after="160" w:line="360" w:lineRule="auto"/>
        <w:ind w:left="509"/>
        <w:contextualSpacing/>
        <w:jc w:val="both"/>
        <w:rPr>
          <w:rFonts w:ascii="David" w:hAnsi="David"/>
        </w:rPr>
      </w:pPr>
      <w:r>
        <w:rPr>
          <w:rFonts w:ascii="David" w:hAnsi="David" w:hint="cs"/>
          <w:rtl/>
        </w:rPr>
        <w:t xml:space="preserve">70 </w:t>
      </w:r>
      <w:r>
        <w:rPr>
          <w:rFonts w:ascii="David" w:hAnsi="David"/>
          <w:rtl/>
        </w:rPr>
        <w:t>חודשי מאסר בפועל בניכוי ימי מעצרו על פי רישומי שב"ס</w:t>
      </w:r>
      <w:r>
        <w:rPr>
          <w:rFonts w:ascii="David" w:hAnsi="David" w:hint="cs"/>
          <w:rtl/>
        </w:rPr>
        <w:t xml:space="preserve"> בכל אחד מהתיקים שבכותרת</w:t>
      </w:r>
      <w:r>
        <w:rPr>
          <w:rFonts w:ascii="David" w:hAnsi="David"/>
          <w:rtl/>
        </w:rPr>
        <w:t>.</w:t>
      </w:r>
      <w:r>
        <w:rPr>
          <w:rFonts w:ascii="David" w:hAnsi="David" w:hint="cs"/>
          <w:rtl/>
        </w:rPr>
        <w:t xml:space="preserve"> למען הסר ספק, תקופת מאסר שריצה הנאשם במהלך תקופת מעצרו בשני התיקים האמורים, לא תנוכה. </w:t>
      </w:r>
    </w:p>
    <w:p w14:paraId="1D5A56E3" w14:textId="77777777" w:rsidR="000E24D6" w:rsidRPr="00C04DCB" w:rsidRDefault="000E24D6" w:rsidP="000E24D6">
      <w:pPr>
        <w:numPr>
          <w:ilvl w:val="0"/>
          <w:numId w:val="1"/>
        </w:numPr>
        <w:spacing w:after="160" w:line="360" w:lineRule="auto"/>
        <w:ind w:left="509"/>
        <w:contextualSpacing/>
        <w:jc w:val="both"/>
        <w:rPr>
          <w:rFonts w:ascii="David" w:hAnsi="David"/>
          <w:b/>
          <w:bCs/>
        </w:rPr>
      </w:pPr>
      <w:r>
        <w:rPr>
          <w:rFonts w:ascii="David" w:hAnsi="David" w:hint="cs"/>
          <w:rtl/>
        </w:rPr>
        <w:t>הפעלת מאסר על תנאי בן 10 מ</w:t>
      </w:r>
      <w:hyperlink r:id="rId87" w:history="1">
        <w:r w:rsidR="001B6A44" w:rsidRPr="001B6A44">
          <w:rPr>
            <w:rFonts w:ascii="David" w:hAnsi="David"/>
            <w:color w:val="0000FF"/>
            <w:u w:val="single"/>
            <w:rtl/>
          </w:rPr>
          <w:t>ת"פ 27269-02-19</w:t>
        </w:r>
      </w:hyperlink>
      <w:r>
        <w:rPr>
          <w:rFonts w:ascii="David" w:hAnsi="David" w:hint="cs"/>
          <w:rtl/>
        </w:rPr>
        <w:t xml:space="preserve">, מתוכם ירצה הנאשם 8 חודשים בחופף למאסר שהושת עליו בסעיף א', ו -2 חודשים במצטבר. </w:t>
      </w:r>
      <w:r w:rsidRPr="00C04DCB">
        <w:rPr>
          <w:rFonts w:ascii="David" w:hAnsi="David" w:hint="cs"/>
          <w:b/>
          <w:bCs/>
          <w:rtl/>
        </w:rPr>
        <w:t xml:space="preserve">סה"כ ירצה הנאשם 72 חודשי מאסר בפועל. </w:t>
      </w:r>
    </w:p>
    <w:p w14:paraId="2DC3F365"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rtl/>
        </w:rPr>
        <w:t>10 חודשי מאסר על תנאי, לתקופה של שלוש שנים מיום שחרורו ממאסר, והתנאי הוא שהנאשם לא יעבור עבירות סמים מסוג פשע.</w:t>
      </w:r>
    </w:p>
    <w:p w14:paraId="515D349E"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hint="cs"/>
          <w:rtl/>
        </w:rPr>
        <w:t>12</w:t>
      </w:r>
      <w:r>
        <w:rPr>
          <w:rFonts w:ascii="David" w:hAnsi="David"/>
          <w:rtl/>
        </w:rPr>
        <w:t xml:space="preserve"> חודשי מאסר על תנאי, לתקופה של שלוש שנים מיום שחרורו ממאסר, והתנאי הוא שהנאשם לא יעבור עב</w:t>
      </w:r>
      <w:r>
        <w:rPr>
          <w:rFonts w:ascii="David" w:hAnsi="David" w:hint="cs"/>
          <w:rtl/>
        </w:rPr>
        <w:t xml:space="preserve">ירות נשק </w:t>
      </w:r>
      <w:r>
        <w:rPr>
          <w:rFonts w:ascii="David" w:hAnsi="David"/>
          <w:rtl/>
        </w:rPr>
        <w:t>מסוג פשע.</w:t>
      </w:r>
    </w:p>
    <w:p w14:paraId="7FB883CF" w14:textId="77777777" w:rsidR="000E24D6" w:rsidRDefault="000E24D6" w:rsidP="000E24D6">
      <w:pPr>
        <w:spacing w:after="160" w:line="360" w:lineRule="auto"/>
        <w:contextualSpacing/>
        <w:jc w:val="both"/>
        <w:rPr>
          <w:rFonts w:ascii="David" w:hAnsi="David"/>
          <w:noProof/>
          <w:rtl/>
        </w:rPr>
      </w:pPr>
    </w:p>
    <w:p w14:paraId="64A5AA69" w14:textId="77777777" w:rsidR="000E24D6" w:rsidRDefault="000E24D6" w:rsidP="000E24D6">
      <w:pPr>
        <w:spacing w:after="160" w:line="360" w:lineRule="auto"/>
        <w:contextualSpacing/>
        <w:jc w:val="both"/>
        <w:rPr>
          <w:rFonts w:ascii="David" w:hAnsi="David"/>
          <w:noProof/>
        </w:rPr>
      </w:pPr>
    </w:p>
    <w:p w14:paraId="4287750E"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hint="cs"/>
          <w:noProof/>
          <w:rtl/>
        </w:rPr>
        <w:t xml:space="preserve">6 חודשי פסילה בפועל מלקבל או להחזיק רישיון נהיגה. </w:t>
      </w:r>
    </w:p>
    <w:p w14:paraId="61A27E0A"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hint="cs"/>
          <w:noProof/>
          <w:rtl/>
        </w:rPr>
        <w:t>הפעלת פסילה בת 6 חודשים מ</w:t>
      </w:r>
      <w:hyperlink r:id="rId88" w:history="1">
        <w:r w:rsidR="001B6A44" w:rsidRPr="001B6A44">
          <w:rPr>
            <w:rFonts w:ascii="David" w:hAnsi="David"/>
            <w:noProof/>
            <w:color w:val="0000FF"/>
            <w:u w:val="single"/>
            <w:rtl/>
          </w:rPr>
          <w:t>ת"פ 27269-02-19</w:t>
        </w:r>
      </w:hyperlink>
      <w:r>
        <w:rPr>
          <w:rFonts w:ascii="David" w:hAnsi="David" w:hint="cs"/>
          <w:rtl/>
        </w:rPr>
        <w:t xml:space="preserve"> במצטבר לפסילה שהושתה על הנאשם בסעיף ה' לעיל, ובסך הכל 12 חודשי פסילה </w:t>
      </w:r>
      <w:r>
        <w:rPr>
          <w:rFonts w:ascii="David" w:hAnsi="David" w:hint="cs"/>
          <w:noProof/>
          <w:rtl/>
        </w:rPr>
        <w:t xml:space="preserve">שמניינם יחל מיום שחרורו של הנאשם ממאסר, בכפוף להפקדת רישיון הנהיגה במזכירות בית המשפט. </w:t>
      </w:r>
    </w:p>
    <w:p w14:paraId="31CA2B50" w14:textId="77777777" w:rsidR="000E24D6" w:rsidRPr="00DD1614" w:rsidRDefault="000E24D6" w:rsidP="000E24D6">
      <w:pPr>
        <w:numPr>
          <w:ilvl w:val="0"/>
          <w:numId w:val="1"/>
        </w:numPr>
        <w:spacing w:after="160" w:line="360" w:lineRule="auto"/>
        <w:ind w:left="509"/>
        <w:contextualSpacing/>
        <w:jc w:val="both"/>
        <w:rPr>
          <w:rFonts w:ascii="David" w:hAnsi="David"/>
          <w:b/>
        </w:rPr>
      </w:pPr>
      <w:r w:rsidRPr="00DD1614">
        <w:rPr>
          <w:rFonts w:ascii="David" w:hAnsi="David"/>
          <w:rtl/>
        </w:rPr>
        <w:t xml:space="preserve">קנס בסך </w:t>
      </w:r>
      <w:r w:rsidRPr="00DD1614">
        <w:rPr>
          <w:rFonts w:ascii="David" w:hAnsi="David" w:hint="cs"/>
          <w:rtl/>
        </w:rPr>
        <w:t xml:space="preserve">10,000 </w:t>
      </w:r>
      <w:r w:rsidRPr="00DD1614">
        <w:rPr>
          <w:rFonts w:ascii="David" w:hAnsi="David"/>
          <w:rtl/>
        </w:rPr>
        <w:t xml:space="preserve">₪ או </w:t>
      </w:r>
      <w:r w:rsidRPr="00DD1614">
        <w:rPr>
          <w:rFonts w:ascii="David" w:hAnsi="David" w:hint="cs"/>
          <w:rtl/>
        </w:rPr>
        <w:t>30</w:t>
      </w:r>
      <w:r w:rsidRPr="00DD1614">
        <w:rPr>
          <w:rFonts w:ascii="David" w:hAnsi="David"/>
          <w:rtl/>
        </w:rPr>
        <w:t xml:space="preserve"> ימי מאסר תמורתו. הקנס ישולם </w:t>
      </w:r>
      <w:r>
        <w:rPr>
          <w:rFonts w:ascii="David" w:hAnsi="David" w:hint="cs"/>
          <w:rtl/>
        </w:rPr>
        <w:t xml:space="preserve">תוך 120 ימים מהיום, אחרת יישא הפרשי הצמדה וריבית כחוק. </w:t>
      </w:r>
    </w:p>
    <w:p w14:paraId="33EC6232" w14:textId="77777777" w:rsidR="000E24D6" w:rsidRPr="00DD1614" w:rsidRDefault="000E24D6" w:rsidP="000E24D6">
      <w:pPr>
        <w:spacing w:after="160" w:line="360" w:lineRule="auto"/>
        <w:ind w:left="509"/>
        <w:contextualSpacing/>
        <w:jc w:val="both"/>
        <w:rPr>
          <w:rFonts w:ascii="David" w:hAnsi="David"/>
          <w:b/>
          <w:rtl/>
        </w:rPr>
      </w:pPr>
    </w:p>
    <w:p w14:paraId="0E7FF29B" w14:textId="77777777" w:rsidR="000E24D6" w:rsidRDefault="001B6A44" w:rsidP="000E24D6">
      <w:pPr>
        <w:spacing w:line="360" w:lineRule="auto"/>
        <w:jc w:val="both"/>
        <w:rPr>
          <w:rFonts w:ascii="David" w:hAnsi="David"/>
          <w:b/>
          <w:bCs/>
          <w:rtl/>
        </w:rPr>
      </w:pPr>
      <w:r w:rsidRPr="001B6A44">
        <w:rPr>
          <w:rFonts w:ascii="David" w:hAnsi="David"/>
          <w:b/>
          <w:bCs/>
          <w:color w:val="FFFFFF"/>
          <w:sz w:val="2"/>
          <w:szCs w:val="2"/>
          <w:rtl/>
        </w:rPr>
        <w:t>5129371</w:t>
      </w:r>
      <w:r w:rsidR="000E24D6">
        <w:rPr>
          <w:rFonts w:ascii="David" w:hAnsi="David"/>
          <w:b/>
          <w:bCs/>
          <w:rtl/>
        </w:rPr>
        <w:t xml:space="preserve">צו כללי להשמדת מוצגי סמים. </w:t>
      </w:r>
    </w:p>
    <w:p w14:paraId="5D8AE100" w14:textId="77777777" w:rsidR="000E24D6" w:rsidRDefault="001B6A44" w:rsidP="000E24D6">
      <w:pPr>
        <w:spacing w:line="360" w:lineRule="auto"/>
        <w:jc w:val="both"/>
        <w:rPr>
          <w:rFonts w:ascii="David" w:hAnsi="David"/>
          <w:b/>
          <w:bCs/>
          <w:rtl/>
        </w:rPr>
      </w:pPr>
      <w:r w:rsidRPr="001B6A44">
        <w:rPr>
          <w:rFonts w:ascii="David" w:hAnsi="David"/>
          <w:b/>
          <w:bCs/>
          <w:color w:val="FFFFFF"/>
          <w:sz w:val="2"/>
          <w:szCs w:val="2"/>
          <w:rtl/>
        </w:rPr>
        <w:t>54678313</w:t>
      </w:r>
      <w:r w:rsidR="000E24D6">
        <w:rPr>
          <w:rFonts w:ascii="David" w:hAnsi="David"/>
          <w:b/>
          <w:bCs/>
          <w:rtl/>
        </w:rPr>
        <w:t xml:space="preserve">הודעה זכות הערעור. </w:t>
      </w:r>
    </w:p>
    <w:p w14:paraId="33E69BC9" w14:textId="77777777" w:rsidR="000E24D6" w:rsidRPr="000F2247" w:rsidRDefault="000E24D6" w:rsidP="000E24D6">
      <w:pPr>
        <w:rPr>
          <w:rFonts w:ascii="Arial" w:hAnsi="Arial"/>
          <w:b/>
          <w:bCs/>
          <w:sz w:val="26"/>
          <w:szCs w:val="26"/>
          <w:rtl/>
        </w:rPr>
      </w:pPr>
    </w:p>
    <w:p w14:paraId="30F33F3E" w14:textId="77777777" w:rsidR="000E24D6" w:rsidRPr="000F2247" w:rsidRDefault="001B6A44" w:rsidP="000E24D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אייר תשפ"ד, 16 מאי 2024, במעמד הצדדים. </w:t>
      </w:r>
      <w:bookmarkEnd w:id="8"/>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hint="cs"/>
          <w:b/>
          <w:bCs/>
          <w:sz w:val="26"/>
          <w:szCs w:val="26"/>
          <w:rtl/>
        </w:rPr>
        <w:t xml:space="preserve">         </w:t>
      </w:r>
    </w:p>
    <w:p w14:paraId="7ECE0376" w14:textId="77777777" w:rsidR="001B6A44" w:rsidRDefault="001B6A44" w:rsidP="001B6A44">
      <w:pPr>
        <w:rPr>
          <w:rtl/>
        </w:rPr>
      </w:pPr>
    </w:p>
    <w:p w14:paraId="4067D32F" w14:textId="77777777" w:rsidR="001B6A44" w:rsidRDefault="001B6A44" w:rsidP="001B6A44">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6A1D7BBA" w14:textId="77777777" w:rsidR="001D0B74" w:rsidRPr="001D0B74" w:rsidRDefault="001D0B74" w:rsidP="001D0B74">
      <w:pPr>
        <w:keepNext/>
        <w:rPr>
          <w:rFonts w:ascii="David" w:hAnsi="David"/>
          <w:color w:val="000000"/>
          <w:sz w:val="22"/>
          <w:szCs w:val="22"/>
          <w:rtl/>
        </w:rPr>
      </w:pPr>
    </w:p>
    <w:p w14:paraId="08207D9E" w14:textId="77777777" w:rsidR="001D0B74" w:rsidRPr="001D0B74" w:rsidRDefault="001D0B74" w:rsidP="001D0B74">
      <w:pPr>
        <w:keepNext/>
        <w:rPr>
          <w:rFonts w:ascii="David" w:hAnsi="David"/>
          <w:color w:val="000000"/>
          <w:sz w:val="22"/>
          <w:szCs w:val="22"/>
          <w:rtl/>
        </w:rPr>
      </w:pPr>
      <w:r w:rsidRPr="001D0B74">
        <w:rPr>
          <w:rFonts w:ascii="David" w:hAnsi="David"/>
          <w:color w:val="000000"/>
          <w:sz w:val="22"/>
          <w:szCs w:val="22"/>
          <w:rtl/>
        </w:rPr>
        <w:t>שוש שטרית 54678313-/</w:t>
      </w:r>
    </w:p>
    <w:p w14:paraId="617FD137" w14:textId="77777777" w:rsidR="001B6A44" w:rsidRPr="001B6A44" w:rsidRDefault="001D0B74" w:rsidP="001D0B74">
      <w:pPr>
        <w:rPr>
          <w:color w:val="0000FF"/>
          <w:u w:val="single"/>
        </w:rPr>
      </w:pPr>
      <w:r w:rsidRPr="001D0B74">
        <w:rPr>
          <w:color w:val="000000"/>
          <w:u w:val="single"/>
          <w:rtl/>
        </w:rPr>
        <w:t>נוסח מסמך זה כפוף לשינויי ניסוח ועריכה</w:t>
      </w:r>
    </w:p>
    <w:sectPr w:rsidR="001B6A44" w:rsidRPr="001B6A44" w:rsidSect="001D0B74">
      <w:headerReference w:type="even" r:id="rId90"/>
      <w:headerReference w:type="default" r:id="rId91"/>
      <w:footerReference w:type="even" r:id="rId92"/>
      <w:footerReference w:type="default" r:id="rId9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80859" w14:textId="77777777" w:rsidR="00BE26F7" w:rsidRDefault="00BE26F7" w:rsidP="00A75C77">
      <w:r>
        <w:separator/>
      </w:r>
    </w:p>
  </w:endnote>
  <w:endnote w:type="continuationSeparator" w:id="0">
    <w:p w14:paraId="0334CCC4" w14:textId="77777777" w:rsidR="00BE26F7" w:rsidRDefault="00BE26F7" w:rsidP="00A7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69AB6" w14:textId="77777777" w:rsidR="001D0B74" w:rsidRDefault="001D0B74" w:rsidP="001D0B7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29E8E5" w14:textId="77777777" w:rsidR="00AC3BB7" w:rsidRPr="001D0B74" w:rsidRDefault="001D0B74" w:rsidP="001D0B74">
    <w:pPr>
      <w:pStyle w:val="a5"/>
      <w:pBdr>
        <w:top w:val="single" w:sz="4" w:space="1" w:color="auto"/>
        <w:between w:val="single" w:sz="4" w:space="0" w:color="auto"/>
      </w:pBdr>
      <w:spacing w:after="60"/>
      <w:jc w:val="center"/>
      <w:rPr>
        <w:rFonts w:ascii="FrankRuehl" w:hAnsi="FrankRuehl" w:cs="FrankRuehl"/>
        <w:color w:val="000000"/>
      </w:rPr>
    </w:pPr>
    <w:r w:rsidRPr="001D0B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E69D" w14:textId="77777777" w:rsidR="001D0B74" w:rsidRDefault="001D0B74" w:rsidP="001D0B7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7F03">
      <w:rPr>
        <w:rFonts w:ascii="FrankRuehl" w:hAnsi="FrankRuehl" w:cs="FrankRuehl"/>
        <w:noProof/>
        <w:rtl/>
      </w:rPr>
      <w:t>1</w:t>
    </w:r>
    <w:r>
      <w:rPr>
        <w:rFonts w:ascii="FrankRuehl" w:hAnsi="FrankRuehl" w:cs="FrankRuehl"/>
        <w:rtl/>
      </w:rPr>
      <w:fldChar w:fldCharType="end"/>
    </w:r>
  </w:p>
  <w:p w14:paraId="46521A7B" w14:textId="77777777" w:rsidR="00AC3BB7" w:rsidRPr="001D0B74" w:rsidRDefault="001D0B74" w:rsidP="001D0B74">
    <w:pPr>
      <w:pStyle w:val="a5"/>
      <w:pBdr>
        <w:top w:val="single" w:sz="4" w:space="1" w:color="auto"/>
        <w:between w:val="single" w:sz="4" w:space="0" w:color="auto"/>
      </w:pBdr>
      <w:spacing w:after="60"/>
      <w:jc w:val="center"/>
      <w:rPr>
        <w:rFonts w:ascii="FrankRuehl" w:hAnsi="FrankRuehl" w:cs="FrankRuehl"/>
        <w:color w:val="000000"/>
      </w:rPr>
    </w:pPr>
    <w:r w:rsidRPr="001D0B74">
      <w:rPr>
        <w:rFonts w:ascii="FrankRuehl" w:hAnsi="FrankRuehl" w:cs="FrankRuehl"/>
        <w:color w:val="000000"/>
      </w:rPr>
      <w:pict w14:anchorId="08CAA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8F708" w14:textId="77777777" w:rsidR="00BE26F7" w:rsidRDefault="00BE26F7" w:rsidP="00A75C77">
      <w:r>
        <w:separator/>
      </w:r>
    </w:p>
  </w:footnote>
  <w:footnote w:type="continuationSeparator" w:id="0">
    <w:p w14:paraId="597690AE" w14:textId="77777777" w:rsidR="00BE26F7" w:rsidRDefault="00BE26F7" w:rsidP="00A75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93764" w14:textId="77777777" w:rsidR="001B6A44" w:rsidRPr="001D0B74" w:rsidRDefault="001D0B74" w:rsidP="001D0B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27417-07-23</w:t>
    </w:r>
    <w:r>
      <w:rPr>
        <w:rFonts w:ascii="David" w:hAnsi="David"/>
        <w:color w:val="000000"/>
        <w:sz w:val="22"/>
        <w:szCs w:val="22"/>
        <w:rtl/>
      </w:rPr>
      <w:tab/>
      <w:t xml:space="preserve"> מדינת ישראל נ' יוחאי ביטון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F02D9" w14:textId="77777777" w:rsidR="001B6A44" w:rsidRPr="001D0B74" w:rsidRDefault="001D0B74" w:rsidP="001D0B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27417-07-23</w:t>
    </w:r>
    <w:r>
      <w:rPr>
        <w:rFonts w:ascii="David" w:hAnsi="David"/>
        <w:color w:val="000000"/>
        <w:sz w:val="22"/>
        <w:szCs w:val="22"/>
        <w:rtl/>
      </w:rPr>
      <w:tab/>
      <w:t xml:space="preserve"> מדינת ישראל נ' יוחאי ביטון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03636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24D6"/>
    <w:rsid w:val="000E24D6"/>
    <w:rsid w:val="000E2BDB"/>
    <w:rsid w:val="001644B3"/>
    <w:rsid w:val="00197C66"/>
    <w:rsid w:val="001B6A44"/>
    <w:rsid w:val="001D0B74"/>
    <w:rsid w:val="00325C0F"/>
    <w:rsid w:val="00461639"/>
    <w:rsid w:val="007100F2"/>
    <w:rsid w:val="00907F03"/>
    <w:rsid w:val="009470BC"/>
    <w:rsid w:val="009A4E4C"/>
    <w:rsid w:val="00A75C77"/>
    <w:rsid w:val="00AC3BB7"/>
    <w:rsid w:val="00B16FE9"/>
    <w:rsid w:val="00BE26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FF8D4B"/>
  <w15:chartTrackingRefBased/>
  <w15:docId w15:val="{22BD95C4-1EC7-44A2-B57B-CEE49D73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24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24D6"/>
    <w:pPr>
      <w:tabs>
        <w:tab w:val="center" w:pos="4153"/>
        <w:tab w:val="right" w:pos="8306"/>
      </w:tabs>
    </w:pPr>
  </w:style>
  <w:style w:type="character" w:customStyle="1" w:styleId="a4">
    <w:name w:val="כותרת עליונה תו"/>
    <w:link w:val="a3"/>
    <w:rsid w:val="000E24D6"/>
    <w:rPr>
      <w:rFonts w:ascii="Times New Roman" w:eastAsia="Times New Roman" w:hAnsi="Times New Roman" w:cs="David"/>
      <w:sz w:val="24"/>
      <w:szCs w:val="24"/>
    </w:rPr>
  </w:style>
  <w:style w:type="paragraph" w:styleId="a5">
    <w:name w:val="footer"/>
    <w:basedOn w:val="a"/>
    <w:link w:val="a6"/>
    <w:rsid w:val="000E24D6"/>
    <w:pPr>
      <w:tabs>
        <w:tab w:val="center" w:pos="4153"/>
        <w:tab w:val="right" w:pos="8306"/>
      </w:tabs>
    </w:pPr>
  </w:style>
  <w:style w:type="character" w:customStyle="1" w:styleId="a6">
    <w:name w:val="כותרת תחתונה תו"/>
    <w:link w:val="a5"/>
    <w:rsid w:val="000E24D6"/>
    <w:rPr>
      <w:rFonts w:ascii="Times New Roman" w:eastAsia="Times New Roman" w:hAnsi="Times New Roman" w:cs="David"/>
      <w:sz w:val="24"/>
      <w:szCs w:val="24"/>
    </w:rPr>
  </w:style>
  <w:style w:type="table" w:styleId="a7">
    <w:name w:val="Table Grid"/>
    <w:basedOn w:val="a1"/>
    <w:rsid w:val="000E24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24D6"/>
  </w:style>
  <w:style w:type="character" w:styleId="Hyperlink">
    <w:name w:val="Hyperlink"/>
    <w:rsid w:val="000E2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9829608"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6034921"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8032816"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4216/13;19" TargetMode="External"/><Relationship Id="rId11" Type="http://schemas.openxmlformats.org/officeDocument/2006/relationships/hyperlink" Target="http://www.nevo.co.il/law/4216/19" TargetMode="External"/><Relationship Id="rId32" Type="http://schemas.openxmlformats.org/officeDocument/2006/relationships/hyperlink" Target="http://www.nevo.co.il/case/29447427" TargetMode="External"/><Relationship Id="rId37" Type="http://schemas.openxmlformats.org/officeDocument/2006/relationships/hyperlink" Target="http://www.nevo.co.il/case/29447427" TargetMode="External"/><Relationship Id="rId53" Type="http://schemas.openxmlformats.org/officeDocument/2006/relationships/hyperlink" Target="http://www.nevo.co.il/case/28086930" TargetMode="External"/><Relationship Id="rId58" Type="http://schemas.openxmlformats.org/officeDocument/2006/relationships/hyperlink" Target="http://www.nevo.co.il/case/22228300" TargetMode="External"/><Relationship Id="rId74" Type="http://schemas.openxmlformats.org/officeDocument/2006/relationships/hyperlink" Target="http://www.nevo.co.il/case/26816262" TargetMode="External"/><Relationship Id="rId79" Type="http://schemas.openxmlformats.org/officeDocument/2006/relationships/hyperlink" Target="http://www.nevo.co.il/case/28413605"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31" TargetMode="External"/><Relationship Id="rId27" Type="http://schemas.openxmlformats.org/officeDocument/2006/relationships/hyperlink" Target="http://www.nevo.co.il/case/29829608" TargetMode="External"/><Relationship Id="rId43" Type="http://schemas.openxmlformats.org/officeDocument/2006/relationships/hyperlink" Target="http://www.nevo.co.il/case/29447427" TargetMode="External"/><Relationship Id="rId48" Type="http://schemas.openxmlformats.org/officeDocument/2006/relationships/hyperlink" Target="http://www.nevo.co.il/case/27268248" TargetMode="External"/><Relationship Id="rId64" Type="http://schemas.openxmlformats.org/officeDocument/2006/relationships/hyperlink" Target="http://www.nevo.co.il/case/24263578" TargetMode="External"/><Relationship Id="rId69" Type="http://schemas.openxmlformats.org/officeDocument/2006/relationships/hyperlink" Target="http://www.nevo.co.il/case/28513828"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5738608" TargetMode="External"/><Relationship Id="rId72" Type="http://schemas.openxmlformats.org/officeDocument/2006/relationships/hyperlink" Target="http://www.nevo.co.il/case/28413605" TargetMode="External"/><Relationship Id="rId80" Type="http://schemas.openxmlformats.org/officeDocument/2006/relationships/hyperlink" Target="http://www.nevo.co.il/case/27502726" TargetMode="External"/><Relationship Id="rId85" Type="http://schemas.openxmlformats.org/officeDocument/2006/relationships/hyperlink" Target="http://www.nevo.co.il/case/27425003"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9829608" TargetMode="External"/><Relationship Id="rId38" Type="http://schemas.openxmlformats.org/officeDocument/2006/relationships/hyperlink" Target="http://www.nevo.co.il/case/25439097" TargetMode="External"/><Relationship Id="rId46" Type="http://schemas.openxmlformats.org/officeDocument/2006/relationships/hyperlink" Target="http://www.nevo.co.il/case/29829608" TargetMode="External"/><Relationship Id="rId59" Type="http://schemas.openxmlformats.org/officeDocument/2006/relationships/hyperlink" Target="http://www.nevo.co.il/case/29447427" TargetMode="External"/><Relationship Id="rId67" Type="http://schemas.openxmlformats.org/officeDocument/2006/relationships/hyperlink" Target="http://www.nevo.co.il/case/2760387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9447427" TargetMode="External"/><Relationship Id="rId54" Type="http://schemas.openxmlformats.org/officeDocument/2006/relationships/hyperlink" Target="http://www.nevo.co.il/case/22505524" TargetMode="External"/><Relationship Id="rId62" Type="http://schemas.openxmlformats.org/officeDocument/2006/relationships/hyperlink" Target="http://www.nevo.co.il/case/29849134" TargetMode="External"/><Relationship Id="rId70" Type="http://schemas.openxmlformats.org/officeDocument/2006/relationships/hyperlink" Target="http://www.nevo.co.il/case/27502726" TargetMode="External"/><Relationship Id="rId75" Type="http://schemas.openxmlformats.org/officeDocument/2006/relationships/hyperlink" Target="http://www.nevo.co.il/case/26103748" TargetMode="External"/><Relationship Id="rId83" Type="http://schemas.openxmlformats.org/officeDocument/2006/relationships/hyperlink" Target="http://www.nevo.co.il/case/29447426" TargetMode="External"/><Relationship Id="rId88" Type="http://schemas.openxmlformats.org/officeDocument/2006/relationships/hyperlink" Target="http://www.nevo.co.il/case/25439097"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9829608"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29447426" TargetMode="External"/><Relationship Id="rId36" Type="http://schemas.openxmlformats.org/officeDocument/2006/relationships/hyperlink" Target="http://www.nevo.co.il/case/29447427" TargetMode="External"/><Relationship Id="rId49" Type="http://schemas.openxmlformats.org/officeDocument/2006/relationships/hyperlink" Target="http://www.nevo.co.il/case/5726579" TargetMode="External"/><Relationship Id="rId57" Type="http://schemas.openxmlformats.org/officeDocument/2006/relationships/hyperlink" Target="http://www.nevo.co.il/case/27168665"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9447427" TargetMode="External"/><Relationship Id="rId44" Type="http://schemas.openxmlformats.org/officeDocument/2006/relationships/hyperlink" Target="http://www.nevo.co.il/case/24884205" TargetMode="External"/><Relationship Id="rId52" Type="http://schemas.openxmlformats.org/officeDocument/2006/relationships/hyperlink" Target="http://www.nevo.co.il/case/29090023" TargetMode="External"/><Relationship Id="rId60" Type="http://schemas.openxmlformats.org/officeDocument/2006/relationships/hyperlink" Target="http://www.nevo.co.il/law/4216" TargetMode="External"/><Relationship Id="rId65" Type="http://schemas.openxmlformats.org/officeDocument/2006/relationships/hyperlink" Target="http://www.nevo.co.il/case/25824863" TargetMode="External"/><Relationship Id="rId73" Type="http://schemas.openxmlformats.org/officeDocument/2006/relationships/hyperlink" Target="http://www.nevo.co.il/case/26913995" TargetMode="External"/><Relationship Id="rId78" Type="http://schemas.openxmlformats.org/officeDocument/2006/relationships/hyperlink" Target="http://www.nevo.co.il/case/28228343" TargetMode="External"/><Relationship Id="rId81" Type="http://schemas.openxmlformats.org/officeDocument/2006/relationships/hyperlink" Target="http://www.nevo.co.il/case/6949290" TargetMode="External"/><Relationship Id="rId86" Type="http://schemas.openxmlformats.org/officeDocument/2006/relationships/hyperlink" Target="http://www.nevo.co.il/case/25439097"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1" TargetMode="External"/><Relationship Id="rId18" Type="http://schemas.openxmlformats.org/officeDocument/2006/relationships/hyperlink" Target="http://www.nevo.co.il/case/29447427" TargetMode="External"/><Relationship Id="rId39" Type="http://schemas.openxmlformats.org/officeDocument/2006/relationships/hyperlink" Target="http://www.nevo.co.il/case/27425003" TargetMode="External"/><Relationship Id="rId34" Type="http://schemas.openxmlformats.org/officeDocument/2006/relationships/hyperlink" Target="http://www.nevo.co.il/case/29829608" TargetMode="External"/><Relationship Id="rId50" Type="http://schemas.openxmlformats.org/officeDocument/2006/relationships/hyperlink" Target="http://www.nevo.co.il/case/5698919" TargetMode="External"/><Relationship Id="rId55" Type="http://schemas.openxmlformats.org/officeDocument/2006/relationships/hyperlink" Target="http://www.nevo.co.il/case/22864362" TargetMode="External"/><Relationship Id="rId76" Type="http://schemas.openxmlformats.org/officeDocument/2006/relationships/hyperlink" Target="http://www.nevo.co.il/case/24288345" TargetMode="External"/><Relationship Id="rId7" Type="http://schemas.openxmlformats.org/officeDocument/2006/relationships/hyperlink" Target="http://www.nevo.co.il/law/4216" TargetMode="External"/><Relationship Id="rId71" Type="http://schemas.openxmlformats.org/officeDocument/2006/relationships/hyperlink" Target="http://www.nevo.co.il/case/29867910"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case/29447426" TargetMode="External"/><Relationship Id="rId24" Type="http://schemas.openxmlformats.org/officeDocument/2006/relationships/hyperlink" Target="http://www.nevo.co.il/law/4216/7.a" TargetMode="External"/><Relationship Id="rId40" Type="http://schemas.openxmlformats.org/officeDocument/2006/relationships/hyperlink" Target="http://www.nevo.co.il/case/29829608" TargetMode="External"/><Relationship Id="rId45" Type="http://schemas.openxmlformats.org/officeDocument/2006/relationships/hyperlink" Target="http://www.nevo.co.il/case/22905664" TargetMode="External"/><Relationship Id="rId66" Type="http://schemas.openxmlformats.org/officeDocument/2006/relationships/hyperlink" Target="http://www.nevo.co.il/case/25520167" TargetMode="External"/><Relationship Id="rId87" Type="http://schemas.openxmlformats.org/officeDocument/2006/relationships/hyperlink" Target="http://www.nevo.co.il/case/25439097" TargetMode="External"/><Relationship Id="rId61" Type="http://schemas.openxmlformats.org/officeDocument/2006/relationships/hyperlink" Target="http://www.nevo.co.il/case/27848746" TargetMode="External"/><Relationship Id="rId82" Type="http://schemas.openxmlformats.org/officeDocument/2006/relationships/hyperlink" Target="http://www.nevo.co.il/case/29829608"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case/29447426" TargetMode="External"/><Relationship Id="rId35" Type="http://schemas.openxmlformats.org/officeDocument/2006/relationships/hyperlink" Target="http://www.nevo.co.il/case/29829608" TargetMode="External"/><Relationship Id="rId56" Type="http://schemas.openxmlformats.org/officeDocument/2006/relationships/hyperlink" Target="http://www.nevo.co.il/case/29083125" TargetMode="External"/><Relationship Id="rId77" Type="http://schemas.openxmlformats.org/officeDocument/2006/relationships/hyperlink" Target="http://www.nevo.co.il/case/289277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7602</Words>
  <Characters>38015</Characters>
  <Application>Microsoft Office Word</Application>
  <DocSecurity>0</DocSecurity>
  <Lines>316</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45526</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3539058</vt:i4>
      </vt:variant>
      <vt:variant>
        <vt:i4>243</vt:i4>
      </vt:variant>
      <vt:variant>
        <vt:i4>0</vt:i4>
      </vt:variant>
      <vt:variant>
        <vt:i4>5</vt:i4>
      </vt:variant>
      <vt:variant>
        <vt:lpwstr>http://www.nevo.co.il/case/25439097</vt:lpwstr>
      </vt:variant>
      <vt:variant>
        <vt:lpwstr/>
      </vt:variant>
      <vt:variant>
        <vt:i4>3539058</vt:i4>
      </vt:variant>
      <vt:variant>
        <vt:i4>240</vt:i4>
      </vt:variant>
      <vt:variant>
        <vt:i4>0</vt:i4>
      </vt:variant>
      <vt:variant>
        <vt:i4>5</vt:i4>
      </vt:variant>
      <vt:variant>
        <vt:lpwstr>http://www.nevo.co.il/case/25439097</vt:lpwstr>
      </vt:variant>
      <vt:variant>
        <vt:lpwstr/>
      </vt:variant>
      <vt:variant>
        <vt:i4>3539058</vt:i4>
      </vt:variant>
      <vt:variant>
        <vt:i4>237</vt:i4>
      </vt:variant>
      <vt:variant>
        <vt:i4>0</vt:i4>
      </vt:variant>
      <vt:variant>
        <vt:i4>5</vt:i4>
      </vt:variant>
      <vt:variant>
        <vt:lpwstr>http://www.nevo.co.il/case/25439097</vt:lpwstr>
      </vt:variant>
      <vt:variant>
        <vt:lpwstr/>
      </vt:variant>
      <vt:variant>
        <vt:i4>3342449</vt:i4>
      </vt:variant>
      <vt:variant>
        <vt:i4>234</vt:i4>
      </vt:variant>
      <vt:variant>
        <vt:i4>0</vt:i4>
      </vt:variant>
      <vt:variant>
        <vt:i4>5</vt:i4>
      </vt:variant>
      <vt:variant>
        <vt:lpwstr>http://www.nevo.co.il/case/27425003</vt:lpwstr>
      </vt:variant>
      <vt:variant>
        <vt:lpwstr/>
      </vt:variant>
      <vt:variant>
        <vt:i4>3211383</vt:i4>
      </vt:variant>
      <vt:variant>
        <vt:i4>231</vt:i4>
      </vt:variant>
      <vt:variant>
        <vt:i4>0</vt:i4>
      </vt:variant>
      <vt:variant>
        <vt:i4>5</vt:i4>
      </vt:variant>
      <vt:variant>
        <vt:lpwstr>http://www.nevo.co.il/case/28032816</vt:lpwstr>
      </vt:variant>
      <vt:variant>
        <vt:lpwstr/>
      </vt:variant>
      <vt:variant>
        <vt:i4>3342461</vt:i4>
      </vt:variant>
      <vt:variant>
        <vt:i4>228</vt:i4>
      </vt:variant>
      <vt:variant>
        <vt:i4>0</vt:i4>
      </vt:variant>
      <vt:variant>
        <vt:i4>5</vt:i4>
      </vt:variant>
      <vt:variant>
        <vt:lpwstr>http://www.nevo.co.il/case/29447426</vt:lpwstr>
      </vt:variant>
      <vt:variant>
        <vt:lpwstr/>
      </vt:variant>
      <vt:variant>
        <vt:i4>3342457</vt:i4>
      </vt:variant>
      <vt:variant>
        <vt:i4>225</vt:i4>
      </vt:variant>
      <vt:variant>
        <vt:i4>0</vt:i4>
      </vt:variant>
      <vt:variant>
        <vt:i4>5</vt:i4>
      </vt:variant>
      <vt:variant>
        <vt:lpwstr>http://www.nevo.co.il/case/29829608</vt:lpwstr>
      </vt:variant>
      <vt:variant>
        <vt:lpwstr/>
      </vt:variant>
      <vt:variant>
        <vt:i4>3145853</vt:i4>
      </vt:variant>
      <vt:variant>
        <vt:i4>222</vt:i4>
      </vt:variant>
      <vt:variant>
        <vt:i4>0</vt:i4>
      </vt:variant>
      <vt:variant>
        <vt:i4>5</vt:i4>
      </vt:variant>
      <vt:variant>
        <vt:lpwstr>http://www.nevo.co.il/case/6949290</vt:lpwstr>
      </vt:variant>
      <vt:variant>
        <vt:lpwstr/>
      </vt:variant>
      <vt:variant>
        <vt:i4>3604596</vt:i4>
      </vt:variant>
      <vt:variant>
        <vt:i4>219</vt:i4>
      </vt:variant>
      <vt:variant>
        <vt:i4>0</vt:i4>
      </vt:variant>
      <vt:variant>
        <vt:i4>5</vt:i4>
      </vt:variant>
      <vt:variant>
        <vt:lpwstr>http://www.nevo.co.il/case/27502726</vt:lpwstr>
      </vt:variant>
      <vt:variant>
        <vt:lpwstr/>
      </vt:variant>
      <vt:variant>
        <vt:i4>3473531</vt:i4>
      </vt:variant>
      <vt:variant>
        <vt:i4>216</vt:i4>
      </vt:variant>
      <vt:variant>
        <vt:i4>0</vt:i4>
      </vt:variant>
      <vt:variant>
        <vt:i4>5</vt:i4>
      </vt:variant>
      <vt:variant>
        <vt:lpwstr>http://www.nevo.co.il/case/28413605</vt:lpwstr>
      </vt:variant>
      <vt:variant>
        <vt:lpwstr/>
      </vt:variant>
      <vt:variant>
        <vt:i4>3932285</vt:i4>
      </vt:variant>
      <vt:variant>
        <vt:i4>213</vt:i4>
      </vt:variant>
      <vt:variant>
        <vt:i4>0</vt:i4>
      </vt:variant>
      <vt:variant>
        <vt:i4>5</vt:i4>
      </vt:variant>
      <vt:variant>
        <vt:lpwstr>http://www.nevo.co.il/case/28228343</vt:lpwstr>
      </vt:variant>
      <vt:variant>
        <vt:lpwstr/>
      </vt:variant>
      <vt:variant>
        <vt:i4>3407993</vt:i4>
      </vt:variant>
      <vt:variant>
        <vt:i4>210</vt:i4>
      </vt:variant>
      <vt:variant>
        <vt:i4>0</vt:i4>
      </vt:variant>
      <vt:variant>
        <vt:i4>5</vt:i4>
      </vt:variant>
      <vt:variant>
        <vt:lpwstr>http://www.nevo.co.il/case/28927784</vt:lpwstr>
      </vt:variant>
      <vt:variant>
        <vt:lpwstr/>
      </vt:variant>
      <vt:variant>
        <vt:i4>3932283</vt:i4>
      </vt:variant>
      <vt:variant>
        <vt:i4>207</vt:i4>
      </vt:variant>
      <vt:variant>
        <vt:i4>0</vt:i4>
      </vt:variant>
      <vt:variant>
        <vt:i4>5</vt:i4>
      </vt:variant>
      <vt:variant>
        <vt:lpwstr>http://www.nevo.co.il/case/24288345</vt:lpwstr>
      </vt:variant>
      <vt:variant>
        <vt:lpwstr/>
      </vt:variant>
      <vt:variant>
        <vt:i4>3407989</vt:i4>
      </vt:variant>
      <vt:variant>
        <vt:i4>204</vt:i4>
      </vt:variant>
      <vt:variant>
        <vt:i4>0</vt:i4>
      </vt:variant>
      <vt:variant>
        <vt:i4>5</vt:i4>
      </vt:variant>
      <vt:variant>
        <vt:lpwstr>http://www.nevo.co.il/case/26103748</vt:lpwstr>
      </vt:variant>
      <vt:variant>
        <vt:lpwstr/>
      </vt:variant>
      <vt:variant>
        <vt:i4>3801201</vt:i4>
      </vt:variant>
      <vt:variant>
        <vt:i4>201</vt:i4>
      </vt:variant>
      <vt:variant>
        <vt:i4>0</vt:i4>
      </vt:variant>
      <vt:variant>
        <vt:i4>5</vt:i4>
      </vt:variant>
      <vt:variant>
        <vt:lpwstr>http://www.nevo.co.il/case/26816262</vt:lpwstr>
      </vt:variant>
      <vt:variant>
        <vt:lpwstr/>
      </vt:variant>
      <vt:variant>
        <vt:i4>3211386</vt:i4>
      </vt:variant>
      <vt:variant>
        <vt:i4>198</vt:i4>
      </vt:variant>
      <vt:variant>
        <vt:i4>0</vt:i4>
      </vt:variant>
      <vt:variant>
        <vt:i4>5</vt:i4>
      </vt:variant>
      <vt:variant>
        <vt:lpwstr>http://www.nevo.co.il/case/26913995</vt:lpwstr>
      </vt:variant>
      <vt:variant>
        <vt:lpwstr/>
      </vt:variant>
      <vt:variant>
        <vt:i4>3473531</vt:i4>
      </vt:variant>
      <vt:variant>
        <vt:i4>195</vt:i4>
      </vt:variant>
      <vt:variant>
        <vt:i4>0</vt:i4>
      </vt:variant>
      <vt:variant>
        <vt:i4>5</vt:i4>
      </vt:variant>
      <vt:variant>
        <vt:lpwstr>http://www.nevo.co.il/case/28413605</vt:lpwstr>
      </vt:variant>
      <vt:variant>
        <vt:lpwstr/>
      </vt:variant>
      <vt:variant>
        <vt:i4>3932274</vt:i4>
      </vt:variant>
      <vt:variant>
        <vt:i4>192</vt:i4>
      </vt:variant>
      <vt:variant>
        <vt:i4>0</vt:i4>
      </vt:variant>
      <vt:variant>
        <vt:i4>5</vt:i4>
      </vt:variant>
      <vt:variant>
        <vt:lpwstr>http://www.nevo.co.il/case/29867910</vt:lpwstr>
      </vt:variant>
      <vt:variant>
        <vt:lpwstr/>
      </vt:variant>
      <vt:variant>
        <vt:i4>3604596</vt:i4>
      </vt:variant>
      <vt:variant>
        <vt:i4>189</vt:i4>
      </vt:variant>
      <vt:variant>
        <vt:i4>0</vt:i4>
      </vt:variant>
      <vt:variant>
        <vt:i4>5</vt:i4>
      </vt:variant>
      <vt:variant>
        <vt:lpwstr>http://www.nevo.co.il/case/27502726</vt:lpwstr>
      </vt:variant>
      <vt:variant>
        <vt:lpwstr/>
      </vt:variant>
      <vt:variant>
        <vt:i4>3539061</vt:i4>
      </vt:variant>
      <vt:variant>
        <vt:i4>186</vt:i4>
      </vt:variant>
      <vt:variant>
        <vt:i4>0</vt:i4>
      </vt:variant>
      <vt:variant>
        <vt:i4>5</vt:i4>
      </vt:variant>
      <vt:variant>
        <vt:lpwstr>http://www.nevo.co.il/case/28513828</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3145851</vt:i4>
      </vt:variant>
      <vt:variant>
        <vt:i4>180</vt:i4>
      </vt:variant>
      <vt:variant>
        <vt:i4>0</vt:i4>
      </vt:variant>
      <vt:variant>
        <vt:i4>5</vt:i4>
      </vt:variant>
      <vt:variant>
        <vt:lpwstr>http://www.nevo.co.il/case/27603872</vt:lpwstr>
      </vt:variant>
      <vt:variant>
        <vt:lpwstr/>
      </vt:variant>
      <vt:variant>
        <vt:i4>3211378</vt:i4>
      </vt:variant>
      <vt:variant>
        <vt:i4>177</vt:i4>
      </vt:variant>
      <vt:variant>
        <vt:i4>0</vt:i4>
      </vt:variant>
      <vt:variant>
        <vt:i4>5</vt:i4>
      </vt:variant>
      <vt:variant>
        <vt:lpwstr>http://www.nevo.co.il/case/25520167</vt:lpwstr>
      </vt:variant>
      <vt:variant>
        <vt:lpwstr/>
      </vt:variant>
      <vt:variant>
        <vt:i4>3670139</vt:i4>
      </vt:variant>
      <vt:variant>
        <vt:i4>174</vt:i4>
      </vt:variant>
      <vt:variant>
        <vt:i4>0</vt:i4>
      </vt:variant>
      <vt:variant>
        <vt:i4>5</vt:i4>
      </vt:variant>
      <vt:variant>
        <vt:lpwstr>http://www.nevo.co.il/case/25824863</vt:lpwstr>
      </vt:variant>
      <vt:variant>
        <vt:lpwstr/>
      </vt:variant>
      <vt:variant>
        <vt:i4>3407987</vt:i4>
      </vt:variant>
      <vt:variant>
        <vt:i4>171</vt:i4>
      </vt:variant>
      <vt:variant>
        <vt:i4>0</vt:i4>
      </vt:variant>
      <vt:variant>
        <vt:i4>5</vt:i4>
      </vt:variant>
      <vt:variant>
        <vt:lpwstr>http://www.nevo.co.il/case/24263578</vt:lpwstr>
      </vt:variant>
      <vt:variant>
        <vt:lpwstr/>
      </vt:variant>
      <vt:variant>
        <vt:i4>3997810</vt:i4>
      </vt:variant>
      <vt:variant>
        <vt:i4>168</vt:i4>
      </vt:variant>
      <vt:variant>
        <vt:i4>0</vt:i4>
      </vt:variant>
      <vt:variant>
        <vt:i4>5</vt:i4>
      </vt:variant>
      <vt:variant>
        <vt:lpwstr>http://www.nevo.co.il/case/6034921</vt:lpwstr>
      </vt:variant>
      <vt:variant>
        <vt:lpwstr/>
      </vt:variant>
      <vt:variant>
        <vt:i4>3145848</vt:i4>
      </vt:variant>
      <vt:variant>
        <vt:i4>165</vt:i4>
      </vt:variant>
      <vt:variant>
        <vt:i4>0</vt:i4>
      </vt:variant>
      <vt:variant>
        <vt:i4>5</vt:i4>
      </vt:variant>
      <vt:variant>
        <vt:lpwstr>http://www.nevo.co.il/case/29849134</vt:lpwstr>
      </vt:variant>
      <vt:variant>
        <vt:lpwstr/>
      </vt:variant>
      <vt:variant>
        <vt:i4>3539056</vt:i4>
      </vt:variant>
      <vt:variant>
        <vt:i4>162</vt:i4>
      </vt:variant>
      <vt:variant>
        <vt:i4>0</vt:i4>
      </vt:variant>
      <vt:variant>
        <vt:i4>5</vt:i4>
      </vt:variant>
      <vt:variant>
        <vt:lpwstr>http://www.nevo.co.il/case/27848746</vt:lpwstr>
      </vt:variant>
      <vt:variant>
        <vt:lpwstr/>
      </vt:variant>
      <vt:variant>
        <vt:i4>8257637</vt:i4>
      </vt:variant>
      <vt:variant>
        <vt:i4>159</vt:i4>
      </vt:variant>
      <vt:variant>
        <vt:i4>0</vt:i4>
      </vt:variant>
      <vt:variant>
        <vt:i4>5</vt:i4>
      </vt:variant>
      <vt:variant>
        <vt:lpwstr>http://www.nevo.co.il/law/4216</vt:lpwstr>
      </vt:variant>
      <vt:variant>
        <vt:lpwstr/>
      </vt:variant>
      <vt:variant>
        <vt:i4>3342461</vt:i4>
      </vt:variant>
      <vt:variant>
        <vt:i4>156</vt:i4>
      </vt:variant>
      <vt:variant>
        <vt:i4>0</vt:i4>
      </vt:variant>
      <vt:variant>
        <vt:i4>5</vt:i4>
      </vt:variant>
      <vt:variant>
        <vt:lpwstr>http://www.nevo.co.il/case/29447427</vt:lpwstr>
      </vt:variant>
      <vt:variant>
        <vt:lpwstr/>
      </vt:variant>
      <vt:variant>
        <vt:i4>3670135</vt:i4>
      </vt:variant>
      <vt:variant>
        <vt:i4>153</vt:i4>
      </vt:variant>
      <vt:variant>
        <vt:i4>0</vt:i4>
      </vt:variant>
      <vt:variant>
        <vt:i4>5</vt:i4>
      </vt:variant>
      <vt:variant>
        <vt:lpwstr>http://www.nevo.co.il/case/22228300</vt:lpwstr>
      </vt:variant>
      <vt:variant>
        <vt:lpwstr/>
      </vt:variant>
      <vt:variant>
        <vt:i4>3997811</vt:i4>
      </vt:variant>
      <vt:variant>
        <vt:i4>150</vt:i4>
      </vt:variant>
      <vt:variant>
        <vt:i4>0</vt:i4>
      </vt:variant>
      <vt:variant>
        <vt:i4>5</vt:i4>
      </vt:variant>
      <vt:variant>
        <vt:lpwstr>http://www.nevo.co.il/case/27168665</vt:lpwstr>
      </vt:variant>
      <vt:variant>
        <vt:lpwstr/>
      </vt:variant>
      <vt:variant>
        <vt:i4>3342452</vt:i4>
      </vt:variant>
      <vt:variant>
        <vt:i4>147</vt:i4>
      </vt:variant>
      <vt:variant>
        <vt:i4>0</vt:i4>
      </vt:variant>
      <vt:variant>
        <vt:i4>5</vt:i4>
      </vt:variant>
      <vt:variant>
        <vt:lpwstr>http://www.nevo.co.il/case/29083125</vt:lpwstr>
      </vt:variant>
      <vt:variant>
        <vt:lpwstr/>
      </vt:variant>
      <vt:variant>
        <vt:i4>3670131</vt:i4>
      </vt:variant>
      <vt:variant>
        <vt:i4>144</vt:i4>
      </vt:variant>
      <vt:variant>
        <vt:i4>0</vt:i4>
      </vt:variant>
      <vt:variant>
        <vt:i4>5</vt:i4>
      </vt:variant>
      <vt:variant>
        <vt:lpwstr>http://www.nevo.co.il/case/22864362</vt:lpwstr>
      </vt:variant>
      <vt:variant>
        <vt:lpwstr/>
      </vt:variant>
      <vt:variant>
        <vt:i4>3145843</vt:i4>
      </vt:variant>
      <vt:variant>
        <vt:i4>141</vt:i4>
      </vt:variant>
      <vt:variant>
        <vt:i4>0</vt:i4>
      </vt:variant>
      <vt:variant>
        <vt:i4>5</vt:i4>
      </vt:variant>
      <vt:variant>
        <vt:lpwstr>http://www.nevo.co.il/case/22505524</vt:lpwstr>
      </vt:variant>
      <vt:variant>
        <vt:lpwstr/>
      </vt:variant>
      <vt:variant>
        <vt:i4>3604605</vt:i4>
      </vt:variant>
      <vt:variant>
        <vt:i4>138</vt:i4>
      </vt:variant>
      <vt:variant>
        <vt:i4>0</vt:i4>
      </vt:variant>
      <vt:variant>
        <vt:i4>5</vt:i4>
      </vt:variant>
      <vt:variant>
        <vt:lpwstr>http://www.nevo.co.il/case/28086930</vt:lpwstr>
      </vt:variant>
      <vt:variant>
        <vt:lpwstr/>
      </vt:variant>
      <vt:variant>
        <vt:i4>3145844</vt:i4>
      </vt:variant>
      <vt:variant>
        <vt:i4>135</vt:i4>
      </vt:variant>
      <vt:variant>
        <vt:i4>0</vt:i4>
      </vt:variant>
      <vt:variant>
        <vt:i4>5</vt:i4>
      </vt:variant>
      <vt:variant>
        <vt:lpwstr>http://www.nevo.co.il/case/29090023</vt:lpwstr>
      </vt:variant>
      <vt:variant>
        <vt:lpwstr/>
      </vt:variant>
      <vt:variant>
        <vt:i4>3670139</vt:i4>
      </vt:variant>
      <vt:variant>
        <vt:i4>132</vt:i4>
      </vt:variant>
      <vt:variant>
        <vt:i4>0</vt:i4>
      </vt:variant>
      <vt:variant>
        <vt:i4>5</vt:i4>
      </vt:variant>
      <vt:variant>
        <vt:lpwstr>http://www.nevo.co.il/case/5738608</vt:lpwstr>
      </vt:variant>
      <vt:variant>
        <vt:lpwstr/>
      </vt:variant>
      <vt:variant>
        <vt:i4>3932283</vt:i4>
      </vt:variant>
      <vt:variant>
        <vt:i4>129</vt:i4>
      </vt:variant>
      <vt:variant>
        <vt:i4>0</vt:i4>
      </vt:variant>
      <vt:variant>
        <vt:i4>5</vt:i4>
      </vt:variant>
      <vt:variant>
        <vt:lpwstr>http://www.nevo.co.il/case/5698919</vt:lpwstr>
      </vt:variant>
      <vt:variant>
        <vt:lpwstr/>
      </vt:variant>
      <vt:variant>
        <vt:i4>3866738</vt:i4>
      </vt:variant>
      <vt:variant>
        <vt:i4>126</vt:i4>
      </vt:variant>
      <vt:variant>
        <vt:i4>0</vt:i4>
      </vt:variant>
      <vt:variant>
        <vt:i4>5</vt:i4>
      </vt:variant>
      <vt:variant>
        <vt:lpwstr>http://www.nevo.co.il/case/5726579</vt:lpwstr>
      </vt:variant>
      <vt:variant>
        <vt:lpwstr/>
      </vt:variant>
      <vt:variant>
        <vt:i4>3932279</vt:i4>
      </vt:variant>
      <vt:variant>
        <vt:i4>123</vt:i4>
      </vt:variant>
      <vt:variant>
        <vt:i4>0</vt:i4>
      </vt:variant>
      <vt:variant>
        <vt:i4>5</vt:i4>
      </vt:variant>
      <vt:variant>
        <vt:lpwstr>http://www.nevo.co.il/case/27268248</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3342457</vt:i4>
      </vt:variant>
      <vt:variant>
        <vt:i4>117</vt:i4>
      </vt:variant>
      <vt:variant>
        <vt:i4>0</vt:i4>
      </vt:variant>
      <vt:variant>
        <vt:i4>5</vt:i4>
      </vt:variant>
      <vt:variant>
        <vt:lpwstr>http://www.nevo.co.il/case/29829608</vt:lpwstr>
      </vt:variant>
      <vt:variant>
        <vt:lpwstr/>
      </vt:variant>
      <vt:variant>
        <vt:i4>3670128</vt:i4>
      </vt:variant>
      <vt:variant>
        <vt:i4>114</vt:i4>
      </vt:variant>
      <vt:variant>
        <vt:i4>0</vt:i4>
      </vt:variant>
      <vt:variant>
        <vt:i4>5</vt:i4>
      </vt:variant>
      <vt:variant>
        <vt:lpwstr>http://www.nevo.co.il/case/22905664</vt:lpwstr>
      </vt:variant>
      <vt:variant>
        <vt:lpwstr/>
      </vt:variant>
      <vt:variant>
        <vt:i4>4063354</vt:i4>
      </vt:variant>
      <vt:variant>
        <vt:i4>111</vt:i4>
      </vt:variant>
      <vt:variant>
        <vt:i4>0</vt:i4>
      </vt:variant>
      <vt:variant>
        <vt:i4>5</vt:i4>
      </vt:variant>
      <vt:variant>
        <vt:lpwstr>http://www.nevo.co.il/case/24884205</vt:lpwstr>
      </vt:variant>
      <vt:variant>
        <vt:lpwstr/>
      </vt:variant>
      <vt:variant>
        <vt:i4>3342461</vt:i4>
      </vt:variant>
      <vt:variant>
        <vt:i4>108</vt:i4>
      </vt:variant>
      <vt:variant>
        <vt:i4>0</vt:i4>
      </vt:variant>
      <vt:variant>
        <vt:i4>5</vt:i4>
      </vt:variant>
      <vt:variant>
        <vt:lpwstr>http://www.nevo.co.il/case/29447427</vt:lpwstr>
      </vt:variant>
      <vt:variant>
        <vt:lpwstr/>
      </vt:variant>
      <vt:variant>
        <vt:i4>3342457</vt:i4>
      </vt:variant>
      <vt:variant>
        <vt:i4>105</vt:i4>
      </vt:variant>
      <vt:variant>
        <vt:i4>0</vt:i4>
      </vt:variant>
      <vt:variant>
        <vt:i4>5</vt:i4>
      </vt:variant>
      <vt:variant>
        <vt:lpwstr>http://www.nevo.co.il/case/29829608</vt:lpwstr>
      </vt:variant>
      <vt:variant>
        <vt:lpwstr/>
      </vt:variant>
      <vt:variant>
        <vt:i4>3342461</vt:i4>
      </vt:variant>
      <vt:variant>
        <vt:i4>102</vt:i4>
      </vt:variant>
      <vt:variant>
        <vt:i4>0</vt:i4>
      </vt:variant>
      <vt:variant>
        <vt:i4>5</vt:i4>
      </vt:variant>
      <vt:variant>
        <vt:lpwstr>http://www.nevo.co.il/case/29447427</vt:lpwstr>
      </vt:variant>
      <vt:variant>
        <vt:lpwstr/>
      </vt:variant>
      <vt:variant>
        <vt:i4>3342457</vt:i4>
      </vt:variant>
      <vt:variant>
        <vt:i4>99</vt:i4>
      </vt:variant>
      <vt:variant>
        <vt:i4>0</vt:i4>
      </vt:variant>
      <vt:variant>
        <vt:i4>5</vt:i4>
      </vt:variant>
      <vt:variant>
        <vt:lpwstr>http://www.nevo.co.il/case/29829608</vt:lpwstr>
      </vt:variant>
      <vt:variant>
        <vt:lpwstr/>
      </vt:variant>
      <vt:variant>
        <vt:i4>3342449</vt:i4>
      </vt:variant>
      <vt:variant>
        <vt:i4>96</vt:i4>
      </vt:variant>
      <vt:variant>
        <vt:i4>0</vt:i4>
      </vt:variant>
      <vt:variant>
        <vt:i4>5</vt:i4>
      </vt:variant>
      <vt:variant>
        <vt:lpwstr>http://www.nevo.co.il/case/27425003</vt:lpwstr>
      </vt:variant>
      <vt:variant>
        <vt:lpwstr/>
      </vt:variant>
      <vt:variant>
        <vt:i4>3539058</vt:i4>
      </vt:variant>
      <vt:variant>
        <vt:i4>93</vt:i4>
      </vt:variant>
      <vt:variant>
        <vt:i4>0</vt:i4>
      </vt:variant>
      <vt:variant>
        <vt:i4>5</vt:i4>
      </vt:variant>
      <vt:variant>
        <vt:lpwstr>http://www.nevo.co.il/case/25439097</vt:lpwstr>
      </vt:variant>
      <vt:variant>
        <vt:lpwstr/>
      </vt:variant>
      <vt:variant>
        <vt:i4>3342461</vt:i4>
      </vt:variant>
      <vt:variant>
        <vt:i4>90</vt:i4>
      </vt:variant>
      <vt:variant>
        <vt:i4>0</vt:i4>
      </vt:variant>
      <vt:variant>
        <vt:i4>5</vt:i4>
      </vt:variant>
      <vt:variant>
        <vt:lpwstr>http://www.nevo.co.il/case/29447427</vt:lpwstr>
      </vt:variant>
      <vt:variant>
        <vt:lpwstr/>
      </vt:variant>
      <vt:variant>
        <vt:i4>3342461</vt:i4>
      </vt:variant>
      <vt:variant>
        <vt:i4>87</vt:i4>
      </vt:variant>
      <vt:variant>
        <vt:i4>0</vt:i4>
      </vt:variant>
      <vt:variant>
        <vt:i4>5</vt:i4>
      </vt:variant>
      <vt:variant>
        <vt:lpwstr>http://www.nevo.co.il/case/29447427</vt:lpwstr>
      </vt:variant>
      <vt:variant>
        <vt:lpwstr/>
      </vt:variant>
      <vt:variant>
        <vt:i4>3342457</vt:i4>
      </vt:variant>
      <vt:variant>
        <vt:i4>84</vt:i4>
      </vt:variant>
      <vt:variant>
        <vt:i4>0</vt:i4>
      </vt:variant>
      <vt:variant>
        <vt:i4>5</vt:i4>
      </vt:variant>
      <vt:variant>
        <vt:lpwstr>http://www.nevo.co.il/case/29829608</vt:lpwstr>
      </vt:variant>
      <vt:variant>
        <vt:lpwstr/>
      </vt:variant>
      <vt:variant>
        <vt:i4>3342457</vt:i4>
      </vt:variant>
      <vt:variant>
        <vt:i4>81</vt:i4>
      </vt:variant>
      <vt:variant>
        <vt:i4>0</vt:i4>
      </vt:variant>
      <vt:variant>
        <vt:i4>5</vt:i4>
      </vt:variant>
      <vt:variant>
        <vt:lpwstr>http://www.nevo.co.il/case/29829608</vt:lpwstr>
      </vt:variant>
      <vt:variant>
        <vt:lpwstr/>
      </vt:variant>
      <vt:variant>
        <vt:i4>3342457</vt:i4>
      </vt:variant>
      <vt:variant>
        <vt:i4>78</vt:i4>
      </vt:variant>
      <vt:variant>
        <vt:i4>0</vt:i4>
      </vt:variant>
      <vt:variant>
        <vt:i4>5</vt:i4>
      </vt:variant>
      <vt:variant>
        <vt:lpwstr>http://www.nevo.co.il/case/29829608</vt:lpwstr>
      </vt:variant>
      <vt:variant>
        <vt:lpwstr/>
      </vt:variant>
      <vt:variant>
        <vt:i4>3342461</vt:i4>
      </vt:variant>
      <vt:variant>
        <vt:i4>75</vt:i4>
      </vt:variant>
      <vt:variant>
        <vt:i4>0</vt:i4>
      </vt:variant>
      <vt:variant>
        <vt:i4>5</vt:i4>
      </vt:variant>
      <vt:variant>
        <vt:lpwstr>http://www.nevo.co.il/case/29447427</vt:lpwstr>
      </vt:variant>
      <vt:variant>
        <vt:lpwstr/>
      </vt:variant>
      <vt:variant>
        <vt:i4>3342461</vt:i4>
      </vt:variant>
      <vt:variant>
        <vt:i4>72</vt:i4>
      </vt:variant>
      <vt:variant>
        <vt:i4>0</vt:i4>
      </vt:variant>
      <vt:variant>
        <vt:i4>5</vt:i4>
      </vt:variant>
      <vt:variant>
        <vt:lpwstr>http://www.nevo.co.il/case/29447427</vt:lpwstr>
      </vt:variant>
      <vt:variant>
        <vt:lpwstr/>
      </vt:variant>
      <vt:variant>
        <vt:i4>3342461</vt:i4>
      </vt:variant>
      <vt:variant>
        <vt:i4>69</vt:i4>
      </vt:variant>
      <vt:variant>
        <vt:i4>0</vt:i4>
      </vt:variant>
      <vt:variant>
        <vt:i4>5</vt:i4>
      </vt:variant>
      <vt:variant>
        <vt:lpwstr>http://www.nevo.co.il/case/29447426</vt:lpwstr>
      </vt:variant>
      <vt:variant>
        <vt:lpwstr/>
      </vt:variant>
      <vt:variant>
        <vt:i4>3342461</vt:i4>
      </vt:variant>
      <vt:variant>
        <vt:i4>66</vt:i4>
      </vt:variant>
      <vt:variant>
        <vt:i4>0</vt:i4>
      </vt:variant>
      <vt:variant>
        <vt:i4>5</vt:i4>
      </vt:variant>
      <vt:variant>
        <vt:lpwstr>http://www.nevo.co.il/case/29447426</vt:lpwstr>
      </vt:variant>
      <vt:variant>
        <vt:lpwstr/>
      </vt:variant>
      <vt:variant>
        <vt:i4>3342461</vt:i4>
      </vt:variant>
      <vt:variant>
        <vt:i4>63</vt:i4>
      </vt:variant>
      <vt:variant>
        <vt:i4>0</vt:i4>
      </vt:variant>
      <vt:variant>
        <vt:i4>5</vt:i4>
      </vt:variant>
      <vt:variant>
        <vt:lpwstr>http://www.nevo.co.il/case/29447426</vt:lpwstr>
      </vt:variant>
      <vt:variant>
        <vt:lpwstr/>
      </vt:variant>
      <vt:variant>
        <vt:i4>3342457</vt:i4>
      </vt:variant>
      <vt:variant>
        <vt:i4>60</vt:i4>
      </vt:variant>
      <vt:variant>
        <vt:i4>0</vt:i4>
      </vt:variant>
      <vt:variant>
        <vt:i4>5</vt:i4>
      </vt:variant>
      <vt:variant>
        <vt:lpwstr>http://www.nevo.co.il/case/29829608</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3342461</vt:i4>
      </vt:variant>
      <vt:variant>
        <vt:i4>33</vt:i4>
      </vt:variant>
      <vt:variant>
        <vt:i4>0</vt:i4>
      </vt:variant>
      <vt:variant>
        <vt:i4>5</vt:i4>
      </vt:variant>
      <vt:variant>
        <vt:lpwstr>http://www.nevo.co.il/case/29447427</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vt:lpwstr>
      </vt:variant>
      <vt:variant>
        <vt:lpwstr/>
      </vt:variant>
      <vt:variant>
        <vt:i4>3342457</vt:i4>
      </vt:variant>
      <vt:variant>
        <vt:i4>24</vt:i4>
      </vt:variant>
      <vt:variant>
        <vt:i4>0</vt:i4>
      </vt:variant>
      <vt:variant>
        <vt:i4>5</vt:i4>
      </vt:variant>
      <vt:variant>
        <vt:lpwstr>http://www.nevo.co.il/case/29829608</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27417;924</vt:lpwstr>
  </property>
  <property fmtid="{D5CDD505-2E9C-101B-9397-08002B2CF9AE}" pid="6" name="NEWPARTB">
    <vt:lpwstr>07;03</vt:lpwstr>
  </property>
  <property fmtid="{D5CDD505-2E9C-101B-9397-08002B2CF9AE}" pid="7" name="NEWPARTC">
    <vt:lpwstr>23;23</vt:lpwstr>
  </property>
  <property fmtid="{D5CDD505-2E9C-101B-9397-08002B2CF9AE}" pid="8" name="APPELLANT">
    <vt:lpwstr>מדינת ישראל</vt:lpwstr>
  </property>
  <property fmtid="{D5CDD505-2E9C-101B-9397-08002B2CF9AE}" pid="9" name="APPELLEE">
    <vt:lpwstr>יוחאי ביטון </vt:lpwstr>
  </property>
  <property fmtid="{D5CDD505-2E9C-101B-9397-08002B2CF9AE}" pid="10" name="LAWYER">
    <vt:lpwstr>נעם אליגון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20240516</vt:lpwstr>
  </property>
  <property fmtid="{D5CDD505-2E9C-101B-9397-08002B2CF9AE}" pid="14" name="TYPE_N_DATE">
    <vt:lpwstr>38020240516</vt:lpwstr>
  </property>
  <property fmtid="{D5CDD505-2E9C-101B-9397-08002B2CF9AE}" pid="15" name="WORDNUMPAGES">
    <vt:lpwstr>18</vt:lpwstr>
  </property>
  <property fmtid="{D5CDD505-2E9C-101B-9397-08002B2CF9AE}" pid="16" name="TYPE_ABS_DATE">
    <vt:lpwstr>380020240516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29829608:9;29447427:8;29447426:4;25439097:4;27425003:2;24884205;22905664;27268248;5726579;5698919;5738608;29090023;28086930;22505524;22864362;29083125;27168665;22228300;27848746;29849134;6034921;24263578;25824863;25520167;27603872;28513828;27502726:2</vt:lpwstr>
  </property>
  <property fmtid="{D5CDD505-2E9C-101B-9397-08002B2CF9AE}" pid="36" name="CASESLISTTMP2">
    <vt:lpwstr>29867910;28413605:2;26913995;26816262;26103748;24288345;28927784;28228343;6949290;28032816</vt:lpwstr>
  </property>
  <property fmtid="{D5CDD505-2E9C-101B-9397-08002B2CF9AE}" pid="37" name="LAWLISTTMP1">
    <vt:lpwstr>4216/013;019;007.a;007.c</vt:lpwstr>
  </property>
  <property fmtid="{D5CDD505-2E9C-101B-9397-08002B2CF9AE}" pid="38" name="LAWLISTTMP2">
    <vt:lpwstr>70301/144.a:3;031</vt:lpwstr>
  </property>
</Properties>
</file>