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605"/>
        <w:gridCol w:w="2355"/>
        <w:gridCol w:w="2099"/>
        <w:gridCol w:w="3662"/>
        <w:gridCol w:w="99"/>
      </w:tblGrid>
      <w:tr w:rsidR="000C1040" w:rsidRPr="001820FF" w14:paraId="232B8805" w14:textId="77777777" w:rsidTr="001C0B1E">
        <w:trPr>
          <w:gridAfter w:val="1"/>
          <w:wAfter w:w="99" w:type="dxa"/>
          <w:trHeight w:hRule="exact" w:val="418"/>
          <w:jc w:val="center"/>
        </w:trPr>
        <w:tc>
          <w:tcPr>
            <w:tcW w:w="8721" w:type="dxa"/>
            <w:gridSpan w:val="4"/>
          </w:tcPr>
          <w:p w14:paraId="69A968EF" w14:textId="77777777" w:rsidR="000C1040" w:rsidRPr="001820FF" w:rsidRDefault="000C1040" w:rsidP="00A051AD">
            <w:pPr>
              <w:pStyle w:val="a3"/>
              <w:jc w:val="center"/>
              <w:rPr>
                <w:rFonts w:ascii="Tahoma" w:hAnsi="Tahoma" w:cs="Tahoma"/>
                <w:color w:val="000080"/>
                <w:rtl/>
              </w:rPr>
            </w:pPr>
            <w:bookmarkStart w:id="0" w:name="LastJudge"/>
            <w:r w:rsidRPr="001820FF">
              <w:rPr>
                <w:rFonts w:ascii="Tahoma" w:hAnsi="Tahoma" w:cs="Tahoma"/>
                <w:b/>
                <w:bCs/>
                <w:color w:val="000080"/>
                <w:rtl/>
              </w:rPr>
              <w:t>בית משפט השלום בבאר שבע</w:t>
            </w:r>
          </w:p>
        </w:tc>
      </w:tr>
      <w:tr w:rsidR="000C1040" w:rsidRPr="001820FF" w14:paraId="4D3F15A6" w14:textId="77777777" w:rsidTr="001C0B1E">
        <w:trPr>
          <w:gridAfter w:val="1"/>
          <w:wAfter w:w="99" w:type="dxa"/>
          <w:trHeight w:val="337"/>
          <w:jc w:val="center"/>
        </w:trPr>
        <w:tc>
          <w:tcPr>
            <w:tcW w:w="5059" w:type="dxa"/>
            <w:gridSpan w:val="3"/>
          </w:tcPr>
          <w:p w14:paraId="580DF092" w14:textId="77777777" w:rsidR="000C1040" w:rsidRPr="001820FF" w:rsidRDefault="000C1040" w:rsidP="00A051AD">
            <w:pPr>
              <w:rPr>
                <w:rFonts w:cs="FrankRuehl"/>
                <w:sz w:val="28"/>
                <w:szCs w:val="28"/>
                <w:rtl/>
              </w:rPr>
            </w:pPr>
            <w:r w:rsidRPr="001820FF">
              <w:rPr>
                <w:rFonts w:cs="FrankRuehl"/>
                <w:sz w:val="28"/>
                <w:szCs w:val="28"/>
                <w:rtl/>
              </w:rPr>
              <w:t>ת"פ</w:t>
            </w:r>
            <w:r w:rsidRPr="001820FF">
              <w:rPr>
                <w:rFonts w:cs="FrankRuehl" w:hint="cs"/>
                <w:sz w:val="28"/>
                <w:szCs w:val="28"/>
                <w:rtl/>
              </w:rPr>
              <w:t xml:space="preserve"> </w:t>
            </w:r>
            <w:r w:rsidRPr="001820FF">
              <w:rPr>
                <w:rFonts w:cs="FrankRuehl"/>
                <w:sz w:val="28"/>
                <w:szCs w:val="28"/>
                <w:rtl/>
              </w:rPr>
              <w:t>41876-08-23</w:t>
            </w:r>
            <w:r w:rsidRPr="001820FF">
              <w:rPr>
                <w:rFonts w:cs="FrankRuehl" w:hint="cs"/>
                <w:sz w:val="28"/>
                <w:szCs w:val="28"/>
                <w:rtl/>
              </w:rPr>
              <w:t xml:space="preserve"> </w:t>
            </w:r>
            <w:r w:rsidRPr="001820FF">
              <w:rPr>
                <w:rFonts w:cs="FrankRuehl"/>
                <w:sz w:val="28"/>
                <w:szCs w:val="28"/>
                <w:rtl/>
              </w:rPr>
              <w:t>מדינת ישראל נ' אבו לקימה(עציר)</w:t>
            </w:r>
          </w:p>
          <w:p w14:paraId="29D2F931" w14:textId="77777777" w:rsidR="000C1040" w:rsidRPr="001820FF" w:rsidRDefault="000C1040" w:rsidP="00A051AD">
            <w:pPr>
              <w:pStyle w:val="a3"/>
              <w:rPr>
                <w:rFonts w:cs="FrankRuehl"/>
                <w:sz w:val="28"/>
                <w:szCs w:val="28"/>
                <w:rtl/>
              </w:rPr>
            </w:pPr>
          </w:p>
        </w:tc>
        <w:tc>
          <w:tcPr>
            <w:tcW w:w="3662" w:type="dxa"/>
          </w:tcPr>
          <w:p w14:paraId="1DAE92B6" w14:textId="77777777" w:rsidR="000C1040" w:rsidRPr="001820FF" w:rsidRDefault="000C1040" w:rsidP="00A051AD">
            <w:pPr>
              <w:pStyle w:val="a3"/>
              <w:jc w:val="right"/>
              <w:rPr>
                <w:rFonts w:cs="FrankRuehl"/>
                <w:sz w:val="28"/>
                <w:szCs w:val="28"/>
                <w:rtl/>
              </w:rPr>
            </w:pPr>
          </w:p>
        </w:tc>
      </w:tr>
      <w:tr w:rsidR="000C1040" w:rsidRPr="001820FF" w14:paraId="58EDC50C" w14:textId="77777777" w:rsidTr="001C0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605" w:type="dxa"/>
            <w:tcBorders>
              <w:top w:val="nil"/>
              <w:left w:val="nil"/>
              <w:bottom w:val="nil"/>
              <w:right w:val="nil"/>
            </w:tcBorders>
            <w:shd w:val="clear" w:color="auto" w:fill="auto"/>
          </w:tcPr>
          <w:p w14:paraId="082E70BA" w14:textId="77777777" w:rsidR="000C1040" w:rsidRPr="001820FF" w:rsidRDefault="000C1040" w:rsidP="000C1040">
            <w:pPr>
              <w:jc w:val="both"/>
              <w:rPr>
                <w:rFonts w:ascii="David" w:hAnsi="David"/>
                <w:sz w:val="26"/>
                <w:szCs w:val="26"/>
              </w:rPr>
            </w:pPr>
            <w:r w:rsidRPr="001820FF">
              <w:rPr>
                <w:rFonts w:hint="cs"/>
                <w:rtl/>
              </w:rPr>
              <w:t xml:space="preserve"> </w:t>
            </w:r>
            <w:r w:rsidRPr="001820FF">
              <w:rPr>
                <w:rFonts w:ascii="David" w:hAnsi="David" w:hint="cs"/>
                <w:sz w:val="26"/>
                <w:szCs w:val="26"/>
                <w:rtl/>
              </w:rPr>
              <w:t>ל</w:t>
            </w:r>
            <w:r w:rsidRPr="001820FF">
              <w:rPr>
                <w:rFonts w:ascii="David" w:hAnsi="David"/>
                <w:sz w:val="26"/>
                <w:szCs w:val="26"/>
                <w:rtl/>
              </w:rPr>
              <w:t xml:space="preserve">פני </w:t>
            </w:r>
          </w:p>
        </w:tc>
        <w:tc>
          <w:tcPr>
            <w:tcW w:w="8215" w:type="dxa"/>
            <w:gridSpan w:val="4"/>
            <w:tcBorders>
              <w:top w:val="nil"/>
              <w:left w:val="nil"/>
              <w:bottom w:val="nil"/>
              <w:right w:val="nil"/>
            </w:tcBorders>
            <w:shd w:val="clear" w:color="auto" w:fill="auto"/>
          </w:tcPr>
          <w:p w14:paraId="78A746DD" w14:textId="77777777" w:rsidR="000C1040" w:rsidRPr="001820FF" w:rsidRDefault="000C1040" w:rsidP="00A051AD">
            <w:pPr>
              <w:rPr>
                <w:rFonts w:ascii="David" w:hAnsi="David"/>
                <w:b/>
                <w:bCs/>
                <w:sz w:val="26"/>
                <w:szCs w:val="26"/>
                <w:rtl/>
              </w:rPr>
            </w:pPr>
            <w:r w:rsidRPr="001820FF">
              <w:rPr>
                <w:rFonts w:ascii="David" w:hAnsi="David"/>
                <w:b/>
                <w:bCs/>
                <w:sz w:val="26"/>
                <w:szCs w:val="26"/>
                <w:rtl/>
              </w:rPr>
              <w:t>כבוד השופטת   שוש שטרית</w:t>
            </w:r>
          </w:p>
          <w:p w14:paraId="44568E70" w14:textId="77777777" w:rsidR="000C1040" w:rsidRPr="001820FF" w:rsidRDefault="000C1040" w:rsidP="00A051AD">
            <w:pPr>
              <w:rPr>
                <w:rFonts w:ascii="David" w:hAnsi="David"/>
                <w:sz w:val="26"/>
                <w:szCs w:val="26"/>
                <w:rtl/>
              </w:rPr>
            </w:pPr>
          </w:p>
          <w:p w14:paraId="47A325CB" w14:textId="77777777" w:rsidR="000C1040" w:rsidRPr="001820FF" w:rsidRDefault="000C1040" w:rsidP="000C1040">
            <w:pPr>
              <w:jc w:val="both"/>
              <w:rPr>
                <w:rFonts w:ascii="David" w:hAnsi="David"/>
                <w:sz w:val="26"/>
                <w:szCs w:val="26"/>
              </w:rPr>
            </w:pPr>
          </w:p>
        </w:tc>
      </w:tr>
      <w:tr w:rsidR="000C1040" w:rsidRPr="001820FF" w14:paraId="1C3D0499" w14:textId="77777777" w:rsidTr="001C0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05" w:type="dxa"/>
            <w:tcBorders>
              <w:top w:val="nil"/>
              <w:left w:val="nil"/>
              <w:bottom w:val="nil"/>
              <w:right w:val="nil"/>
            </w:tcBorders>
            <w:shd w:val="clear" w:color="auto" w:fill="auto"/>
          </w:tcPr>
          <w:p w14:paraId="34AD3135" w14:textId="77777777" w:rsidR="000C1040" w:rsidRPr="001820FF" w:rsidRDefault="000C1040" w:rsidP="000C1040">
            <w:pPr>
              <w:jc w:val="both"/>
              <w:rPr>
                <w:rFonts w:ascii="Arial" w:hAnsi="Arial"/>
                <w:b/>
                <w:bCs/>
                <w:sz w:val="26"/>
                <w:szCs w:val="26"/>
              </w:rPr>
            </w:pPr>
            <w:bookmarkStart w:id="1" w:name="FirstAppellant"/>
            <w:bookmarkStart w:id="2" w:name="FirstLawyer"/>
          </w:p>
        </w:tc>
        <w:tc>
          <w:tcPr>
            <w:tcW w:w="2355" w:type="dxa"/>
            <w:tcBorders>
              <w:top w:val="nil"/>
              <w:left w:val="nil"/>
              <w:bottom w:val="nil"/>
              <w:right w:val="nil"/>
            </w:tcBorders>
            <w:shd w:val="clear" w:color="auto" w:fill="auto"/>
          </w:tcPr>
          <w:p w14:paraId="73457B8B" w14:textId="77777777" w:rsidR="000C1040" w:rsidRPr="001820FF" w:rsidRDefault="000C1040" w:rsidP="000C1040">
            <w:pPr>
              <w:suppressLineNumbers/>
              <w:rPr>
                <w:rFonts w:ascii="Arial" w:hAnsi="Arial"/>
                <w:b/>
                <w:bCs/>
                <w:sz w:val="26"/>
                <w:szCs w:val="26"/>
              </w:rPr>
            </w:pPr>
            <w:r w:rsidRPr="001820FF">
              <w:rPr>
                <w:rFonts w:ascii="Arial" w:hAnsi="Arial" w:hint="cs"/>
                <w:b/>
                <w:bCs/>
                <w:sz w:val="26"/>
                <w:szCs w:val="26"/>
                <w:rtl/>
              </w:rPr>
              <w:t>ה</w:t>
            </w:r>
            <w:r w:rsidRPr="001820FF">
              <w:rPr>
                <w:rFonts w:ascii="Arial" w:hAnsi="Arial"/>
                <w:b/>
                <w:bCs/>
                <w:sz w:val="26"/>
                <w:szCs w:val="26"/>
                <w:rtl/>
              </w:rPr>
              <w:t>מאשימה</w:t>
            </w:r>
          </w:p>
          <w:p w14:paraId="4BA173AA" w14:textId="77777777" w:rsidR="000C1040" w:rsidRPr="001820FF" w:rsidRDefault="000C1040" w:rsidP="00A051AD">
            <w:pPr>
              <w:rPr>
                <w:rFonts w:ascii="Arial" w:hAnsi="Arial"/>
                <w:b/>
                <w:bCs/>
                <w:sz w:val="26"/>
                <w:szCs w:val="26"/>
              </w:rPr>
            </w:pPr>
          </w:p>
        </w:tc>
        <w:tc>
          <w:tcPr>
            <w:tcW w:w="5860" w:type="dxa"/>
            <w:gridSpan w:val="3"/>
            <w:tcBorders>
              <w:top w:val="nil"/>
              <w:left w:val="nil"/>
              <w:bottom w:val="nil"/>
              <w:right w:val="nil"/>
            </w:tcBorders>
            <w:shd w:val="clear" w:color="auto" w:fill="auto"/>
            <w:vAlign w:val="center"/>
          </w:tcPr>
          <w:p w14:paraId="0BDF1774" w14:textId="77777777" w:rsidR="000C1040" w:rsidRPr="001820FF" w:rsidRDefault="000C1040" w:rsidP="000C1040">
            <w:pPr>
              <w:suppressLineNumbers/>
              <w:rPr>
                <w:rFonts w:ascii="Arial" w:hAnsi="Arial"/>
                <w:b/>
                <w:bCs/>
                <w:sz w:val="26"/>
                <w:szCs w:val="26"/>
                <w:rtl/>
              </w:rPr>
            </w:pPr>
            <w:r w:rsidRPr="001820FF">
              <w:rPr>
                <w:rFonts w:ascii="Arial" w:hAnsi="Arial"/>
                <w:b/>
                <w:bCs/>
                <w:sz w:val="26"/>
                <w:szCs w:val="26"/>
                <w:rtl/>
              </w:rPr>
              <w:t>מדינת ישראל</w:t>
            </w:r>
            <w:r w:rsidRPr="001820FF">
              <w:rPr>
                <w:rFonts w:ascii="Arial" w:hAnsi="Arial" w:hint="cs"/>
                <w:b/>
                <w:bCs/>
                <w:sz w:val="26"/>
                <w:szCs w:val="26"/>
                <w:rtl/>
              </w:rPr>
              <w:t xml:space="preserve">  - פמ"ד </w:t>
            </w:r>
          </w:p>
          <w:p w14:paraId="089376B0" w14:textId="77777777" w:rsidR="000C1040" w:rsidRPr="001820FF" w:rsidRDefault="000C1040" w:rsidP="000C1040">
            <w:pPr>
              <w:suppressLineNumbers/>
              <w:rPr>
                <w:rFonts w:ascii="Arial" w:hAnsi="Arial"/>
                <w:b/>
                <w:bCs/>
                <w:sz w:val="26"/>
                <w:szCs w:val="26"/>
              </w:rPr>
            </w:pPr>
            <w:r w:rsidRPr="001820FF">
              <w:rPr>
                <w:rFonts w:ascii="Arial" w:hAnsi="Arial"/>
                <w:b/>
                <w:bCs/>
                <w:sz w:val="26"/>
                <w:szCs w:val="26"/>
                <w:rtl/>
              </w:rPr>
              <w:t>ע"י ב"כ עוה"ד</w:t>
            </w:r>
            <w:r w:rsidRPr="001820FF">
              <w:rPr>
                <w:rFonts w:ascii="Arial" w:hAnsi="Arial" w:hint="cs"/>
                <w:b/>
                <w:bCs/>
                <w:sz w:val="26"/>
                <w:szCs w:val="26"/>
                <w:rtl/>
              </w:rPr>
              <w:t xml:space="preserve"> אדר בכר</w:t>
            </w:r>
          </w:p>
        </w:tc>
      </w:tr>
      <w:bookmarkEnd w:id="1"/>
      <w:bookmarkEnd w:id="2"/>
      <w:tr w:rsidR="000C1040" w:rsidRPr="001820FF" w14:paraId="17A97DF3" w14:textId="77777777" w:rsidTr="001C0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05" w:type="dxa"/>
            <w:tcBorders>
              <w:top w:val="nil"/>
              <w:left w:val="nil"/>
              <w:bottom w:val="nil"/>
              <w:right w:val="nil"/>
            </w:tcBorders>
            <w:shd w:val="clear" w:color="auto" w:fill="auto"/>
          </w:tcPr>
          <w:p w14:paraId="6BE62012" w14:textId="77777777" w:rsidR="000C1040" w:rsidRPr="001820FF" w:rsidRDefault="000C1040" w:rsidP="000C1040">
            <w:pPr>
              <w:jc w:val="both"/>
              <w:rPr>
                <w:rFonts w:ascii="Arial" w:hAnsi="Arial"/>
                <w:b/>
                <w:bCs/>
                <w:sz w:val="26"/>
                <w:szCs w:val="26"/>
                <w:rtl/>
              </w:rPr>
            </w:pPr>
          </w:p>
        </w:tc>
        <w:tc>
          <w:tcPr>
            <w:tcW w:w="8215" w:type="dxa"/>
            <w:gridSpan w:val="4"/>
            <w:tcBorders>
              <w:top w:val="nil"/>
              <w:left w:val="nil"/>
              <w:bottom w:val="nil"/>
              <w:right w:val="nil"/>
            </w:tcBorders>
            <w:shd w:val="clear" w:color="auto" w:fill="auto"/>
          </w:tcPr>
          <w:p w14:paraId="76693F1B" w14:textId="77777777" w:rsidR="000C1040" w:rsidRPr="001820FF" w:rsidRDefault="000C1040" w:rsidP="000C1040">
            <w:pPr>
              <w:jc w:val="center"/>
              <w:rPr>
                <w:rFonts w:ascii="Arial" w:hAnsi="Arial"/>
                <w:b/>
                <w:bCs/>
                <w:sz w:val="26"/>
                <w:szCs w:val="26"/>
                <w:rtl/>
              </w:rPr>
            </w:pPr>
          </w:p>
          <w:p w14:paraId="3EA6F6A7" w14:textId="77777777" w:rsidR="000C1040" w:rsidRPr="001820FF" w:rsidRDefault="000C1040" w:rsidP="000C1040">
            <w:pPr>
              <w:jc w:val="center"/>
              <w:rPr>
                <w:rFonts w:ascii="Arial" w:hAnsi="Arial"/>
                <w:b/>
                <w:bCs/>
                <w:sz w:val="26"/>
                <w:szCs w:val="26"/>
                <w:rtl/>
              </w:rPr>
            </w:pPr>
            <w:r w:rsidRPr="001820FF">
              <w:rPr>
                <w:rFonts w:ascii="Arial" w:hAnsi="Arial"/>
                <w:b/>
                <w:bCs/>
                <w:sz w:val="26"/>
                <w:szCs w:val="26"/>
                <w:rtl/>
              </w:rPr>
              <w:t>נגד</w:t>
            </w:r>
          </w:p>
          <w:p w14:paraId="26514AA6" w14:textId="77777777" w:rsidR="000C1040" w:rsidRPr="001820FF" w:rsidRDefault="000C1040" w:rsidP="000C1040">
            <w:pPr>
              <w:jc w:val="both"/>
              <w:rPr>
                <w:rFonts w:ascii="Arial" w:hAnsi="Arial"/>
                <w:b/>
                <w:bCs/>
                <w:sz w:val="26"/>
                <w:szCs w:val="26"/>
              </w:rPr>
            </w:pPr>
          </w:p>
        </w:tc>
      </w:tr>
      <w:tr w:rsidR="000C1040" w:rsidRPr="001820FF" w14:paraId="23CFD99D" w14:textId="77777777" w:rsidTr="001C0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605" w:type="dxa"/>
            <w:tcBorders>
              <w:top w:val="nil"/>
              <w:left w:val="nil"/>
              <w:bottom w:val="nil"/>
              <w:right w:val="nil"/>
            </w:tcBorders>
            <w:shd w:val="clear" w:color="auto" w:fill="auto"/>
          </w:tcPr>
          <w:p w14:paraId="5C519D3B" w14:textId="77777777" w:rsidR="000C1040" w:rsidRPr="001820FF" w:rsidRDefault="000C1040" w:rsidP="00A051AD">
            <w:pPr>
              <w:rPr>
                <w:rFonts w:ascii="Arial" w:hAnsi="Arial"/>
                <w:b/>
                <w:bCs/>
                <w:sz w:val="26"/>
                <w:szCs w:val="26"/>
                <w:rtl/>
              </w:rPr>
            </w:pPr>
          </w:p>
        </w:tc>
        <w:tc>
          <w:tcPr>
            <w:tcW w:w="2355" w:type="dxa"/>
            <w:tcBorders>
              <w:top w:val="nil"/>
              <w:left w:val="nil"/>
              <w:bottom w:val="nil"/>
              <w:right w:val="nil"/>
            </w:tcBorders>
            <w:shd w:val="clear" w:color="auto" w:fill="auto"/>
          </w:tcPr>
          <w:p w14:paraId="4209C4FD" w14:textId="77777777" w:rsidR="000C1040" w:rsidRPr="001820FF" w:rsidRDefault="000C1040" w:rsidP="00A051AD">
            <w:pPr>
              <w:rPr>
                <w:rFonts w:ascii="Arial" w:hAnsi="Arial"/>
                <w:b/>
                <w:bCs/>
                <w:sz w:val="26"/>
                <w:szCs w:val="26"/>
                <w:rtl/>
              </w:rPr>
            </w:pPr>
            <w:r w:rsidRPr="001820FF">
              <w:rPr>
                <w:rFonts w:ascii="Arial" w:hAnsi="Arial"/>
                <w:b/>
                <w:bCs/>
                <w:sz w:val="26"/>
                <w:szCs w:val="26"/>
                <w:rtl/>
              </w:rPr>
              <w:t>הנאשם</w:t>
            </w:r>
          </w:p>
        </w:tc>
        <w:tc>
          <w:tcPr>
            <w:tcW w:w="5860" w:type="dxa"/>
            <w:gridSpan w:val="3"/>
            <w:tcBorders>
              <w:top w:val="nil"/>
              <w:left w:val="nil"/>
              <w:bottom w:val="nil"/>
              <w:right w:val="nil"/>
            </w:tcBorders>
            <w:shd w:val="clear" w:color="auto" w:fill="auto"/>
            <w:vAlign w:val="center"/>
          </w:tcPr>
          <w:p w14:paraId="0BD6EE9D" w14:textId="77777777" w:rsidR="000C1040" w:rsidRPr="001820FF" w:rsidRDefault="000C1040" w:rsidP="000C1040">
            <w:pPr>
              <w:suppressLineNumbers/>
              <w:rPr>
                <w:rFonts w:ascii="Arial" w:hAnsi="Arial"/>
                <w:b/>
                <w:bCs/>
                <w:sz w:val="26"/>
                <w:szCs w:val="26"/>
                <w:rtl/>
              </w:rPr>
            </w:pPr>
            <w:r w:rsidRPr="001820FF">
              <w:rPr>
                <w:rFonts w:ascii="Arial" w:hAnsi="Arial"/>
                <w:b/>
                <w:bCs/>
                <w:sz w:val="26"/>
                <w:szCs w:val="26"/>
                <w:rtl/>
              </w:rPr>
              <w:t>מוחמד אבו לקימה (עציר)</w:t>
            </w:r>
            <w:r w:rsidRPr="001820FF">
              <w:rPr>
                <w:rFonts w:ascii="Arial" w:hAnsi="Arial" w:hint="cs"/>
                <w:b/>
                <w:bCs/>
                <w:sz w:val="26"/>
                <w:szCs w:val="26"/>
                <w:rtl/>
              </w:rPr>
              <w:t xml:space="preserve"> </w:t>
            </w:r>
            <w:r w:rsidRPr="001820FF">
              <w:rPr>
                <w:rFonts w:ascii="Arial" w:hAnsi="Arial"/>
                <w:b/>
                <w:bCs/>
                <w:sz w:val="26"/>
                <w:szCs w:val="26"/>
                <w:rtl/>
              </w:rPr>
              <w:t>–</w:t>
            </w:r>
            <w:r w:rsidRPr="001820FF">
              <w:rPr>
                <w:rFonts w:ascii="Arial" w:hAnsi="Arial" w:hint="cs"/>
                <w:b/>
                <w:bCs/>
                <w:sz w:val="26"/>
                <w:szCs w:val="26"/>
                <w:rtl/>
              </w:rPr>
              <w:t xml:space="preserve"> הובא ע"י שב"ס</w:t>
            </w:r>
          </w:p>
          <w:p w14:paraId="4F8CA233" w14:textId="77777777" w:rsidR="000C1040" w:rsidRPr="001820FF" w:rsidRDefault="000C1040" w:rsidP="000C1040">
            <w:pPr>
              <w:suppressLineNumbers/>
              <w:rPr>
                <w:rFonts w:ascii="Arial" w:hAnsi="Arial"/>
                <w:b/>
                <w:bCs/>
                <w:sz w:val="26"/>
                <w:szCs w:val="26"/>
              </w:rPr>
            </w:pPr>
            <w:r w:rsidRPr="001820FF">
              <w:rPr>
                <w:rFonts w:ascii="Arial" w:hAnsi="Arial"/>
                <w:b/>
                <w:bCs/>
                <w:sz w:val="26"/>
                <w:szCs w:val="26"/>
                <w:rtl/>
              </w:rPr>
              <w:t>ע"י ב"כ עוה"ד</w:t>
            </w:r>
            <w:r w:rsidRPr="001820FF">
              <w:rPr>
                <w:rFonts w:ascii="Arial" w:hAnsi="Arial" w:hint="cs"/>
                <w:b/>
                <w:bCs/>
                <w:sz w:val="26"/>
                <w:szCs w:val="26"/>
                <w:rtl/>
              </w:rPr>
              <w:t xml:space="preserve"> שלום פיניאה</w:t>
            </w:r>
          </w:p>
          <w:p w14:paraId="61375BF6" w14:textId="77777777" w:rsidR="000C1040" w:rsidRPr="001820FF" w:rsidRDefault="000C1040" w:rsidP="00A051AD">
            <w:pPr>
              <w:rPr>
                <w:rFonts w:ascii="Arial" w:hAnsi="Arial"/>
                <w:b/>
                <w:bCs/>
                <w:sz w:val="26"/>
                <w:szCs w:val="26"/>
              </w:rPr>
            </w:pPr>
          </w:p>
        </w:tc>
      </w:tr>
    </w:tbl>
    <w:p w14:paraId="77DC2F6D" w14:textId="77777777" w:rsidR="001820FF" w:rsidRPr="001820FF" w:rsidRDefault="001820FF" w:rsidP="001820FF">
      <w:pPr>
        <w:spacing w:before="120" w:after="120" w:line="240" w:lineRule="exact"/>
        <w:ind w:left="283" w:hanging="283"/>
        <w:jc w:val="both"/>
        <w:rPr>
          <w:rFonts w:ascii="FrankRuehl" w:hAnsi="FrankRuehl" w:cs="FrankRuehl"/>
          <w:rtl/>
        </w:rPr>
      </w:pPr>
    </w:p>
    <w:p w14:paraId="55146F2B" w14:textId="77777777" w:rsidR="001820FF" w:rsidRPr="001820FF" w:rsidRDefault="001820FF" w:rsidP="001820FF">
      <w:pPr>
        <w:rPr>
          <w:rFonts w:ascii="Arial" w:hAnsi="Arial"/>
          <w:sz w:val="26"/>
          <w:szCs w:val="26"/>
          <w:rtl/>
        </w:rPr>
      </w:pPr>
    </w:p>
    <w:p w14:paraId="0BF9A728" w14:textId="77777777" w:rsidR="001C0B1E" w:rsidRPr="001C0B1E" w:rsidRDefault="001C0B1E" w:rsidP="001C0B1E">
      <w:pPr>
        <w:spacing w:before="120" w:after="120" w:line="240" w:lineRule="exact"/>
        <w:ind w:left="283" w:hanging="283"/>
        <w:jc w:val="both"/>
        <w:rPr>
          <w:rFonts w:ascii="FrankRuehl" w:hAnsi="FrankRuehl" w:cs="FrankRuehl"/>
          <w:rtl/>
        </w:rPr>
      </w:pPr>
      <w:bookmarkStart w:id="3" w:name="LawTable"/>
      <w:bookmarkEnd w:id="3"/>
    </w:p>
    <w:p w14:paraId="038E578B" w14:textId="77777777" w:rsidR="001C0B1E" w:rsidRPr="001C0B1E" w:rsidRDefault="001C0B1E" w:rsidP="001C0B1E">
      <w:pPr>
        <w:spacing w:before="120" w:after="120" w:line="240" w:lineRule="exact"/>
        <w:ind w:left="283" w:hanging="283"/>
        <w:jc w:val="both"/>
        <w:rPr>
          <w:rFonts w:ascii="FrankRuehl" w:hAnsi="FrankRuehl" w:cs="FrankRuehl"/>
          <w:rtl/>
        </w:rPr>
      </w:pPr>
      <w:r w:rsidRPr="001C0B1E">
        <w:rPr>
          <w:rFonts w:ascii="FrankRuehl" w:hAnsi="FrankRuehl" w:cs="FrankRuehl"/>
          <w:rtl/>
        </w:rPr>
        <w:t xml:space="preserve">חקיקה שאוזכרה: </w:t>
      </w:r>
    </w:p>
    <w:p w14:paraId="06C110D8" w14:textId="77777777" w:rsidR="001C0B1E" w:rsidRPr="001C0B1E" w:rsidRDefault="001C0B1E" w:rsidP="001C0B1E">
      <w:pPr>
        <w:spacing w:before="120" w:after="120" w:line="240" w:lineRule="exact"/>
        <w:ind w:left="283" w:hanging="283"/>
        <w:jc w:val="both"/>
        <w:rPr>
          <w:rFonts w:ascii="FrankRuehl" w:hAnsi="FrankRuehl" w:cs="FrankRuehl"/>
          <w:color w:val="0000FF"/>
          <w:rtl/>
        </w:rPr>
      </w:pPr>
      <w:hyperlink r:id="rId7" w:history="1">
        <w:r w:rsidRPr="001C0B1E">
          <w:rPr>
            <w:rStyle w:val="Hyperlink"/>
            <w:rFonts w:ascii="FrankRuehl" w:hAnsi="FrankRuehl" w:cs="FrankRuehl"/>
            <w:u w:val="none"/>
            <w:rtl/>
          </w:rPr>
          <w:t>פקודת הסמים המסוכנים [נוסח חדש], תשל"ג-1973</w:t>
        </w:r>
      </w:hyperlink>
      <w:r w:rsidRPr="001C0B1E">
        <w:rPr>
          <w:rFonts w:ascii="FrankRuehl" w:hAnsi="FrankRuehl" w:cs="FrankRuehl"/>
          <w:color w:val="0000FF"/>
          <w:rtl/>
        </w:rPr>
        <w:t xml:space="preserve">: סע'  </w:t>
      </w:r>
      <w:hyperlink r:id="rId8" w:history="1">
        <w:r w:rsidRPr="001C0B1E">
          <w:rPr>
            <w:rStyle w:val="Hyperlink"/>
            <w:rFonts w:ascii="FrankRuehl" w:hAnsi="FrankRuehl" w:cs="FrankRuehl"/>
            <w:u w:val="none"/>
          </w:rPr>
          <w:t>7</w:t>
        </w:r>
      </w:hyperlink>
      <w:r w:rsidRPr="001C0B1E">
        <w:rPr>
          <w:rFonts w:ascii="FrankRuehl" w:hAnsi="FrankRuehl" w:cs="FrankRuehl"/>
          <w:color w:val="0000FF"/>
          <w:rtl/>
        </w:rPr>
        <w:t xml:space="preserve">(א)+, </w:t>
      </w:r>
      <w:hyperlink r:id="rId9" w:history="1">
        <w:r w:rsidRPr="001C0B1E">
          <w:rPr>
            <w:rStyle w:val="Hyperlink"/>
            <w:rFonts w:ascii="FrankRuehl" w:hAnsi="FrankRuehl" w:cs="FrankRuehl"/>
            <w:u w:val="none"/>
            <w:rtl/>
          </w:rPr>
          <w:t>ג</w:t>
        </w:r>
      </w:hyperlink>
    </w:p>
    <w:p w14:paraId="37AFDB6D" w14:textId="77777777" w:rsidR="000C1040" w:rsidRDefault="000C1040" w:rsidP="001C0B1E">
      <w:pPr>
        <w:rPr>
          <w:rFonts w:ascii="Arial" w:hAnsi="Arial" w:hint="cs"/>
          <w:sz w:val="26"/>
          <w:szCs w:val="26"/>
          <w:rtl/>
        </w:rPr>
      </w:pPr>
      <w:bookmarkStart w:id="4" w:name="LawTable_End"/>
      <w:bookmarkEnd w:id="4"/>
    </w:p>
    <w:p w14:paraId="7081BDD6" w14:textId="77777777" w:rsidR="001C0B1E" w:rsidRPr="001C0B1E" w:rsidRDefault="001C0B1E" w:rsidP="001C0B1E">
      <w:pPr>
        <w:rPr>
          <w:rFonts w:ascii="Arial" w:hAnsi="Arial"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1040" w14:paraId="0170B1E9" w14:textId="77777777" w:rsidTr="000C1040">
        <w:trPr>
          <w:trHeight w:val="355"/>
          <w:jc w:val="center"/>
        </w:trPr>
        <w:tc>
          <w:tcPr>
            <w:tcW w:w="8820" w:type="dxa"/>
            <w:tcBorders>
              <w:top w:val="nil"/>
              <w:left w:val="nil"/>
              <w:bottom w:val="nil"/>
              <w:right w:val="nil"/>
            </w:tcBorders>
            <w:shd w:val="clear" w:color="auto" w:fill="auto"/>
          </w:tcPr>
          <w:p w14:paraId="3C5CA165" w14:textId="77777777" w:rsidR="001820FF" w:rsidRPr="001820FF" w:rsidRDefault="001820FF" w:rsidP="001820FF">
            <w:pPr>
              <w:jc w:val="center"/>
              <w:rPr>
                <w:rFonts w:ascii="David" w:hAnsi="David"/>
                <w:b/>
                <w:bCs/>
                <w:sz w:val="32"/>
                <w:szCs w:val="32"/>
                <w:u w:val="single"/>
                <w:rtl/>
              </w:rPr>
            </w:pPr>
            <w:bookmarkStart w:id="5" w:name="PsakDin" w:colFirst="0" w:colLast="0"/>
            <w:bookmarkEnd w:id="0"/>
            <w:r w:rsidRPr="001820FF">
              <w:rPr>
                <w:rFonts w:ascii="David" w:hAnsi="David"/>
                <w:b/>
                <w:bCs/>
                <w:sz w:val="32"/>
                <w:szCs w:val="32"/>
                <w:u w:val="single"/>
                <w:rtl/>
              </w:rPr>
              <w:t>גזר דין</w:t>
            </w:r>
          </w:p>
          <w:p w14:paraId="48A873D6" w14:textId="77777777" w:rsidR="000C1040" w:rsidRPr="001820FF" w:rsidRDefault="000C1040" w:rsidP="001820FF">
            <w:pPr>
              <w:jc w:val="center"/>
              <w:rPr>
                <w:rFonts w:ascii="David" w:hAnsi="David"/>
                <w:bCs/>
                <w:sz w:val="32"/>
                <w:szCs w:val="32"/>
                <w:u w:val="single"/>
                <w:rtl/>
              </w:rPr>
            </w:pPr>
          </w:p>
        </w:tc>
      </w:tr>
      <w:bookmarkEnd w:id="5"/>
    </w:tbl>
    <w:p w14:paraId="5B65F0F7" w14:textId="77777777" w:rsidR="000C1040" w:rsidRDefault="000C1040" w:rsidP="000C1040">
      <w:pPr>
        <w:rPr>
          <w:rFonts w:ascii="Arial" w:hAnsi="Arial"/>
          <w:b/>
          <w:bCs/>
          <w:sz w:val="26"/>
          <w:szCs w:val="26"/>
          <w:rtl/>
        </w:rPr>
      </w:pPr>
    </w:p>
    <w:p w14:paraId="70DA0BD8" w14:textId="77777777" w:rsidR="000C1040" w:rsidRDefault="000C1040" w:rsidP="000C1040">
      <w:pPr>
        <w:spacing w:line="360" w:lineRule="auto"/>
        <w:jc w:val="both"/>
      </w:pPr>
      <w:bookmarkStart w:id="6" w:name="ABSTRACT_START"/>
      <w:bookmarkEnd w:id="6"/>
      <w:r>
        <w:rPr>
          <w:rtl/>
        </w:rPr>
        <w:t xml:space="preserve">הנאשם נותן את הדין בגין ביצוע עבירה של החזקת סמים שלא לצריכה עצמית, עבירה לפי </w:t>
      </w:r>
      <w:hyperlink r:id="rId10" w:history="1">
        <w:r w:rsidR="001C0B1E" w:rsidRPr="001C0B1E">
          <w:rPr>
            <w:rStyle w:val="Hyperlink"/>
            <w:color w:val="0000FF"/>
            <w:rtl/>
          </w:rPr>
          <w:t>סעיף 7(א)+</w:t>
        </w:r>
      </w:hyperlink>
      <w:r>
        <w:rPr>
          <w:rtl/>
        </w:rPr>
        <w:t xml:space="preserve"> (</w:t>
      </w:r>
      <w:hyperlink r:id="rId11" w:history="1">
        <w:r w:rsidR="001C0B1E" w:rsidRPr="001C0B1E">
          <w:rPr>
            <w:rStyle w:val="Hyperlink"/>
            <w:color w:val="0000FF"/>
            <w:rtl/>
          </w:rPr>
          <w:t>ג</w:t>
        </w:r>
      </w:hyperlink>
      <w:r>
        <w:rPr>
          <w:rtl/>
        </w:rPr>
        <w:t>) רישא ל</w:t>
      </w:r>
      <w:hyperlink r:id="rId12" w:history="1">
        <w:r w:rsidR="001820FF" w:rsidRPr="001820FF">
          <w:rPr>
            <w:color w:val="0000FF"/>
            <w:u w:val="single"/>
            <w:rtl/>
          </w:rPr>
          <w:t>פקודת הסמים המסוכנים</w:t>
        </w:r>
      </w:hyperlink>
      <w:r>
        <w:rPr>
          <w:rtl/>
        </w:rPr>
        <w:t xml:space="preserve">, התשל"ג – 1973. </w:t>
      </w:r>
    </w:p>
    <w:p w14:paraId="78055A25" w14:textId="77777777" w:rsidR="000C1040" w:rsidRDefault="000C1040" w:rsidP="000C1040">
      <w:pPr>
        <w:spacing w:line="360" w:lineRule="auto"/>
        <w:jc w:val="both"/>
        <w:rPr>
          <w:rFonts w:ascii="Arial" w:hAnsi="Arial"/>
          <w:b/>
          <w:bCs/>
          <w:sz w:val="28"/>
          <w:szCs w:val="28"/>
          <w:u w:val="single"/>
          <w:rtl/>
        </w:rPr>
      </w:pPr>
    </w:p>
    <w:p w14:paraId="0060473D" w14:textId="77777777" w:rsidR="000C1040" w:rsidRDefault="000C1040" w:rsidP="000C1040">
      <w:pPr>
        <w:spacing w:line="360" w:lineRule="auto"/>
        <w:jc w:val="both"/>
        <w:rPr>
          <w:rFonts w:ascii="Arial" w:hAnsi="Arial"/>
          <w:rtl/>
        </w:rPr>
      </w:pPr>
      <w:r>
        <w:rPr>
          <w:rFonts w:ascii="Arial" w:hAnsi="Arial"/>
          <w:rtl/>
        </w:rPr>
        <w:t>1.</w:t>
      </w:r>
      <w:r>
        <w:rPr>
          <w:rFonts w:ascii="Arial" w:hAnsi="Arial"/>
          <w:rtl/>
        </w:rPr>
        <w:tab/>
        <w:t xml:space="preserve">בהתאם לעובדות כתב האישום המתוקן בהן הודה הנאשם במסגרת הסדר טיעון ביום 15.02.24, נהג הנאשם ברכבו ביום 3.8.23 סמוך לשעה 01:30 כשהוא מחזיק סמים מסוכן מסוג קוקאין במשקל של 65 גרם, מחולק למספר שקיות אשר הוסלק מאחורי הרדיו אשר על לוח המחוונים של הרכב, ובעוד אדם אחר, ווליד אבו לקימה יושב לצדו. </w:t>
      </w:r>
    </w:p>
    <w:p w14:paraId="0899A423" w14:textId="77777777" w:rsidR="000C1040" w:rsidRDefault="000C1040" w:rsidP="000C1040">
      <w:pPr>
        <w:spacing w:line="360" w:lineRule="auto"/>
        <w:jc w:val="both"/>
        <w:rPr>
          <w:rFonts w:ascii="Arial" w:hAnsi="Arial"/>
          <w:noProof/>
        </w:rPr>
      </w:pPr>
      <w:bookmarkStart w:id="7" w:name="ABSTRACT_END"/>
      <w:bookmarkEnd w:id="7"/>
      <w:r>
        <w:rPr>
          <w:rFonts w:ascii="Arial" w:hAnsi="Arial"/>
          <w:rtl/>
        </w:rPr>
        <w:t xml:space="preserve">בלשי תחנת אילת אשר היו באותה עת בפעילות משטרתית יזומה, עצרו את הרכב סמוך לק"מ 31 בכביש 12 לכיוון אילת ובהתאם לצו חיפוש חתום, ערכו חיפוש ברכב ותפסו את הסמים הנ"ל.   </w:t>
      </w:r>
    </w:p>
    <w:p w14:paraId="093A964E" w14:textId="77777777" w:rsidR="000C1040" w:rsidRDefault="000C1040" w:rsidP="000C1040">
      <w:pPr>
        <w:spacing w:line="360" w:lineRule="auto"/>
        <w:jc w:val="both"/>
        <w:rPr>
          <w:rFonts w:ascii="Arial" w:hAnsi="Arial"/>
          <w:rtl/>
        </w:rPr>
      </w:pPr>
      <w:r>
        <w:rPr>
          <w:rFonts w:ascii="Arial" w:hAnsi="Arial"/>
          <w:rtl/>
        </w:rPr>
        <w:t xml:space="preserve">במעשיו האמורים החזיק הנאשם בסם מסוכן מסוג קוקאין במשקל של 65 גרם שלא לצריכתו העצמית ושלא כדין. </w:t>
      </w:r>
    </w:p>
    <w:p w14:paraId="27A4EA0C" w14:textId="77777777" w:rsidR="000C1040" w:rsidRDefault="000C1040" w:rsidP="000C1040">
      <w:pPr>
        <w:spacing w:line="360" w:lineRule="auto"/>
        <w:jc w:val="both"/>
        <w:rPr>
          <w:rFonts w:ascii="Arial" w:hAnsi="Arial"/>
          <w:rtl/>
        </w:rPr>
      </w:pPr>
    </w:p>
    <w:p w14:paraId="7CB39005" w14:textId="77777777" w:rsidR="000C1040" w:rsidRDefault="000C1040" w:rsidP="000C1040">
      <w:pPr>
        <w:spacing w:line="360" w:lineRule="auto"/>
        <w:jc w:val="both"/>
        <w:rPr>
          <w:rFonts w:ascii="Arial" w:hAnsi="Arial"/>
          <w:b/>
          <w:bCs/>
          <w:u w:val="single"/>
          <w:rtl/>
        </w:rPr>
      </w:pPr>
      <w:r>
        <w:rPr>
          <w:rFonts w:ascii="Arial" w:hAnsi="Arial"/>
          <w:b/>
          <w:bCs/>
          <w:u w:val="single"/>
          <w:rtl/>
        </w:rPr>
        <w:t>הערכת שירות המבחן</w:t>
      </w:r>
    </w:p>
    <w:p w14:paraId="0FA91BF0" w14:textId="77777777" w:rsidR="000C1040" w:rsidRDefault="000C1040" w:rsidP="000C1040">
      <w:pPr>
        <w:spacing w:line="360" w:lineRule="auto"/>
        <w:jc w:val="both"/>
        <w:rPr>
          <w:rFonts w:ascii="Arial" w:hAnsi="Arial"/>
          <w:rtl/>
        </w:rPr>
      </w:pPr>
      <w:r>
        <w:rPr>
          <w:rFonts w:ascii="Arial" w:hAnsi="Arial"/>
          <w:rtl/>
        </w:rPr>
        <w:t>2.</w:t>
      </w:r>
      <w:r>
        <w:rPr>
          <w:rFonts w:ascii="Arial" w:hAnsi="Arial"/>
          <w:rtl/>
        </w:rPr>
        <w:tab/>
        <w:t xml:space="preserve">במסגרת הסדר הופנה הנאשם לשירות המבחן אשר ערך עליו תסקיר שהוגש ביום 09.04.2024 ובו פורטו קורותיו ונסיבותיו האישיות מהן עולה כי הנאשם בן 20, רווק, מתגורר בבית הוריו בפזורה הבדואית ליד רמת חובב וטרם מעצרו עבד בשמירה עם אביו. </w:t>
      </w:r>
    </w:p>
    <w:p w14:paraId="65A16D13" w14:textId="77777777" w:rsidR="000C1040" w:rsidRDefault="000C1040" w:rsidP="000C1040">
      <w:pPr>
        <w:spacing w:line="360" w:lineRule="auto"/>
        <w:jc w:val="both"/>
        <w:rPr>
          <w:rFonts w:ascii="Arial" w:hAnsi="Arial"/>
          <w:rtl/>
        </w:rPr>
      </w:pPr>
      <w:r>
        <w:rPr>
          <w:rFonts w:ascii="Arial" w:hAnsi="Arial"/>
          <w:rtl/>
        </w:rPr>
        <w:lastRenderedPageBreak/>
        <w:t xml:space="preserve">משפחת מוצאו מונה זוג הורים ו-9 ילדים בגילאי 22-9 כאשר הנאשם השלישי בסדר הלידה. </w:t>
      </w:r>
    </w:p>
    <w:p w14:paraId="7CE25627" w14:textId="77777777" w:rsidR="000C1040" w:rsidRDefault="000C1040" w:rsidP="000C1040">
      <w:pPr>
        <w:spacing w:line="360" w:lineRule="auto"/>
        <w:jc w:val="both"/>
        <w:rPr>
          <w:rFonts w:ascii="Arial" w:hAnsi="Arial"/>
          <w:rtl/>
        </w:rPr>
      </w:pPr>
    </w:p>
    <w:p w14:paraId="121017B9" w14:textId="77777777" w:rsidR="000C1040" w:rsidRDefault="000C1040" w:rsidP="000C1040">
      <w:pPr>
        <w:spacing w:line="360" w:lineRule="auto"/>
        <w:jc w:val="both"/>
        <w:rPr>
          <w:rFonts w:ascii="Arial" w:hAnsi="Arial"/>
          <w:rtl/>
        </w:rPr>
      </w:pPr>
      <w:r>
        <w:rPr>
          <w:rFonts w:ascii="Arial" w:hAnsi="Arial"/>
          <w:rtl/>
        </w:rPr>
        <w:t xml:space="preserve">הנאשם נעדר עבר פלילי קודם, שלל שימוש בחומרים ממכרים ואף התנסות בהם.  </w:t>
      </w:r>
    </w:p>
    <w:p w14:paraId="0E6AC9EF" w14:textId="77777777" w:rsidR="000C1040" w:rsidRDefault="000C1040" w:rsidP="000C1040">
      <w:pPr>
        <w:spacing w:line="360" w:lineRule="auto"/>
        <w:jc w:val="both"/>
        <w:rPr>
          <w:rFonts w:ascii="Arial" w:hAnsi="Arial"/>
          <w:rtl/>
        </w:rPr>
      </w:pPr>
    </w:p>
    <w:p w14:paraId="31D1925E" w14:textId="77777777" w:rsidR="000C1040" w:rsidRDefault="000C1040" w:rsidP="000C1040">
      <w:pPr>
        <w:spacing w:line="360" w:lineRule="auto"/>
        <w:jc w:val="both"/>
        <w:rPr>
          <w:rFonts w:ascii="Arial" w:hAnsi="Arial"/>
          <w:rtl/>
        </w:rPr>
      </w:pPr>
      <w:r>
        <w:rPr>
          <w:rFonts w:ascii="Arial" w:hAnsi="Arial"/>
          <w:rtl/>
        </w:rPr>
        <w:t xml:space="preserve">בהתייחסו לעבירה שביצע, מסר הנאשם כי עשה כן עבור אחר ממנו רכש רכב, כתמורה ליתרת החוב הכספי שנותר חייב לאחר עבור רכישת הרכב. לדבריו, התקשה לשלם את מלא סכום הרכב אותו רכש ועל מנת שאותו אחר לא יפנה לאביו בעניין, נאלץ לקבל הצעתו של האחר להעביר סמים ליעד מסוים בשעת לילה, על אף ידיעתו כי עובר הוא עבירה. </w:t>
      </w:r>
    </w:p>
    <w:p w14:paraId="4FE8F0FF" w14:textId="77777777" w:rsidR="000C1040" w:rsidRDefault="000C1040" w:rsidP="000C1040">
      <w:pPr>
        <w:spacing w:line="360" w:lineRule="auto"/>
        <w:jc w:val="both"/>
        <w:rPr>
          <w:rFonts w:ascii="Arial" w:hAnsi="Arial"/>
          <w:rtl/>
        </w:rPr>
      </w:pPr>
    </w:p>
    <w:p w14:paraId="3672401A" w14:textId="77777777" w:rsidR="000C1040" w:rsidRDefault="000C1040" w:rsidP="000C1040">
      <w:pPr>
        <w:spacing w:line="360" w:lineRule="auto"/>
        <w:jc w:val="both"/>
        <w:rPr>
          <w:rFonts w:ascii="Arial" w:hAnsi="Arial"/>
          <w:rtl/>
        </w:rPr>
      </w:pPr>
      <w:r>
        <w:rPr>
          <w:rFonts w:ascii="Arial" w:hAnsi="Arial"/>
          <w:rtl/>
        </w:rPr>
        <w:t>שירות המבחן התרשם מהנאשם כבעל יכולות וורבליות וקוגניטיביות תקינות אשר נמצא בשלבים של גיבוש זהות ובחירת דרכו בחיים וייתכן ומנהל קשרים שוליים המשפיעים על אופן קבלת החלטותיו; הרקע למעשה העבירה במצוקה כלכלית והעדר כלים להתמודדות אדפטיבית במצבי מצוקה ולחץ;</w:t>
      </w:r>
      <w:r>
        <w:rPr>
          <w:rFonts w:ascii="Arial" w:hAnsi="Arial"/>
        </w:rPr>
        <w:t xml:space="preserve"> </w:t>
      </w:r>
      <w:r>
        <w:rPr>
          <w:rFonts w:ascii="Arial" w:hAnsi="Arial"/>
          <w:rtl/>
        </w:rPr>
        <w:t xml:space="preserve">מגיל צעיר השתלב בתעסוקה וגילה אחריות כלפי משפחתו, אם כי מתקשה להציב לעצמו גבולות פנימיים, מתקשה לחשוב על השלכות מעשיו לעומק ופועל תוך התמקדות בסיפוק צרכיו המידיים; מבין את חומרת מעשיו, אולם אינו מכיר בבעייתיות וצורך בבחינת מעשיו לעומק. </w:t>
      </w:r>
    </w:p>
    <w:p w14:paraId="5811FAA3" w14:textId="77777777" w:rsidR="000C1040" w:rsidRDefault="000C1040" w:rsidP="000C1040">
      <w:pPr>
        <w:spacing w:line="360" w:lineRule="auto"/>
        <w:jc w:val="both"/>
        <w:rPr>
          <w:rFonts w:ascii="Arial" w:hAnsi="Arial"/>
          <w:rtl/>
        </w:rPr>
      </w:pPr>
      <w:r>
        <w:rPr>
          <w:rFonts w:ascii="Arial" w:hAnsi="Arial"/>
          <w:rtl/>
        </w:rPr>
        <w:t xml:space="preserve"> </w:t>
      </w:r>
    </w:p>
    <w:p w14:paraId="44C92D36" w14:textId="77777777" w:rsidR="000C1040" w:rsidRDefault="000C1040" w:rsidP="000C1040">
      <w:pPr>
        <w:spacing w:line="360" w:lineRule="auto"/>
        <w:jc w:val="both"/>
        <w:rPr>
          <w:rFonts w:ascii="Arial" w:hAnsi="Arial"/>
          <w:rtl/>
        </w:rPr>
      </w:pPr>
      <w:r>
        <w:rPr>
          <w:rFonts w:ascii="Arial" w:hAnsi="Arial"/>
          <w:rtl/>
        </w:rPr>
        <w:t xml:space="preserve">בין גורמי הסיכוי לשיקום צוינו גילו הצעיר של הנאשם, נעדר עבר פלילי קודם, שאיפת הנאשם לנהל אורח חיים תקין, נכונות להתרחק מגורמים שוליים והשתלבותו במספר סדנאות טיפול במסגרת מעצרו בהן יהיה לסייע לו לאחר שחרורו מהמאסר. </w:t>
      </w:r>
    </w:p>
    <w:p w14:paraId="74D83CF7" w14:textId="77777777" w:rsidR="000C1040" w:rsidRDefault="000C1040" w:rsidP="000C1040">
      <w:pPr>
        <w:spacing w:line="360" w:lineRule="auto"/>
        <w:jc w:val="both"/>
        <w:rPr>
          <w:rFonts w:ascii="Arial" w:hAnsi="Arial"/>
          <w:rtl/>
        </w:rPr>
      </w:pPr>
    </w:p>
    <w:p w14:paraId="26A7D375" w14:textId="77777777" w:rsidR="000C1040" w:rsidRDefault="000C1040" w:rsidP="000C1040">
      <w:pPr>
        <w:spacing w:line="360" w:lineRule="auto"/>
        <w:jc w:val="both"/>
        <w:rPr>
          <w:rFonts w:ascii="Arial" w:hAnsi="Arial"/>
          <w:rtl/>
        </w:rPr>
      </w:pPr>
      <w:r>
        <w:rPr>
          <w:rFonts w:ascii="Arial" w:hAnsi="Arial"/>
          <w:rtl/>
        </w:rPr>
        <w:t>בין גורמי הסיכון להישנות התנהגות עוברת חוק, ציין השירות בחומרת העבירה והתרשמותו מהנאשם כי במצבי לחץ ומצוקה יתקשה להציב גבולות פנימיים להתנהגותו ולמצ</w:t>
      </w:r>
      <w:r>
        <w:rPr>
          <w:rFonts w:ascii="Arial" w:hAnsi="Arial" w:hint="cs"/>
          <w:rtl/>
        </w:rPr>
        <w:t>ו</w:t>
      </w:r>
      <w:r>
        <w:rPr>
          <w:rFonts w:ascii="Arial" w:hAnsi="Arial"/>
          <w:rtl/>
        </w:rPr>
        <w:t xml:space="preserve">א פתרונות אדפטיביים, ועל כן, עשוי לפעול באופן שולי תוך מציאת פתרונות מהירים לשם סיפוק צרכיו המידיים ללא חשיבה מעמיקה אודות השלכות מעשיו. לצד כל אלה,  הוסיף השירות לציין כי הנאשם מתקשה צורך בסיוע מקצועי או בשינוי אורחות חייו.  </w:t>
      </w:r>
    </w:p>
    <w:p w14:paraId="0F67EF92" w14:textId="77777777" w:rsidR="000C1040" w:rsidRDefault="000C1040" w:rsidP="000C1040">
      <w:pPr>
        <w:spacing w:line="360" w:lineRule="auto"/>
        <w:jc w:val="both"/>
        <w:rPr>
          <w:rFonts w:ascii="Arial" w:hAnsi="Arial"/>
          <w:rtl/>
        </w:rPr>
      </w:pPr>
      <w:r>
        <w:rPr>
          <w:rFonts w:ascii="Arial" w:hAnsi="Arial"/>
          <w:rtl/>
        </w:rPr>
        <w:t xml:space="preserve">מהתסקיר נלמד כי הנאשם זקוק לסיוע מקצועי בכדי לזהות גורמי סיכון בסביבתו ואופיו וחיזוק היכולת להציב גבולות פנימיים, בין היתר, נוכח הקשרים החברתיים אותם מנהל ובחירותיו. עם זאת, נוכח קשייו לבחון מעשיו לעומק ועמדתו כי אינו רואה כל צורך בשילובו בהליך טיפולי, שירות המבחן לא בא בהמלצה טיפולית בעניינו. </w:t>
      </w:r>
    </w:p>
    <w:p w14:paraId="215E7322" w14:textId="77777777" w:rsidR="000C1040" w:rsidRDefault="000C1040" w:rsidP="000C1040">
      <w:pPr>
        <w:spacing w:line="360" w:lineRule="auto"/>
        <w:jc w:val="both"/>
        <w:rPr>
          <w:rFonts w:ascii="Arial" w:hAnsi="Arial"/>
          <w:rtl/>
        </w:rPr>
      </w:pPr>
      <w:r>
        <w:rPr>
          <w:rFonts w:ascii="Arial" w:hAnsi="Arial"/>
          <w:rtl/>
        </w:rPr>
        <w:t xml:space="preserve">באשר לעונשו, לאחר ששקלל את כלל הגורמים, סבר השירות כי נדרשת ענישה מוחשית ומציבת גבולות שתהווה אלמנט מרתיע מביצוע עבירות דומות בעתיד. </w:t>
      </w:r>
    </w:p>
    <w:p w14:paraId="3F739094" w14:textId="77777777" w:rsidR="000C1040" w:rsidRDefault="000C1040" w:rsidP="000C1040">
      <w:pPr>
        <w:spacing w:line="360" w:lineRule="auto"/>
        <w:rPr>
          <w:rFonts w:ascii="David" w:hAnsi="David"/>
          <w:b/>
          <w:bCs/>
          <w:sz w:val="26"/>
          <w:szCs w:val="26"/>
          <w:u w:val="single"/>
          <w:rtl/>
        </w:rPr>
      </w:pPr>
    </w:p>
    <w:p w14:paraId="4F7E6491" w14:textId="77777777" w:rsidR="000C1040" w:rsidRDefault="000C1040" w:rsidP="000C1040">
      <w:pPr>
        <w:spacing w:line="360" w:lineRule="auto"/>
        <w:rPr>
          <w:b/>
          <w:bCs/>
          <w:sz w:val="26"/>
          <w:szCs w:val="26"/>
          <w:u w:val="single"/>
          <w:rtl/>
        </w:rPr>
      </w:pPr>
      <w:r>
        <w:rPr>
          <w:b/>
          <w:bCs/>
          <w:sz w:val="26"/>
          <w:szCs w:val="26"/>
          <w:u w:val="single"/>
          <w:rtl/>
        </w:rPr>
        <w:t>תמצית טיעוני הצדדים</w:t>
      </w:r>
    </w:p>
    <w:p w14:paraId="3EE4F09C" w14:textId="77777777" w:rsidR="000C1040" w:rsidRDefault="000C1040" w:rsidP="000C1040">
      <w:pPr>
        <w:spacing w:line="360" w:lineRule="auto"/>
        <w:jc w:val="both"/>
        <w:rPr>
          <w:rFonts w:ascii="David" w:hAnsi="David"/>
          <w:rtl/>
        </w:rPr>
      </w:pPr>
      <w:r>
        <w:rPr>
          <w:b/>
          <w:bCs/>
          <w:rtl/>
        </w:rPr>
        <w:t>3.</w:t>
      </w:r>
      <w:r>
        <w:rPr>
          <w:b/>
          <w:bCs/>
          <w:rtl/>
        </w:rPr>
        <w:tab/>
        <w:t>ב"כ המאשימה, עו"ד</w:t>
      </w:r>
      <w:r>
        <w:rPr>
          <w:b/>
          <w:bCs/>
          <w:sz w:val="26"/>
          <w:szCs w:val="26"/>
          <w:rtl/>
        </w:rPr>
        <w:t xml:space="preserve"> </w:t>
      </w:r>
      <w:r>
        <w:rPr>
          <w:b/>
          <w:bCs/>
          <w:rtl/>
        </w:rPr>
        <w:t>אוסטריאק</w:t>
      </w:r>
      <w:r>
        <w:rPr>
          <w:rtl/>
        </w:rPr>
        <w:t xml:space="preserve">, בטיעוניה בכתב ועל פה עמדה על נסיבות ביצוע העבירה וטענה כי נוכח הפגיעה הגבוהה בערכים המוגנים, מתחם העונש ההולם את מעשי הנאשם צריך וינוע </w:t>
      </w:r>
      <w:r>
        <w:rPr>
          <w:rtl/>
        </w:rPr>
        <w:lastRenderedPageBreak/>
        <w:t xml:space="preserve">בין  3 ל -5 שנות מאסר. באשר לעונשו של הנאשם, עתרה להעמידו באמצע המתחם ובתימוכין בעמדתה העונשית הפנתה למקרים בפסיקת בתי המשפט השונים. </w:t>
      </w:r>
    </w:p>
    <w:p w14:paraId="6FEF53A8" w14:textId="77777777" w:rsidR="000C1040" w:rsidRDefault="000C1040" w:rsidP="000C1040">
      <w:pPr>
        <w:spacing w:line="360" w:lineRule="auto"/>
        <w:jc w:val="both"/>
        <w:rPr>
          <w:rtl/>
        </w:rPr>
      </w:pPr>
    </w:p>
    <w:p w14:paraId="4B693CB5" w14:textId="77777777" w:rsidR="000C1040" w:rsidRDefault="000C1040" w:rsidP="000C1040">
      <w:pPr>
        <w:spacing w:line="360" w:lineRule="auto"/>
        <w:jc w:val="both"/>
        <w:rPr>
          <w:rtl/>
        </w:rPr>
      </w:pPr>
      <w:r>
        <w:rPr>
          <w:rtl/>
        </w:rPr>
        <w:t xml:space="preserve">בהתייחסה לנסיבות ביצוע העבירה עמדה על סוג וכמות הסם, חלקו המשמעותי של הנאשם, לתכנון המוקדם ולסיכון המוגבר שבביצועה, לרבות למעגלי הנזק הצפויים מהפצת הסם.  אשר לעונשו של הנאשם ציינה המאשימה לטובתו את גילו הצעיר והעובדה כי זו הסתבכותו הראשונה עם החוק. לחובתו ציינה בהתרשמות שירות המבחן מקשיו להתייחס באופן מעמיק לדפוסיו המכשילים, לגורמי הסיכון והעדר נכונות להשתלב בהליך טיפולי משמעותי, לרבות המלצת השירות להשית עליו ענישה מוחשית שיהיה בה להציב לו גבולות ולהרתיעו מביצוע עבירות דומות בעתיד. </w:t>
      </w:r>
    </w:p>
    <w:p w14:paraId="1F4ABC27" w14:textId="77777777" w:rsidR="000C1040" w:rsidRDefault="000C1040" w:rsidP="000C1040">
      <w:pPr>
        <w:spacing w:line="360" w:lineRule="auto"/>
        <w:jc w:val="both"/>
      </w:pPr>
    </w:p>
    <w:p w14:paraId="1120FA30" w14:textId="77777777" w:rsidR="000C1040" w:rsidRDefault="000C1040" w:rsidP="000C1040">
      <w:pPr>
        <w:spacing w:line="360" w:lineRule="auto"/>
        <w:jc w:val="both"/>
        <w:rPr>
          <w:rtl/>
        </w:rPr>
      </w:pPr>
      <w:r>
        <w:rPr>
          <w:b/>
          <w:bCs/>
          <w:rtl/>
        </w:rPr>
        <w:t>4.</w:t>
      </w:r>
      <w:r>
        <w:rPr>
          <w:b/>
          <w:bCs/>
          <w:rtl/>
        </w:rPr>
        <w:tab/>
        <w:t xml:space="preserve">ב"כ הנאשם, עו"ד שלום פיניאה, </w:t>
      </w:r>
      <w:r>
        <w:rPr>
          <w:rtl/>
        </w:rPr>
        <w:t>טען כי מתחם העונש ההולם למעשי העבירה בה הורשע הנאשם, צריך וינוע בין  17  ל -36 חודשי מאסר בפועל, כשלדבריו, מתחם העונש לו עתרה המאשימה אינו מותאם אף למקרים אליהם הפנתה בעצמה, כך למשל, ב</w:t>
      </w:r>
      <w:hyperlink r:id="rId13" w:history="1">
        <w:r w:rsidR="001820FF" w:rsidRPr="001820FF">
          <w:rPr>
            <w:color w:val="0000FF"/>
            <w:u w:val="single"/>
            <w:rtl/>
          </w:rPr>
          <w:t>ע"פ  8820/14</w:t>
        </w:r>
      </w:hyperlink>
      <w:r>
        <w:rPr>
          <w:rtl/>
        </w:rPr>
        <w:t xml:space="preserve"> </w:t>
      </w:r>
      <w:r>
        <w:rPr>
          <w:b/>
          <w:bCs/>
          <w:rtl/>
        </w:rPr>
        <w:t>שחר נ' מדינת ישראל</w:t>
      </w:r>
      <w:r>
        <w:rPr>
          <w:rtl/>
        </w:rPr>
        <w:t xml:space="preserve"> (17.05.2015). </w:t>
      </w:r>
    </w:p>
    <w:p w14:paraId="392ACAFF" w14:textId="77777777" w:rsidR="000C1040" w:rsidRDefault="000C1040" w:rsidP="000C1040">
      <w:pPr>
        <w:spacing w:line="360" w:lineRule="auto"/>
        <w:jc w:val="both"/>
        <w:rPr>
          <w:rtl/>
        </w:rPr>
      </w:pPr>
    </w:p>
    <w:p w14:paraId="39BA5E05" w14:textId="77777777" w:rsidR="000C1040" w:rsidRDefault="000C1040" w:rsidP="000C1040">
      <w:pPr>
        <w:spacing w:line="360" w:lineRule="auto"/>
        <w:jc w:val="both"/>
        <w:rPr>
          <w:rtl/>
        </w:rPr>
      </w:pPr>
      <w:r>
        <w:rPr>
          <w:rtl/>
        </w:rPr>
        <w:t xml:space="preserve">אשר לעונשו של הנאשם בקש הסנגור לנהוג בו במידת הרחמים. בהקשר זה ציין בגילו הצעיר שנטען כי הינו על סף הקטינות, בעובדה כי זו הסתבכותו הראשונה עם החוק, בתקופת מעצרו, למעלה מ-9 חודשים לראשונה בחייו, באחריות שלקח על מעשיו, והודאתו שחסכה זמן שיפוטי יקר. </w:t>
      </w:r>
    </w:p>
    <w:p w14:paraId="3DB5C74C" w14:textId="77777777" w:rsidR="000C1040" w:rsidRDefault="000C1040" w:rsidP="000C1040">
      <w:pPr>
        <w:spacing w:line="360" w:lineRule="auto"/>
        <w:jc w:val="both"/>
        <w:rPr>
          <w:rtl/>
        </w:rPr>
      </w:pPr>
      <w:r>
        <w:rPr>
          <w:rtl/>
        </w:rPr>
        <w:t>בנוסף הפנה לתסקיר ממנו נלמד על השתלבות הנאשם במספר סדנאות טיפול במסגרת תקופת מעצרו, לרבות התרשמות השירות מהנאשם</w:t>
      </w:r>
      <w:r>
        <w:rPr>
          <w:rFonts w:hint="cs"/>
          <w:rtl/>
        </w:rPr>
        <w:t xml:space="preserve"> אשר </w:t>
      </w:r>
      <w:r>
        <w:rPr>
          <w:rFonts w:ascii="Arial" w:hAnsi="Arial"/>
          <w:rtl/>
        </w:rPr>
        <w:t xml:space="preserve">מגיל צעיר השתלב בתעסוקה וגילה אחריות כלפי משפחתו, </w:t>
      </w:r>
      <w:r>
        <w:rPr>
          <w:rtl/>
        </w:rPr>
        <w:t xml:space="preserve"> </w:t>
      </w:r>
      <w:r>
        <w:rPr>
          <w:rFonts w:hint="cs"/>
          <w:rtl/>
        </w:rPr>
        <w:t xml:space="preserve">והוא </w:t>
      </w:r>
      <w:r>
        <w:rPr>
          <w:rtl/>
        </w:rPr>
        <w:t>בעל שאיפות לניהול אורח חיים נורמטיבי</w:t>
      </w:r>
      <w:r>
        <w:rPr>
          <w:rFonts w:hint="cs"/>
          <w:rtl/>
        </w:rPr>
        <w:t xml:space="preserve">. </w:t>
      </w:r>
    </w:p>
    <w:p w14:paraId="01AB9484" w14:textId="77777777" w:rsidR="000C1040" w:rsidRDefault="000C1040" w:rsidP="000C1040">
      <w:pPr>
        <w:spacing w:line="360" w:lineRule="auto"/>
        <w:jc w:val="both"/>
        <w:rPr>
          <w:rtl/>
        </w:rPr>
      </w:pPr>
      <w:r>
        <w:rPr>
          <w:rtl/>
        </w:rPr>
        <w:t xml:space="preserve">נטען כי תיקון כתב האישום נבע מקושי ראייתי ונוכח העובדה שאותו אחר שנכח ברכב בו  נהג הנאשם, לא הועמד לדין. הסנגור עתר לגזור את עונשו של הנאשם בתחתית המתחם לו עתר.  </w:t>
      </w:r>
    </w:p>
    <w:p w14:paraId="2E6D40A1" w14:textId="77777777" w:rsidR="000C1040" w:rsidRDefault="000C1040" w:rsidP="000C1040">
      <w:pPr>
        <w:spacing w:line="360" w:lineRule="auto"/>
        <w:jc w:val="both"/>
        <w:rPr>
          <w:rtl/>
        </w:rPr>
      </w:pPr>
    </w:p>
    <w:p w14:paraId="30552E91" w14:textId="77777777" w:rsidR="000C1040" w:rsidRDefault="000C1040" w:rsidP="000C1040">
      <w:pPr>
        <w:spacing w:line="360" w:lineRule="auto"/>
        <w:jc w:val="both"/>
        <w:rPr>
          <w:b/>
          <w:bCs/>
          <w:rtl/>
        </w:rPr>
      </w:pPr>
      <w:r>
        <w:rPr>
          <w:b/>
          <w:bCs/>
          <w:rtl/>
        </w:rPr>
        <w:t xml:space="preserve">הנאשם בדבריו, </w:t>
      </w:r>
      <w:r>
        <w:rPr>
          <w:rtl/>
        </w:rPr>
        <w:t xml:space="preserve">חזר ולקח אחריות על מעשיו, הביע צער והתחייב כי אלה לא ישנו עוד.  </w:t>
      </w:r>
      <w:r>
        <w:rPr>
          <w:b/>
          <w:bCs/>
          <w:rtl/>
        </w:rPr>
        <w:t xml:space="preserve"> </w:t>
      </w:r>
    </w:p>
    <w:p w14:paraId="4EE8457E" w14:textId="77777777" w:rsidR="000C1040" w:rsidRDefault="000C1040" w:rsidP="000C1040">
      <w:pPr>
        <w:spacing w:line="360" w:lineRule="auto"/>
        <w:jc w:val="both"/>
        <w:rPr>
          <w:rtl/>
        </w:rPr>
      </w:pPr>
    </w:p>
    <w:p w14:paraId="3FBEE44A" w14:textId="77777777" w:rsidR="000C1040" w:rsidRDefault="000C1040" w:rsidP="000C1040">
      <w:pPr>
        <w:spacing w:line="360" w:lineRule="auto"/>
        <w:jc w:val="both"/>
        <w:rPr>
          <w:sz w:val="6"/>
          <w:szCs w:val="6"/>
          <w:rtl/>
        </w:rPr>
      </w:pPr>
      <w:r>
        <w:rPr>
          <w:sz w:val="6"/>
          <w:szCs w:val="6"/>
          <w:rtl/>
        </w:rPr>
        <w:t>&lt;#2#&gt;</w:t>
      </w:r>
    </w:p>
    <w:p w14:paraId="1948CBD8" w14:textId="77777777" w:rsidR="000C1040" w:rsidRDefault="000C1040" w:rsidP="000C1040">
      <w:pPr>
        <w:spacing w:line="360" w:lineRule="auto"/>
        <w:jc w:val="center"/>
        <w:rPr>
          <w:b/>
          <w:bCs/>
          <w:sz w:val="28"/>
          <w:szCs w:val="28"/>
          <w:u w:val="single"/>
          <w:rtl/>
        </w:rPr>
      </w:pPr>
      <w:r>
        <w:rPr>
          <w:b/>
          <w:bCs/>
          <w:sz w:val="28"/>
          <w:szCs w:val="28"/>
          <w:u w:val="single"/>
          <w:rtl/>
        </w:rPr>
        <w:t>דיון והכרעה</w:t>
      </w:r>
    </w:p>
    <w:p w14:paraId="18C0D298" w14:textId="77777777" w:rsidR="000C1040" w:rsidRDefault="000C1040" w:rsidP="000C1040">
      <w:pPr>
        <w:pStyle w:val="a9"/>
        <w:spacing w:line="360" w:lineRule="auto"/>
        <w:ind w:left="0"/>
        <w:jc w:val="both"/>
        <w:rPr>
          <w:rFonts w:ascii="David" w:hAnsi="David"/>
          <w:b/>
          <w:bCs/>
          <w:u w:val="single"/>
          <w:rtl/>
        </w:rPr>
      </w:pPr>
      <w:r>
        <w:rPr>
          <w:rFonts w:ascii="David" w:hAnsi="David"/>
          <w:b/>
          <w:bCs/>
          <w:u w:val="single"/>
          <w:rtl/>
        </w:rPr>
        <w:t>מתחם  העונש ההולם</w:t>
      </w:r>
    </w:p>
    <w:p w14:paraId="385BE2BE" w14:textId="77777777" w:rsidR="000C1040" w:rsidRDefault="000C1040" w:rsidP="000C1040">
      <w:pPr>
        <w:pStyle w:val="a9"/>
        <w:spacing w:line="360" w:lineRule="auto"/>
        <w:ind w:left="0"/>
        <w:jc w:val="both"/>
        <w:rPr>
          <w:rFonts w:ascii="David" w:hAnsi="David"/>
          <w:b/>
          <w:bCs/>
          <w:u w:val="single"/>
          <w:rtl/>
        </w:rPr>
      </w:pPr>
      <w:r>
        <w:rPr>
          <w:rFonts w:ascii="David" w:hAnsi="David"/>
          <w:rtl/>
        </w:rPr>
        <w:t>קביעת מתחם העונש ההולם למעשי העבירה תעשה בהתאם לעקרון ההלימה. לשם כך, יש להתחשב בערך החברתי שנפגע, מידת הפגיעה בו, מדיניות הענישה הנוהגת ונסיבות הקשורות בביצוע העבירה.</w:t>
      </w:r>
    </w:p>
    <w:p w14:paraId="38165E7A" w14:textId="77777777" w:rsidR="000C1040" w:rsidRDefault="000C1040" w:rsidP="000C1040">
      <w:pPr>
        <w:pStyle w:val="a9"/>
        <w:spacing w:line="360" w:lineRule="auto"/>
        <w:ind w:left="0"/>
        <w:jc w:val="both"/>
        <w:rPr>
          <w:rFonts w:ascii="David" w:hAnsi="David"/>
          <w:b/>
          <w:bCs/>
          <w:u w:val="single"/>
          <w:rtl/>
        </w:rPr>
      </w:pPr>
    </w:p>
    <w:p w14:paraId="4D3344C9" w14:textId="77777777" w:rsidR="000C1040" w:rsidRDefault="000C1040" w:rsidP="000C1040">
      <w:pPr>
        <w:pStyle w:val="a9"/>
        <w:spacing w:line="360" w:lineRule="auto"/>
        <w:ind w:left="0"/>
        <w:jc w:val="both"/>
        <w:rPr>
          <w:rFonts w:ascii="David" w:hAnsi="David"/>
          <w:rtl/>
        </w:rPr>
      </w:pPr>
      <w:r>
        <w:rPr>
          <w:rFonts w:ascii="David" w:hAnsi="David"/>
          <w:rtl/>
        </w:rPr>
        <w:t>5.</w:t>
      </w:r>
      <w:r>
        <w:rPr>
          <w:rFonts w:ascii="David" w:hAnsi="David"/>
          <w:rtl/>
        </w:rPr>
        <w:tab/>
        <w:t>הערכים המוגנים בבסיס האיסור על עבירות סחר בסמים והחזקתם שלא לצריכה עצמית, נועדו להגן על שלומו ובריאותו של הציבור מפני פגיעתן הקשה ורחבת היקף במרקם החברה. החזקת סמים שלא לצריכה עצמית, מהווה חוליה משמעותית בשרשרת הפצת הסם, ויש נסיבות שזו נתפסת למקבילה לעבירת הסחר נוכח הזיקה בין השתיים להפצת הסמים לזולת, בפוטנציאל או בפועל, בין בתמורה ובין אם אחרת</w:t>
      </w:r>
      <w:r>
        <w:rPr>
          <w:rFonts w:ascii="David" w:hAnsi="David"/>
          <w:b/>
          <w:bCs/>
          <w:rtl/>
        </w:rPr>
        <w:t xml:space="preserve"> </w:t>
      </w:r>
      <w:r>
        <w:rPr>
          <w:rFonts w:ascii="David" w:hAnsi="David"/>
          <w:rtl/>
        </w:rPr>
        <w:t>(ע"פ 10638/08</w:t>
      </w:r>
      <w:r>
        <w:rPr>
          <w:rFonts w:ascii="David" w:hAnsi="David"/>
          <w:b/>
          <w:bCs/>
          <w:rtl/>
        </w:rPr>
        <w:t xml:space="preserve"> יפתח ויצמן נ' מדינת ישראל (23.12.2008)</w:t>
      </w:r>
      <w:r>
        <w:rPr>
          <w:rFonts w:ascii="David" w:hAnsi="David"/>
          <w:rtl/>
        </w:rPr>
        <w:t>), ולא בכדי, לשיקולי ההרתעה והגמול בעבירות מסוג זה ניתן משקל נכבד בענישה. כך בדברי בית המשפט, ב</w:t>
      </w:r>
      <w:hyperlink r:id="rId14" w:history="1">
        <w:r w:rsidR="001820FF" w:rsidRPr="001820FF">
          <w:rPr>
            <w:rFonts w:ascii="David" w:hAnsi="David"/>
            <w:color w:val="0000FF"/>
            <w:u w:val="single"/>
            <w:rtl/>
          </w:rPr>
          <w:t>ע"פ 9482/09</w:t>
        </w:r>
      </w:hyperlink>
      <w:r>
        <w:rPr>
          <w:rFonts w:ascii="David" w:hAnsi="David"/>
          <w:rtl/>
        </w:rPr>
        <w:t xml:space="preserve"> </w:t>
      </w:r>
      <w:r>
        <w:rPr>
          <w:rFonts w:ascii="David" w:hAnsi="David"/>
          <w:b/>
          <w:bCs/>
          <w:rtl/>
        </w:rPr>
        <w:t>ביטון נגד מדינת ישראל</w:t>
      </w:r>
      <w:r>
        <w:rPr>
          <w:rFonts w:ascii="David" w:hAnsi="David"/>
          <w:rtl/>
        </w:rPr>
        <w:t xml:space="preserve"> (2011), כך גם ב</w:t>
      </w:r>
      <w:hyperlink r:id="rId15" w:history="1">
        <w:r w:rsidR="001820FF" w:rsidRPr="001820FF">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xml:space="preserve"> (22.6.2010):</w:t>
      </w:r>
    </w:p>
    <w:p w14:paraId="42E2C463" w14:textId="77777777" w:rsidR="000C1040" w:rsidRDefault="000C1040" w:rsidP="000C1040">
      <w:pPr>
        <w:spacing w:line="360" w:lineRule="auto"/>
        <w:jc w:val="both"/>
        <w:rPr>
          <w:rFonts w:ascii="David" w:hAnsi="David"/>
          <w:rtl/>
        </w:rPr>
      </w:pPr>
    </w:p>
    <w:p w14:paraId="1094DCFD" w14:textId="77777777" w:rsidR="000C1040" w:rsidRDefault="000C1040" w:rsidP="000C1040">
      <w:pPr>
        <w:spacing w:line="360" w:lineRule="auto"/>
        <w:ind w:left="1218" w:right="851"/>
        <w:jc w:val="both"/>
        <w:rPr>
          <w:b/>
          <w:bCs/>
          <w:sz w:val="22"/>
          <w:szCs w:val="22"/>
          <w:rtl/>
        </w:rPr>
      </w:pPr>
      <w:r>
        <w:rPr>
          <w:sz w:val="22"/>
          <w:szCs w:val="22"/>
          <w:rtl/>
        </w:rPr>
        <w:t>"</w:t>
      </w:r>
      <w:r>
        <w:rPr>
          <w:b/>
          <w:bCs/>
          <w:sz w:val="22"/>
          <w:szCs w:val="22"/>
          <w:rtl/>
        </w:rPr>
        <w:t>הענישה בעבירות מסוג זה נועדה, קודם לכל, לשרת את מטרת הגמול לעבריין על עיסוק בסם העלול לסכן חיי אדם ולפגוע בבריאות המשתמשים בו</w:t>
      </w:r>
      <w:r>
        <w:rPr>
          <w:sz w:val="22"/>
          <w:szCs w:val="22"/>
          <w:rtl/>
        </w:rPr>
        <w:t xml:space="preserve">; </w:t>
      </w:r>
      <w:r>
        <w:rPr>
          <w:b/>
          <w:bCs/>
          <w:sz w:val="22"/>
          <w:szCs w:val="22"/>
          <w:rtl/>
        </w:rPr>
        <w:t>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39EE9347" w14:textId="77777777" w:rsidR="000C1040" w:rsidRDefault="000C1040" w:rsidP="000C1040">
      <w:pPr>
        <w:spacing w:line="360" w:lineRule="auto"/>
        <w:ind w:left="1218" w:right="851"/>
        <w:jc w:val="both"/>
        <w:rPr>
          <w:rFonts w:ascii="David" w:hAnsi="David"/>
          <w:rtl/>
        </w:rPr>
      </w:pPr>
    </w:p>
    <w:p w14:paraId="1094DB92" w14:textId="77777777" w:rsidR="000C1040" w:rsidRDefault="000C1040" w:rsidP="000C1040">
      <w:pPr>
        <w:spacing w:line="360" w:lineRule="auto"/>
        <w:jc w:val="both"/>
        <w:rPr>
          <w:rFonts w:ascii="Arial" w:hAnsi="Arial"/>
          <w:rtl/>
        </w:rPr>
      </w:pPr>
      <w:r>
        <w:rPr>
          <w:rFonts w:ascii="Arial" w:hAnsi="Arial"/>
          <w:rtl/>
        </w:rPr>
        <w:t>6</w:t>
      </w:r>
      <w:r>
        <w:rPr>
          <w:rFonts w:ascii="Arial" w:hAnsi="Arial"/>
          <w:b/>
          <w:bCs/>
          <w:rtl/>
        </w:rPr>
        <w:t>.</w:t>
      </w:r>
      <w:r>
        <w:rPr>
          <w:rFonts w:ascii="Arial" w:hAnsi="Arial"/>
          <w:b/>
          <w:bCs/>
          <w:rtl/>
        </w:rPr>
        <w:tab/>
        <w:t xml:space="preserve">פגיעת הנאשם </w:t>
      </w:r>
      <w:r>
        <w:rPr>
          <w:b/>
          <w:bCs/>
          <w:rtl/>
        </w:rPr>
        <w:t xml:space="preserve">בערכים המוגנים הינה גבוהה. </w:t>
      </w:r>
      <w:r>
        <w:rPr>
          <w:rFonts w:ascii="Arial" w:hAnsi="Arial"/>
          <w:rtl/>
        </w:rPr>
        <w:t>סם הקוקאין ידוע כסם קשה ונמנה בין סוגי הסמים הקטלניים שב</w:t>
      </w:r>
      <w:hyperlink r:id="rId16" w:history="1">
        <w:r w:rsidR="001820FF" w:rsidRPr="001820FF">
          <w:rPr>
            <w:rFonts w:ascii="Arial" w:hAnsi="Arial"/>
            <w:color w:val="0000FF"/>
            <w:u w:val="single"/>
            <w:rtl/>
          </w:rPr>
          <w:t>פקודת הסמים המסוכנים</w:t>
        </w:r>
      </w:hyperlink>
      <w:r>
        <w:rPr>
          <w:rFonts w:ascii="Arial" w:hAnsi="Arial"/>
          <w:rtl/>
        </w:rPr>
        <w:t>, זאת, נוכח השפעותיו ההרסניות על גופו ונפשו של האדם ופוטנציאל ההתמכרות הגבוה הטמון בו. עמד על כך, בית המשפט העליון ב</w:t>
      </w:r>
      <w:hyperlink r:id="rId17" w:history="1">
        <w:r w:rsidR="001820FF" w:rsidRPr="001820FF">
          <w:rPr>
            <w:rFonts w:ascii="Arial" w:hAnsi="Arial"/>
            <w:color w:val="0000FF"/>
            <w:u w:val="single"/>
            <w:rtl/>
          </w:rPr>
          <w:t>ע"פ 972/11</w:t>
        </w:r>
      </w:hyperlink>
      <w:r>
        <w:rPr>
          <w:rFonts w:ascii="Arial" w:hAnsi="Arial"/>
          <w:rtl/>
        </w:rPr>
        <w:t xml:space="preserve"> </w:t>
      </w:r>
      <w:r>
        <w:rPr>
          <w:rFonts w:ascii="Arial" w:hAnsi="Arial"/>
          <w:b/>
          <w:bCs/>
          <w:rtl/>
        </w:rPr>
        <w:t>מדינת ישראל נ' יונה</w:t>
      </w:r>
      <w:r>
        <w:rPr>
          <w:rFonts w:ascii="Arial" w:hAnsi="Arial"/>
          <w:rtl/>
        </w:rPr>
        <w:t xml:space="preserve"> (4.7.2012):</w:t>
      </w:r>
    </w:p>
    <w:p w14:paraId="39B81C2C" w14:textId="77777777" w:rsidR="000C1040" w:rsidRDefault="000C1040" w:rsidP="000C1040">
      <w:pPr>
        <w:spacing w:line="360" w:lineRule="auto"/>
        <w:jc w:val="both"/>
        <w:rPr>
          <w:rFonts w:ascii="Arial" w:hAnsi="Arial"/>
          <w:sz w:val="22"/>
          <w:szCs w:val="22"/>
          <w:rtl/>
        </w:rPr>
      </w:pPr>
    </w:p>
    <w:p w14:paraId="671D9D4C" w14:textId="77777777" w:rsidR="000C1040" w:rsidRDefault="000C1040" w:rsidP="000C1040">
      <w:pPr>
        <w:spacing w:line="360" w:lineRule="auto"/>
        <w:ind w:left="1218" w:right="993"/>
        <w:jc w:val="both"/>
        <w:rPr>
          <w:rFonts w:ascii="Arial" w:hAnsi="Arial"/>
          <w:b/>
          <w:bCs/>
          <w:sz w:val="22"/>
          <w:szCs w:val="22"/>
          <w:rtl/>
        </w:rPr>
      </w:pPr>
      <w:r>
        <w:rPr>
          <w:rFonts w:ascii="Arial" w:hAnsi="Arial"/>
          <w:b/>
          <w:bCs/>
          <w:sz w:val="22"/>
          <w:szCs w:val="22"/>
          <w:rtl/>
        </w:rPr>
        <w:t>"הקוקאין נחשב, ולא בכדי, לסם קשה. זאת הן בשל השפעותיו על גוף האדם, והן בשל פוטנציאל ההתמכרות הגבוה שטמון בו.</w:t>
      </w:r>
      <w:r>
        <w:rPr>
          <w:rFonts w:ascii="Arial" w:hAnsi="Arial"/>
          <w:sz w:val="22"/>
          <w:szCs w:val="22"/>
          <w:rtl/>
        </w:rPr>
        <w:t xml:space="preserve"> על פי רוב, לאחר נטילת הסם חווה המשתמש תחושה חזקה של אופוריה. לאחר האופוריה מגיעה ההתרסקות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w:t>
      </w:r>
      <w:r>
        <w:rPr>
          <w:rFonts w:ascii="Arial" w:hAnsi="Arial"/>
          <w:b/>
          <w:bCs/>
          <w:sz w:val="22"/>
          <w:szCs w:val="22"/>
          <w:rtl/>
        </w:rPr>
        <w:t>הפגיעה ביחיד חוזרת חלילה לפגיעה בחברה. השימוש בסם מסוג קוקאין יוצר צורך להמשיך ולהשתמש. כתוצאה מכך עליו לחפש מקורות כספיים למימון רכישת הסם, לאו דווקא בדר</w:t>
      </w:r>
      <w:r>
        <w:rPr>
          <w:rFonts w:ascii="Arial" w:hAnsi="Arial"/>
          <w:sz w:val="22"/>
          <w:szCs w:val="22"/>
          <w:rtl/>
        </w:rPr>
        <w:t>כים חוקיות, תוך שהוא חווה הידרדרות מתמדת בתפקוד הפיזי והקוגניטיבי שלו."</w:t>
      </w:r>
    </w:p>
    <w:p w14:paraId="76285A3A" w14:textId="77777777" w:rsidR="000C1040" w:rsidRDefault="000C1040" w:rsidP="000C1040">
      <w:pPr>
        <w:spacing w:line="360" w:lineRule="auto"/>
        <w:ind w:right="993"/>
        <w:jc w:val="both"/>
        <w:rPr>
          <w:rFonts w:ascii="Arial" w:hAnsi="Arial"/>
          <w:b/>
          <w:bCs/>
          <w:sz w:val="22"/>
          <w:szCs w:val="22"/>
          <w:rtl/>
        </w:rPr>
      </w:pPr>
    </w:p>
    <w:p w14:paraId="051A5950" w14:textId="77777777" w:rsidR="000C1040" w:rsidRDefault="000C1040" w:rsidP="000C1040">
      <w:pPr>
        <w:spacing w:line="360" w:lineRule="auto"/>
        <w:jc w:val="both"/>
        <w:rPr>
          <w:rFonts w:ascii="Arial" w:hAnsi="Arial"/>
          <w:rtl/>
        </w:rPr>
      </w:pPr>
      <w:r>
        <w:rPr>
          <w:rFonts w:ascii="Arial" w:hAnsi="Arial"/>
          <w:rtl/>
        </w:rPr>
        <w:t xml:space="preserve">החומרה אותה מיחס המחוקק לעבירה של החזקת סמים שלא לצריכה עצמית מתבטאת בעונש המרבי הקבוע לצדה, 20 שנות מאסר. </w:t>
      </w:r>
    </w:p>
    <w:p w14:paraId="5EE0F773" w14:textId="77777777" w:rsidR="000C1040" w:rsidRDefault="000C1040" w:rsidP="000C1040">
      <w:pPr>
        <w:spacing w:line="360" w:lineRule="auto"/>
        <w:ind w:right="993"/>
        <w:jc w:val="both"/>
        <w:rPr>
          <w:rFonts w:ascii="Arial" w:hAnsi="Arial"/>
          <w:b/>
          <w:bCs/>
          <w:sz w:val="22"/>
          <w:szCs w:val="22"/>
          <w:rtl/>
        </w:rPr>
      </w:pPr>
    </w:p>
    <w:p w14:paraId="7781E91D" w14:textId="77777777" w:rsidR="000C1040" w:rsidRDefault="000C1040" w:rsidP="000C1040">
      <w:pPr>
        <w:spacing w:line="360" w:lineRule="auto"/>
        <w:jc w:val="both"/>
        <w:rPr>
          <w:rFonts w:ascii="Arial" w:hAnsi="Arial"/>
          <w:rtl/>
        </w:rPr>
      </w:pPr>
      <w:r>
        <w:rPr>
          <w:rFonts w:ascii="Arial" w:hAnsi="Arial"/>
          <w:rtl/>
        </w:rPr>
        <w:t xml:space="preserve">כמות הסמים שהחזיק הנאשם גדולה פי 216 מהכמות בפקודת הסמים המתייחסת לסם הקוקאין (0.3) והמוכרת להחזקה עצמית בלבד. </w:t>
      </w:r>
    </w:p>
    <w:p w14:paraId="4DD904C8" w14:textId="77777777" w:rsidR="000C1040" w:rsidRDefault="000C1040" w:rsidP="000C1040">
      <w:pPr>
        <w:spacing w:line="360" w:lineRule="auto"/>
        <w:jc w:val="both"/>
        <w:rPr>
          <w:rFonts w:ascii="Arial" w:hAnsi="Arial"/>
          <w:rtl/>
        </w:rPr>
      </w:pPr>
    </w:p>
    <w:p w14:paraId="19994141" w14:textId="77777777" w:rsidR="000C1040" w:rsidRDefault="000C1040" w:rsidP="000C1040">
      <w:pPr>
        <w:spacing w:line="360" w:lineRule="auto"/>
        <w:jc w:val="both"/>
        <w:rPr>
          <w:rFonts w:ascii="Arial" w:hAnsi="Arial"/>
          <w:rtl/>
        </w:rPr>
      </w:pPr>
      <w:r>
        <w:rPr>
          <w:rFonts w:ascii="Arial" w:hAnsi="Arial"/>
          <w:rtl/>
        </w:rPr>
        <w:t xml:space="preserve">בחלוקה של 65 גרם קוקאין, ניתן "לייצר" מאות מנות סם קוקאין שיהיו זמינות לסחר והפצה בקרב ציבור צרכני הסמים, למשתמשים מזדמנים וגם לכאלה שייחשפו בפעם הראשונה בחייהם לסם הקוקאין, על ההשלכות הנובעות מצריכתו וההתמכרות המהירה אליו. </w:t>
      </w:r>
    </w:p>
    <w:p w14:paraId="276910DD" w14:textId="77777777" w:rsidR="000C1040" w:rsidRDefault="000C1040" w:rsidP="000C1040">
      <w:pPr>
        <w:spacing w:line="360" w:lineRule="auto"/>
        <w:jc w:val="both"/>
        <w:rPr>
          <w:rFonts w:ascii="Arial" w:hAnsi="Arial"/>
          <w:rtl/>
        </w:rPr>
      </w:pPr>
    </w:p>
    <w:p w14:paraId="04B8B53F" w14:textId="77777777" w:rsidR="000C1040" w:rsidRDefault="000C1040" w:rsidP="000C1040">
      <w:pPr>
        <w:spacing w:line="360" w:lineRule="auto"/>
        <w:jc w:val="both"/>
        <w:rPr>
          <w:rFonts w:ascii="Arial" w:hAnsi="Arial"/>
          <w:rtl/>
        </w:rPr>
      </w:pPr>
      <w:r>
        <w:rPr>
          <w:rFonts w:ascii="Arial" w:hAnsi="Arial"/>
          <w:rtl/>
        </w:rPr>
        <w:t>החזקת 65 גרם סם מסוג קוקאין מלמדת על קשרים עברייניים ומע</w:t>
      </w:r>
      <w:r>
        <w:rPr>
          <w:rFonts w:ascii="Arial" w:hAnsi="Arial" w:hint="cs"/>
          <w:rtl/>
        </w:rPr>
        <w:t>ו</w:t>
      </w:r>
      <w:r>
        <w:rPr>
          <w:rFonts w:ascii="Arial" w:hAnsi="Arial"/>
          <w:rtl/>
        </w:rPr>
        <w:t xml:space="preserve">רבות עמוקה בעולם הסמים.  </w:t>
      </w:r>
    </w:p>
    <w:p w14:paraId="3D0DE5E3" w14:textId="77777777" w:rsidR="000C1040" w:rsidRDefault="000C1040" w:rsidP="000C1040">
      <w:pPr>
        <w:spacing w:line="360" w:lineRule="auto"/>
        <w:jc w:val="both"/>
        <w:rPr>
          <w:rFonts w:ascii="Arial" w:hAnsi="Arial"/>
          <w:rtl/>
        </w:rPr>
      </w:pPr>
    </w:p>
    <w:p w14:paraId="5939118D" w14:textId="77777777" w:rsidR="000C1040" w:rsidRDefault="000C1040" w:rsidP="000C1040">
      <w:pPr>
        <w:spacing w:line="360" w:lineRule="auto"/>
        <w:jc w:val="both"/>
        <w:rPr>
          <w:rFonts w:ascii="Arial" w:hAnsi="Arial"/>
          <w:rtl/>
        </w:rPr>
      </w:pPr>
      <w:r>
        <w:rPr>
          <w:rFonts w:ascii="Arial" w:hAnsi="Arial"/>
          <w:rtl/>
        </w:rPr>
        <w:t xml:space="preserve">הסלקת הסמים בחלק האחורי של הרדיו ברכב בו נהג הנאשם כשהוא עושה דרכו לכיוון העיר אילת  בשעת לילה מאוחרת, מלמדת על מידת התכנון והתארגנות שקדמו להעברת הסמים ממקום למקום העברה שנועדה לקדם הפצה וסחר של הסמים לצורך השגת רווח כלכלי קל ומהיר על חשבון בריאות הציבור ופגיעה במרקם החברתי.  </w:t>
      </w:r>
    </w:p>
    <w:p w14:paraId="7D633120" w14:textId="77777777" w:rsidR="000C1040" w:rsidRDefault="000C1040" w:rsidP="000C1040">
      <w:pPr>
        <w:spacing w:line="360" w:lineRule="auto"/>
        <w:jc w:val="both"/>
        <w:rPr>
          <w:rFonts w:ascii="Arial" w:hAnsi="Arial"/>
          <w:rtl/>
        </w:rPr>
      </w:pPr>
      <w:r>
        <w:rPr>
          <w:rFonts w:ascii="Arial" w:hAnsi="Arial"/>
          <w:rtl/>
        </w:rPr>
        <w:t xml:space="preserve"> </w:t>
      </w:r>
    </w:p>
    <w:p w14:paraId="61608FD6" w14:textId="77777777" w:rsidR="000C1040" w:rsidRDefault="000C1040" w:rsidP="000C1040">
      <w:pPr>
        <w:spacing w:line="360" w:lineRule="auto"/>
        <w:jc w:val="both"/>
        <w:rPr>
          <w:color w:val="000000"/>
          <w:rtl/>
        </w:rPr>
      </w:pPr>
      <w:r>
        <w:rPr>
          <w:b/>
          <w:rtl/>
        </w:rPr>
        <w:t>7.</w:t>
      </w:r>
      <w:r>
        <w:rPr>
          <w:b/>
          <w:rtl/>
        </w:rPr>
        <w:tab/>
      </w:r>
      <w:r w:rsidRPr="008D20E5">
        <w:rPr>
          <w:bCs/>
          <w:rtl/>
        </w:rPr>
        <w:t xml:space="preserve">מנעד הענישה הנוהגת </w:t>
      </w:r>
      <w:r>
        <w:rPr>
          <w:b/>
          <w:rtl/>
        </w:rPr>
        <w:t>בעבירות של החזקת סמים שלא לצריכה עצמית</w:t>
      </w:r>
      <w:r>
        <w:rPr>
          <w:rtl/>
        </w:rPr>
        <w:t xml:space="preserve"> רחב ומשתנה בהתאם לסוג הסם, כמות הסם, נסיבות החזקתו וקיומן של אינדיקציות להפצתו. עיון בפסיקה הנוהגת במקרים שנסיבותיהם דומות או קרובות למקרה הנדון, מעלה טווחי ענישה משמעותית מאחורי סורג ובריח,  כפי העולה מהמקרים אליהם הפנו הצדדים ומהמקרים שיובאו להלן: </w:t>
      </w:r>
    </w:p>
    <w:p w14:paraId="507ADE48" w14:textId="77777777" w:rsidR="000C1040" w:rsidRDefault="000C1040" w:rsidP="000C1040">
      <w:pPr>
        <w:spacing w:line="360" w:lineRule="auto"/>
        <w:jc w:val="both"/>
        <w:rPr>
          <w:rFonts w:ascii="David" w:hAnsi="David"/>
          <w:color w:val="000000"/>
          <w:rtl/>
        </w:rPr>
      </w:pPr>
    </w:p>
    <w:p w14:paraId="14AE4C52" w14:textId="77777777" w:rsidR="000C1040" w:rsidRDefault="000C1040" w:rsidP="000C1040">
      <w:pPr>
        <w:spacing w:line="360" w:lineRule="auto"/>
        <w:jc w:val="both"/>
        <w:rPr>
          <w:b/>
          <w:bCs/>
          <w:color w:val="000000"/>
          <w:rtl/>
        </w:rPr>
      </w:pPr>
      <w:r>
        <w:rPr>
          <w:color w:val="000000"/>
          <w:rtl/>
        </w:rPr>
        <w:t>ב</w:t>
      </w:r>
      <w:hyperlink r:id="rId18" w:history="1">
        <w:r w:rsidR="001820FF" w:rsidRPr="001820FF">
          <w:rPr>
            <w:color w:val="0000FF"/>
            <w:u w:val="single"/>
            <w:rtl/>
          </w:rPr>
          <w:t>רע"פ 1807/22</w:t>
        </w:r>
      </w:hyperlink>
      <w:r w:rsidR="001820FF">
        <w:rPr>
          <w:color w:val="000000"/>
          <w:rtl/>
        </w:rPr>
        <w:t xml:space="preserve"> </w:t>
      </w:r>
      <w:r>
        <w:rPr>
          <w:b/>
          <w:bCs/>
          <w:color w:val="000000"/>
          <w:rtl/>
        </w:rPr>
        <w:t>פלוני נ' מדינת ישראל</w:t>
      </w:r>
      <w:r w:rsidR="001820FF">
        <w:rPr>
          <w:color w:val="000000"/>
          <w:rtl/>
        </w:rPr>
        <w:t xml:space="preserve"> </w:t>
      </w:r>
      <w:r>
        <w:rPr>
          <w:color w:val="000000"/>
          <w:rtl/>
        </w:rPr>
        <w:t xml:space="preserve">(16.3.22), נדחתה בקשת המבקש להקלה בעונש שגזר עליו בית משפט מחוזי. המדובר במי שהורשע בבית משפט השלום על פי הודאתו במסגרת הסדר טיעון, בעבירות של החזקת סם מסוכן שלא לצריכה עצמית, שיבוש מהלכי משפט, נהיגה ללא רישיון תקף, ועבירה של חובת פוליסה. המבקש החזיק ברכבו סם מסוכן מסוג קוקאין במשקל 49.3 גרם נטו. בנוגע לעבירת הסמים ועבירת שיבוש מהלכי משפט, </w:t>
      </w:r>
      <w:r>
        <w:rPr>
          <w:b/>
          <w:bCs/>
          <w:color w:val="000000"/>
          <w:rtl/>
        </w:rPr>
        <w:t xml:space="preserve">קבע בית משפט השלום מתחם הנע בין 15 ל- 30 חודשי מאסר בפועל, ומשיקולי שיקום </w:t>
      </w:r>
      <w:r>
        <w:rPr>
          <w:color w:val="000000"/>
          <w:rtl/>
        </w:rPr>
        <w:t xml:space="preserve">סטה מהמתחם והשית על המבקש 9 חודשים לריצוי בעבודות שירות. </w:t>
      </w:r>
      <w:r>
        <w:rPr>
          <w:b/>
          <w:bCs/>
          <w:color w:val="000000"/>
          <w:rtl/>
        </w:rPr>
        <w:t xml:space="preserve">בית המשפט המחוזי קיבל את ערעור המדינה על קולת העונש, והעמיד את עונשו של פלוני על  18 חודשי מאסר בפועל (חלף המאסר לריצוי בעבודות שירות). </w:t>
      </w:r>
    </w:p>
    <w:p w14:paraId="7DB2A94C" w14:textId="77777777" w:rsidR="000C1040" w:rsidRDefault="000C1040" w:rsidP="000C1040">
      <w:pPr>
        <w:spacing w:after="160" w:line="360" w:lineRule="auto"/>
        <w:jc w:val="both"/>
        <w:rPr>
          <w:rtl/>
        </w:rPr>
      </w:pPr>
    </w:p>
    <w:p w14:paraId="4A15BBB3" w14:textId="77777777" w:rsidR="000C1040" w:rsidRPr="00CF5F13" w:rsidRDefault="000C1040" w:rsidP="000C1040">
      <w:pPr>
        <w:spacing w:after="160" w:line="360" w:lineRule="auto"/>
        <w:jc w:val="both"/>
        <w:rPr>
          <w:rtl/>
        </w:rPr>
      </w:pPr>
      <w:r w:rsidRPr="00CF5F13">
        <w:rPr>
          <w:rtl/>
        </w:rPr>
        <w:t>ב</w:t>
      </w:r>
      <w:hyperlink r:id="rId19" w:history="1">
        <w:r w:rsidR="001820FF" w:rsidRPr="001820FF">
          <w:rPr>
            <w:color w:val="0000FF"/>
            <w:u w:val="single"/>
            <w:rtl/>
          </w:rPr>
          <w:t>ע"פ 6847/22</w:t>
        </w:r>
      </w:hyperlink>
      <w:r w:rsidRPr="00CF5F13">
        <w:rPr>
          <w:rtl/>
        </w:rPr>
        <w:t xml:space="preserve"> </w:t>
      </w:r>
      <w:r w:rsidRPr="00CF5F13">
        <w:rPr>
          <w:b/>
          <w:bCs/>
          <w:rtl/>
        </w:rPr>
        <w:t>עדאל אבו צעלוק נ' מדינת ישרא</w:t>
      </w:r>
      <w:r w:rsidRPr="00CF5F13">
        <w:rPr>
          <w:rtl/>
        </w:rPr>
        <w:t xml:space="preserve">ל (09.03.23), </w:t>
      </w:r>
      <w:r w:rsidRPr="00CF5F13">
        <w:rPr>
          <w:b/>
          <w:bCs/>
          <w:rtl/>
        </w:rPr>
        <w:t>נקבע מתחם עונש הולם בין  3 ל- 5 שנות מאסר בפועל,</w:t>
      </w:r>
      <w:r w:rsidRPr="00CF5F13">
        <w:rPr>
          <w:rtl/>
        </w:rPr>
        <w:t xml:space="preserve"> בנסיבות בהן החזיק אבו צעלוק את בין רגליו בזמן שהוא נוהג ברכב, סם </w:t>
      </w:r>
      <w:r w:rsidRPr="00B63FB5">
        <w:rPr>
          <w:rtl/>
        </w:rPr>
        <w:t>קוקאין במשקל של כ 159 גרם נטו, מחולק לארבע אריזות, ובנוסף החזיק בדלת  הקדמית של הרכ</w:t>
      </w:r>
      <w:r w:rsidRPr="00CF5F13">
        <w:rPr>
          <w:rtl/>
        </w:rPr>
        <w:t>ב קוקאין במשקל של כ 1.5 גרם נטו מחולק לשלוש אריזות.</w:t>
      </w:r>
    </w:p>
    <w:p w14:paraId="3ECE9BDE" w14:textId="77777777" w:rsidR="000C1040" w:rsidRPr="00CF5F13" w:rsidRDefault="000C1040" w:rsidP="000C1040">
      <w:pPr>
        <w:spacing w:line="360" w:lineRule="auto"/>
        <w:jc w:val="both"/>
        <w:rPr>
          <w:rtl/>
        </w:rPr>
      </w:pPr>
    </w:p>
    <w:p w14:paraId="173E6553" w14:textId="77777777" w:rsidR="000C1040" w:rsidRDefault="000C1040" w:rsidP="000C1040">
      <w:pPr>
        <w:spacing w:line="360" w:lineRule="auto"/>
        <w:jc w:val="both"/>
      </w:pPr>
      <w:r w:rsidRPr="00CF5F13">
        <w:rPr>
          <w:rtl/>
        </w:rPr>
        <w:t>ב</w:t>
      </w:r>
      <w:hyperlink r:id="rId20" w:history="1">
        <w:r w:rsidR="001820FF" w:rsidRPr="001820FF">
          <w:rPr>
            <w:color w:val="0000FF"/>
            <w:u w:val="single"/>
            <w:rtl/>
          </w:rPr>
          <w:t>ע"פ 7688-21</w:t>
        </w:r>
      </w:hyperlink>
      <w:r w:rsidRPr="00CF5F13">
        <w:rPr>
          <w:rtl/>
        </w:rPr>
        <w:t xml:space="preserve"> </w:t>
      </w:r>
      <w:r w:rsidRPr="00CF5F13">
        <w:rPr>
          <w:b/>
          <w:bCs/>
          <w:rtl/>
        </w:rPr>
        <w:t xml:space="preserve">רסלן עטא נ' מדינת ישראל </w:t>
      </w:r>
      <w:r w:rsidRPr="00CF5F13">
        <w:rPr>
          <w:rtl/>
        </w:rPr>
        <w:t xml:space="preserve">(27.6.22), דובר במערער בן 21, סטודנט, ללא עבר פלילי, שהורשע </w:t>
      </w:r>
      <w:r w:rsidRPr="00CF5F13">
        <w:rPr>
          <w:u w:val="single"/>
          <w:rtl/>
        </w:rPr>
        <w:t>בהחזקת 487 גרם קוקאין</w:t>
      </w:r>
      <w:r w:rsidRPr="00CF5F13">
        <w:rPr>
          <w:b/>
          <w:bCs/>
          <w:rtl/>
        </w:rPr>
        <w:t xml:space="preserve">. </w:t>
      </w:r>
      <w:r w:rsidRPr="00CF5F13">
        <w:rPr>
          <w:rtl/>
        </w:rPr>
        <w:t xml:space="preserve">הוצג הסדר טיעון בגדרו עתרה המאשימה ל- 5 שנות מאסר. בית המשפט </w:t>
      </w:r>
      <w:r w:rsidRPr="00CF5F13">
        <w:rPr>
          <w:b/>
          <w:bCs/>
          <w:rtl/>
        </w:rPr>
        <w:t xml:space="preserve">קבע את מתחם העונש ההולם בין 4 ל- 7 שנות מאסר </w:t>
      </w:r>
      <w:r w:rsidRPr="00CF5F13">
        <w:rPr>
          <w:rtl/>
        </w:rPr>
        <w:t xml:space="preserve">והשית על הנאשם </w:t>
      </w:r>
      <w:r w:rsidRPr="00CF5F13">
        <w:rPr>
          <w:b/>
          <w:bCs/>
          <w:rtl/>
        </w:rPr>
        <w:t>4</w:t>
      </w:r>
      <w:r w:rsidRPr="00CF5F13">
        <w:rPr>
          <w:rtl/>
        </w:rPr>
        <w:t>.</w:t>
      </w:r>
      <w:r w:rsidRPr="00CF5F13">
        <w:rPr>
          <w:b/>
          <w:bCs/>
          <w:rtl/>
        </w:rPr>
        <w:t xml:space="preserve">5 שנות מאסר בפועל. </w:t>
      </w:r>
      <w:r w:rsidRPr="00CF5F13">
        <w:rPr>
          <w:rtl/>
        </w:rPr>
        <w:t xml:space="preserve">בית המשפט של הערעור, הפחית מהעונש אשר הועמד על </w:t>
      </w:r>
      <w:r w:rsidRPr="00CF5F13">
        <w:rPr>
          <w:b/>
          <w:bCs/>
          <w:rtl/>
        </w:rPr>
        <w:t>4 שנות מאסר בפועל</w:t>
      </w:r>
      <w:r w:rsidRPr="00CF5F13">
        <w:rPr>
          <w:rtl/>
        </w:rPr>
        <w:t>.</w:t>
      </w:r>
      <w:r>
        <w:rPr>
          <w:rtl/>
        </w:rPr>
        <w:t xml:space="preserve">  </w:t>
      </w:r>
    </w:p>
    <w:p w14:paraId="4FC1D42E" w14:textId="77777777" w:rsidR="000C1040" w:rsidRDefault="000C1040" w:rsidP="000C1040">
      <w:pPr>
        <w:spacing w:line="360" w:lineRule="auto"/>
        <w:jc w:val="both"/>
        <w:rPr>
          <w:rtl/>
        </w:rPr>
      </w:pPr>
    </w:p>
    <w:p w14:paraId="59F5B6EF" w14:textId="77777777" w:rsidR="000C1040" w:rsidRDefault="000C1040" w:rsidP="000C1040">
      <w:pPr>
        <w:spacing w:after="160" w:line="360" w:lineRule="auto"/>
        <w:jc w:val="both"/>
        <w:rPr>
          <w:rtl/>
        </w:rPr>
      </w:pPr>
      <w:r w:rsidRPr="00CF5F13">
        <w:rPr>
          <w:color w:val="000000"/>
          <w:shd w:val="clear" w:color="auto" w:fill="FFFFFF"/>
          <w:rtl/>
        </w:rPr>
        <w:t>ב</w:t>
      </w:r>
      <w:hyperlink r:id="rId21" w:history="1">
        <w:r w:rsidR="001820FF" w:rsidRPr="001820FF">
          <w:rPr>
            <w:color w:val="0000FF"/>
            <w:u w:val="single"/>
            <w:shd w:val="clear" w:color="auto" w:fill="FFFFFF"/>
            <w:rtl/>
          </w:rPr>
          <w:t>ע"פ 8048/19</w:t>
        </w:r>
      </w:hyperlink>
      <w:r w:rsidR="001820FF">
        <w:rPr>
          <w:color w:val="000000"/>
          <w:rtl/>
        </w:rPr>
        <w:t xml:space="preserve"> </w:t>
      </w:r>
      <w:r w:rsidRPr="00CF5F13">
        <w:rPr>
          <w:b/>
          <w:bCs/>
          <w:color w:val="000000"/>
          <w:rtl/>
        </w:rPr>
        <w:t xml:space="preserve">פיצ'חדזה נ' מדינת ישראל </w:t>
      </w:r>
      <w:r w:rsidRPr="00CF5F13">
        <w:rPr>
          <w:color w:val="000000"/>
          <w:rtl/>
        </w:rPr>
        <w:t>(04.06.20)</w:t>
      </w:r>
      <w:r w:rsidRPr="00CF5F13">
        <w:rPr>
          <w:rFonts w:hint="cs"/>
          <w:color w:val="000000"/>
          <w:shd w:val="clear" w:color="auto" w:fill="FFFFFF"/>
        </w:rPr>
        <w:t xml:space="preserve"> </w:t>
      </w:r>
      <w:r w:rsidRPr="00CF5F13">
        <w:rPr>
          <w:color w:val="000000"/>
          <w:shd w:val="clear" w:color="auto" w:fill="FFFFFF"/>
          <w:rtl/>
        </w:rPr>
        <w:t>המערער הורשע בעבירות של החזקת סם שלא לצריכה עצמית והחזקת כלים. המערער החזיק בביתו 55 גרם של סם מסוכן מסוג קוקאין מחולק ל-</w:t>
      </w:r>
      <w:r>
        <w:rPr>
          <w:color w:val="000000"/>
          <w:shd w:val="clear" w:color="auto" w:fill="FFFFFF"/>
          <w:rtl/>
        </w:rPr>
        <w:t xml:space="preserve"> 38 מנות, משקל אלקטרוני וכסף מזומן. בית המשפט המחוזי קבע </w:t>
      </w:r>
      <w:r>
        <w:rPr>
          <w:b/>
          <w:bCs/>
          <w:color w:val="000000"/>
          <w:shd w:val="clear" w:color="auto" w:fill="FFFFFF"/>
          <w:rtl/>
        </w:rPr>
        <w:t xml:space="preserve">מתחם עונש הולם בין 24 ל- 48 </w:t>
      </w:r>
      <w:r w:rsidRPr="00CF5F13">
        <w:rPr>
          <w:b/>
          <w:bCs/>
          <w:color w:val="000000"/>
          <w:shd w:val="clear" w:color="auto" w:fill="FFFFFF"/>
          <w:rtl/>
        </w:rPr>
        <w:t>חודשי מאסר בפועל</w:t>
      </w:r>
      <w:r w:rsidRPr="00CF5F13">
        <w:rPr>
          <w:color w:val="000000"/>
          <w:shd w:val="clear" w:color="auto" w:fill="FFFFFF"/>
          <w:rtl/>
        </w:rPr>
        <w:t xml:space="preserve">. למרות המלצת שירות המבחן להקלה משמעותית בעונש משיקולי שיקום, השית על המערער </w:t>
      </w:r>
      <w:r w:rsidRPr="00CF5F13">
        <w:rPr>
          <w:b/>
          <w:bCs/>
          <w:color w:val="000000"/>
          <w:shd w:val="clear" w:color="auto" w:fill="FFFFFF"/>
          <w:rtl/>
        </w:rPr>
        <w:t>18 חודשי מאסר בפועל</w:t>
      </w:r>
      <w:r w:rsidRPr="00CF5F13">
        <w:rPr>
          <w:color w:val="000000"/>
          <w:shd w:val="clear" w:color="auto" w:fill="FFFFFF"/>
          <w:rtl/>
        </w:rPr>
        <w:t>, לצד עונשים נלווים. הערעור נדחה</w:t>
      </w:r>
      <w:r w:rsidRPr="00CF5F13">
        <w:rPr>
          <w:color w:val="000000"/>
          <w:shd w:val="clear" w:color="auto" w:fill="FFFFFF"/>
        </w:rPr>
        <w:t>.</w:t>
      </w:r>
    </w:p>
    <w:p w14:paraId="4277E0F1" w14:textId="77777777" w:rsidR="000C1040" w:rsidRDefault="000C1040" w:rsidP="000C1040">
      <w:pPr>
        <w:spacing w:line="360" w:lineRule="auto"/>
        <w:jc w:val="both"/>
        <w:rPr>
          <w:noProof/>
          <w:rtl/>
        </w:rPr>
      </w:pPr>
    </w:p>
    <w:p w14:paraId="0BFD4988" w14:textId="77777777" w:rsidR="000C1040" w:rsidRDefault="000C1040" w:rsidP="000C1040">
      <w:pPr>
        <w:pStyle w:val="a9"/>
        <w:spacing w:line="360" w:lineRule="auto"/>
        <w:ind w:left="0"/>
        <w:jc w:val="both"/>
        <w:rPr>
          <w:rFonts w:ascii="David" w:hAnsi="David"/>
          <w:rtl/>
        </w:rPr>
      </w:pPr>
      <w:r w:rsidRPr="00CF5F13">
        <w:rPr>
          <w:rFonts w:ascii="David" w:hAnsi="David"/>
          <w:rtl/>
        </w:rPr>
        <w:t>ב</w:t>
      </w:r>
      <w:hyperlink r:id="rId22" w:history="1">
        <w:r w:rsidR="001820FF" w:rsidRPr="001820FF">
          <w:rPr>
            <w:rFonts w:ascii="David" w:hAnsi="David"/>
            <w:color w:val="0000FF"/>
            <w:u w:val="single"/>
            <w:rtl/>
          </w:rPr>
          <w:t>ע"פ 9910/17</w:t>
        </w:r>
      </w:hyperlink>
      <w:r w:rsidRPr="00CF5F13">
        <w:rPr>
          <w:rFonts w:ascii="David" w:hAnsi="David"/>
          <w:rtl/>
        </w:rPr>
        <w:t xml:space="preserve"> </w:t>
      </w:r>
      <w:r w:rsidRPr="00CF5F13">
        <w:rPr>
          <w:rFonts w:ascii="David" w:hAnsi="David"/>
          <w:b/>
          <w:bCs/>
          <w:rtl/>
        </w:rPr>
        <w:t>אלבטינה גריפולינה נ' מדינת ישראל</w:t>
      </w:r>
      <w:r w:rsidRPr="00CF5F13">
        <w:rPr>
          <w:rFonts w:ascii="David" w:hAnsi="David"/>
          <w:rtl/>
        </w:rPr>
        <w:t xml:space="preserve"> (03.05.2018) דחה בית המשפט ערעורם של בני זוג שהורשעו בהחזקת סמים בדירה בה התגוררו יחד. המערער החזיק קוקאין במשקל 21.75 גרם  וחשיש במשקל 3.26 גרם, ואילו המערערת החזיקה סם הירואין במשקל של 40.15 גרם וחשיש  במשקל 54.87 גרם.</w:t>
      </w:r>
      <w:r w:rsidRPr="00CF5F13">
        <w:rPr>
          <w:rFonts w:ascii="Arial" w:hAnsi="Arial"/>
          <w:rtl/>
        </w:rPr>
        <w:t xml:space="preserve"> </w:t>
      </w:r>
      <w:r w:rsidRPr="00CF5F13">
        <w:rPr>
          <w:rFonts w:ascii="David" w:hAnsi="David"/>
          <w:b/>
          <w:bCs/>
          <w:rtl/>
        </w:rPr>
        <w:t>בעניינו של המערער קבע בית משפט קמא את מתחם העונש ההולם בין 15 ל - 36 חודשי מאסר בפועל</w:t>
      </w:r>
      <w:r w:rsidRPr="00CF5F13">
        <w:rPr>
          <w:rFonts w:ascii="David" w:hAnsi="David"/>
          <w:rtl/>
        </w:rPr>
        <w:t xml:space="preserve">, ובעניינה של המערערת </w:t>
      </w:r>
      <w:r w:rsidRPr="00CF5F13">
        <w:rPr>
          <w:rFonts w:ascii="David" w:hAnsi="David"/>
          <w:b/>
          <w:bCs/>
          <w:rtl/>
        </w:rPr>
        <w:t>בין 24 ל- 48 חודשי מאסר בפועל</w:t>
      </w:r>
      <w:r w:rsidRPr="00CF5F13">
        <w:rPr>
          <w:rFonts w:ascii="David" w:hAnsi="David"/>
          <w:rtl/>
        </w:rPr>
        <w:t xml:space="preserve">, וגזר על כל אחד מהם </w:t>
      </w:r>
      <w:r w:rsidRPr="00CF5F13">
        <w:rPr>
          <w:rFonts w:ascii="David" w:hAnsi="David"/>
          <w:b/>
          <w:bCs/>
          <w:rtl/>
        </w:rPr>
        <w:t>24 חודשי מאסר בפועל</w:t>
      </w:r>
      <w:r w:rsidRPr="00CF5F13">
        <w:rPr>
          <w:rFonts w:ascii="David" w:hAnsi="David"/>
          <w:rtl/>
        </w:rPr>
        <w:t>. בהתייחסותו למתחמי הענישה ציין בית המשפט העליון "</w:t>
      </w:r>
      <w:r w:rsidRPr="00CF5F13">
        <w:rPr>
          <w:rFonts w:ascii="David" w:hAnsi="David"/>
          <w:b/>
          <w:bCs/>
          <w:rtl/>
        </w:rPr>
        <w:t>בתי המשפט נקראים תדיר להחמרת הענישה בעבירות סמים, במיוחד בעבירות של החזקת סמים קשים שלא לצריכה עצמית... בהינתן כמות הסמים וסוגם... איננו סבורים כי מתחם הענישה שנקבע חמור יתר על המידה</w:t>
      </w:r>
      <w:r w:rsidRPr="00CF5F13">
        <w:rPr>
          <w:rFonts w:ascii="David" w:hAnsi="David"/>
          <w:rtl/>
        </w:rPr>
        <w:t xml:space="preserve">". בהתאמה, דחה בית המשפט את ערעור השניים על העונש ובעניינו של המערער הוסיף כי נוכח הרשעותיו הקודמות, </w:t>
      </w:r>
      <w:r w:rsidRPr="00CF5F13">
        <w:rPr>
          <w:rFonts w:ascii="David" w:hAnsi="David"/>
          <w:b/>
          <w:bCs/>
          <w:rtl/>
        </w:rPr>
        <w:t>הרי שבית משפט קמא עשה עמו חסד</w:t>
      </w:r>
      <w:r w:rsidRPr="00CF5F13">
        <w:rPr>
          <w:rFonts w:ascii="David" w:hAnsi="David"/>
          <w:rtl/>
        </w:rPr>
        <w:t>.</w:t>
      </w:r>
      <w:r>
        <w:rPr>
          <w:rFonts w:ascii="David" w:hAnsi="David"/>
          <w:rtl/>
        </w:rPr>
        <w:t xml:space="preserve"> </w:t>
      </w:r>
    </w:p>
    <w:p w14:paraId="0EFAA0EE" w14:textId="77777777" w:rsidR="000C1040" w:rsidRDefault="000C1040" w:rsidP="000C1040">
      <w:pPr>
        <w:spacing w:line="360" w:lineRule="auto"/>
        <w:jc w:val="both"/>
        <w:rPr>
          <w:rFonts w:ascii="David" w:hAnsi="David"/>
          <w:rtl/>
        </w:rPr>
      </w:pPr>
    </w:p>
    <w:p w14:paraId="3FFC789E" w14:textId="77777777" w:rsidR="000C1040" w:rsidRDefault="000C1040" w:rsidP="000C1040">
      <w:pPr>
        <w:spacing w:line="360" w:lineRule="auto"/>
        <w:jc w:val="both"/>
        <w:rPr>
          <w:rFonts w:ascii="Arial" w:hAnsi="Arial"/>
          <w:rtl/>
        </w:rPr>
      </w:pPr>
      <w:r>
        <w:rPr>
          <w:rtl/>
        </w:rPr>
        <w:t>ב</w:t>
      </w:r>
      <w:hyperlink r:id="rId23" w:history="1">
        <w:r w:rsidR="001820FF" w:rsidRPr="001820FF">
          <w:rPr>
            <w:color w:val="0000FF"/>
            <w:u w:val="single"/>
            <w:rtl/>
          </w:rPr>
          <w:t>עפ"ג (מחוזי באר שבע) 46144-10-17</w:t>
        </w:r>
      </w:hyperlink>
      <w:r>
        <w:rPr>
          <w:rtl/>
        </w:rPr>
        <w:t xml:space="preserve"> </w:t>
      </w:r>
      <w:r>
        <w:rPr>
          <w:b/>
          <w:bCs/>
          <w:rtl/>
        </w:rPr>
        <w:t>גרייזבסקי נ' מדינת ישראל</w:t>
      </w:r>
      <w:r>
        <w:rPr>
          <w:rtl/>
        </w:rPr>
        <w:t xml:space="preserve"> (07.02.18) אישר בית המשפט </w:t>
      </w:r>
      <w:r>
        <w:rPr>
          <w:b/>
          <w:bCs/>
          <w:rtl/>
        </w:rPr>
        <w:t>מתחם עונש בין 24 ל -48</w:t>
      </w:r>
      <w:r>
        <w:rPr>
          <w:rtl/>
        </w:rPr>
        <w:t xml:space="preserve"> </w:t>
      </w:r>
      <w:r>
        <w:rPr>
          <w:b/>
          <w:bCs/>
          <w:rtl/>
        </w:rPr>
        <w:t>חודשי מאסר בפועל</w:t>
      </w:r>
      <w:r>
        <w:rPr>
          <w:rtl/>
        </w:rPr>
        <w:t xml:space="preserve">, בנסיבות בהן החזיקה המערערת </w:t>
      </w:r>
      <w:r>
        <w:rPr>
          <w:b/>
          <w:bCs/>
          <w:rtl/>
        </w:rPr>
        <w:t>38 גרם סם מסוג הרואי</w:t>
      </w:r>
      <w:r>
        <w:rPr>
          <w:rtl/>
        </w:rPr>
        <w:t>ן, בציינו: "</w:t>
      </w:r>
      <w:r>
        <w:rPr>
          <w:b/>
          <w:bCs/>
          <w:rtl/>
        </w:rPr>
        <w:t>המתחם שנקבע תואם את הנסיבות, את העבירה ואת הפסיקה</w:t>
      </w:r>
      <w:r>
        <w:rPr>
          <w:rtl/>
        </w:rPr>
        <w:t>". בנוסף, בהתייחסו לעונש שנגזר על המערערת, 30 חודשי מאסר בפועל, לרבות הפעלת מאסר על תנאי שאת חציו נקבע תרצה במצטבר (סה"כ 36 חודשי מאסר לריצוי בפועל) הוסיף:</w:t>
      </w:r>
      <w:r>
        <w:rPr>
          <w:rFonts w:ascii="Arial" w:hAnsi="Arial"/>
          <w:rtl/>
        </w:rPr>
        <w:t xml:space="preserve">  </w:t>
      </w:r>
      <w:r>
        <w:rPr>
          <w:rtl/>
        </w:rPr>
        <w:t>"</w:t>
      </w:r>
      <w:r>
        <w:rPr>
          <w:b/>
          <w:bCs/>
          <w:rtl/>
        </w:rPr>
        <w:t>בנסיבותיה של המערערת ונסיבותיו של תיק זה.. נראה, שבמידה מסוימת, בית המשפט הקל עם המערערת שעה שהפעיל מאסר מותנה שהיה תלוי ועומד נגדה ולא הרתיעה מההסתבכות בתיק שבפנינו, חציו באופן חופף למאסר שהושת</w:t>
      </w:r>
      <w:r>
        <w:rPr>
          <w:rtl/>
        </w:rPr>
        <w:t>".</w:t>
      </w:r>
    </w:p>
    <w:p w14:paraId="53AC1B0A" w14:textId="77777777" w:rsidR="000C1040" w:rsidRDefault="000C1040" w:rsidP="000C1040">
      <w:pPr>
        <w:spacing w:line="360" w:lineRule="auto"/>
        <w:jc w:val="both"/>
        <w:rPr>
          <w:rFonts w:ascii="Arial" w:hAnsi="Arial"/>
        </w:rPr>
      </w:pPr>
    </w:p>
    <w:p w14:paraId="0C964014" w14:textId="77777777" w:rsidR="000C1040" w:rsidRDefault="000C1040" w:rsidP="000C1040">
      <w:pPr>
        <w:spacing w:line="360" w:lineRule="auto"/>
        <w:jc w:val="both"/>
        <w:rPr>
          <w:rtl/>
        </w:rPr>
      </w:pPr>
      <w:r>
        <w:rPr>
          <w:rtl/>
        </w:rPr>
        <w:t>ב</w:t>
      </w:r>
      <w:hyperlink r:id="rId24" w:history="1">
        <w:r w:rsidR="001820FF" w:rsidRPr="001820FF">
          <w:rPr>
            <w:color w:val="0000FF"/>
            <w:u w:val="single"/>
            <w:rtl/>
          </w:rPr>
          <w:t>עפ"ג (מרכז) 62489-07-17</w:t>
        </w:r>
      </w:hyperlink>
      <w:r>
        <w:rPr>
          <w:b/>
          <w:bCs/>
          <w:rtl/>
        </w:rPr>
        <w:t xml:space="preserve"> אבו דקה נ' מדינת ישראל</w:t>
      </w:r>
      <w:r>
        <w:rPr>
          <w:rtl/>
        </w:rPr>
        <w:t xml:space="preserve"> (31.12.17), אישר בית המשפט המחוזי (מרכז) מתחם עונש שבין 15 ל- 36 </w:t>
      </w:r>
      <w:r>
        <w:rPr>
          <w:b/>
          <w:bCs/>
          <w:rtl/>
        </w:rPr>
        <w:t xml:space="preserve">חודשי מאסר בפועל </w:t>
      </w:r>
      <w:r>
        <w:rPr>
          <w:rtl/>
        </w:rPr>
        <w:t xml:space="preserve">שקבע בית משפט שלום בנסיבות בהן החזיק המערער 29.95 גרם סם קוקאין, מחולק למנות, כמו עונש בן 15 חודשי מאסר בפועל, על המערער שבעניינו התקבל תסקיר חיובי ועמדו לטובתו נסיבות מקלות.  </w:t>
      </w:r>
    </w:p>
    <w:p w14:paraId="7B24F2E3" w14:textId="77777777" w:rsidR="000C1040" w:rsidRDefault="000C1040" w:rsidP="000C1040">
      <w:pPr>
        <w:spacing w:line="360" w:lineRule="auto"/>
        <w:jc w:val="both"/>
        <w:rPr>
          <w:rFonts w:ascii="David" w:hAnsi="David"/>
        </w:rPr>
      </w:pPr>
    </w:p>
    <w:p w14:paraId="5386F470" w14:textId="77777777" w:rsidR="000C1040" w:rsidRDefault="000C1040" w:rsidP="000C1040">
      <w:pPr>
        <w:spacing w:line="360" w:lineRule="auto"/>
        <w:jc w:val="both"/>
        <w:rPr>
          <w:rtl/>
        </w:rPr>
      </w:pPr>
      <w:r>
        <w:rPr>
          <w:rtl/>
        </w:rPr>
        <w:t>ב</w:t>
      </w:r>
      <w:hyperlink r:id="rId25" w:history="1">
        <w:r w:rsidR="001820FF" w:rsidRPr="001820FF">
          <w:rPr>
            <w:color w:val="0000FF"/>
            <w:u w:val="single"/>
            <w:rtl/>
          </w:rPr>
          <w:t>ת"פ (שלום ב"ש) 12194-06-23</w:t>
        </w:r>
      </w:hyperlink>
      <w:r>
        <w:rPr>
          <w:b/>
          <w:bCs/>
          <w:rtl/>
        </w:rPr>
        <w:t xml:space="preserve"> מדינת ישראל נ' מלסה </w:t>
      </w:r>
      <w:r>
        <w:rPr>
          <w:rtl/>
        </w:rPr>
        <w:t>(04.04.24)</w:t>
      </w:r>
      <w:r>
        <w:rPr>
          <w:b/>
          <w:bCs/>
          <w:rtl/>
        </w:rPr>
        <w:t>,  מתחם עונש הולם  שבין  28 ל-60 חודשי מאסר</w:t>
      </w:r>
      <w:r>
        <w:rPr>
          <w:rtl/>
        </w:rPr>
        <w:t xml:space="preserve">, נקבע בנסיבות בהן דובר על נאשם שהחזיק בדירתו במספר סוגי סמים וכלים להכנת סמים: </w:t>
      </w:r>
      <w:r>
        <w:rPr>
          <w:rFonts w:ascii="Arial" w:hAnsi="Arial"/>
          <w:rtl/>
        </w:rPr>
        <w:t xml:space="preserve"> כ 25 גרם של סם מסוכן מסוג </w:t>
      </w:r>
      <w:r>
        <w:rPr>
          <w:rFonts w:ascii="Arial" w:hAnsi="Arial"/>
          <w:sz w:val="22"/>
          <w:szCs w:val="22"/>
        </w:rPr>
        <w:t>M-METHYLMETHCATHINONE</w:t>
      </w:r>
      <w:r>
        <w:rPr>
          <w:rFonts w:ascii="Arial" w:hAnsi="Arial"/>
          <w:rtl/>
        </w:rPr>
        <w:t xml:space="preserve">; 24 יחידות של סם מסוג </w:t>
      </w:r>
      <w:r>
        <w:rPr>
          <w:rFonts w:ascii="Arial" w:hAnsi="Arial"/>
          <w:sz w:val="22"/>
          <w:szCs w:val="22"/>
        </w:rPr>
        <w:t>MDMA</w:t>
      </w:r>
      <w:r>
        <w:rPr>
          <w:rFonts w:ascii="Arial" w:hAnsi="Arial"/>
          <w:sz w:val="22"/>
          <w:szCs w:val="22"/>
          <w:rtl/>
        </w:rPr>
        <w:t xml:space="preserve">; </w:t>
      </w:r>
      <w:r>
        <w:rPr>
          <w:rFonts w:ascii="Arial" w:hAnsi="Arial"/>
          <w:rtl/>
        </w:rPr>
        <w:t xml:space="preserve">כ-6 גרם של סם מסוג </w:t>
      </w:r>
      <w:r>
        <w:rPr>
          <w:rFonts w:ascii="Arial" w:hAnsi="Arial"/>
          <w:sz w:val="22"/>
          <w:szCs w:val="22"/>
        </w:rPr>
        <w:t>MDMA+KETAMINE</w:t>
      </w:r>
      <w:r>
        <w:rPr>
          <w:rFonts w:ascii="Arial" w:hAnsi="Arial"/>
          <w:rtl/>
        </w:rPr>
        <w:t>; 9.65 גרם נטו של סם מסוכן מסוג</w:t>
      </w:r>
      <w:r>
        <w:rPr>
          <w:rFonts w:ascii="Arial" w:hAnsi="Arial"/>
          <w:sz w:val="22"/>
          <w:szCs w:val="22"/>
          <w:rtl/>
        </w:rPr>
        <w:t xml:space="preserve"> </w:t>
      </w:r>
      <w:r>
        <w:rPr>
          <w:rFonts w:ascii="Arial" w:hAnsi="Arial"/>
          <w:sz w:val="22"/>
          <w:szCs w:val="22"/>
        </w:rPr>
        <w:t>KETAMINE</w:t>
      </w:r>
      <w:r>
        <w:rPr>
          <w:rFonts w:ascii="Arial" w:hAnsi="Arial"/>
          <w:sz w:val="22"/>
          <w:szCs w:val="22"/>
          <w:rtl/>
        </w:rPr>
        <w:t xml:space="preserve">; </w:t>
      </w:r>
      <w:r>
        <w:rPr>
          <w:rFonts w:ascii="Arial" w:hAnsi="Arial"/>
          <w:rtl/>
        </w:rPr>
        <w:t xml:space="preserve">73 כלי אידוי ובהם סם מסוכן מסוג </w:t>
      </w:r>
      <w:r>
        <w:rPr>
          <w:rFonts w:ascii="Arial" w:hAnsi="Arial"/>
          <w:sz w:val="22"/>
          <w:szCs w:val="22"/>
        </w:rPr>
        <w:t>DELTA9</w:t>
      </w:r>
      <w:r>
        <w:rPr>
          <w:rFonts w:ascii="Arial" w:hAnsi="Arial"/>
        </w:rPr>
        <w:t>-</w:t>
      </w:r>
      <w:r>
        <w:rPr>
          <w:rFonts w:ascii="Arial" w:hAnsi="Arial"/>
          <w:rtl/>
        </w:rPr>
        <w:t xml:space="preserve"> ו- 1.8511 גרם נטו סם קוקאין.</w:t>
      </w:r>
    </w:p>
    <w:p w14:paraId="7B5C3DD5" w14:textId="77777777" w:rsidR="000C1040" w:rsidRDefault="000C1040" w:rsidP="000C1040">
      <w:pPr>
        <w:spacing w:line="360" w:lineRule="auto"/>
        <w:jc w:val="both"/>
        <w:rPr>
          <w:rFonts w:ascii="Arial" w:hAnsi="Arial"/>
          <w:b/>
          <w:bCs/>
          <w:rtl/>
        </w:rPr>
      </w:pPr>
      <w:r>
        <w:rPr>
          <w:rtl/>
        </w:rPr>
        <w:t xml:space="preserve">בנוסף, בחדר ששכר במלון, החזיק באותה עת, סם קנבוס במשקל של 1.8 ק"ג. הנאשר נעדר עבר פלילי עליו הוגש תסקיר חיובי והומלץ לענישה מתונה, הושתו 28 חודשי מאסר בפועל וענישה נלווית.  </w:t>
      </w:r>
    </w:p>
    <w:p w14:paraId="1CBD09B8" w14:textId="77777777" w:rsidR="000C1040" w:rsidRDefault="000C1040" w:rsidP="000C1040">
      <w:pPr>
        <w:spacing w:line="360" w:lineRule="auto"/>
        <w:jc w:val="both"/>
        <w:rPr>
          <w:rFonts w:ascii="Arial" w:hAnsi="Arial"/>
          <w:b/>
          <w:bCs/>
          <w:rtl/>
        </w:rPr>
      </w:pPr>
    </w:p>
    <w:p w14:paraId="1B2A9CB5" w14:textId="77777777" w:rsidR="000C1040" w:rsidRDefault="000C1040" w:rsidP="000C1040">
      <w:pPr>
        <w:spacing w:line="360" w:lineRule="auto"/>
        <w:jc w:val="both"/>
        <w:rPr>
          <w:rFonts w:ascii="Arial" w:eastAsia="David" w:hAnsi="Arial"/>
          <w:b/>
          <w:bCs/>
          <w:rtl/>
        </w:rPr>
      </w:pPr>
      <w:r>
        <w:rPr>
          <w:rFonts w:ascii="Arial" w:hAnsi="Arial"/>
          <w:rtl/>
        </w:rPr>
        <w:t>ב</w:t>
      </w:r>
      <w:hyperlink r:id="rId26" w:history="1">
        <w:r w:rsidR="001820FF" w:rsidRPr="001820FF">
          <w:rPr>
            <w:rFonts w:ascii="Arial" w:hAnsi="Arial"/>
            <w:color w:val="0000FF"/>
            <w:u w:val="single"/>
            <w:rtl/>
          </w:rPr>
          <w:t>ת"פ (שלום ב"ש) 50631-06-23</w:t>
        </w:r>
      </w:hyperlink>
      <w:r>
        <w:rPr>
          <w:rFonts w:ascii="Arial" w:hAnsi="Arial"/>
          <w:rtl/>
        </w:rPr>
        <w:t xml:space="preserve"> </w:t>
      </w:r>
      <w:r>
        <w:rPr>
          <w:rFonts w:ascii="Arial" w:hAnsi="Arial"/>
          <w:b/>
          <w:bCs/>
          <w:rtl/>
        </w:rPr>
        <w:t>מדינת ישראל נ' עמר</w:t>
      </w:r>
      <w:r>
        <w:rPr>
          <w:rFonts w:ascii="Arial" w:hAnsi="Arial"/>
          <w:rtl/>
        </w:rPr>
        <w:t xml:space="preserve"> (04.03.24), נקבע מתחם עונש הולם בין </w:t>
      </w:r>
      <w:r>
        <w:rPr>
          <w:rFonts w:ascii="Arial" w:hAnsi="Arial"/>
          <w:b/>
          <w:bCs/>
          <w:rtl/>
        </w:rPr>
        <w:t xml:space="preserve">20 ל-42 חודשי מאסר בפועל, </w:t>
      </w:r>
      <w:r>
        <w:rPr>
          <w:rFonts w:ascii="Arial" w:hAnsi="Arial"/>
          <w:rtl/>
        </w:rPr>
        <w:t>בנסיבות בהן דובר בנאשם שהחזיק</w:t>
      </w:r>
      <w:r>
        <w:rPr>
          <w:rFonts w:ascii="Arial" w:hAnsi="Arial"/>
          <w:b/>
          <w:bCs/>
          <w:rtl/>
        </w:rPr>
        <w:t xml:space="preserve"> </w:t>
      </w:r>
      <w:r>
        <w:rPr>
          <w:rFonts w:ascii="Arial" w:hAnsi="Arial"/>
          <w:rtl/>
        </w:rPr>
        <w:t>בדירתו 22 גרם נטו סם קוקאין, ועוד 50 גרם נטו סם קנבוס.</w:t>
      </w:r>
      <w:r>
        <w:rPr>
          <w:rFonts w:ascii="Arial" w:hAnsi="Arial"/>
          <w:b/>
          <w:bCs/>
          <w:rtl/>
        </w:rPr>
        <w:t xml:space="preserve">  </w:t>
      </w:r>
      <w:r>
        <w:rPr>
          <w:rFonts w:ascii="Arial" w:hAnsi="Arial"/>
          <w:rtl/>
        </w:rPr>
        <w:t xml:space="preserve">על הנאשם בעל עבר פלילי נגזרו עליו 26 חודשי מאסר בפועל וענישה נלוות. </w:t>
      </w:r>
      <w:r>
        <w:rPr>
          <w:rFonts w:ascii="Arial" w:hAnsi="Arial"/>
          <w:b/>
          <w:bCs/>
          <w:rtl/>
        </w:rPr>
        <w:t xml:space="preserve"> ערעור הוגש (</w:t>
      </w:r>
      <w:hyperlink r:id="rId27" w:history="1">
        <w:r w:rsidR="001820FF" w:rsidRPr="001820FF">
          <w:rPr>
            <w:rFonts w:ascii="Arial" w:hAnsi="Arial"/>
            <w:color w:val="0000FF"/>
            <w:u w:val="single"/>
            <w:rtl/>
          </w:rPr>
          <w:t>עפ"ג 41749-04-24</w:t>
        </w:r>
      </w:hyperlink>
      <w:r>
        <w:rPr>
          <w:rFonts w:ascii="Arial" w:hAnsi="Arial"/>
          <w:rtl/>
        </w:rPr>
        <w:t xml:space="preserve"> </w:t>
      </w:r>
      <w:r>
        <w:rPr>
          <w:rFonts w:ascii="Arial" w:hAnsi="Arial"/>
          <w:b/>
          <w:bCs/>
          <w:rtl/>
        </w:rPr>
        <w:t>עמר נ' מדינת ישראל</w:t>
      </w:r>
      <w:r>
        <w:rPr>
          <w:rFonts w:ascii="Arial" w:hAnsi="Arial"/>
          <w:rtl/>
        </w:rPr>
        <w:t>)</w:t>
      </w:r>
      <w:r>
        <w:rPr>
          <w:rFonts w:ascii="Arial" w:hAnsi="Arial"/>
          <w:b/>
          <w:bCs/>
          <w:rtl/>
        </w:rPr>
        <w:t xml:space="preserve"> ו</w:t>
      </w:r>
      <w:r>
        <w:rPr>
          <w:rFonts w:ascii="Arial" w:hAnsi="Arial"/>
          <w:rtl/>
        </w:rPr>
        <w:t xml:space="preserve">ממתין לדיון. </w:t>
      </w:r>
      <w:r>
        <w:rPr>
          <w:rFonts w:ascii="Arial" w:hAnsi="Arial"/>
          <w:b/>
          <w:bCs/>
          <w:rtl/>
        </w:rPr>
        <w:t xml:space="preserve"> </w:t>
      </w:r>
    </w:p>
    <w:p w14:paraId="4CCA7C75" w14:textId="77777777" w:rsidR="000C1040" w:rsidRDefault="000C1040" w:rsidP="000C1040">
      <w:pPr>
        <w:spacing w:line="360" w:lineRule="auto"/>
        <w:jc w:val="both"/>
        <w:rPr>
          <w:highlight w:val="yellow"/>
          <w:rtl/>
        </w:rPr>
      </w:pPr>
    </w:p>
    <w:p w14:paraId="0F1570E5" w14:textId="77777777" w:rsidR="000C1040" w:rsidRDefault="000C1040" w:rsidP="000C1040">
      <w:pPr>
        <w:spacing w:line="360" w:lineRule="auto"/>
        <w:jc w:val="both"/>
        <w:rPr>
          <w:rFonts w:ascii="David" w:hAnsi="David"/>
          <w:rtl/>
        </w:rPr>
      </w:pPr>
      <w:r>
        <w:rPr>
          <w:rtl/>
        </w:rPr>
        <w:t>ב</w:t>
      </w:r>
      <w:hyperlink r:id="rId28" w:history="1">
        <w:r w:rsidR="001820FF" w:rsidRPr="001820FF">
          <w:rPr>
            <w:color w:val="0000FF"/>
            <w:u w:val="single"/>
            <w:rtl/>
          </w:rPr>
          <w:t>ת"פ (מחוזי ת"א) 45195-11-20</w:t>
        </w:r>
      </w:hyperlink>
      <w:r>
        <w:rPr>
          <w:rtl/>
        </w:rPr>
        <w:t xml:space="preserve"> </w:t>
      </w:r>
      <w:r>
        <w:rPr>
          <w:b/>
          <w:bCs/>
          <w:rtl/>
        </w:rPr>
        <w:t>מדינת ישראל נ' אחמד מוחמד</w:t>
      </w:r>
      <w:r>
        <w:rPr>
          <w:rtl/>
        </w:rPr>
        <w:t xml:space="preserve"> (17.05.21), נקבע </w:t>
      </w:r>
      <w:r>
        <w:rPr>
          <w:b/>
          <w:bCs/>
          <w:rtl/>
        </w:rPr>
        <w:t xml:space="preserve">מתחם </w:t>
      </w:r>
      <w:r>
        <w:rPr>
          <w:rtl/>
        </w:rPr>
        <w:t xml:space="preserve">עונש הנע בין </w:t>
      </w:r>
      <w:r>
        <w:rPr>
          <w:b/>
          <w:bCs/>
          <w:rtl/>
        </w:rPr>
        <w:t xml:space="preserve"> 24 ל 60 חודשי</w:t>
      </w:r>
      <w:r>
        <w:rPr>
          <w:rtl/>
        </w:rPr>
        <w:t xml:space="preserve"> מאסר בפועל בנסיבות בהן הנאשם החזיק </w:t>
      </w:r>
      <w:r>
        <w:rPr>
          <w:b/>
          <w:bCs/>
          <w:u w:val="single"/>
          <w:rtl/>
        </w:rPr>
        <w:t xml:space="preserve"> </w:t>
      </w:r>
      <w:r w:rsidRPr="006B45D3">
        <w:rPr>
          <w:b/>
          <w:bCs/>
          <w:rtl/>
        </w:rPr>
        <w:t>113.7 גרם סם מסוכן</w:t>
      </w:r>
      <w:r w:rsidRPr="006B45D3">
        <w:rPr>
          <w:rtl/>
        </w:rPr>
        <w:t xml:space="preserve"> </w:t>
      </w:r>
      <w:r w:rsidRPr="006B45D3">
        <w:rPr>
          <w:b/>
          <w:bCs/>
          <w:rtl/>
        </w:rPr>
        <w:t>מסוג קוקאין עבור אחר</w:t>
      </w:r>
      <w:r w:rsidRPr="006B45D3">
        <w:rPr>
          <w:rtl/>
        </w:rPr>
        <w:t xml:space="preserve">, ועוד החזיק  </w:t>
      </w:r>
      <w:r w:rsidRPr="006B45D3">
        <w:rPr>
          <w:b/>
          <w:bCs/>
          <w:rtl/>
        </w:rPr>
        <w:t>20 גרם סם הרואין</w:t>
      </w:r>
      <w:r w:rsidRPr="006B45D3">
        <w:rPr>
          <w:rtl/>
        </w:rPr>
        <w:t xml:space="preserve">   </w:t>
      </w:r>
      <w:r w:rsidRPr="006B45D3">
        <w:rPr>
          <w:b/>
          <w:bCs/>
          <w:rtl/>
        </w:rPr>
        <w:t>ו 29 גרם סם קוקאי</w:t>
      </w:r>
      <w:r w:rsidRPr="006B45D3">
        <w:rPr>
          <w:rtl/>
        </w:rPr>
        <w:t>ן שלא</w:t>
      </w:r>
      <w:r>
        <w:rPr>
          <w:rtl/>
        </w:rPr>
        <w:t xml:space="preserve"> עבור אחר. </w:t>
      </w:r>
      <w:r>
        <w:rPr>
          <w:b/>
          <w:bCs/>
          <w:rtl/>
        </w:rPr>
        <w:t xml:space="preserve"> </w:t>
      </w:r>
    </w:p>
    <w:p w14:paraId="4498B33E" w14:textId="77777777" w:rsidR="000C1040" w:rsidRDefault="000C1040" w:rsidP="000C1040">
      <w:pPr>
        <w:spacing w:line="360" w:lineRule="auto"/>
        <w:jc w:val="both"/>
        <w:rPr>
          <w:b/>
          <w:bCs/>
          <w:rtl/>
        </w:rPr>
      </w:pPr>
    </w:p>
    <w:p w14:paraId="31213840" w14:textId="77777777" w:rsidR="000C1040" w:rsidRDefault="000C1040" w:rsidP="000C1040">
      <w:pPr>
        <w:spacing w:after="160" w:line="360" w:lineRule="auto"/>
        <w:contextualSpacing/>
        <w:jc w:val="both"/>
        <w:rPr>
          <w:b/>
          <w:bCs/>
          <w:rtl/>
        </w:rPr>
      </w:pPr>
      <w:r w:rsidRPr="00626413">
        <w:rPr>
          <w:rtl/>
        </w:rPr>
        <w:t>ב</w:t>
      </w:r>
      <w:hyperlink r:id="rId29" w:history="1">
        <w:r w:rsidR="001820FF" w:rsidRPr="001820FF">
          <w:rPr>
            <w:color w:val="0000FF"/>
            <w:u w:val="single"/>
            <w:rtl/>
          </w:rPr>
          <w:t>ת"פ (שלום חיפה) 37062-10-20</w:t>
        </w:r>
      </w:hyperlink>
      <w:r>
        <w:rPr>
          <w:rtl/>
        </w:rPr>
        <w:t xml:space="preserve"> </w:t>
      </w:r>
      <w:r>
        <w:rPr>
          <w:b/>
          <w:bCs/>
          <w:rtl/>
        </w:rPr>
        <w:t xml:space="preserve">מדינת ישראל נ' מחרום </w:t>
      </w:r>
      <w:r>
        <w:rPr>
          <w:rtl/>
        </w:rPr>
        <w:t>(21.04.21), נקבע</w:t>
      </w:r>
      <w:r>
        <w:rPr>
          <w:b/>
          <w:bCs/>
          <w:rtl/>
        </w:rPr>
        <w:t xml:space="preserve"> מתחם עונש הולם בין 15 חודשי מאסר ל-30 חודשי מאסר בפועל</w:t>
      </w:r>
      <w:r>
        <w:rPr>
          <w:rtl/>
        </w:rPr>
        <w:t xml:space="preserve">, בנסיבות בהן דובר בנאשם שנסע יחד עם אחר ברכב ובאזור חלציו, החזיק כפפה ובה 60  גרם נטו  סם קוקאין. עונשו של הנאשם </w:t>
      </w:r>
      <w:r>
        <w:rPr>
          <w:b/>
          <w:bCs/>
          <w:rtl/>
        </w:rPr>
        <w:t xml:space="preserve">נגזר ל 17 חודשי מאסר בפועל. </w:t>
      </w:r>
    </w:p>
    <w:p w14:paraId="6277CA36" w14:textId="77777777" w:rsidR="000C1040" w:rsidRDefault="000C1040" w:rsidP="000C1040">
      <w:pPr>
        <w:spacing w:line="360" w:lineRule="auto"/>
        <w:jc w:val="both"/>
        <w:rPr>
          <w:b/>
          <w:bCs/>
          <w:rtl/>
        </w:rPr>
      </w:pPr>
    </w:p>
    <w:p w14:paraId="28956717" w14:textId="77777777" w:rsidR="000C1040" w:rsidRDefault="000C1040" w:rsidP="000C1040">
      <w:pPr>
        <w:spacing w:after="160" w:line="360" w:lineRule="auto"/>
        <w:contextualSpacing/>
        <w:jc w:val="both"/>
        <w:rPr>
          <w:rtl/>
        </w:rPr>
      </w:pPr>
      <w:r>
        <w:rPr>
          <w:rtl/>
        </w:rPr>
        <w:t>ב</w:t>
      </w:r>
      <w:hyperlink r:id="rId30" w:history="1">
        <w:r w:rsidR="001820FF" w:rsidRPr="001820FF">
          <w:rPr>
            <w:color w:val="0000FF"/>
            <w:u w:val="single"/>
            <w:rtl/>
          </w:rPr>
          <w:t>ת"פ (שלום ב"ש) 2802-11-19</w:t>
        </w:r>
      </w:hyperlink>
      <w:r>
        <w:rPr>
          <w:rtl/>
        </w:rPr>
        <w:t xml:space="preserve"> </w:t>
      </w:r>
      <w:r>
        <w:rPr>
          <w:b/>
          <w:bCs/>
          <w:rtl/>
        </w:rPr>
        <w:t>מדינת ישראל נ' קרוצ'י</w:t>
      </w:r>
      <w:r>
        <w:rPr>
          <w:rtl/>
        </w:rPr>
        <w:t xml:space="preserve"> (30.6.21), נקבע מתחם העונש הולם בין </w:t>
      </w:r>
      <w:r>
        <w:rPr>
          <w:b/>
          <w:bCs/>
          <w:rtl/>
        </w:rPr>
        <w:t xml:space="preserve"> 30 חודשי מאסר ל-52 חודשי מאסר בפועל</w:t>
      </w:r>
      <w:r>
        <w:rPr>
          <w:rtl/>
        </w:rPr>
        <w:t xml:space="preserve">, בנסיבות בהן הנאשם החזיק ברכבו סם חשיש במשקל 20.70 גרם וסם מסוג קוקאין במשקל 39.4 גרם. על הנאשם, נעדר עבר פלילי, הושתו  30 חודשי מאסר בפועל וענישה נלווית. </w:t>
      </w:r>
    </w:p>
    <w:p w14:paraId="06A09F4C" w14:textId="77777777" w:rsidR="000C1040" w:rsidRDefault="000C1040" w:rsidP="000C1040">
      <w:pPr>
        <w:spacing w:line="360" w:lineRule="auto"/>
        <w:jc w:val="both"/>
        <w:rPr>
          <w:rtl/>
        </w:rPr>
      </w:pPr>
    </w:p>
    <w:p w14:paraId="5B0BD417" w14:textId="77777777" w:rsidR="000C1040" w:rsidRDefault="000C1040" w:rsidP="000C1040">
      <w:pPr>
        <w:spacing w:after="160" w:line="360" w:lineRule="auto"/>
        <w:jc w:val="both"/>
        <w:rPr>
          <w:rtl/>
        </w:rPr>
      </w:pPr>
      <w:r>
        <w:rPr>
          <w:rFonts w:hint="cs"/>
          <w:rtl/>
        </w:rPr>
        <w:t>8.</w:t>
      </w:r>
      <w:r>
        <w:rPr>
          <w:rFonts w:hint="cs"/>
          <w:rtl/>
        </w:rPr>
        <w:tab/>
      </w:r>
      <w:r w:rsidRPr="00A64DD8">
        <w:rPr>
          <w:rtl/>
        </w:rPr>
        <w:t>עיינתי במקרים אליהם הפנה כל אחד מהצדדים אשר מטבע הדברים ביקש כי אלה ישמשו אמת מידה לקביעת מתחם העונש בנסיבות המקרה הנדון בפני. המאשימה הפנתה גם למקרים</w:t>
      </w:r>
      <w:r>
        <w:rPr>
          <w:rtl/>
        </w:rPr>
        <w:t xml:space="preserve"> שבחלקם דובר על כמות סם גדולה משמעותית מכמות הסם אותה החזיק הנאשם.</w:t>
      </w:r>
    </w:p>
    <w:p w14:paraId="6FD45A02" w14:textId="77777777" w:rsidR="000C1040" w:rsidRDefault="000C1040" w:rsidP="000C1040">
      <w:pPr>
        <w:spacing w:after="160" w:line="360" w:lineRule="auto"/>
        <w:jc w:val="both"/>
        <w:rPr>
          <w:rFonts w:eastAsia="David"/>
          <w:rtl/>
        </w:rPr>
      </w:pPr>
      <w:r>
        <w:rPr>
          <w:rtl/>
        </w:rPr>
        <w:t xml:space="preserve"> המאשימה בטיעוניה למתחם העונש ההולם הייתה ערה לכך כי במקרים אליהם הפנתה דובר בנסיבות חמורות יותר מהמקרה הנדון, ועשתה כן, ללמד על החומרה בעבירות מסוג זה ועל ענישה נוהגת שבין 5-3 שנות מאסר בעבירות סמים מסוג הרואין וקוקאין, מהם בקשה לגזור לעניין הנדון בפניי. כך למשל, ב</w:t>
      </w:r>
      <w:hyperlink r:id="rId31" w:history="1">
        <w:r w:rsidR="001820FF" w:rsidRPr="001820FF">
          <w:rPr>
            <w:color w:val="0000FF"/>
            <w:u w:val="single"/>
            <w:rtl/>
          </w:rPr>
          <w:t>ע"פ 8820/14</w:t>
        </w:r>
      </w:hyperlink>
      <w:r>
        <w:rPr>
          <w:rtl/>
        </w:rPr>
        <w:t xml:space="preserve"> </w:t>
      </w:r>
      <w:r>
        <w:rPr>
          <w:b/>
          <w:bCs/>
          <w:rtl/>
        </w:rPr>
        <w:t>שחר נ' מדינת ישראל</w:t>
      </w:r>
      <w:r>
        <w:rPr>
          <w:rtl/>
        </w:rPr>
        <w:t xml:space="preserve"> (17.05.15), שם החזיק הנאשם ב-120 גרם קוקאין.  </w:t>
      </w:r>
    </w:p>
    <w:p w14:paraId="408DEEE5" w14:textId="77777777" w:rsidR="000C1040" w:rsidRDefault="000C1040" w:rsidP="000C1040">
      <w:pPr>
        <w:spacing w:after="160" w:line="360" w:lineRule="auto"/>
        <w:jc w:val="both"/>
      </w:pPr>
      <w:r>
        <w:rPr>
          <w:rtl/>
        </w:rPr>
        <w:t>לצד זאת, הפנתה למקרים שנסיבותיהם קרובות יותר למקרה הנדון, בהם נקבעו מתחמי ענישה שבין  3 ל-5 שנות מאסר. כך למשל, ב</w:t>
      </w:r>
      <w:hyperlink r:id="rId32" w:history="1">
        <w:r w:rsidR="001820FF" w:rsidRPr="001820FF">
          <w:rPr>
            <w:color w:val="0000FF"/>
            <w:u w:val="single"/>
            <w:rtl/>
          </w:rPr>
          <w:t>ע"פ 6277/14</w:t>
        </w:r>
      </w:hyperlink>
      <w:r>
        <w:rPr>
          <w:rtl/>
        </w:rPr>
        <w:t xml:space="preserve"> </w:t>
      </w:r>
      <w:r>
        <w:rPr>
          <w:b/>
          <w:bCs/>
          <w:rtl/>
        </w:rPr>
        <w:t xml:space="preserve">משלטי נ' מדינת ישראל </w:t>
      </w:r>
      <w:r>
        <w:rPr>
          <w:rtl/>
        </w:rPr>
        <w:t xml:space="preserve">(02.02.15), דחה בית המשפט ערעור על חומרת העונש , בנסיבות בהן החזיק המערער 51 גרם קוקאין ו-10 גרם של סם מסוג </w:t>
      </w:r>
      <w:r>
        <w:t>LIDOCAINE</w:t>
      </w:r>
      <w:r>
        <w:rPr>
          <w:rtl/>
        </w:rPr>
        <w:t xml:space="preserve"> (סם זה אינו מפורט בתוספת הראשונה של </w:t>
      </w:r>
      <w:hyperlink r:id="rId33" w:history="1">
        <w:r w:rsidR="001820FF" w:rsidRPr="001820FF">
          <w:rPr>
            <w:color w:val="0000FF"/>
            <w:u w:val="single"/>
            <w:rtl/>
          </w:rPr>
          <w:t>פקודת הסמים המסוכנים</w:t>
        </w:r>
      </w:hyperlink>
      <w:r>
        <w:rPr>
          <w:rtl/>
        </w:rPr>
        <w:t>), שקיות קטנות  ומשקל אלקטרוני.  בית המשפט קמא קבע מתחם עונש הולם בין 3 ל-5 שנות מאסר, וגזר עליו 4 שנות מאסר והופעל מאסר על תנאי בן 3 שנים סה"כ נזר עליו 5 שנות מאסר בפועל. בית המשפט בדחותו את הערעור כאמור, ציין:</w:t>
      </w:r>
    </w:p>
    <w:p w14:paraId="20129DE3" w14:textId="77777777" w:rsidR="000C1040" w:rsidRDefault="000C1040" w:rsidP="000C1040">
      <w:pPr>
        <w:spacing w:after="160" w:line="360" w:lineRule="auto"/>
        <w:ind w:left="1076" w:right="2127"/>
        <w:jc w:val="both"/>
        <w:rPr>
          <w:b/>
          <w:bCs/>
          <w:sz w:val="22"/>
          <w:szCs w:val="22"/>
          <w:rtl/>
        </w:rPr>
      </w:pPr>
      <w:r>
        <w:rPr>
          <w:rtl/>
        </w:rPr>
        <w:t xml:space="preserve"> </w:t>
      </w:r>
      <w:r>
        <w:rPr>
          <w:b/>
          <w:bCs/>
          <w:sz w:val="22"/>
          <w:szCs w:val="22"/>
          <w:rtl/>
        </w:rPr>
        <w:t>"</w:t>
      </w:r>
      <w:r>
        <w:rPr>
          <w:b/>
          <w:bCs/>
          <w:color w:val="000000"/>
          <w:spacing w:val="10"/>
          <w:sz w:val="22"/>
          <w:szCs w:val="22"/>
          <w:rtl/>
        </w:rPr>
        <w:t>[...]המתחם שנקבע והעונש אינם חמורים יתר על המידה, במיוחד כאשר חפיפת המאסר על תנאי היתה חלקית (שנה מתוך שלוש)</w:t>
      </w:r>
      <w:r>
        <w:rPr>
          <w:b/>
          <w:bCs/>
          <w:color w:val="000000"/>
          <w:spacing w:val="10"/>
          <w:sz w:val="22"/>
          <w:szCs w:val="22"/>
        </w:rPr>
        <w:t>"</w:t>
      </w:r>
      <w:r>
        <w:rPr>
          <w:b/>
          <w:bCs/>
          <w:sz w:val="22"/>
          <w:szCs w:val="22"/>
          <w:rtl/>
        </w:rPr>
        <w:t>.</w:t>
      </w:r>
    </w:p>
    <w:p w14:paraId="053FC704" w14:textId="77777777" w:rsidR="000C1040" w:rsidRPr="000C1040" w:rsidRDefault="000C1040" w:rsidP="000C1040">
      <w:pPr>
        <w:spacing w:after="160" w:line="360" w:lineRule="auto"/>
        <w:jc w:val="both"/>
        <w:rPr>
          <w:highlight w:val="darkGray"/>
          <w:rtl/>
        </w:rPr>
      </w:pPr>
      <w:r>
        <w:rPr>
          <w:rtl/>
        </w:rPr>
        <w:t>ראו עוד ב</w:t>
      </w:r>
      <w:hyperlink r:id="rId34" w:history="1">
        <w:r w:rsidR="001820FF" w:rsidRPr="001820FF">
          <w:rPr>
            <w:color w:val="0000FF"/>
            <w:u w:val="single"/>
            <w:rtl/>
          </w:rPr>
          <w:t>ע"פ 5821/18</w:t>
        </w:r>
      </w:hyperlink>
      <w:r>
        <w:rPr>
          <w:b/>
          <w:bCs/>
          <w:rtl/>
        </w:rPr>
        <w:t xml:space="preserve"> עמאש נ' מדינת ישראל נ' עמאש </w:t>
      </w:r>
      <w:r>
        <w:rPr>
          <w:rtl/>
        </w:rPr>
        <w:t>(21.11.18)</w:t>
      </w:r>
      <w:r>
        <w:rPr>
          <w:b/>
          <w:bCs/>
          <w:rtl/>
        </w:rPr>
        <w:t xml:space="preserve">, </w:t>
      </w:r>
      <w:r>
        <w:rPr>
          <w:rtl/>
        </w:rPr>
        <w:t>שם חזר המערער מערעורו על</w:t>
      </w:r>
      <w:r>
        <w:rPr>
          <w:b/>
          <w:bCs/>
          <w:rtl/>
        </w:rPr>
        <w:t xml:space="preserve"> </w:t>
      </w:r>
      <w:r>
        <w:rPr>
          <w:rtl/>
        </w:rPr>
        <w:t xml:space="preserve">חומרת העונש אותו גזר בית המשפט המחוזי - 40 חודשי מאסר בפועל, - בנסיבות בהן החזיק המערער סמים מסוג קוקאין והרואין במשקל כולל של 73.52 שהיו מחולקים למנות, זאת בגדרי מתחם עונש הולם שבין 3 ל-5 שנות מאסר אותו קבע. </w:t>
      </w:r>
    </w:p>
    <w:p w14:paraId="7AC284BE" w14:textId="77777777" w:rsidR="000C1040" w:rsidRDefault="000C1040" w:rsidP="000C1040">
      <w:pPr>
        <w:spacing w:after="160" w:line="360" w:lineRule="auto"/>
        <w:jc w:val="both"/>
        <w:rPr>
          <w:rtl/>
        </w:rPr>
      </w:pPr>
      <w:r w:rsidRPr="008D20E5">
        <w:rPr>
          <w:b/>
          <w:bCs/>
          <w:rtl/>
        </w:rPr>
        <w:t>הסנגור מצדו הפנה</w:t>
      </w:r>
      <w:r>
        <w:rPr>
          <w:rtl/>
        </w:rPr>
        <w:t xml:space="preserve">, בין היתר, למקרים שנסיבות חלק מהם דומות </w:t>
      </w:r>
      <w:r w:rsidRPr="00A64DD8">
        <w:rPr>
          <w:rtl/>
        </w:rPr>
        <w:t>ואף חמורות יותר</w:t>
      </w:r>
      <w:r>
        <w:rPr>
          <w:rtl/>
        </w:rPr>
        <w:t>, בהם נקבעו מתחמי ענישה מקלים מאלה להם עתרה המאשימה. כך למשל:</w:t>
      </w:r>
    </w:p>
    <w:p w14:paraId="136B783E" w14:textId="77777777" w:rsidR="000C1040" w:rsidRPr="000C1040" w:rsidRDefault="000C1040" w:rsidP="000C1040">
      <w:pPr>
        <w:spacing w:after="160" w:line="360" w:lineRule="auto"/>
        <w:jc w:val="both"/>
        <w:rPr>
          <w:rFonts w:eastAsia="Calibri"/>
          <w:rtl/>
        </w:rPr>
      </w:pPr>
      <w:r>
        <w:rPr>
          <w:rtl/>
        </w:rPr>
        <w:t>ב</w:t>
      </w:r>
      <w:hyperlink r:id="rId35" w:history="1">
        <w:r w:rsidR="001820FF" w:rsidRPr="001820FF">
          <w:rPr>
            <w:color w:val="0000FF"/>
            <w:u w:val="single"/>
            <w:rtl/>
          </w:rPr>
          <w:t>ת"פ (שלום ירושלים) 55093-01-20</w:t>
        </w:r>
      </w:hyperlink>
      <w:r>
        <w:rPr>
          <w:rtl/>
        </w:rPr>
        <w:t xml:space="preserve"> </w:t>
      </w:r>
      <w:r>
        <w:rPr>
          <w:b/>
          <w:bCs/>
          <w:rtl/>
        </w:rPr>
        <w:t xml:space="preserve">מדינת ישראל נ' באדי אלחמאמדה </w:t>
      </w:r>
      <w:r>
        <w:rPr>
          <w:rtl/>
        </w:rPr>
        <w:t>(22.04.21)</w:t>
      </w:r>
      <w:r>
        <w:rPr>
          <w:b/>
          <w:bCs/>
          <w:rtl/>
        </w:rPr>
        <w:t xml:space="preserve">, </w:t>
      </w:r>
      <w:r>
        <w:rPr>
          <w:rtl/>
        </w:rPr>
        <w:t xml:space="preserve"> </w:t>
      </w:r>
      <w:r>
        <w:rPr>
          <w:b/>
          <w:bCs/>
          <w:rtl/>
        </w:rPr>
        <w:t xml:space="preserve">נקבע מתחם עונש בין 30 </w:t>
      </w:r>
      <w:r w:rsidRPr="00A64DD8">
        <w:rPr>
          <w:b/>
          <w:bCs/>
          <w:rtl/>
        </w:rPr>
        <w:t>חודשי מאסר ל-50 חודשי מאסר, בנסיבות של החזקת 70 גרם קוקאין ו-25 טבליות אמפתמין</w:t>
      </w:r>
      <w:r w:rsidRPr="00A64DD8">
        <w:rPr>
          <w:rtl/>
        </w:rPr>
        <w:t>. משיקולי שיקום סטה בית המשפט ממתחם  העונש וגזר עונשו של הנאשם, צעיר שחצה את סף הבגירות זמן לא רב לפני ביצוע המעשה,</w:t>
      </w:r>
      <w:r>
        <w:rPr>
          <w:rtl/>
        </w:rPr>
        <w:t xml:space="preserve"> נגזר, משקולי שיקום  בשל שיקולי שיקום סטה בית המשפט ממתחם העונש ההולם וגזר על הנאשם 15 חודשי מאסר בפועל ועונשים נלווים. </w:t>
      </w:r>
    </w:p>
    <w:p w14:paraId="1CF0A8E2" w14:textId="77777777" w:rsidR="000C1040" w:rsidRPr="000C1040" w:rsidRDefault="000C1040" w:rsidP="000C1040">
      <w:pPr>
        <w:spacing w:after="160" w:line="360" w:lineRule="auto"/>
        <w:jc w:val="both"/>
        <w:rPr>
          <w:rFonts w:eastAsia="Calibri"/>
          <w:rtl/>
        </w:rPr>
      </w:pPr>
      <w:r w:rsidRPr="000C1040">
        <w:rPr>
          <w:rFonts w:eastAsia="Calibri" w:hint="cs"/>
          <w:rtl/>
        </w:rPr>
        <w:t xml:space="preserve">יש לומר כי נסיבות המקרה הנ"ל בו נקבע מתחם שבין 30 ל-50 חודשי מאסר, אינן שונות באופן ממשי מהנסיבות במקרה הנדון, לא רק זאת, אלא שבית המשפט גוזר את דינו של נאשם ל- 15 חודשי מאסר בפועל לאחר שהביא בחשבון הליכי שיקום וסטה ממתחם העונש, מה שאין בענייננו, ויש בו להעמיד בסימן שאלה גדול טענת ב"כ הנאשם למתחם הולם שהרף התחתון בו יחל מ-17 חודשי מאסר בפועל. </w:t>
      </w:r>
    </w:p>
    <w:p w14:paraId="578BAF15" w14:textId="77777777" w:rsidR="000C1040" w:rsidRDefault="000C1040" w:rsidP="000C1040">
      <w:pPr>
        <w:spacing w:line="360" w:lineRule="auto"/>
        <w:jc w:val="both"/>
        <w:rPr>
          <w:rtl/>
        </w:rPr>
      </w:pPr>
      <w:r>
        <w:rPr>
          <w:rtl/>
        </w:rPr>
        <w:t>עוד הפנה ל</w:t>
      </w:r>
      <w:hyperlink r:id="rId36" w:history="1">
        <w:r w:rsidR="001820FF" w:rsidRPr="001820FF">
          <w:rPr>
            <w:color w:val="0000FF"/>
            <w:u w:val="single"/>
            <w:rtl/>
          </w:rPr>
          <w:t>ת"פ (מחוזי ב"ש) 29918-07-21</w:t>
        </w:r>
      </w:hyperlink>
      <w:r>
        <w:rPr>
          <w:rtl/>
        </w:rPr>
        <w:t xml:space="preserve"> </w:t>
      </w:r>
      <w:r>
        <w:rPr>
          <w:b/>
          <w:bCs/>
          <w:rtl/>
        </w:rPr>
        <w:t>מדינת ישראל נ' שאדי אלחממדה</w:t>
      </w:r>
      <w:r>
        <w:rPr>
          <w:rtl/>
        </w:rPr>
        <w:t xml:space="preserve"> (14.03.22), שם דובר בהחזקת  180 גרם קוקאין אותם החזיק הנאשם בעבור אחר ברכב בו נסע עם אחר ועונשו נגזר ל 24 חודשי מאסר בפועל. אלא מה, המדובר בהסדר טיעון מלא אליו הגיעו הצדדים, וזה, אינו יכול כשלעצמו להוות אמת מידה למקרה הנדון. </w:t>
      </w:r>
    </w:p>
    <w:p w14:paraId="24C88F53" w14:textId="77777777" w:rsidR="000C1040" w:rsidRDefault="000C1040" w:rsidP="000C1040">
      <w:pPr>
        <w:spacing w:line="360" w:lineRule="auto"/>
        <w:jc w:val="both"/>
        <w:rPr>
          <w:rFonts w:eastAsia="David"/>
          <w:rtl/>
        </w:rPr>
      </w:pPr>
    </w:p>
    <w:p w14:paraId="3D2F1CB3" w14:textId="77777777" w:rsidR="000C1040" w:rsidRDefault="000C1040" w:rsidP="000C1040">
      <w:pPr>
        <w:spacing w:line="360" w:lineRule="auto"/>
        <w:jc w:val="both"/>
      </w:pPr>
      <w:r>
        <w:rPr>
          <w:rtl/>
        </w:rPr>
        <w:t>ב</w:t>
      </w:r>
      <w:hyperlink r:id="rId37" w:history="1">
        <w:r w:rsidR="001820FF" w:rsidRPr="001820FF">
          <w:rPr>
            <w:color w:val="0000FF"/>
            <w:u w:val="single"/>
            <w:rtl/>
          </w:rPr>
          <w:t>ת"פ (מחוזי ב"ש) 52589-10-20</w:t>
        </w:r>
      </w:hyperlink>
      <w:r>
        <w:rPr>
          <w:rtl/>
        </w:rPr>
        <w:t xml:space="preserve"> </w:t>
      </w:r>
      <w:r>
        <w:rPr>
          <w:b/>
          <w:bCs/>
          <w:rtl/>
        </w:rPr>
        <w:t>מדינת ישראל נ' אלטורי</w:t>
      </w:r>
      <w:r>
        <w:rPr>
          <w:rtl/>
        </w:rPr>
        <w:t xml:space="preserve"> (14.12.21), שם נקבע מתחם עונש ההולם שנע בין 3 ל-5 שנות מאסר בפועל</w:t>
      </w:r>
      <w:r>
        <w:rPr>
          <w:rFonts w:hint="cs"/>
          <w:rtl/>
        </w:rPr>
        <w:t xml:space="preserve"> </w:t>
      </w:r>
      <w:r>
        <w:rPr>
          <w:rtl/>
        </w:rPr>
        <w:t xml:space="preserve"> מדובר בנאשם שנהג ברכב, ודקות ספורות טרם מעצרו, הועברו לידיו </w:t>
      </w:r>
      <w:r w:rsidRPr="00956E8F">
        <w:rPr>
          <w:rtl/>
        </w:rPr>
        <w:t>סמים מסוג קוקאין במשקל</w:t>
      </w:r>
      <w:r>
        <w:rPr>
          <w:rtl/>
        </w:rPr>
        <w:t xml:space="preserve"> נטו של</w:t>
      </w:r>
      <w:r w:rsidR="001820FF">
        <w:rPr>
          <w:rtl/>
        </w:rPr>
        <w:t xml:space="preserve"> </w:t>
      </w:r>
      <w:r>
        <w:rPr>
          <w:rtl/>
        </w:rPr>
        <w:t xml:space="preserve"> 985 גרם</w:t>
      </w:r>
      <w:r>
        <w:rPr>
          <w:rFonts w:hint="cs"/>
          <w:rtl/>
        </w:rPr>
        <w:t>, אם כי יש להוסיף כי בע</w:t>
      </w:r>
      <w:r>
        <w:rPr>
          <w:rtl/>
        </w:rPr>
        <w:t xml:space="preserve">ת הצגת ההסדר </w:t>
      </w:r>
      <w:r>
        <w:rPr>
          <w:rFonts w:hint="cs"/>
          <w:rtl/>
        </w:rPr>
        <w:t xml:space="preserve">הסכימו </w:t>
      </w:r>
      <w:r>
        <w:rPr>
          <w:rtl/>
        </w:rPr>
        <w:t xml:space="preserve"> הצדדים </w:t>
      </w:r>
      <w:r>
        <w:rPr>
          <w:rFonts w:hint="cs"/>
          <w:rtl/>
        </w:rPr>
        <w:t xml:space="preserve">לעובדה לפיה </w:t>
      </w:r>
      <w:r>
        <w:rPr>
          <w:rtl/>
        </w:rPr>
        <w:t xml:space="preserve">הנאשם לא היה מודע לסוג הסם והכמות </w:t>
      </w:r>
      <w:r>
        <w:rPr>
          <w:rFonts w:hint="cs"/>
          <w:rtl/>
        </w:rPr>
        <w:t>שהועברה אליו. מכאן, עונשו של הנאשם נגזר ל-</w:t>
      </w:r>
      <w:r>
        <w:rPr>
          <w:rtl/>
        </w:rPr>
        <w:t xml:space="preserve"> 42 חודשי מאסר בפועל.</w:t>
      </w:r>
      <w:r w:rsidR="001820FF">
        <w:rPr>
          <w:rtl/>
        </w:rPr>
        <w:t xml:space="preserve">   </w:t>
      </w:r>
      <w:r>
        <w:rPr>
          <w:rtl/>
        </w:rPr>
        <w:t xml:space="preserve"> </w:t>
      </w:r>
    </w:p>
    <w:p w14:paraId="536CC5AF" w14:textId="77777777" w:rsidR="000C1040" w:rsidRDefault="000C1040" w:rsidP="000C1040">
      <w:pPr>
        <w:spacing w:line="360" w:lineRule="auto"/>
        <w:jc w:val="both"/>
      </w:pPr>
    </w:p>
    <w:p w14:paraId="0EE8AF6E" w14:textId="77777777" w:rsidR="000C1040" w:rsidRDefault="000C1040" w:rsidP="000C1040">
      <w:pPr>
        <w:pStyle w:val="Ruller4"/>
        <w:numPr>
          <w:ilvl w:val="0"/>
          <w:numId w:val="0"/>
        </w:numPr>
        <w:rPr>
          <w:rFonts w:ascii="David" w:eastAsia="David" w:hAnsi="David" w:cs="David"/>
          <w:spacing w:val="0"/>
          <w:szCs w:val="24"/>
        </w:rPr>
      </w:pPr>
      <w:r>
        <w:rPr>
          <w:rFonts w:ascii="David" w:eastAsia="David" w:hAnsi="David" w:cs="David"/>
          <w:spacing w:val="0"/>
          <w:szCs w:val="24"/>
          <w:rtl/>
        </w:rPr>
        <w:t>בכל הנוגע למתחמי הענישה, מצאתי לנכון להזכיר כי קביעת מתחם עונש הולם לאירוע היא קביעה ערכית המשתנה ממקרה למקרה,  כדברי בית המשפט</w:t>
      </w:r>
      <w:r>
        <w:rPr>
          <w:rtl/>
        </w:rPr>
        <w:t xml:space="preserve"> </w:t>
      </w:r>
      <w:r>
        <w:rPr>
          <w:rFonts w:ascii="David" w:eastAsia="David" w:hAnsi="David" w:cs="David"/>
          <w:spacing w:val="0"/>
          <w:szCs w:val="24"/>
          <w:rtl/>
        </w:rPr>
        <w:t>בבית המשפט העליון ב</w:t>
      </w:r>
      <w:hyperlink r:id="rId38" w:history="1">
        <w:r w:rsidR="001820FF" w:rsidRPr="001820FF">
          <w:rPr>
            <w:rFonts w:ascii="David" w:eastAsia="David" w:hAnsi="David" w:cs="David"/>
            <w:color w:val="0000FF"/>
            <w:spacing w:val="0"/>
            <w:szCs w:val="24"/>
            <w:u w:val="single"/>
            <w:rtl/>
          </w:rPr>
          <w:t>ע"פ 1589/23</w:t>
        </w:r>
      </w:hyperlink>
      <w:r>
        <w:rPr>
          <w:rFonts w:ascii="David" w:eastAsia="David" w:hAnsi="David" w:cs="David"/>
          <w:spacing w:val="0"/>
          <w:szCs w:val="24"/>
          <w:rtl/>
        </w:rPr>
        <w:t xml:space="preserve"> </w:t>
      </w:r>
      <w:r>
        <w:rPr>
          <w:rFonts w:ascii="David" w:eastAsia="David" w:hAnsi="David" w:cs="David"/>
          <w:b/>
          <w:bCs/>
          <w:spacing w:val="0"/>
          <w:szCs w:val="24"/>
          <w:rtl/>
        </w:rPr>
        <w:t>פלוני נ' מדינת ישראל</w:t>
      </w:r>
      <w:r>
        <w:rPr>
          <w:rFonts w:ascii="David" w:eastAsia="David" w:hAnsi="David" w:cs="David"/>
          <w:spacing w:val="0"/>
          <w:szCs w:val="24"/>
          <w:rtl/>
        </w:rPr>
        <w:t xml:space="preserve"> (07.08.23):  </w:t>
      </w:r>
    </w:p>
    <w:p w14:paraId="0F9ED52C" w14:textId="77777777" w:rsidR="000C1040" w:rsidRDefault="000C1040" w:rsidP="000C1040">
      <w:pPr>
        <w:rPr>
          <w:rFonts w:eastAsia="David"/>
          <w:rtl/>
        </w:rPr>
      </w:pPr>
    </w:p>
    <w:p w14:paraId="5B64B407" w14:textId="77777777" w:rsidR="000C1040" w:rsidRDefault="000C1040" w:rsidP="000C1040">
      <w:pPr>
        <w:pStyle w:val="Ruller4"/>
        <w:numPr>
          <w:ilvl w:val="0"/>
          <w:numId w:val="0"/>
        </w:numPr>
        <w:ind w:left="794" w:right="1276"/>
        <w:rPr>
          <w:rFonts w:ascii="David" w:eastAsia="David" w:hAnsi="David" w:cs="David"/>
          <w:b/>
          <w:bCs/>
          <w:spacing w:val="0"/>
          <w:sz w:val="22"/>
          <w:szCs w:val="22"/>
          <w:rtl/>
        </w:rPr>
      </w:pPr>
      <w:r>
        <w:rPr>
          <w:rFonts w:ascii="David" w:eastAsia="David" w:hAnsi="David" w:cs="David"/>
          <w:b/>
          <w:bCs/>
          <w:spacing w:val="0"/>
          <w:sz w:val="22"/>
          <w:szCs w:val="22"/>
          <w:rtl/>
        </w:rPr>
        <w:t>"היושב בדין אינו נדרש לאתר מקרים הדומים ככל שניתן למקרה שלפניו, לחשב מעין ממוצע ולהשית על הנאשם שלפניו את העונש המתאים לתוצאה שהתקבלה. לא בהשוואה בין מקרים עסקינן; אלא בבחינת כל מקרה ונסיבותיו שלו. בחינה זו נעשית כאשר אנו מצוידים בפסיקה קודמת, אולם בהתחשב בכך שמדיניות הענישה הנהוגה אינה חזות הכול. אף במסגרת תיקון 113, אשר אינו חל במישרין על ענייננו כאמור, נקבע כי מדיניות הענישה הנהוגה היא רק שיקול בודד מבין השיקולים המעצבים את גבולות מתחם הענישה ההולם (סעיף 40ג(א)לחוק). שיקול דעת רחב הותיר המחוקק בידי בית המשפט – ועל בית המשפט לעשות שימוש בשיקול דעת זה. לא באופן שרירותי, חלילה; אלא באופן מושכל, לפי ניסיון המותב ומיטב הבנתו המקצועית.</w:t>
      </w:r>
    </w:p>
    <w:p w14:paraId="415B4F7A" w14:textId="77777777" w:rsidR="000C1040" w:rsidRDefault="000C1040" w:rsidP="000C1040">
      <w:pPr>
        <w:pStyle w:val="Ruller4"/>
        <w:numPr>
          <w:ilvl w:val="0"/>
          <w:numId w:val="0"/>
        </w:numPr>
        <w:ind w:left="794" w:right="1276"/>
        <w:rPr>
          <w:rFonts w:ascii="David" w:eastAsia="David" w:hAnsi="David" w:cs="David"/>
          <w:b/>
          <w:bCs/>
          <w:spacing w:val="0"/>
          <w:sz w:val="22"/>
          <w:szCs w:val="22"/>
          <w:rtl/>
        </w:rPr>
      </w:pPr>
    </w:p>
    <w:p w14:paraId="6704DA7A" w14:textId="77777777" w:rsidR="000C1040" w:rsidRDefault="000C1040" w:rsidP="000C1040">
      <w:pPr>
        <w:spacing w:after="160" w:line="360" w:lineRule="auto"/>
        <w:jc w:val="both"/>
        <w:rPr>
          <w:rtl/>
        </w:rPr>
      </w:pPr>
      <w:r>
        <w:rPr>
          <w:rtl/>
        </w:rPr>
        <w:t>וכן ב</w:t>
      </w:r>
      <w:hyperlink r:id="rId39" w:history="1">
        <w:r w:rsidR="001820FF" w:rsidRPr="001820FF">
          <w:rPr>
            <w:color w:val="0000FF"/>
            <w:u w:val="single"/>
            <w:rtl/>
          </w:rPr>
          <w:t>עפ"ג 41707-03-22</w:t>
        </w:r>
      </w:hyperlink>
      <w:r>
        <w:rPr>
          <w:rtl/>
        </w:rPr>
        <w:t xml:space="preserve"> </w:t>
      </w:r>
      <w:r>
        <w:rPr>
          <w:b/>
          <w:bCs/>
          <w:rtl/>
        </w:rPr>
        <w:t xml:space="preserve">(מחוזי ב"ש) מדינת ישראל נ' אבו טראש </w:t>
      </w:r>
      <w:r>
        <w:rPr>
          <w:rtl/>
        </w:rPr>
        <w:t>(ניתן 23.06.22):</w:t>
      </w:r>
    </w:p>
    <w:p w14:paraId="403E6E62" w14:textId="77777777" w:rsidR="000C1040" w:rsidRDefault="000C1040" w:rsidP="000C1040">
      <w:pPr>
        <w:pStyle w:val="a9"/>
        <w:spacing w:after="160" w:line="360" w:lineRule="auto"/>
        <w:ind w:left="794" w:right="1276"/>
        <w:jc w:val="both"/>
        <w:rPr>
          <w:rFonts w:ascii="David" w:hAnsi="David"/>
          <w:sz w:val="22"/>
          <w:szCs w:val="22"/>
          <w:rtl/>
        </w:rPr>
      </w:pPr>
      <w:r>
        <w:rPr>
          <w:rFonts w:ascii="David" w:hAnsi="David"/>
          <w:b/>
          <w:bCs/>
          <w:sz w:val="22"/>
          <w:szCs w:val="22"/>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Pr>
          <w:rFonts w:ascii="David" w:hAnsi="David"/>
          <w:sz w:val="22"/>
          <w:szCs w:val="22"/>
          <w:u w:val="single"/>
          <w:rtl/>
        </w:rPr>
        <w:t>נקודת ההתייחסות צריכה להיות לקו המרכזי בענישה ולא לחריגים</w:t>
      </w:r>
      <w:r>
        <w:rPr>
          <w:rFonts w:ascii="David" w:hAnsi="David"/>
          <w:sz w:val="22"/>
          <w:szCs w:val="22"/>
          <w:rtl/>
        </w:rPr>
        <w:t>" ( ההדגשה שלי).</w:t>
      </w:r>
    </w:p>
    <w:p w14:paraId="361D8D4E" w14:textId="77777777" w:rsidR="000C1040" w:rsidRDefault="000C1040" w:rsidP="000C1040">
      <w:pPr>
        <w:spacing w:line="360" w:lineRule="auto"/>
        <w:jc w:val="both"/>
        <w:rPr>
          <w:highlight w:val="cyan"/>
          <w:rtl/>
        </w:rPr>
      </w:pPr>
    </w:p>
    <w:p w14:paraId="26C2ABCD" w14:textId="77777777" w:rsidR="000C1040" w:rsidRDefault="000C1040" w:rsidP="000C1040">
      <w:pPr>
        <w:spacing w:line="360" w:lineRule="auto"/>
        <w:jc w:val="both"/>
        <w:rPr>
          <w:rFonts w:ascii="David" w:hAnsi="David"/>
          <w:rtl/>
        </w:rPr>
      </w:pPr>
      <w:r w:rsidRPr="00956E8F">
        <w:rPr>
          <w:rtl/>
        </w:rPr>
        <w:t>סיכום</w:t>
      </w:r>
      <w:r w:rsidRPr="00956E8F">
        <w:rPr>
          <w:rFonts w:hint="cs"/>
        </w:rPr>
        <w:t xml:space="preserve"> </w:t>
      </w:r>
      <w:r w:rsidRPr="00956E8F">
        <w:rPr>
          <w:rtl/>
        </w:rPr>
        <w:t>מכלול</w:t>
      </w:r>
      <w:r>
        <w:rPr>
          <w:rtl/>
        </w:rPr>
        <w:t xml:space="preserve"> הדברים האמורים,</w:t>
      </w:r>
      <w:r>
        <w:rPr>
          <w:rFonts w:hint="cs"/>
          <w:rtl/>
        </w:rPr>
        <w:t xml:space="preserve"> </w:t>
      </w:r>
      <w:r>
        <w:rPr>
          <w:rtl/>
        </w:rPr>
        <w:t xml:space="preserve">לאחר שהבאתי בחשבון את מידת הפגיעה בערכים המוגנים ומדיניות הענישה הנוהגת במקרים דומים פחות או יותר למקרה הנדון לפני, </w:t>
      </w:r>
      <w:r>
        <w:rPr>
          <w:b/>
          <w:bCs/>
          <w:rtl/>
        </w:rPr>
        <w:t xml:space="preserve">הנני לקבוע את מתחם העונש ההולם את מעשי </w:t>
      </w:r>
      <w:r w:rsidRPr="00CF5F13">
        <w:rPr>
          <w:b/>
          <w:bCs/>
          <w:rtl/>
        </w:rPr>
        <w:t xml:space="preserve">הנאשם כך שינוע בין </w:t>
      </w:r>
      <w:r w:rsidRPr="00CF5F13">
        <w:rPr>
          <w:rFonts w:hint="cs"/>
          <w:b/>
          <w:bCs/>
          <w:rtl/>
        </w:rPr>
        <w:t>30</w:t>
      </w:r>
      <w:r w:rsidRPr="00CF5F13">
        <w:rPr>
          <w:b/>
          <w:bCs/>
          <w:rtl/>
        </w:rPr>
        <w:t xml:space="preserve"> ל-60 חודשי מאסר בפועל.</w:t>
      </w:r>
      <w:r>
        <w:rPr>
          <w:rtl/>
        </w:rPr>
        <w:t xml:space="preserve"> </w:t>
      </w:r>
    </w:p>
    <w:p w14:paraId="15458F5F" w14:textId="77777777" w:rsidR="000C1040" w:rsidRDefault="000C1040" w:rsidP="000C1040">
      <w:pPr>
        <w:spacing w:line="360" w:lineRule="auto"/>
        <w:jc w:val="both"/>
        <w:rPr>
          <w:rtl/>
        </w:rPr>
      </w:pPr>
    </w:p>
    <w:p w14:paraId="2899F652" w14:textId="77777777" w:rsidR="000C1040" w:rsidRDefault="000C1040" w:rsidP="000C1040">
      <w:pPr>
        <w:spacing w:line="360" w:lineRule="auto"/>
        <w:rPr>
          <w:rFonts w:ascii="David" w:hAnsi="David"/>
          <w:b/>
          <w:bCs/>
          <w:sz w:val="26"/>
          <w:szCs w:val="26"/>
          <w:u w:val="single"/>
          <w:rtl/>
        </w:rPr>
      </w:pPr>
      <w:r>
        <w:rPr>
          <w:b/>
          <w:bCs/>
          <w:sz w:val="26"/>
          <w:szCs w:val="26"/>
          <w:u w:val="single"/>
          <w:rtl/>
        </w:rPr>
        <w:t>עונשו של הנאשם</w:t>
      </w:r>
    </w:p>
    <w:p w14:paraId="358B7438" w14:textId="77777777" w:rsidR="000C1040" w:rsidRDefault="000C1040" w:rsidP="000C1040">
      <w:pPr>
        <w:pStyle w:val="a9"/>
        <w:spacing w:line="360" w:lineRule="auto"/>
        <w:ind w:left="-58"/>
        <w:jc w:val="both"/>
        <w:rPr>
          <w:rFonts w:ascii="David" w:hAnsi="David"/>
          <w:noProof w:val="0"/>
          <w:rtl/>
        </w:rPr>
      </w:pPr>
      <w:r>
        <w:rPr>
          <w:rFonts w:hint="cs"/>
          <w:rtl/>
        </w:rPr>
        <w:t>9.</w:t>
      </w:r>
      <w:r>
        <w:rPr>
          <w:rFonts w:hint="cs"/>
          <w:rtl/>
        </w:rPr>
        <w:tab/>
      </w:r>
      <w:r>
        <w:rPr>
          <w:rtl/>
        </w:rPr>
        <w:t xml:space="preserve">הנאשם שנותן את הדין הוא צעיר בן  20 שנים, רווק, </w:t>
      </w:r>
      <w:r>
        <w:rPr>
          <w:rFonts w:ascii="David" w:hAnsi="David"/>
          <w:noProof w:val="0"/>
          <w:rtl/>
        </w:rPr>
        <w:t xml:space="preserve"> שבעניינו, לא נמצא שיקולי שיקום בשלם ניתן היה לבחון סטייה ממתחם העונש אותו קבעתי לעיל, ועל כן עונשו ייקבע בתוך המתחם. </w:t>
      </w:r>
    </w:p>
    <w:p w14:paraId="41F6464F" w14:textId="77777777" w:rsidR="000C1040" w:rsidRDefault="000C1040" w:rsidP="000C1040">
      <w:pPr>
        <w:spacing w:line="360" w:lineRule="auto"/>
        <w:jc w:val="both"/>
        <w:rPr>
          <w:rFonts w:ascii="David" w:hAnsi="David"/>
          <w:rtl/>
        </w:rPr>
      </w:pPr>
    </w:p>
    <w:p w14:paraId="1FF426DC" w14:textId="77777777" w:rsidR="000C1040" w:rsidRDefault="000C1040" w:rsidP="000C1040">
      <w:pPr>
        <w:spacing w:line="360" w:lineRule="auto"/>
        <w:jc w:val="both"/>
        <w:rPr>
          <w:noProof/>
          <w:rtl/>
        </w:rPr>
      </w:pPr>
      <w:r>
        <w:rPr>
          <w:rtl/>
        </w:rPr>
        <w:t xml:space="preserve">בחינת עונשו של נאשם בתוך המתחם צריך ותביא בחשבון, בין היתר, את נתוניו האישיים ונסיבות שאינן קשורות בביצוע העבירה. </w:t>
      </w:r>
    </w:p>
    <w:p w14:paraId="74837772" w14:textId="77777777" w:rsidR="000C1040" w:rsidRDefault="000C1040" w:rsidP="000C1040">
      <w:pPr>
        <w:spacing w:line="360" w:lineRule="auto"/>
        <w:jc w:val="both"/>
        <w:rPr>
          <w:rFonts w:ascii="David" w:hAnsi="David"/>
          <w:rtl/>
        </w:rPr>
      </w:pPr>
    </w:p>
    <w:p w14:paraId="728A5316" w14:textId="77777777" w:rsidR="000C1040" w:rsidRDefault="000C1040" w:rsidP="000C1040">
      <w:pPr>
        <w:spacing w:line="360" w:lineRule="auto"/>
        <w:jc w:val="both"/>
        <w:rPr>
          <w:noProof/>
          <w:rtl/>
        </w:rPr>
      </w:pPr>
      <w:r>
        <w:rPr>
          <w:rtl/>
        </w:rPr>
        <w:t>בעבירות סמים, נזכיר, נסיבות אישיות של נאשם, לרוב, ייסוגו מפני שיקולי ההרתעה והגמול. ראו למשל, בדברי בית המשפט ב</w:t>
      </w:r>
      <w:hyperlink r:id="rId40" w:history="1">
        <w:r w:rsidR="001820FF" w:rsidRPr="001820FF">
          <w:rPr>
            <w:color w:val="0000FF"/>
            <w:u w:val="single"/>
            <w:rtl/>
          </w:rPr>
          <w:t>ע"פ 9482/09</w:t>
        </w:r>
      </w:hyperlink>
      <w:r>
        <w:rPr>
          <w:rtl/>
        </w:rPr>
        <w:t xml:space="preserve"> </w:t>
      </w:r>
      <w:r>
        <w:rPr>
          <w:b/>
          <w:bCs/>
          <w:rtl/>
        </w:rPr>
        <w:t>ביטון נגד מדינת ישראל</w:t>
      </w:r>
      <w:r>
        <w:rPr>
          <w:rtl/>
        </w:rPr>
        <w:t xml:space="preserve"> (2011):</w:t>
      </w:r>
    </w:p>
    <w:p w14:paraId="3FA26ACE" w14:textId="77777777" w:rsidR="000C1040" w:rsidRDefault="000C1040" w:rsidP="000C1040">
      <w:pPr>
        <w:spacing w:line="360" w:lineRule="auto"/>
        <w:ind w:left="794" w:right="1134"/>
        <w:jc w:val="both"/>
        <w:rPr>
          <w:sz w:val="22"/>
          <w:szCs w:val="22"/>
          <w:rtl/>
        </w:rPr>
      </w:pPr>
    </w:p>
    <w:p w14:paraId="54E82565" w14:textId="77777777" w:rsidR="000C1040" w:rsidRDefault="000C1040" w:rsidP="000C1040">
      <w:pPr>
        <w:spacing w:line="360" w:lineRule="auto"/>
        <w:ind w:left="794" w:right="1134"/>
        <w:jc w:val="both"/>
        <w:rPr>
          <w:sz w:val="22"/>
          <w:szCs w:val="22"/>
          <w:rtl/>
        </w:rPr>
      </w:pPr>
      <w:r>
        <w:rPr>
          <w:sz w:val="22"/>
          <w:szCs w:val="22"/>
          <w:rtl/>
        </w:rPr>
        <w:t xml:space="preserve">"נגע הסמים הפוגע קשות בחברתנו [...]. על כן, </w:t>
      </w:r>
      <w:r>
        <w:rPr>
          <w:b/>
          <w:bCs/>
          <w:sz w:val="22"/>
          <w:szCs w:val="22"/>
          <w:rtl/>
        </w:rPr>
        <w:t>יש ליתן משקל ממשי לשיקול ההרתעתי אל מול השיקולים האישיים אשר משקלם יהיה נמוך יותר במקרים כגון אלה</w:t>
      </w:r>
      <w:r>
        <w:rPr>
          <w:sz w:val="22"/>
          <w:szCs w:val="22"/>
          <w:rtl/>
        </w:rPr>
        <w:t xml:space="preserve">. עונש הולם למחזיקי סמים שלא לשימוש עצמי – קרי: למשולבים במערך ההפצה – מכוון לקבוע בהכרת הכול את החומרה היתירה שאנו מייחסים להפצת הסמים, ולהרתיע עבריינים בכוח מלשלוח ידם בפעילות ההפצה. </w:t>
      </w:r>
      <w:r>
        <w:rPr>
          <w:b/>
          <w:bCs/>
          <w:sz w:val="22"/>
          <w:szCs w:val="22"/>
          <w:rtl/>
        </w:rPr>
        <w:t>שתי תכליות מרכזיות אלו ניתן להשיג רק על ידי הטלת עונשים חמורים".</w:t>
      </w:r>
    </w:p>
    <w:p w14:paraId="68EF753F" w14:textId="77777777" w:rsidR="000C1040" w:rsidRDefault="000C1040" w:rsidP="000C1040">
      <w:pPr>
        <w:tabs>
          <w:tab w:val="left" w:pos="8306"/>
        </w:tabs>
        <w:spacing w:line="360" w:lineRule="auto"/>
        <w:ind w:hanging="57"/>
        <w:jc w:val="both"/>
        <w:rPr>
          <w:sz w:val="22"/>
          <w:szCs w:val="22"/>
          <w:rtl/>
        </w:rPr>
      </w:pPr>
    </w:p>
    <w:p w14:paraId="4571DEC2" w14:textId="77777777" w:rsidR="000C1040" w:rsidRDefault="000C1040" w:rsidP="000C1040">
      <w:pPr>
        <w:spacing w:line="360" w:lineRule="auto"/>
        <w:ind w:hanging="57"/>
        <w:jc w:val="both"/>
        <w:rPr>
          <w:rtl/>
        </w:rPr>
      </w:pPr>
      <w:r>
        <w:rPr>
          <w:rFonts w:ascii="Arial" w:hAnsi="Arial"/>
          <w:rtl/>
        </w:rPr>
        <w:t xml:space="preserve"> </w:t>
      </w:r>
      <w:r>
        <w:rPr>
          <w:rtl/>
        </w:rPr>
        <w:t xml:space="preserve">בגדרי השיקולים לקולא אביא בחשבון העדר עבר פלילי קודם לנאשם אשר זו הסתבכותו הראשונה עם החוק וזהו מאסרו הראשון. </w:t>
      </w:r>
    </w:p>
    <w:p w14:paraId="3C7B8F65" w14:textId="77777777" w:rsidR="000C1040" w:rsidRDefault="000C1040" w:rsidP="000C1040">
      <w:pPr>
        <w:tabs>
          <w:tab w:val="left" w:pos="8306"/>
        </w:tabs>
        <w:spacing w:line="360" w:lineRule="auto"/>
        <w:jc w:val="both"/>
        <w:rPr>
          <w:rtl/>
        </w:rPr>
      </w:pPr>
      <w:r>
        <w:rPr>
          <w:rtl/>
        </w:rPr>
        <w:t xml:space="preserve">משקל ממשי יינתן לאחריות שנטל הנאשם על מעשיו לאחר תיקון כתב האישום, הודאתו  המגלמת חסכון בזמן ומשאבים יקרים לכלל הגורמים הנדרשים לטיפול והנוגעים בהליכים בתיק.  </w:t>
      </w:r>
    </w:p>
    <w:p w14:paraId="6B38E424" w14:textId="77777777" w:rsidR="000C1040" w:rsidRDefault="000C1040" w:rsidP="000C1040">
      <w:pPr>
        <w:tabs>
          <w:tab w:val="left" w:pos="8306"/>
        </w:tabs>
        <w:spacing w:line="360" w:lineRule="auto"/>
        <w:jc w:val="both"/>
        <w:rPr>
          <w:highlight w:val="yellow"/>
          <w:rtl/>
        </w:rPr>
      </w:pPr>
    </w:p>
    <w:p w14:paraId="009519BD" w14:textId="77777777" w:rsidR="000C1040" w:rsidRDefault="000C1040" w:rsidP="000C1040">
      <w:pPr>
        <w:tabs>
          <w:tab w:val="left" w:pos="8306"/>
        </w:tabs>
        <w:spacing w:line="360" w:lineRule="auto"/>
        <w:jc w:val="both"/>
        <w:rPr>
          <w:rFonts w:ascii="Arial" w:hAnsi="Arial"/>
          <w:rtl/>
        </w:rPr>
      </w:pPr>
      <w:r>
        <w:rPr>
          <w:rtl/>
        </w:rPr>
        <w:t xml:space="preserve">לצד שיקולי השיקום, כמו </w:t>
      </w:r>
      <w:r>
        <w:rPr>
          <w:rFonts w:ascii="Arial" w:hAnsi="Arial"/>
          <w:rtl/>
        </w:rPr>
        <w:t xml:space="preserve">שאיפת הנאשם לנהל אורח חיים תקין, נכונות להתרחק מגורמים שוליים והשתלבותו במספר סדנאות טיפול במסגרת מעצרו בהן יהיה לסייע לו לאחר שחרורו מהמאסר, בהם ציין שירות המבחן בתסקיר,  יש לתת את הדעת לגורמי סיכון עליהם עמד השירות. כך למשל: קשרים חברתיים שוליים, </w:t>
      </w:r>
      <w:r>
        <w:rPr>
          <w:rtl/>
        </w:rPr>
        <w:t xml:space="preserve">קושי להציב </w:t>
      </w:r>
      <w:r>
        <w:rPr>
          <w:rFonts w:ascii="Arial" w:hAnsi="Arial"/>
          <w:rtl/>
        </w:rPr>
        <w:t>גבולות פנימיים להתנהגותו ולמצ</w:t>
      </w:r>
      <w:r>
        <w:rPr>
          <w:rFonts w:ascii="Arial" w:hAnsi="Arial" w:hint="cs"/>
          <w:rtl/>
        </w:rPr>
        <w:t>ו</w:t>
      </w:r>
      <w:r>
        <w:rPr>
          <w:rFonts w:ascii="Arial" w:hAnsi="Arial"/>
          <w:rtl/>
        </w:rPr>
        <w:t xml:space="preserve">א פתרונות אדפטיביים במצבי לחץ - לצד קושי לבחון מעשיו לעומק, חוסר הכרה והבנה באשר לנזקקותו לסיוע מקצועי בכדי לזהות גורמי סיכון בסביבתו ואופיו, בשלם, שירות המבחן לא רק שלא מצא לבוא בהמלצה  טיפולית עבור הנאשם, אלא המליץ על השתת ענישה מוחשית שתהווה גורם מרתיע עבורו. </w:t>
      </w:r>
    </w:p>
    <w:p w14:paraId="7309276C" w14:textId="77777777" w:rsidR="000C1040" w:rsidRDefault="000C1040" w:rsidP="000C1040">
      <w:pPr>
        <w:spacing w:line="360" w:lineRule="auto"/>
        <w:jc w:val="both"/>
        <w:rPr>
          <w:rtl/>
        </w:rPr>
      </w:pPr>
    </w:p>
    <w:p w14:paraId="413A4A2E" w14:textId="77777777" w:rsidR="000C1040" w:rsidRDefault="000C1040" w:rsidP="000C1040">
      <w:pPr>
        <w:spacing w:line="360" w:lineRule="auto"/>
        <w:jc w:val="both"/>
        <w:rPr>
          <w:rFonts w:ascii="David" w:hAnsi="David"/>
          <w:rtl/>
        </w:rPr>
      </w:pPr>
      <w:r>
        <w:rPr>
          <w:rtl/>
        </w:rPr>
        <w:t xml:space="preserve">פסילת הנאשם מלנהוג, להחזיק/לקבל רישיון נהיגה, מתבקשת ביתר שאת נוכח שנסיבות ביצוע העבירה היו כרוכות, בין היתר, בנהיגתו ברכב בו הוסלקו הסמים לצורך העברתם למקום אחר.  </w:t>
      </w:r>
    </w:p>
    <w:p w14:paraId="743C93F6" w14:textId="77777777" w:rsidR="000C1040" w:rsidRDefault="000C1040" w:rsidP="000C1040">
      <w:pPr>
        <w:spacing w:line="360" w:lineRule="auto"/>
        <w:jc w:val="both"/>
        <w:rPr>
          <w:rtl/>
        </w:rPr>
      </w:pPr>
    </w:p>
    <w:p w14:paraId="5305289F" w14:textId="77777777" w:rsidR="000C1040" w:rsidRDefault="000C1040" w:rsidP="000C1040">
      <w:pPr>
        <w:spacing w:line="360" w:lineRule="auto"/>
        <w:jc w:val="both"/>
        <w:rPr>
          <w:b/>
          <w:bCs/>
          <w:rtl/>
        </w:rPr>
      </w:pPr>
      <w:r>
        <w:rPr>
          <w:rtl/>
        </w:rPr>
        <w:t xml:space="preserve">השתת עיצום כלכלי בדמות קנס לצד עונש המאסר נדרשת נוכח </w:t>
      </w:r>
      <w:r>
        <w:rPr>
          <w:rFonts w:hint="cs"/>
          <w:rtl/>
        </w:rPr>
        <w:t xml:space="preserve">אותה </w:t>
      </w:r>
      <w:r>
        <w:rPr>
          <w:rtl/>
        </w:rPr>
        <w:t>"כדא</w:t>
      </w:r>
      <w:r>
        <w:rPr>
          <w:rFonts w:hint="cs"/>
          <w:rtl/>
        </w:rPr>
        <w:t>י</w:t>
      </w:r>
      <w:r>
        <w:rPr>
          <w:rtl/>
        </w:rPr>
        <w:t xml:space="preserve">ות הכלכלית" המגולמת בהחזקת כמות גדולה של סם הקוקאין על חשבון בריאותו ורווחתו של הציבור. </w:t>
      </w:r>
    </w:p>
    <w:p w14:paraId="07F4371A" w14:textId="77777777" w:rsidR="000C1040" w:rsidRDefault="000C1040" w:rsidP="000C1040">
      <w:pPr>
        <w:spacing w:line="360" w:lineRule="auto"/>
        <w:jc w:val="both"/>
        <w:rPr>
          <w:b/>
          <w:bCs/>
          <w:rtl/>
        </w:rPr>
      </w:pPr>
    </w:p>
    <w:p w14:paraId="3EF2A408" w14:textId="77777777" w:rsidR="000C1040" w:rsidRDefault="000C1040" w:rsidP="000C1040">
      <w:pPr>
        <w:spacing w:line="360" w:lineRule="auto"/>
        <w:jc w:val="both"/>
        <w:rPr>
          <w:b/>
          <w:bCs/>
          <w:rtl/>
        </w:rPr>
      </w:pPr>
      <w:r>
        <w:rPr>
          <w:b/>
          <w:bCs/>
          <w:rtl/>
        </w:rPr>
        <w:t xml:space="preserve">סוף דבר, אני גוזרת את עונשו של הנאשם כדלקמן: </w:t>
      </w:r>
    </w:p>
    <w:p w14:paraId="7D8B9A99" w14:textId="77777777" w:rsidR="000C1040" w:rsidRDefault="000C1040" w:rsidP="000C1040">
      <w:pPr>
        <w:pStyle w:val="a9"/>
        <w:numPr>
          <w:ilvl w:val="0"/>
          <w:numId w:val="2"/>
        </w:numPr>
        <w:spacing w:line="360" w:lineRule="auto"/>
        <w:jc w:val="both"/>
        <w:rPr>
          <w:rtl/>
        </w:rPr>
      </w:pPr>
      <w:r>
        <w:rPr>
          <w:rFonts w:hint="cs"/>
          <w:rtl/>
        </w:rPr>
        <w:t>30</w:t>
      </w:r>
      <w:r>
        <w:rPr>
          <w:rtl/>
        </w:rPr>
        <w:t xml:space="preserve"> חודשי מאסר בפועל, בניכוי ימי מעצרו בתיק זה על פי רישומי שב"ס, ובמצטבר לכל עונש מאסר אותו הוא מרצה.</w:t>
      </w:r>
    </w:p>
    <w:p w14:paraId="6FB6DBA9" w14:textId="77777777" w:rsidR="000C1040" w:rsidRDefault="000C1040" w:rsidP="000C1040">
      <w:pPr>
        <w:pStyle w:val="a9"/>
        <w:numPr>
          <w:ilvl w:val="0"/>
          <w:numId w:val="2"/>
        </w:numPr>
        <w:spacing w:line="360" w:lineRule="auto"/>
        <w:jc w:val="both"/>
        <w:rPr>
          <w:rtl/>
        </w:rPr>
      </w:pPr>
      <w:r>
        <w:rPr>
          <w:rtl/>
        </w:rPr>
        <w:t xml:space="preserve">10 חודשי מאסר על תנאי, לתקופה של 3 שנים ממועד שחרורו מהמאסר, שלא יעבור עבירות סמים מסוג פשע. </w:t>
      </w:r>
    </w:p>
    <w:p w14:paraId="5515DACE" w14:textId="77777777" w:rsidR="000C1040" w:rsidRDefault="000C1040" w:rsidP="000C1040">
      <w:pPr>
        <w:pStyle w:val="a9"/>
        <w:numPr>
          <w:ilvl w:val="0"/>
          <w:numId w:val="2"/>
        </w:numPr>
        <w:spacing w:line="360" w:lineRule="auto"/>
        <w:jc w:val="both"/>
        <w:rPr>
          <w:rtl/>
        </w:rPr>
      </w:pPr>
      <w:r>
        <w:rPr>
          <w:rtl/>
        </w:rPr>
        <w:t xml:space="preserve">קנס בסך 10,000 ₪  או  30 מי מאסר תמורתו. הקנס ישולם </w:t>
      </w:r>
      <w:r>
        <w:rPr>
          <w:rFonts w:hint="cs"/>
          <w:rtl/>
        </w:rPr>
        <w:t xml:space="preserve">ב10 תשלומים שווים ורצופי. תשלום ראשון ביום 10.09.24 ובכל 10 לחודש שלאחר מכן. </w:t>
      </w:r>
      <w:r>
        <w:rPr>
          <w:rtl/>
        </w:rPr>
        <w:t xml:space="preserve">  </w:t>
      </w:r>
    </w:p>
    <w:p w14:paraId="4277E6C7" w14:textId="77777777" w:rsidR="000C1040" w:rsidRDefault="001820FF" w:rsidP="000C1040">
      <w:pPr>
        <w:pStyle w:val="a9"/>
        <w:numPr>
          <w:ilvl w:val="0"/>
          <w:numId w:val="2"/>
        </w:numPr>
        <w:spacing w:line="360" w:lineRule="auto"/>
        <w:jc w:val="both"/>
        <w:rPr>
          <w:rtl/>
        </w:rPr>
      </w:pPr>
      <w:r w:rsidRPr="001820FF">
        <w:rPr>
          <w:color w:val="FFFFFF"/>
          <w:sz w:val="2"/>
          <w:szCs w:val="2"/>
          <w:rtl/>
        </w:rPr>
        <w:t>5129371</w:t>
      </w:r>
      <w:r w:rsidR="000C1040">
        <w:rPr>
          <w:rtl/>
        </w:rPr>
        <w:t>הנאשם פסול מלקבל או מלהחזיק רישיון נהיגה משך 8 חודשים, שמניינם יחל מיום שחרורו מן המאסר</w:t>
      </w:r>
      <w:r w:rsidR="000C1040">
        <w:rPr>
          <w:rFonts w:hint="cs"/>
          <w:rtl/>
        </w:rPr>
        <w:t xml:space="preserve"> ובכפוף להפקדת רישיון הנהיגה במזכירות בית המשפט. </w:t>
      </w:r>
    </w:p>
    <w:p w14:paraId="0CDD473F" w14:textId="77777777" w:rsidR="000C1040" w:rsidRPr="001820FF" w:rsidRDefault="001820FF" w:rsidP="000C1040">
      <w:pPr>
        <w:spacing w:line="360" w:lineRule="auto"/>
        <w:ind w:left="720" w:hanging="660"/>
        <w:jc w:val="both"/>
        <w:rPr>
          <w:color w:val="FFFFFF"/>
          <w:sz w:val="2"/>
          <w:szCs w:val="2"/>
          <w:rtl/>
        </w:rPr>
      </w:pPr>
      <w:r w:rsidRPr="001820FF">
        <w:rPr>
          <w:color w:val="FFFFFF"/>
          <w:sz w:val="2"/>
          <w:szCs w:val="2"/>
          <w:rtl/>
        </w:rPr>
        <w:t>54678313</w:t>
      </w:r>
    </w:p>
    <w:p w14:paraId="20030565" w14:textId="77777777" w:rsidR="000C1040" w:rsidRDefault="000C1040" w:rsidP="000C1040">
      <w:pPr>
        <w:spacing w:line="360" w:lineRule="auto"/>
        <w:jc w:val="both"/>
        <w:rPr>
          <w:rFonts w:ascii="Arial" w:hAnsi="Arial"/>
          <w:rtl/>
        </w:rPr>
      </w:pPr>
      <w:r>
        <w:rPr>
          <w:b/>
          <w:bCs/>
          <w:rtl/>
        </w:rPr>
        <w:t>צו כללי להשמדת מוצג הסמים.</w:t>
      </w:r>
    </w:p>
    <w:p w14:paraId="2EF2AE70" w14:textId="77777777" w:rsidR="000C1040" w:rsidRPr="000F2247" w:rsidRDefault="001820FF" w:rsidP="000C104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 סיוון תשפ"ד, 26 יוני 2024, במעמד הצדדים. </w:t>
      </w:r>
      <w:bookmarkEnd w:id="8"/>
      <w:r w:rsidR="000C1040">
        <w:rPr>
          <w:rFonts w:ascii="Arial" w:hAnsi="Arial"/>
          <w:b/>
          <w:bCs/>
          <w:sz w:val="26"/>
          <w:szCs w:val="26"/>
          <w:rtl/>
        </w:rPr>
        <w:tab/>
      </w:r>
      <w:r w:rsidR="000C1040">
        <w:rPr>
          <w:rFonts w:ascii="Arial" w:hAnsi="Arial"/>
          <w:b/>
          <w:bCs/>
          <w:sz w:val="26"/>
          <w:szCs w:val="26"/>
          <w:rtl/>
        </w:rPr>
        <w:tab/>
      </w:r>
      <w:r w:rsidR="000C1040">
        <w:rPr>
          <w:rFonts w:ascii="Arial" w:hAnsi="Arial"/>
          <w:b/>
          <w:bCs/>
          <w:sz w:val="26"/>
          <w:szCs w:val="26"/>
          <w:rtl/>
        </w:rPr>
        <w:tab/>
      </w:r>
      <w:r w:rsidR="000C1040">
        <w:rPr>
          <w:rFonts w:ascii="Arial" w:hAnsi="Arial"/>
          <w:b/>
          <w:bCs/>
          <w:sz w:val="26"/>
          <w:szCs w:val="26"/>
          <w:rtl/>
        </w:rPr>
        <w:tab/>
      </w:r>
      <w:r w:rsidR="000C1040">
        <w:rPr>
          <w:rFonts w:ascii="Arial" w:hAnsi="Arial"/>
          <w:b/>
          <w:bCs/>
          <w:sz w:val="26"/>
          <w:szCs w:val="26"/>
          <w:rtl/>
        </w:rPr>
        <w:tab/>
      </w:r>
      <w:r w:rsidR="000C1040">
        <w:rPr>
          <w:rFonts w:ascii="Arial" w:hAnsi="Arial"/>
          <w:b/>
          <w:bCs/>
          <w:sz w:val="26"/>
          <w:szCs w:val="26"/>
          <w:rtl/>
        </w:rPr>
        <w:tab/>
      </w:r>
      <w:r w:rsidR="000C1040">
        <w:rPr>
          <w:rFonts w:ascii="Arial" w:hAnsi="Arial"/>
          <w:b/>
          <w:bCs/>
          <w:sz w:val="26"/>
          <w:szCs w:val="26"/>
          <w:rtl/>
        </w:rPr>
        <w:tab/>
      </w:r>
      <w:r w:rsidR="000C1040">
        <w:rPr>
          <w:rFonts w:ascii="Arial" w:hAnsi="Arial" w:hint="cs"/>
          <w:b/>
          <w:bCs/>
          <w:sz w:val="26"/>
          <w:szCs w:val="26"/>
          <w:rtl/>
        </w:rPr>
        <w:t xml:space="preserve">         </w:t>
      </w:r>
    </w:p>
    <w:p w14:paraId="2F1AC1C0" w14:textId="77777777" w:rsidR="001820FF" w:rsidRDefault="001820FF" w:rsidP="001820FF">
      <w:pPr>
        <w:rPr>
          <w:rtl/>
        </w:rPr>
      </w:pPr>
    </w:p>
    <w:p w14:paraId="3087AC08" w14:textId="77777777" w:rsidR="001820FF" w:rsidRDefault="001820FF" w:rsidP="001820FF">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5FDF7B1B" w14:textId="77777777" w:rsidR="001C0B1E" w:rsidRPr="001C0B1E" w:rsidRDefault="001C0B1E" w:rsidP="001C0B1E">
      <w:pPr>
        <w:keepNext/>
        <w:rPr>
          <w:rFonts w:ascii="David" w:hAnsi="David"/>
          <w:color w:val="000000"/>
          <w:sz w:val="22"/>
          <w:szCs w:val="22"/>
          <w:rtl/>
        </w:rPr>
      </w:pPr>
    </w:p>
    <w:p w14:paraId="1B82B099" w14:textId="77777777" w:rsidR="001C0B1E" w:rsidRPr="001C0B1E" w:rsidRDefault="001C0B1E" w:rsidP="001C0B1E">
      <w:pPr>
        <w:keepNext/>
        <w:rPr>
          <w:rFonts w:ascii="David" w:hAnsi="David"/>
          <w:color w:val="000000"/>
          <w:sz w:val="22"/>
          <w:szCs w:val="22"/>
          <w:rtl/>
        </w:rPr>
      </w:pPr>
      <w:r w:rsidRPr="001C0B1E">
        <w:rPr>
          <w:rFonts w:ascii="David" w:hAnsi="David"/>
          <w:color w:val="000000"/>
          <w:sz w:val="22"/>
          <w:szCs w:val="22"/>
          <w:rtl/>
        </w:rPr>
        <w:t>שוש שטרית 54678313-/</w:t>
      </w:r>
    </w:p>
    <w:p w14:paraId="7FBDA5BC" w14:textId="77777777" w:rsidR="001820FF" w:rsidRPr="001820FF" w:rsidRDefault="001C0B1E" w:rsidP="001C0B1E">
      <w:pPr>
        <w:rPr>
          <w:color w:val="0000FF"/>
          <w:u w:val="single"/>
        </w:rPr>
      </w:pPr>
      <w:r w:rsidRPr="001C0B1E">
        <w:rPr>
          <w:color w:val="000000"/>
          <w:u w:val="single"/>
          <w:rtl/>
        </w:rPr>
        <w:t>נוסח מסמך זה כפוף לשינויי ניסוח ועריכה</w:t>
      </w:r>
    </w:p>
    <w:sectPr w:rsidR="001820FF" w:rsidRPr="001820FF" w:rsidSect="001C0B1E">
      <w:headerReference w:type="even" r:id="rId42"/>
      <w:headerReference w:type="default" r:id="rId43"/>
      <w:footerReference w:type="even" r:id="rId44"/>
      <w:footerReference w:type="default" r:id="rId45"/>
      <w:pgSz w:w="11907" w:h="16840" w:code="9"/>
      <w:pgMar w:top="1701" w:right="1701" w:bottom="2127"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2B0FDD" w14:textId="77777777" w:rsidR="005B458B" w:rsidRDefault="005B458B" w:rsidP="00D66258">
      <w:r>
        <w:separator/>
      </w:r>
    </w:p>
  </w:endnote>
  <w:endnote w:type="continuationSeparator" w:id="0">
    <w:p w14:paraId="3D71961B" w14:textId="77777777" w:rsidR="005B458B" w:rsidRDefault="005B458B" w:rsidP="00D6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4FD69" w14:textId="77777777" w:rsidR="001C0B1E" w:rsidRDefault="001C0B1E" w:rsidP="001C0B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9A5C38" w14:textId="77777777" w:rsidR="00A051AD" w:rsidRPr="001C0B1E" w:rsidRDefault="001C0B1E" w:rsidP="001C0B1E">
    <w:pPr>
      <w:pStyle w:val="a5"/>
      <w:pBdr>
        <w:top w:val="single" w:sz="4" w:space="1" w:color="auto"/>
        <w:between w:val="single" w:sz="4" w:space="0" w:color="auto"/>
      </w:pBdr>
      <w:spacing w:after="60"/>
      <w:jc w:val="center"/>
      <w:rPr>
        <w:rFonts w:ascii="FrankRuehl" w:hAnsi="FrankRuehl" w:cs="FrankRuehl"/>
        <w:color w:val="000000"/>
      </w:rPr>
    </w:pPr>
    <w:r w:rsidRPr="001C0B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65F77" w14:textId="77777777" w:rsidR="001C0B1E" w:rsidRDefault="001C0B1E" w:rsidP="001C0B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38BB">
      <w:rPr>
        <w:rFonts w:ascii="FrankRuehl" w:hAnsi="FrankRuehl" w:cs="FrankRuehl"/>
        <w:noProof/>
        <w:rtl/>
      </w:rPr>
      <w:t>1</w:t>
    </w:r>
    <w:r>
      <w:rPr>
        <w:rFonts w:ascii="FrankRuehl" w:hAnsi="FrankRuehl" w:cs="FrankRuehl"/>
        <w:rtl/>
      </w:rPr>
      <w:fldChar w:fldCharType="end"/>
    </w:r>
  </w:p>
  <w:p w14:paraId="71C93883" w14:textId="77777777" w:rsidR="00A051AD" w:rsidRPr="001C0B1E" w:rsidRDefault="001C0B1E" w:rsidP="001C0B1E">
    <w:pPr>
      <w:pStyle w:val="a5"/>
      <w:pBdr>
        <w:top w:val="single" w:sz="4" w:space="1" w:color="auto"/>
        <w:between w:val="single" w:sz="4" w:space="0" w:color="auto"/>
      </w:pBdr>
      <w:spacing w:after="60"/>
      <w:jc w:val="center"/>
      <w:rPr>
        <w:rFonts w:ascii="FrankRuehl" w:hAnsi="FrankRuehl" w:cs="FrankRuehl"/>
        <w:color w:val="000000"/>
      </w:rPr>
    </w:pPr>
    <w:r w:rsidRPr="001C0B1E">
      <w:rPr>
        <w:rFonts w:ascii="FrankRuehl" w:hAnsi="FrankRuehl" w:cs="FrankRuehl"/>
        <w:color w:val="000000"/>
      </w:rPr>
      <w:pict w14:anchorId="76B23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EAE9F" w14:textId="77777777" w:rsidR="005B458B" w:rsidRDefault="005B458B" w:rsidP="00D66258">
      <w:r>
        <w:separator/>
      </w:r>
    </w:p>
  </w:footnote>
  <w:footnote w:type="continuationSeparator" w:id="0">
    <w:p w14:paraId="42C9CAB8" w14:textId="77777777" w:rsidR="005B458B" w:rsidRDefault="005B458B" w:rsidP="00D66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C4896" w14:textId="77777777" w:rsidR="001820FF" w:rsidRPr="001C0B1E" w:rsidRDefault="001C0B1E" w:rsidP="001C0B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41876-08-23</w:t>
    </w:r>
    <w:r>
      <w:rPr>
        <w:rFonts w:ascii="David" w:hAnsi="David"/>
        <w:color w:val="000000"/>
        <w:sz w:val="22"/>
        <w:szCs w:val="22"/>
        <w:rtl/>
      </w:rPr>
      <w:tab/>
      <w:t xml:space="preserve"> מדינת ישראל  נ' מוחמד אבו לקימה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CE73" w14:textId="77777777" w:rsidR="001820FF" w:rsidRPr="001C0B1E" w:rsidRDefault="001C0B1E" w:rsidP="001C0B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41876-08-23</w:t>
    </w:r>
    <w:r>
      <w:rPr>
        <w:rFonts w:ascii="David" w:hAnsi="David"/>
        <w:color w:val="000000"/>
        <w:sz w:val="22"/>
        <w:szCs w:val="22"/>
        <w:rtl/>
      </w:rPr>
      <w:tab/>
      <w:t xml:space="preserve"> מדינת ישראל  נ' מוחמד אבו לקימה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9278A0A4"/>
    <w:lvl w:ilvl="0" w:tplc="60DE887C">
      <w:start w:val="1"/>
      <w:numFmt w:val="decimal"/>
      <w:pStyle w:val="Ruller4"/>
      <w:lvlText w:val="%1."/>
      <w:lvlJc w:val="left"/>
      <w:pPr>
        <w:tabs>
          <w:tab w:val="num" w:pos="907"/>
        </w:tabs>
        <w:ind w:left="0" w:firstLine="0"/>
      </w:pPr>
      <w:rPr>
        <w:rFonts w:ascii="FrankRuehl" w:hAnsi="FrankRuehl" w:cs="FrankRuehl" w:hint="default"/>
      </w:rPr>
    </w:lvl>
    <w:lvl w:ilvl="1" w:tplc="C04CBD9C">
      <w:start w:val="1"/>
      <w:numFmt w:val="lowerLetter"/>
      <w:lvlText w:val="%2."/>
      <w:lvlJc w:val="left"/>
      <w:pPr>
        <w:tabs>
          <w:tab w:val="num" w:pos="1440"/>
        </w:tabs>
        <w:ind w:left="1440" w:hanging="360"/>
      </w:pPr>
    </w:lvl>
    <w:lvl w:ilvl="2" w:tplc="ABD470CC">
      <w:start w:val="1"/>
      <w:numFmt w:val="lowerRoman"/>
      <w:lvlText w:val="%3."/>
      <w:lvlJc w:val="right"/>
      <w:pPr>
        <w:tabs>
          <w:tab w:val="num" w:pos="2160"/>
        </w:tabs>
        <w:ind w:left="2160" w:hanging="180"/>
      </w:pPr>
    </w:lvl>
    <w:lvl w:ilvl="3" w:tplc="DBAE481A">
      <w:start w:val="1"/>
      <w:numFmt w:val="decimal"/>
      <w:lvlText w:val="%4."/>
      <w:lvlJc w:val="left"/>
      <w:pPr>
        <w:tabs>
          <w:tab w:val="num" w:pos="2880"/>
        </w:tabs>
        <w:ind w:left="2880" w:hanging="360"/>
      </w:pPr>
    </w:lvl>
    <w:lvl w:ilvl="4" w:tplc="5E74E3E4">
      <w:start w:val="1"/>
      <w:numFmt w:val="lowerLetter"/>
      <w:lvlText w:val="%5."/>
      <w:lvlJc w:val="left"/>
      <w:pPr>
        <w:tabs>
          <w:tab w:val="num" w:pos="3600"/>
        </w:tabs>
        <w:ind w:left="3600" w:hanging="360"/>
      </w:pPr>
    </w:lvl>
    <w:lvl w:ilvl="5" w:tplc="596C0750">
      <w:start w:val="1"/>
      <w:numFmt w:val="lowerRoman"/>
      <w:lvlText w:val="%6."/>
      <w:lvlJc w:val="right"/>
      <w:pPr>
        <w:tabs>
          <w:tab w:val="num" w:pos="4320"/>
        </w:tabs>
        <w:ind w:left="4320" w:hanging="180"/>
      </w:pPr>
    </w:lvl>
    <w:lvl w:ilvl="6" w:tplc="E5381858">
      <w:start w:val="1"/>
      <w:numFmt w:val="decimal"/>
      <w:lvlText w:val="%7."/>
      <w:lvlJc w:val="left"/>
      <w:pPr>
        <w:tabs>
          <w:tab w:val="num" w:pos="5040"/>
        </w:tabs>
        <w:ind w:left="5040" w:hanging="360"/>
      </w:pPr>
    </w:lvl>
    <w:lvl w:ilvl="7" w:tplc="582CF2E6">
      <w:start w:val="1"/>
      <w:numFmt w:val="lowerLetter"/>
      <w:lvlText w:val="%8."/>
      <w:lvlJc w:val="left"/>
      <w:pPr>
        <w:tabs>
          <w:tab w:val="num" w:pos="5760"/>
        </w:tabs>
        <w:ind w:left="5760" w:hanging="360"/>
      </w:pPr>
    </w:lvl>
    <w:lvl w:ilvl="8" w:tplc="EE26E2D8">
      <w:start w:val="1"/>
      <w:numFmt w:val="lowerRoman"/>
      <w:lvlText w:val="%9."/>
      <w:lvlJc w:val="right"/>
      <w:pPr>
        <w:tabs>
          <w:tab w:val="num" w:pos="6480"/>
        </w:tabs>
        <w:ind w:left="6480" w:hanging="180"/>
      </w:pPr>
    </w:lvl>
  </w:abstractNum>
  <w:abstractNum w:abstractNumId="1" w15:restartNumberingAfterBreak="0">
    <w:nsid w:val="2DAE2277"/>
    <w:multiLevelType w:val="hybridMultilevel"/>
    <w:tmpl w:val="C6B80F68"/>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19974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9444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1040"/>
    <w:rsid w:val="000C1040"/>
    <w:rsid w:val="001820FF"/>
    <w:rsid w:val="001C0B1E"/>
    <w:rsid w:val="005B458B"/>
    <w:rsid w:val="009A4E4C"/>
    <w:rsid w:val="00A051AD"/>
    <w:rsid w:val="00B4081A"/>
    <w:rsid w:val="00D66258"/>
    <w:rsid w:val="00E240C2"/>
    <w:rsid w:val="00E93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00C170"/>
  <w15:chartTrackingRefBased/>
  <w15:docId w15:val="{506DC035-0AB4-462E-B448-D66CEE1A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104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1040"/>
    <w:pPr>
      <w:tabs>
        <w:tab w:val="center" w:pos="4153"/>
        <w:tab w:val="right" w:pos="8306"/>
      </w:tabs>
    </w:pPr>
  </w:style>
  <w:style w:type="character" w:customStyle="1" w:styleId="a4">
    <w:name w:val="כותרת עליונה תו"/>
    <w:link w:val="a3"/>
    <w:rsid w:val="000C1040"/>
    <w:rPr>
      <w:rFonts w:ascii="Times New Roman" w:eastAsia="Times New Roman" w:hAnsi="Times New Roman" w:cs="David"/>
      <w:sz w:val="24"/>
      <w:szCs w:val="24"/>
    </w:rPr>
  </w:style>
  <w:style w:type="paragraph" w:styleId="a5">
    <w:name w:val="footer"/>
    <w:basedOn w:val="a"/>
    <w:link w:val="a6"/>
    <w:rsid w:val="000C1040"/>
    <w:pPr>
      <w:tabs>
        <w:tab w:val="center" w:pos="4153"/>
        <w:tab w:val="right" w:pos="8306"/>
      </w:tabs>
    </w:pPr>
  </w:style>
  <w:style w:type="character" w:customStyle="1" w:styleId="a6">
    <w:name w:val="כותרת תחתונה תו"/>
    <w:link w:val="a5"/>
    <w:rsid w:val="000C1040"/>
    <w:rPr>
      <w:rFonts w:ascii="Times New Roman" w:eastAsia="Times New Roman" w:hAnsi="Times New Roman" w:cs="David"/>
      <w:sz w:val="24"/>
      <w:szCs w:val="24"/>
    </w:rPr>
  </w:style>
  <w:style w:type="table" w:styleId="a7">
    <w:name w:val="Table Grid"/>
    <w:basedOn w:val="a1"/>
    <w:rsid w:val="000C104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1040"/>
  </w:style>
  <w:style w:type="paragraph" w:styleId="a9">
    <w:name w:val="List Paragraph"/>
    <w:basedOn w:val="a"/>
    <w:qFormat/>
    <w:rsid w:val="000C1040"/>
    <w:pPr>
      <w:ind w:left="720"/>
      <w:contextualSpacing/>
    </w:pPr>
    <w:rPr>
      <w:noProof/>
    </w:rPr>
  </w:style>
  <w:style w:type="paragraph" w:customStyle="1" w:styleId="Ruller4">
    <w:name w:val="Ruller 4 ממוספר"/>
    <w:basedOn w:val="a"/>
    <w:next w:val="a"/>
    <w:rsid w:val="000C1040"/>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 w:type="character" w:styleId="Hyperlink">
    <w:name w:val="Hyperlink"/>
    <w:rsid w:val="001820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8753213" TargetMode="External"/><Relationship Id="rId18" Type="http://schemas.openxmlformats.org/officeDocument/2006/relationships/hyperlink" Target="http://www.nevo.co.il/case/28400049" TargetMode="External"/><Relationship Id="rId26" Type="http://schemas.openxmlformats.org/officeDocument/2006/relationships/hyperlink" Target="http://www.nevo.co.il/case/29770497" TargetMode="External"/><Relationship Id="rId39" Type="http://schemas.openxmlformats.org/officeDocument/2006/relationships/hyperlink" Target="http://www.nevo.co.il/case/28413605" TargetMode="External"/><Relationship Id="rId21" Type="http://schemas.openxmlformats.org/officeDocument/2006/relationships/hyperlink" Target="http://www.nevo.co.il/case/26246488" TargetMode="External"/><Relationship Id="rId34" Type="http://schemas.openxmlformats.org/officeDocument/2006/relationships/hyperlink" Target="http://www.nevo.co.il/case/2489555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084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2864362" TargetMode="External"/><Relationship Id="rId32" Type="http://schemas.openxmlformats.org/officeDocument/2006/relationships/hyperlink" Target="http://www.nevo.co.il/case/17947582" TargetMode="External"/><Relationship Id="rId37" Type="http://schemas.openxmlformats.org/officeDocument/2006/relationships/hyperlink" Target="http://www.nevo.co.il/case/27101848" TargetMode="External"/><Relationship Id="rId40" Type="http://schemas.openxmlformats.org/officeDocument/2006/relationships/hyperlink" Target="http://www.nevo.co.il/case/5726579"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5698919" TargetMode="External"/><Relationship Id="rId23" Type="http://schemas.openxmlformats.org/officeDocument/2006/relationships/hyperlink" Target="http://www.nevo.co.il/case/23363501" TargetMode="External"/><Relationship Id="rId28" Type="http://schemas.openxmlformats.org/officeDocument/2006/relationships/hyperlink" Target="http://www.nevo.co.il/case/27168665" TargetMode="External"/><Relationship Id="rId36" Type="http://schemas.openxmlformats.org/officeDocument/2006/relationships/hyperlink" Target="http://www.nevo.co.il/case/27784235"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9090023" TargetMode="External"/><Relationship Id="rId31" Type="http://schemas.openxmlformats.org/officeDocument/2006/relationships/hyperlink" Target="http://www.nevo.co.il/case/1875321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726579" TargetMode="External"/><Relationship Id="rId22" Type="http://schemas.openxmlformats.org/officeDocument/2006/relationships/hyperlink" Target="http://www.nevo.co.il/case/23751286" TargetMode="External"/><Relationship Id="rId27" Type="http://schemas.openxmlformats.org/officeDocument/2006/relationships/hyperlink" Target="http://www.nevo.co.il/case/30616502" TargetMode="External"/><Relationship Id="rId30" Type="http://schemas.openxmlformats.org/officeDocument/2006/relationships/hyperlink" Target="http://www.nevo.co.il/case/26150021" TargetMode="External"/><Relationship Id="rId35" Type="http://schemas.openxmlformats.org/officeDocument/2006/relationships/hyperlink" Target="http://www.nevo.co.il/case/26388564"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9724824"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9433126" TargetMode="External"/><Relationship Id="rId46" Type="http://schemas.openxmlformats.org/officeDocument/2006/relationships/fontTable" Target="fontTable.xml"/><Relationship Id="rId20" Type="http://schemas.openxmlformats.org/officeDocument/2006/relationships/hyperlink" Target="http://www.nevo.co.il/case/28086930"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3748</Words>
  <Characters>18743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22447</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3866738</vt:i4>
      </vt:variant>
      <vt:variant>
        <vt:i4>99</vt:i4>
      </vt:variant>
      <vt:variant>
        <vt:i4>0</vt:i4>
      </vt:variant>
      <vt:variant>
        <vt:i4>5</vt:i4>
      </vt:variant>
      <vt:variant>
        <vt:lpwstr>http://www.nevo.co.il/case/5726579</vt:lpwstr>
      </vt:variant>
      <vt:variant>
        <vt:lpwstr/>
      </vt:variant>
      <vt:variant>
        <vt:i4>3473531</vt:i4>
      </vt:variant>
      <vt:variant>
        <vt:i4>96</vt:i4>
      </vt:variant>
      <vt:variant>
        <vt:i4>0</vt:i4>
      </vt:variant>
      <vt:variant>
        <vt:i4>5</vt:i4>
      </vt:variant>
      <vt:variant>
        <vt:lpwstr>http://www.nevo.co.il/case/28413605</vt:lpwstr>
      </vt:variant>
      <vt:variant>
        <vt:lpwstr/>
      </vt:variant>
      <vt:variant>
        <vt:i4>3604607</vt:i4>
      </vt:variant>
      <vt:variant>
        <vt:i4>93</vt:i4>
      </vt:variant>
      <vt:variant>
        <vt:i4>0</vt:i4>
      </vt:variant>
      <vt:variant>
        <vt:i4>5</vt:i4>
      </vt:variant>
      <vt:variant>
        <vt:lpwstr>http://www.nevo.co.il/case/29433126</vt:lpwstr>
      </vt:variant>
      <vt:variant>
        <vt:lpwstr/>
      </vt:variant>
      <vt:variant>
        <vt:i4>3539067</vt:i4>
      </vt:variant>
      <vt:variant>
        <vt:i4>90</vt:i4>
      </vt:variant>
      <vt:variant>
        <vt:i4>0</vt:i4>
      </vt:variant>
      <vt:variant>
        <vt:i4>5</vt:i4>
      </vt:variant>
      <vt:variant>
        <vt:lpwstr>http://www.nevo.co.il/case/27101848</vt:lpwstr>
      </vt:variant>
      <vt:variant>
        <vt:lpwstr/>
      </vt:variant>
      <vt:variant>
        <vt:i4>3276921</vt:i4>
      </vt:variant>
      <vt:variant>
        <vt:i4>87</vt:i4>
      </vt:variant>
      <vt:variant>
        <vt:i4>0</vt:i4>
      </vt:variant>
      <vt:variant>
        <vt:i4>5</vt:i4>
      </vt:variant>
      <vt:variant>
        <vt:lpwstr>http://www.nevo.co.il/case/27784235</vt:lpwstr>
      </vt:variant>
      <vt:variant>
        <vt:lpwstr/>
      </vt:variant>
      <vt:variant>
        <vt:i4>4128895</vt:i4>
      </vt:variant>
      <vt:variant>
        <vt:i4>84</vt:i4>
      </vt:variant>
      <vt:variant>
        <vt:i4>0</vt:i4>
      </vt:variant>
      <vt:variant>
        <vt:i4>5</vt:i4>
      </vt:variant>
      <vt:variant>
        <vt:lpwstr>http://www.nevo.co.il/case/26388564</vt:lpwstr>
      </vt:variant>
      <vt:variant>
        <vt:lpwstr/>
      </vt:variant>
      <vt:variant>
        <vt:i4>3801212</vt:i4>
      </vt:variant>
      <vt:variant>
        <vt:i4>81</vt:i4>
      </vt:variant>
      <vt:variant>
        <vt:i4>0</vt:i4>
      </vt:variant>
      <vt:variant>
        <vt:i4>5</vt:i4>
      </vt:variant>
      <vt:variant>
        <vt:lpwstr>http://www.nevo.co.il/case/24895552</vt:lpwstr>
      </vt:variant>
      <vt:variant>
        <vt:lpwstr/>
      </vt:variant>
      <vt:variant>
        <vt:i4>8257637</vt:i4>
      </vt:variant>
      <vt:variant>
        <vt:i4>78</vt:i4>
      </vt:variant>
      <vt:variant>
        <vt:i4>0</vt:i4>
      </vt:variant>
      <vt:variant>
        <vt:i4>5</vt:i4>
      </vt:variant>
      <vt:variant>
        <vt:lpwstr>http://www.nevo.co.il/law/4216</vt:lpwstr>
      </vt:variant>
      <vt:variant>
        <vt:lpwstr/>
      </vt:variant>
      <vt:variant>
        <vt:i4>3604594</vt:i4>
      </vt:variant>
      <vt:variant>
        <vt:i4>75</vt:i4>
      </vt:variant>
      <vt:variant>
        <vt:i4>0</vt:i4>
      </vt:variant>
      <vt:variant>
        <vt:i4>5</vt:i4>
      </vt:variant>
      <vt:variant>
        <vt:lpwstr>http://www.nevo.co.il/case/17947582</vt:lpwstr>
      </vt:variant>
      <vt:variant>
        <vt:lpwstr/>
      </vt:variant>
      <vt:variant>
        <vt:i4>3407995</vt:i4>
      </vt:variant>
      <vt:variant>
        <vt:i4>72</vt:i4>
      </vt:variant>
      <vt:variant>
        <vt:i4>0</vt:i4>
      </vt:variant>
      <vt:variant>
        <vt:i4>5</vt:i4>
      </vt:variant>
      <vt:variant>
        <vt:lpwstr>http://www.nevo.co.il/case/18753213</vt:lpwstr>
      </vt:variant>
      <vt:variant>
        <vt:lpwstr/>
      </vt:variant>
      <vt:variant>
        <vt:i4>3211383</vt:i4>
      </vt:variant>
      <vt:variant>
        <vt:i4>69</vt:i4>
      </vt:variant>
      <vt:variant>
        <vt:i4>0</vt:i4>
      </vt:variant>
      <vt:variant>
        <vt:i4>5</vt:i4>
      </vt:variant>
      <vt:variant>
        <vt:lpwstr>http://www.nevo.co.il/case/26150021</vt:lpwstr>
      </vt:variant>
      <vt:variant>
        <vt:lpwstr/>
      </vt:variant>
      <vt:variant>
        <vt:i4>3276922</vt:i4>
      </vt:variant>
      <vt:variant>
        <vt:i4>66</vt:i4>
      </vt:variant>
      <vt:variant>
        <vt:i4>0</vt:i4>
      </vt:variant>
      <vt:variant>
        <vt:i4>5</vt:i4>
      </vt:variant>
      <vt:variant>
        <vt:lpwstr>http://www.nevo.co.il/case/27084144</vt:lpwstr>
      </vt:variant>
      <vt:variant>
        <vt:lpwstr/>
      </vt:variant>
      <vt:variant>
        <vt:i4>3997811</vt:i4>
      </vt:variant>
      <vt:variant>
        <vt:i4>63</vt:i4>
      </vt:variant>
      <vt:variant>
        <vt:i4>0</vt:i4>
      </vt:variant>
      <vt:variant>
        <vt:i4>5</vt:i4>
      </vt:variant>
      <vt:variant>
        <vt:lpwstr>http://www.nevo.co.il/case/27168665</vt:lpwstr>
      </vt:variant>
      <vt:variant>
        <vt:lpwstr/>
      </vt:variant>
      <vt:variant>
        <vt:i4>3342448</vt:i4>
      </vt:variant>
      <vt:variant>
        <vt:i4>60</vt:i4>
      </vt:variant>
      <vt:variant>
        <vt:i4>0</vt:i4>
      </vt:variant>
      <vt:variant>
        <vt:i4>5</vt:i4>
      </vt:variant>
      <vt:variant>
        <vt:lpwstr>http://www.nevo.co.il/case/30616502</vt:lpwstr>
      </vt:variant>
      <vt:variant>
        <vt:lpwstr/>
      </vt:variant>
      <vt:variant>
        <vt:i4>3932286</vt:i4>
      </vt:variant>
      <vt:variant>
        <vt:i4>57</vt:i4>
      </vt:variant>
      <vt:variant>
        <vt:i4>0</vt:i4>
      </vt:variant>
      <vt:variant>
        <vt:i4>5</vt:i4>
      </vt:variant>
      <vt:variant>
        <vt:lpwstr>http://www.nevo.co.il/case/29770497</vt:lpwstr>
      </vt:variant>
      <vt:variant>
        <vt:lpwstr/>
      </vt:variant>
      <vt:variant>
        <vt:i4>3342455</vt:i4>
      </vt:variant>
      <vt:variant>
        <vt:i4>54</vt:i4>
      </vt:variant>
      <vt:variant>
        <vt:i4>0</vt:i4>
      </vt:variant>
      <vt:variant>
        <vt:i4>5</vt:i4>
      </vt:variant>
      <vt:variant>
        <vt:lpwstr>http://www.nevo.co.il/case/29724824</vt:lpwstr>
      </vt:variant>
      <vt:variant>
        <vt:lpwstr/>
      </vt:variant>
      <vt:variant>
        <vt:i4>3670131</vt:i4>
      </vt:variant>
      <vt:variant>
        <vt:i4>51</vt:i4>
      </vt:variant>
      <vt:variant>
        <vt:i4>0</vt:i4>
      </vt:variant>
      <vt:variant>
        <vt:i4>5</vt:i4>
      </vt:variant>
      <vt:variant>
        <vt:lpwstr>http://www.nevo.co.il/case/22864362</vt:lpwstr>
      </vt:variant>
      <vt:variant>
        <vt:lpwstr/>
      </vt:variant>
      <vt:variant>
        <vt:i4>3276916</vt:i4>
      </vt:variant>
      <vt:variant>
        <vt:i4>48</vt:i4>
      </vt:variant>
      <vt:variant>
        <vt:i4>0</vt:i4>
      </vt:variant>
      <vt:variant>
        <vt:i4>5</vt:i4>
      </vt:variant>
      <vt:variant>
        <vt:lpwstr>http://www.nevo.co.il/case/23363501</vt:lpwstr>
      </vt:variant>
      <vt:variant>
        <vt:lpwstr/>
      </vt:variant>
      <vt:variant>
        <vt:i4>3932272</vt:i4>
      </vt:variant>
      <vt:variant>
        <vt:i4>45</vt:i4>
      </vt:variant>
      <vt:variant>
        <vt:i4>0</vt:i4>
      </vt:variant>
      <vt:variant>
        <vt:i4>5</vt:i4>
      </vt:variant>
      <vt:variant>
        <vt:lpwstr>http://www.nevo.co.il/case/23751286</vt:lpwstr>
      </vt:variant>
      <vt:variant>
        <vt:lpwstr/>
      </vt:variant>
      <vt:variant>
        <vt:i4>4063346</vt:i4>
      </vt:variant>
      <vt:variant>
        <vt:i4>42</vt:i4>
      </vt:variant>
      <vt:variant>
        <vt:i4>0</vt:i4>
      </vt:variant>
      <vt:variant>
        <vt:i4>5</vt:i4>
      </vt:variant>
      <vt:variant>
        <vt:lpwstr>http://www.nevo.co.il/case/26246488</vt:lpwstr>
      </vt:variant>
      <vt:variant>
        <vt:lpwstr/>
      </vt:variant>
      <vt:variant>
        <vt:i4>3604605</vt:i4>
      </vt:variant>
      <vt:variant>
        <vt:i4>39</vt:i4>
      </vt:variant>
      <vt:variant>
        <vt:i4>0</vt:i4>
      </vt:variant>
      <vt:variant>
        <vt:i4>5</vt:i4>
      </vt:variant>
      <vt:variant>
        <vt:lpwstr>http://www.nevo.co.il/case/28086930</vt:lpwstr>
      </vt:variant>
      <vt:variant>
        <vt:lpwstr/>
      </vt:variant>
      <vt:variant>
        <vt:i4>3145844</vt:i4>
      </vt:variant>
      <vt:variant>
        <vt:i4>36</vt:i4>
      </vt:variant>
      <vt:variant>
        <vt:i4>0</vt:i4>
      </vt:variant>
      <vt:variant>
        <vt:i4>5</vt:i4>
      </vt:variant>
      <vt:variant>
        <vt:lpwstr>http://www.nevo.co.il/case/29090023</vt:lpwstr>
      </vt:variant>
      <vt:variant>
        <vt:lpwstr/>
      </vt:variant>
      <vt:variant>
        <vt:i4>3276924</vt:i4>
      </vt:variant>
      <vt:variant>
        <vt:i4>33</vt:i4>
      </vt:variant>
      <vt:variant>
        <vt:i4>0</vt:i4>
      </vt:variant>
      <vt:variant>
        <vt:i4>5</vt:i4>
      </vt:variant>
      <vt:variant>
        <vt:lpwstr>http://www.nevo.co.il/case/28400049</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8257637</vt:i4>
      </vt:variant>
      <vt:variant>
        <vt:i4>27</vt:i4>
      </vt:variant>
      <vt:variant>
        <vt:i4>0</vt:i4>
      </vt:variant>
      <vt:variant>
        <vt:i4>5</vt:i4>
      </vt:variant>
      <vt:variant>
        <vt:lpwstr>http://www.nevo.co.il/law/4216</vt:lpwstr>
      </vt:variant>
      <vt:variant>
        <vt:lpwstr/>
      </vt:variant>
      <vt:variant>
        <vt:i4>3932283</vt:i4>
      </vt:variant>
      <vt:variant>
        <vt:i4>24</vt:i4>
      </vt:variant>
      <vt:variant>
        <vt:i4>0</vt:i4>
      </vt:variant>
      <vt:variant>
        <vt:i4>5</vt:i4>
      </vt:variant>
      <vt:variant>
        <vt:lpwstr>http://www.nevo.co.il/case/5698919</vt:lpwstr>
      </vt:variant>
      <vt:variant>
        <vt:lpwstr/>
      </vt:variant>
      <vt:variant>
        <vt:i4>3866738</vt:i4>
      </vt:variant>
      <vt:variant>
        <vt:i4>21</vt:i4>
      </vt:variant>
      <vt:variant>
        <vt:i4>0</vt:i4>
      </vt:variant>
      <vt:variant>
        <vt:i4>5</vt:i4>
      </vt:variant>
      <vt:variant>
        <vt:lpwstr>http://www.nevo.co.il/case/5726579</vt:lpwstr>
      </vt:variant>
      <vt:variant>
        <vt:lpwstr/>
      </vt:variant>
      <vt:variant>
        <vt:i4>3407995</vt:i4>
      </vt:variant>
      <vt:variant>
        <vt:i4>18</vt:i4>
      </vt:variant>
      <vt:variant>
        <vt:i4>0</vt:i4>
      </vt:variant>
      <vt:variant>
        <vt:i4>5</vt:i4>
      </vt:variant>
      <vt:variant>
        <vt:lpwstr>http://www.nevo.co.il/case/18753213</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2025-04-23T01:49:00Z</dcterms:created>
  <dcterms:modified xsi:type="dcterms:W3CDTF">2025-04-23T01:49:00Z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41876</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 </vt:lpwstr>
  </property>
  <property fmtid="{D5CDD505-2E9C-101B-9397-08002B2CF9AE}" pid="9" name="APPELLEE">
    <vt:lpwstr>מוחמד אבו לקימה </vt:lpwstr>
  </property>
  <property fmtid="{D5CDD505-2E9C-101B-9397-08002B2CF9AE}" pid="10" name="LAWYER">
    <vt:lpwstr>אדר בכר;שלום פיניאה</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20240626</vt:lpwstr>
  </property>
  <property fmtid="{D5CDD505-2E9C-101B-9397-08002B2CF9AE}" pid="14" name="TYPE_N_DATE">
    <vt:lpwstr>38020240626</vt:lpwstr>
  </property>
  <property fmtid="{D5CDD505-2E9C-101B-9397-08002B2CF9AE}" pid="15" name="CASESLISTTMP1">
    <vt:lpwstr>18753213:2;5726579:2;5698919;5738608;28400049;29090023;28086930;26246488;23751286;23363501;22864362;29724824;29770497;30616502;27168665;27084144;26150021;17947582;24895552;26388564;27784235;27101848;29433126;28413605</vt:lpwstr>
  </property>
  <property fmtid="{D5CDD505-2E9C-101B-9397-08002B2CF9AE}" pid="16" name="CASENOTES1">
    <vt:lpwstr>ProcID=133;209&amp;PartA=10638&amp;PartC=08</vt:lpwstr>
  </property>
  <property fmtid="{D5CDD505-2E9C-101B-9397-08002B2CF9AE}" pid="17" name="WORDNUMPAGES">
    <vt:lpwstr>11</vt:lpwstr>
  </property>
  <property fmtid="{D5CDD505-2E9C-101B-9397-08002B2CF9AE}" pid="18" name="TYPE_ABS_DATE">
    <vt:lpwstr>380020240626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4216/007.a;007.c</vt:lpwstr>
  </property>
</Properties>
</file>