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07582" w:rsidRPr="00EE787A" w14:paraId="440F568C" w14:textId="77777777" w:rsidTr="00E0532A">
        <w:trPr>
          <w:trHeight w:hRule="exact" w:val="418"/>
          <w:jc w:val="center"/>
        </w:trPr>
        <w:tc>
          <w:tcPr>
            <w:tcW w:w="8721" w:type="dxa"/>
            <w:gridSpan w:val="2"/>
          </w:tcPr>
          <w:p w14:paraId="6CF3123B" w14:textId="77777777" w:rsidR="00E07582" w:rsidRPr="00EE787A" w:rsidRDefault="00E07582" w:rsidP="006A1D5C">
            <w:pPr>
              <w:pStyle w:val="a3"/>
              <w:jc w:val="center"/>
              <w:rPr>
                <w:rFonts w:ascii="Tahoma" w:hAnsi="Tahoma" w:cs="Tahoma"/>
                <w:color w:val="000080"/>
                <w:rtl/>
              </w:rPr>
            </w:pPr>
            <w:bookmarkStart w:id="0" w:name="LastJudge"/>
            <w:r w:rsidRPr="00EE787A">
              <w:rPr>
                <w:rFonts w:ascii="Tahoma" w:hAnsi="Tahoma" w:cs="Tahoma"/>
                <w:b/>
                <w:bCs/>
                <w:color w:val="000080"/>
                <w:rtl/>
              </w:rPr>
              <w:t>בית משפט השלום בתל אביב -יפו</w:t>
            </w:r>
          </w:p>
        </w:tc>
      </w:tr>
      <w:tr w:rsidR="00E07582" w:rsidRPr="00EE787A" w14:paraId="5D5B675D" w14:textId="77777777" w:rsidTr="00E0532A">
        <w:trPr>
          <w:trHeight w:val="337"/>
          <w:jc w:val="center"/>
        </w:trPr>
        <w:tc>
          <w:tcPr>
            <w:tcW w:w="5054" w:type="dxa"/>
          </w:tcPr>
          <w:p w14:paraId="1B780F1B" w14:textId="77777777" w:rsidR="00E07582" w:rsidRPr="00EE787A" w:rsidRDefault="00E07582" w:rsidP="006A1D5C">
            <w:pPr>
              <w:rPr>
                <w:rFonts w:ascii="David" w:hAnsi="David"/>
                <w:rtl/>
              </w:rPr>
            </w:pPr>
            <w:r w:rsidRPr="00EE787A">
              <w:rPr>
                <w:rFonts w:ascii="David" w:hAnsi="David"/>
                <w:rtl/>
              </w:rPr>
              <w:t>ת"פ 51140-08-23 מדינת ישראל נ' מלול</w:t>
            </w:r>
            <w:r w:rsidRPr="00EE787A">
              <w:rPr>
                <w:rFonts w:ascii="David" w:hAnsi="David" w:hint="cs"/>
                <w:rtl/>
              </w:rPr>
              <w:t xml:space="preserve"> </w:t>
            </w:r>
            <w:r w:rsidRPr="00EE787A">
              <w:rPr>
                <w:rFonts w:ascii="David" w:hAnsi="David"/>
                <w:rtl/>
              </w:rPr>
              <w:t>(עציר)</w:t>
            </w:r>
          </w:p>
          <w:p w14:paraId="67E834E8" w14:textId="77777777" w:rsidR="00E07582" w:rsidRPr="00EE787A" w:rsidRDefault="00E07582" w:rsidP="006A1D5C">
            <w:pPr>
              <w:pStyle w:val="a3"/>
              <w:rPr>
                <w:rFonts w:cs="FrankRuehl"/>
                <w:sz w:val="28"/>
                <w:szCs w:val="28"/>
                <w:rtl/>
              </w:rPr>
            </w:pPr>
          </w:p>
        </w:tc>
        <w:tc>
          <w:tcPr>
            <w:tcW w:w="3667" w:type="dxa"/>
          </w:tcPr>
          <w:p w14:paraId="524287AA" w14:textId="77777777" w:rsidR="00E07582" w:rsidRPr="00EE787A" w:rsidRDefault="00E07582" w:rsidP="006A1D5C">
            <w:pPr>
              <w:pStyle w:val="a3"/>
              <w:jc w:val="right"/>
              <w:rPr>
                <w:rFonts w:cs="FrankRuehl"/>
                <w:sz w:val="28"/>
                <w:szCs w:val="28"/>
                <w:rtl/>
              </w:rPr>
            </w:pPr>
          </w:p>
        </w:tc>
      </w:tr>
    </w:tbl>
    <w:p w14:paraId="16993620" w14:textId="77777777" w:rsidR="00E07582" w:rsidRPr="00EE787A" w:rsidRDefault="00E07582" w:rsidP="00E07582">
      <w:pPr>
        <w:pStyle w:val="a3"/>
        <w:rPr>
          <w:rtl/>
        </w:rPr>
      </w:pPr>
      <w:r w:rsidRPr="00EE787A">
        <w:rPr>
          <w:rFonts w:hint="cs"/>
          <w:rtl/>
        </w:rPr>
        <w:t xml:space="preserve"> </w:t>
      </w:r>
    </w:p>
    <w:p w14:paraId="0EBE2D37" w14:textId="77777777" w:rsidR="00E07582" w:rsidRPr="00EE787A" w:rsidRDefault="00E07582" w:rsidP="00E07582">
      <w:pPr>
        <w:spacing w:line="240" w:lineRule="exact"/>
        <w:rPr>
          <w:rtl/>
        </w:rPr>
      </w:pPr>
    </w:p>
    <w:p w14:paraId="30D94450" w14:textId="77777777" w:rsidR="00E07582" w:rsidRPr="00EE787A" w:rsidRDefault="00E07582" w:rsidP="00E07582">
      <w:pPr>
        <w:spacing w:line="240" w:lineRule="exact"/>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07582" w:rsidRPr="00EE787A" w14:paraId="48F860FE" w14:textId="77777777" w:rsidTr="00E07582">
        <w:trPr>
          <w:trHeight w:val="295"/>
          <w:jc w:val="center"/>
        </w:trPr>
        <w:tc>
          <w:tcPr>
            <w:tcW w:w="923" w:type="dxa"/>
            <w:tcBorders>
              <w:top w:val="nil"/>
              <w:left w:val="nil"/>
              <w:bottom w:val="nil"/>
              <w:right w:val="nil"/>
            </w:tcBorders>
            <w:shd w:val="clear" w:color="auto" w:fill="auto"/>
          </w:tcPr>
          <w:p w14:paraId="1A1E86C8" w14:textId="77777777" w:rsidR="00E07582" w:rsidRPr="00EE787A" w:rsidRDefault="00E07582" w:rsidP="00E07582">
            <w:pPr>
              <w:spacing w:line="240" w:lineRule="exact"/>
              <w:jc w:val="both"/>
              <w:rPr>
                <w:rFonts w:ascii="David" w:hAnsi="David"/>
                <w:sz w:val="26"/>
                <w:szCs w:val="26"/>
              </w:rPr>
            </w:pPr>
            <w:r w:rsidRPr="00EE787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02578B4" w14:textId="77777777" w:rsidR="00E07582" w:rsidRPr="00EE787A" w:rsidRDefault="00E07582" w:rsidP="00E07582">
            <w:pPr>
              <w:spacing w:line="240" w:lineRule="exact"/>
              <w:rPr>
                <w:rFonts w:ascii="David" w:hAnsi="David"/>
                <w:b/>
                <w:bCs/>
                <w:sz w:val="26"/>
                <w:szCs w:val="26"/>
                <w:rtl/>
              </w:rPr>
            </w:pPr>
            <w:r w:rsidRPr="00EE787A">
              <w:rPr>
                <w:rFonts w:ascii="David" w:hAnsi="David"/>
                <w:b/>
                <w:bCs/>
                <w:sz w:val="26"/>
                <w:szCs w:val="26"/>
                <w:rtl/>
              </w:rPr>
              <w:t>כבוד השופטת שלומית בן יצחק</w:t>
            </w:r>
          </w:p>
          <w:p w14:paraId="58946742" w14:textId="77777777" w:rsidR="00E07582" w:rsidRPr="00EE787A" w:rsidRDefault="00E07582" w:rsidP="00E07582">
            <w:pPr>
              <w:spacing w:line="240" w:lineRule="exact"/>
              <w:rPr>
                <w:rFonts w:ascii="David" w:hAnsi="David"/>
                <w:sz w:val="26"/>
                <w:szCs w:val="26"/>
                <w:rtl/>
              </w:rPr>
            </w:pPr>
          </w:p>
          <w:p w14:paraId="504A2EF6" w14:textId="77777777" w:rsidR="00E07582" w:rsidRPr="00EE787A" w:rsidRDefault="00E07582" w:rsidP="00E07582">
            <w:pPr>
              <w:spacing w:line="240" w:lineRule="exact"/>
              <w:jc w:val="both"/>
              <w:rPr>
                <w:rFonts w:ascii="David" w:hAnsi="David"/>
                <w:sz w:val="26"/>
                <w:szCs w:val="26"/>
              </w:rPr>
            </w:pPr>
          </w:p>
        </w:tc>
      </w:tr>
      <w:tr w:rsidR="00E07582" w:rsidRPr="00EE787A" w14:paraId="45BC09A6" w14:textId="77777777" w:rsidTr="00E07582">
        <w:trPr>
          <w:trHeight w:val="355"/>
          <w:jc w:val="center"/>
        </w:trPr>
        <w:tc>
          <w:tcPr>
            <w:tcW w:w="923" w:type="dxa"/>
            <w:tcBorders>
              <w:top w:val="nil"/>
              <w:left w:val="nil"/>
              <w:bottom w:val="nil"/>
              <w:right w:val="nil"/>
            </w:tcBorders>
            <w:shd w:val="clear" w:color="auto" w:fill="auto"/>
          </w:tcPr>
          <w:p w14:paraId="7BADD101" w14:textId="77777777" w:rsidR="00E07582" w:rsidRPr="00EE787A" w:rsidRDefault="00E07582" w:rsidP="00E07582">
            <w:pPr>
              <w:spacing w:line="240" w:lineRule="exact"/>
              <w:jc w:val="both"/>
              <w:rPr>
                <w:rFonts w:ascii="David" w:hAnsi="David"/>
                <w:sz w:val="26"/>
                <w:szCs w:val="26"/>
              </w:rPr>
            </w:pPr>
            <w:bookmarkStart w:id="1" w:name="FirstAppellant"/>
            <w:r w:rsidRPr="00EE787A">
              <w:rPr>
                <w:rFonts w:ascii="David" w:hAnsi="David"/>
                <w:sz w:val="26"/>
                <w:szCs w:val="26"/>
                <w:rtl/>
              </w:rPr>
              <w:t>בעניין:</w:t>
            </w:r>
          </w:p>
        </w:tc>
        <w:tc>
          <w:tcPr>
            <w:tcW w:w="3219" w:type="dxa"/>
            <w:tcBorders>
              <w:top w:val="nil"/>
              <w:left w:val="nil"/>
              <w:bottom w:val="nil"/>
              <w:right w:val="nil"/>
            </w:tcBorders>
            <w:shd w:val="clear" w:color="auto" w:fill="auto"/>
          </w:tcPr>
          <w:p w14:paraId="5638004F" w14:textId="77777777" w:rsidR="00E07582" w:rsidRPr="00EE787A" w:rsidRDefault="00E07582" w:rsidP="00E07582">
            <w:pPr>
              <w:suppressLineNumbers/>
              <w:spacing w:line="240" w:lineRule="exact"/>
            </w:pPr>
            <w:r w:rsidRPr="00EE787A">
              <w:rPr>
                <w:rFonts w:ascii="Arial" w:hAnsi="Arial" w:hint="cs"/>
                <w:b/>
                <w:bCs/>
                <w:sz w:val="26"/>
                <w:szCs w:val="26"/>
                <w:rtl/>
              </w:rPr>
              <w:t>המאשימה:</w:t>
            </w:r>
          </w:p>
          <w:p w14:paraId="3D70B4BC" w14:textId="77777777" w:rsidR="00E07582" w:rsidRPr="00EE787A" w:rsidRDefault="00E07582" w:rsidP="00E07582">
            <w:pPr>
              <w:spacing w:line="240" w:lineRule="exact"/>
              <w:rPr>
                <w:rFonts w:ascii="David" w:hAnsi="David"/>
                <w:sz w:val="26"/>
                <w:szCs w:val="26"/>
              </w:rPr>
            </w:pPr>
          </w:p>
        </w:tc>
        <w:tc>
          <w:tcPr>
            <w:tcW w:w="4678" w:type="dxa"/>
            <w:tcBorders>
              <w:top w:val="nil"/>
              <w:left w:val="nil"/>
              <w:bottom w:val="nil"/>
              <w:right w:val="nil"/>
            </w:tcBorders>
            <w:shd w:val="clear" w:color="auto" w:fill="auto"/>
            <w:vAlign w:val="center"/>
          </w:tcPr>
          <w:p w14:paraId="27D26890" w14:textId="77777777" w:rsidR="00E07582" w:rsidRPr="00EE787A" w:rsidRDefault="00E07582" w:rsidP="00E07582">
            <w:pPr>
              <w:suppressLineNumbers/>
              <w:spacing w:line="240" w:lineRule="exact"/>
              <w:rPr>
                <w:rFonts w:ascii="Arial" w:hAnsi="Arial"/>
                <w:b/>
                <w:bCs/>
                <w:sz w:val="26"/>
                <w:szCs w:val="26"/>
                <w:rtl/>
              </w:rPr>
            </w:pPr>
            <w:r w:rsidRPr="00EE787A">
              <w:rPr>
                <w:rFonts w:ascii="Arial" w:hAnsi="Arial"/>
                <w:b/>
                <w:bCs/>
                <w:sz w:val="26"/>
                <w:szCs w:val="26"/>
                <w:rtl/>
              </w:rPr>
              <w:t>מדינת ישראל</w:t>
            </w:r>
            <w:r w:rsidRPr="00EE787A">
              <w:rPr>
                <w:rFonts w:ascii="Arial" w:hAnsi="Arial" w:hint="cs"/>
                <w:b/>
                <w:bCs/>
                <w:sz w:val="26"/>
                <w:szCs w:val="26"/>
                <w:rtl/>
              </w:rPr>
              <w:t xml:space="preserve"> </w:t>
            </w:r>
          </w:p>
          <w:p w14:paraId="4E02351A" w14:textId="77777777" w:rsidR="00E07582" w:rsidRPr="00EE787A" w:rsidRDefault="00E07582" w:rsidP="00E07582">
            <w:pPr>
              <w:suppressLineNumbers/>
              <w:spacing w:line="240" w:lineRule="exact"/>
              <w:rPr>
                <w:rFonts w:ascii="David" w:hAnsi="David"/>
                <w:sz w:val="26"/>
                <w:szCs w:val="26"/>
              </w:rPr>
            </w:pPr>
          </w:p>
        </w:tc>
      </w:tr>
      <w:bookmarkEnd w:id="1"/>
      <w:tr w:rsidR="00E07582" w:rsidRPr="00EE787A" w14:paraId="112A7FE5" w14:textId="77777777" w:rsidTr="00E07582">
        <w:trPr>
          <w:trHeight w:val="355"/>
          <w:jc w:val="center"/>
        </w:trPr>
        <w:tc>
          <w:tcPr>
            <w:tcW w:w="923" w:type="dxa"/>
            <w:tcBorders>
              <w:top w:val="nil"/>
              <w:left w:val="nil"/>
              <w:bottom w:val="nil"/>
              <w:right w:val="nil"/>
            </w:tcBorders>
            <w:shd w:val="clear" w:color="auto" w:fill="auto"/>
          </w:tcPr>
          <w:p w14:paraId="59CB1206" w14:textId="77777777" w:rsidR="00E07582" w:rsidRPr="00EE787A" w:rsidRDefault="00E07582" w:rsidP="00E07582">
            <w:pPr>
              <w:spacing w:line="240" w:lineRule="exact"/>
              <w:jc w:val="both"/>
              <w:rPr>
                <w:rFonts w:ascii="David" w:hAnsi="David"/>
                <w:sz w:val="26"/>
                <w:szCs w:val="26"/>
                <w:rtl/>
              </w:rPr>
            </w:pPr>
          </w:p>
        </w:tc>
        <w:tc>
          <w:tcPr>
            <w:tcW w:w="7897" w:type="dxa"/>
            <w:gridSpan w:val="2"/>
            <w:tcBorders>
              <w:top w:val="nil"/>
              <w:left w:val="nil"/>
              <w:bottom w:val="nil"/>
              <w:right w:val="nil"/>
            </w:tcBorders>
            <w:shd w:val="clear" w:color="auto" w:fill="auto"/>
          </w:tcPr>
          <w:p w14:paraId="5E7F5F86" w14:textId="77777777" w:rsidR="00E07582" w:rsidRPr="00EE787A" w:rsidRDefault="00E07582" w:rsidP="00E07582">
            <w:pPr>
              <w:spacing w:line="240" w:lineRule="exact"/>
              <w:jc w:val="center"/>
              <w:rPr>
                <w:rFonts w:ascii="David" w:hAnsi="David"/>
                <w:b/>
                <w:bCs/>
                <w:sz w:val="26"/>
                <w:szCs w:val="26"/>
                <w:rtl/>
              </w:rPr>
            </w:pPr>
          </w:p>
          <w:p w14:paraId="57806E5F" w14:textId="77777777" w:rsidR="00E07582" w:rsidRPr="00EE787A" w:rsidRDefault="00E07582" w:rsidP="00E07582">
            <w:pPr>
              <w:spacing w:line="240" w:lineRule="exact"/>
              <w:jc w:val="center"/>
              <w:rPr>
                <w:rFonts w:ascii="David" w:hAnsi="David"/>
                <w:b/>
                <w:bCs/>
                <w:sz w:val="26"/>
                <w:szCs w:val="26"/>
                <w:rtl/>
              </w:rPr>
            </w:pPr>
            <w:r w:rsidRPr="00EE787A">
              <w:rPr>
                <w:rFonts w:ascii="David" w:hAnsi="David"/>
                <w:b/>
                <w:bCs/>
                <w:sz w:val="26"/>
                <w:szCs w:val="26"/>
                <w:rtl/>
              </w:rPr>
              <w:t>נגד</w:t>
            </w:r>
          </w:p>
          <w:p w14:paraId="7517126B" w14:textId="77777777" w:rsidR="00E07582" w:rsidRPr="00EE787A" w:rsidRDefault="00E07582" w:rsidP="00E07582">
            <w:pPr>
              <w:spacing w:line="240" w:lineRule="exact"/>
              <w:jc w:val="both"/>
              <w:rPr>
                <w:rFonts w:ascii="David" w:hAnsi="David"/>
                <w:sz w:val="26"/>
                <w:szCs w:val="26"/>
              </w:rPr>
            </w:pPr>
          </w:p>
        </w:tc>
      </w:tr>
      <w:tr w:rsidR="00E07582" w:rsidRPr="00EE787A" w14:paraId="701000E9" w14:textId="77777777" w:rsidTr="00E07582">
        <w:trPr>
          <w:trHeight w:val="355"/>
          <w:jc w:val="center"/>
        </w:trPr>
        <w:tc>
          <w:tcPr>
            <w:tcW w:w="923" w:type="dxa"/>
            <w:tcBorders>
              <w:top w:val="nil"/>
              <w:left w:val="nil"/>
              <w:bottom w:val="nil"/>
              <w:right w:val="nil"/>
            </w:tcBorders>
            <w:shd w:val="clear" w:color="auto" w:fill="auto"/>
          </w:tcPr>
          <w:p w14:paraId="267932C2" w14:textId="77777777" w:rsidR="00E07582" w:rsidRPr="00EE787A" w:rsidRDefault="00E07582" w:rsidP="00E07582">
            <w:pPr>
              <w:spacing w:line="240" w:lineRule="exact"/>
              <w:rPr>
                <w:rFonts w:ascii="David" w:hAnsi="David"/>
                <w:sz w:val="26"/>
                <w:szCs w:val="26"/>
                <w:rtl/>
              </w:rPr>
            </w:pPr>
          </w:p>
        </w:tc>
        <w:tc>
          <w:tcPr>
            <w:tcW w:w="3219" w:type="dxa"/>
            <w:tcBorders>
              <w:top w:val="nil"/>
              <w:left w:val="nil"/>
              <w:bottom w:val="nil"/>
              <w:right w:val="nil"/>
            </w:tcBorders>
            <w:shd w:val="clear" w:color="auto" w:fill="auto"/>
          </w:tcPr>
          <w:p w14:paraId="129D09A8" w14:textId="77777777" w:rsidR="00E07582" w:rsidRPr="00EE787A" w:rsidRDefault="00E07582" w:rsidP="00E07582">
            <w:pPr>
              <w:spacing w:line="240" w:lineRule="exact"/>
              <w:rPr>
                <w:rFonts w:ascii="Arial" w:hAnsi="Arial"/>
                <w:b/>
                <w:bCs/>
                <w:sz w:val="26"/>
                <w:szCs w:val="26"/>
                <w:rtl/>
              </w:rPr>
            </w:pPr>
            <w:r w:rsidRPr="00EE787A">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2D8828F5" w14:textId="77777777" w:rsidR="00E07582" w:rsidRPr="00EE787A" w:rsidRDefault="00E07582" w:rsidP="00E07582">
            <w:pPr>
              <w:suppressLineNumbers/>
              <w:spacing w:line="240" w:lineRule="exact"/>
              <w:rPr>
                <w:rFonts w:ascii="Arial" w:hAnsi="Arial"/>
                <w:b/>
                <w:bCs/>
                <w:sz w:val="26"/>
                <w:szCs w:val="26"/>
                <w:rtl/>
              </w:rPr>
            </w:pPr>
            <w:r w:rsidRPr="00EE787A">
              <w:rPr>
                <w:rFonts w:ascii="Arial" w:hAnsi="Arial"/>
                <w:b/>
                <w:bCs/>
                <w:sz w:val="26"/>
                <w:szCs w:val="26"/>
                <w:rtl/>
              </w:rPr>
              <w:t>אהרן מלול (עציר)</w:t>
            </w:r>
            <w:r w:rsidRPr="00EE787A">
              <w:rPr>
                <w:rFonts w:ascii="Arial" w:hAnsi="Arial" w:hint="cs"/>
                <w:b/>
                <w:bCs/>
                <w:sz w:val="26"/>
                <w:szCs w:val="26"/>
                <w:rtl/>
              </w:rPr>
              <w:t xml:space="preserve"> </w:t>
            </w:r>
          </w:p>
          <w:p w14:paraId="5B97F7F3" w14:textId="77777777" w:rsidR="00E07582" w:rsidRPr="00EE787A" w:rsidRDefault="00E07582" w:rsidP="00E07582">
            <w:pPr>
              <w:suppressLineNumbers/>
              <w:spacing w:line="240" w:lineRule="exact"/>
              <w:rPr>
                <w:rFonts w:ascii="David" w:hAnsi="David"/>
                <w:sz w:val="26"/>
                <w:szCs w:val="26"/>
              </w:rPr>
            </w:pPr>
          </w:p>
        </w:tc>
      </w:tr>
    </w:tbl>
    <w:p w14:paraId="30FFF078" w14:textId="77777777" w:rsidR="005231F3" w:rsidRDefault="005231F3" w:rsidP="00FD13CD">
      <w:pPr>
        <w:spacing w:line="260" w:lineRule="exact"/>
        <w:rPr>
          <w:sz w:val="26"/>
          <w:szCs w:val="26"/>
          <w:rtl/>
        </w:rPr>
      </w:pPr>
      <w:bookmarkStart w:id="2" w:name="Links_Kitvei_Start"/>
    </w:p>
    <w:p w14:paraId="65B8EEF4" w14:textId="77777777" w:rsidR="005231F3" w:rsidRPr="005231F3" w:rsidRDefault="005231F3" w:rsidP="005231F3">
      <w:pPr>
        <w:spacing w:after="120" w:line="240" w:lineRule="exact"/>
        <w:ind w:left="283" w:hanging="283"/>
        <w:jc w:val="both"/>
        <w:rPr>
          <w:rFonts w:ascii="FrankRuehl" w:hAnsi="FrankRuehl" w:cs="FrankRuehl"/>
          <w:rtl/>
        </w:rPr>
      </w:pPr>
    </w:p>
    <w:bookmarkEnd w:id="2"/>
    <w:p w14:paraId="02B3EBCC" w14:textId="77777777" w:rsidR="005231F3" w:rsidRPr="005231F3" w:rsidRDefault="005231F3" w:rsidP="005231F3">
      <w:pPr>
        <w:spacing w:after="120" w:line="240" w:lineRule="exact"/>
        <w:ind w:left="283" w:hanging="283"/>
        <w:jc w:val="both"/>
        <w:rPr>
          <w:rStyle w:val="Hyperlink"/>
          <w:rFonts w:ascii="FrankRuehl" w:hAnsi="FrankRuehl" w:cs="FrankRuehl"/>
          <w:u w:val="none"/>
        </w:rPr>
      </w:pPr>
      <w:r w:rsidRPr="005231F3">
        <w:rPr>
          <w:rFonts w:ascii="FrankRuehl" w:hAnsi="FrankRuehl" w:cs="FrankRuehl"/>
          <w:rtl/>
        </w:rPr>
        <w:t>כתבי עת:</w:t>
      </w:r>
      <w:r w:rsidRPr="005231F3">
        <w:rPr>
          <w:rFonts w:ascii="FrankRuehl" w:hAnsi="FrankRuehl" w:cs="FrankRuehl"/>
          <w:color w:val="0000FF"/>
          <w:rtl/>
        </w:rPr>
        <w:fldChar w:fldCharType="begin"/>
      </w:r>
      <w:r w:rsidRPr="005231F3">
        <w:rPr>
          <w:rFonts w:ascii="FrankRuehl" w:hAnsi="FrankRuehl" w:cs="FrankRuehl"/>
          <w:color w:val="0000FF"/>
          <w:rtl/>
        </w:rPr>
        <w:instrText xml:space="preserve"> </w:instrText>
      </w:r>
      <w:r w:rsidRPr="005231F3">
        <w:rPr>
          <w:rFonts w:ascii="FrankRuehl" w:hAnsi="FrankRuehl" w:cs="FrankRuehl"/>
          <w:color w:val="0000FF"/>
        </w:rPr>
        <w:instrText xml:space="preserve">HYPERLINK </w:instrText>
      </w:r>
      <w:r w:rsidRPr="005231F3">
        <w:rPr>
          <w:rFonts w:ascii="FrankRuehl" w:hAnsi="FrankRuehl" w:cs="FrankRuehl"/>
          <w:color w:val="0000FF"/>
          <w:rtl/>
        </w:rPr>
        <w:instrText>"</w:instrText>
      </w:r>
      <w:r w:rsidRPr="005231F3">
        <w:rPr>
          <w:rFonts w:ascii="FrankRuehl" w:hAnsi="FrankRuehl" w:cs="FrankRuehl"/>
          <w:color w:val="0000FF"/>
        </w:rPr>
        <w:instrText>http://www.nevo.co.il/safrut/book/25954"</w:instrText>
      </w:r>
      <w:r w:rsidRPr="005231F3">
        <w:rPr>
          <w:rFonts w:ascii="FrankRuehl" w:hAnsi="FrankRuehl" w:cs="FrankRuehl"/>
          <w:color w:val="0000FF"/>
          <w:rtl/>
        </w:rPr>
        <w:instrText xml:space="preserve"> </w:instrText>
      </w:r>
      <w:r w:rsidRPr="005231F3">
        <w:rPr>
          <w:rFonts w:ascii="FrankRuehl" w:hAnsi="FrankRuehl" w:cs="FrankRuehl"/>
          <w:color w:val="0000FF"/>
          <w:rtl/>
        </w:rPr>
      </w:r>
      <w:r w:rsidRPr="005231F3">
        <w:rPr>
          <w:rFonts w:ascii="FrankRuehl" w:hAnsi="FrankRuehl" w:cs="FrankRuehl"/>
          <w:color w:val="0000FF"/>
          <w:rtl/>
        </w:rPr>
        <w:fldChar w:fldCharType="separate"/>
      </w:r>
    </w:p>
    <w:p w14:paraId="4B69ACD4" w14:textId="77777777" w:rsidR="005231F3" w:rsidRPr="005231F3" w:rsidRDefault="005231F3" w:rsidP="005231F3">
      <w:pPr>
        <w:spacing w:after="120" w:line="240" w:lineRule="exact"/>
        <w:ind w:left="283" w:hanging="283"/>
        <w:jc w:val="both"/>
        <w:rPr>
          <w:rFonts w:ascii="FrankRuehl" w:hAnsi="FrankRuehl" w:cs="FrankRuehl"/>
        </w:rPr>
      </w:pPr>
      <w:r w:rsidRPr="005231F3">
        <w:rPr>
          <w:rStyle w:val="Hyperlink"/>
          <w:rFonts w:ascii="FrankRuehl" w:hAnsi="FrankRuehl" w:cs="FrankRuehl"/>
          <w:u w:val="none"/>
          <w:rtl/>
        </w:rPr>
        <w:t>מוחמד עלי, "על סדרי דין וראיות בדוד לקביעת מתחם עונש הולם", הפרקליט, נד (2016) 19</w:t>
      </w:r>
      <w:r w:rsidRPr="005231F3">
        <w:rPr>
          <w:rFonts w:ascii="FrankRuehl" w:hAnsi="FrankRuehl" w:cs="FrankRuehl"/>
          <w:color w:val="0000FF"/>
          <w:rtl/>
        </w:rPr>
        <w:fldChar w:fldCharType="end"/>
      </w:r>
    </w:p>
    <w:p w14:paraId="301811F1" w14:textId="77777777" w:rsidR="005231F3" w:rsidRDefault="005231F3" w:rsidP="005231F3">
      <w:pPr>
        <w:spacing w:line="260" w:lineRule="exact"/>
        <w:rPr>
          <w:sz w:val="26"/>
          <w:szCs w:val="26"/>
          <w:rtl/>
        </w:rPr>
      </w:pPr>
      <w:bookmarkStart w:id="3" w:name="Links_Kitvei_End"/>
      <w:bookmarkStart w:id="4" w:name="LawTable"/>
      <w:bookmarkEnd w:id="3"/>
      <w:bookmarkEnd w:id="4"/>
    </w:p>
    <w:p w14:paraId="26751BA0" w14:textId="77777777" w:rsidR="005231F3" w:rsidRPr="005231F3" w:rsidRDefault="005231F3" w:rsidP="005231F3">
      <w:pPr>
        <w:spacing w:before="120" w:after="120" w:line="240" w:lineRule="exact"/>
        <w:ind w:left="283" w:hanging="283"/>
        <w:jc w:val="both"/>
        <w:rPr>
          <w:rFonts w:ascii="FrankRuehl" w:hAnsi="FrankRuehl" w:cs="FrankRuehl"/>
          <w:rtl/>
        </w:rPr>
      </w:pPr>
    </w:p>
    <w:p w14:paraId="75B19121" w14:textId="77777777" w:rsidR="005231F3" w:rsidRPr="005231F3" w:rsidRDefault="005231F3" w:rsidP="005231F3">
      <w:pPr>
        <w:spacing w:before="120" w:after="120" w:line="240" w:lineRule="exact"/>
        <w:ind w:left="283" w:hanging="283"/>
        <w:jc w:val="both"/>
        <w:rPr>
          <w:rFonts w:ascii="FrankRuehl" w:hAnsi="FrankRuehl" w:cs="FrankRuehl"/>
          <w:rtl/>
        </w:rPr>
      </w:pPr>
    </w:p>
    <w:p w14:paraId="38198E2F" w14:textId="77777777" w:rsidR="005231F3" w:rsidRPr="005231F3" w:rsidRDefault="005231F3" w:rsidP="005231F3">
      <w:pPr>
        <w:spacing w:before="120" w:after="120" w:line="240" w:lineRule="exact"/>
        <w:ind w:left="283" w:hanging="283"/>
        <w:jc w:val="both"/>
        <w:rPr>
          <w:rFonts w:ascii="FrankRuehl" w:hAnsi="FrankRuehl" w:cs="FrankRuehl"/>
          <w:rtl/>
        </w:rPr>
      </w:pPr>
      <w:r w:rsidRPr="005231F3">
        <w:rPr>
          <w:rFonts w:ascii="FrankRuehl" w:hAnsi="FrankRuehl" w:cs="FrankRuehl"/>
          <w:rtl/>
        </w:rPr>
        <w:t xml:space="preserve">חקיקה שאוזכרה: </w:t>
      </w:r>
    </w:p>
    <w:p w14:paraId="477069D4" w14:textId="77777777" w:rsidR="005231F3" w:rsidRPr="005231F3" w:rsidRDefault="005231F3" w:rsidP="005231F3">
      <w:pPr>
        <w:spacing w:before="120" w:after="120" w:line="240" w:lineRule="exact"/>
        <w:ind w:left="283" w:hanging="283"/>
        <w:jc w:val="both"/>
        <w:rPr>
          <w:rFonts w:ascii="FrankRuehl" w:hAnsi="FrankRuehl" w:cs="FrankRuehl"/>
          <w:rtl/>
        </w:rPr>
      </w:pPr>
      <w:hyperlink r:id="rId7" w:history="1">
        <w:r w:rsidRPr="005231F3">
          <w:rPr>
            <w:rFonts w:ascii="FrankRuehl" w:hAnsi="FrankRuehl" w:cs="FrankRuehl"/>
            <w:color w:val="0000FF"/>
            <w:rtl/>
          </w:rPr>
          <w:t>חוק העונשין, תשל"ז-1977</w:t>
        </w:r>
      </w:hyperlink>
      <w:r w:rsidRPr="005231F3">
        <w:rPr>
          <w:rFonts w:ascii="FrankRuehl" w:hAnsi="FrankRuehl" w:cs="FrankRuehl"/>
          <w:rtl/>
        </w:rPr>
        <w:t xml:space="preserve">: סע'  </w:t>
      </w:r>
      <w:hyperlink r:id="rId8" w:history="1">
        <w:r w:rsidRPr="005231F3">
          <w:rPr>
            <w:rFonts w:ascii="FrankRuehl" w:hAnsi="FrankRuehl" w:cs="FrankRuehl"/>
            <w:color w:val="0000FF"/>
            <w:rtl/>
          </w:rPr>
          <w:t>25</w:t>
        </w:r>
      </w:hyperlink>
      <w:r w:rsidRPr="005231F3">
        <w:rPr>
          <w:rFonts w:ascii="FrankRuehl" w:hAnsi="FrankRuehl" w:cs="FrankRuehl"/>
          <w:rtl/>
        </w:rPr>
        <w:t xml:space="preserve">, </w:t>
      </w:r>
      <w:hyperlink r:id="rId9" w:history="1">
        <w:r w:rsidRPr="005231F3">
          <w:rPr>
            <w:rFonts w:ascii="FrankRuehl" w:hAnsi="FrankRuehl" w:cs="FrankRuehl"/>
            <w:color w:val="0000FF"/>
            <w:rtl/>
          </w:rPr>
          <w:t>40א</w:t>
        </w:r>
      </w:hyperlink>
      <w:r w:rsidRPr="005231F3">
        <w:rPr>
          <w:rFonts w:ascii="FrankRuehl" w:hAnsi="FrankRuehl" w:cs="FrankRuehl"/>
          <w:rtl/>
        </w:rPr>
        <w:t xml:space="preserve">, </w:t>
      </w:r>
      <w:hyperlink r:id="rId10" w:history="1">
        <w:r w:rsidRPr="005231F3">
          <w:rPr>
            <w:rFonts w:ascii="FrankRuehl" w:hAnsi="FrankRuehl" w:cs="FrankRuehl"/>
            <w:color w:val="0000FF"/>
            <w:rtl/>
          </w:rPr>
          <w:t>40ב</w:t>
        </w:r>
      </w:hyperlink>
      <w:r w:rsidRPr="005231F3">
        <w:rPr>
          <w:rFonts w:ascii="FrankRuehl" w:hAnsi="FrankRuehl" w:cs="FrankRuehl"/>
          <w:rtl/>
        </w:rPr>
        <w:t xml:space="preserve">, </w:t>
      </w:r>
      <w:hyperlink r:id="rId11" w:history="1">
        <w:r w:rsidRPr="005231F3">
          <w:rPr>
            <w:rFonts w:ascii="FrankRuehl" w:hAnsi="FrankRuehl" w:cs="FrankRuehl"/>
            <w:color w:val="0000FF"/>
            <w:rtl/>
          </w:rPr>
          <w:t>40ג(א)</w:t>
        </w:r>
      </w:hyperlink>
      <w:r w:rsidRPr="005231F3">
        <w:rPr>
          <w:rFonts w:ascii="FrankRuehl" w:hAnsi="FrankRuehl" w:cs="FrankRuehl"/>
          <w:rtl/>
        </w:rPr>
        <w:t xml:space="preserve">, </w:t>
      </w:r>
      <w:hyperlink r:id="rId12" w:history="1">
        <w:r w:rsidRPr="005231F3">
          <w:rPr>
            <w:rFonts w:ascii="FrankRuehl" w:hAnsi="FrankRuehl" w:cs="FrankRuehl"/>
            <w:color w:val="0000FF"/>
            <w:rtl/>
          </w:rPr>
          <w:t>40ו</w:t>
        </w:r>
      </w:hyperlink>
      <w:r w:rsidRPr="005231F3">
        <w:rPr>
          <w:rFonts w:ascii="FrankRuehl" w:hAnsi="FrankRuehl" w:cs="FrankRuehl"/>
          <w:rtl/>
        </w:rPr>
        <w:t xml:space="preserve">, </w:t>
      </w:r>
      <w:hyperlink r:id="rId13" w:history="1">
        <w:r w:rsidRPr="005231F3">
          <w:rPr>
            <w:rFonts w:ascii="FrankRuehl" w:hAnsi="FrankRuehl" w:cs="FrankRuehl"/>
            <w:color w:val="0000FF"/>
            <w:rtl/>
          </w:rPr>
          <w:t>40ט</w:t>
        </w:r>
      </w:hyperlink>
      <w:r w:rsidRPr="005231F3">
        <w:rPr>
          <w:rFonts w:ascii="FrankRuehl" w:hAnsi="FrankRuehl" w:cs="FrankRuehl"/>
          <w:rtl/>
        </w:rPr>
        <w:t xml:space="preserve">, </w:t>
      </w:r>
      <w:hyperlink r:id="rId14" w:history="1">
        <w:r w:rsidRPr="005231F3">
          <w:rPr>
            <w:rFonts w:ascii="FrankRuehl" w:hAnsi="FrankRuehl" w:cs="FrankRuehl"/>
            <w:color w:val="0000FF"/>
            <w:rtl/>
          </w:rPr>
          <w:t>40ט(א)</w:t>
        </w:r>
      </w:hyperlink>
      <w:r w:rsidRPr="005231F3">
        <w:rPr>
          <w:rFonts w:ascii="FrankRuehl" w:hAnsi="FrankRuehl" w:cs="FrankRuehl"/>
          <w:rtl/>
        </w:rPr>
        <w:t xml:space="preserve">, </w:t>
      </w:r>
      <w:hyperlink r:id="rId15" w:history="1">
        <w:r w:rsidRPr="005231F3">
          <w:rPr>
            <w:rFonts w:ascii="FrankRuehl" w:hAnsi="FrankRuehl" w:cs="FrankRuehl"/>
            <w:color w:val="0000FF"/>
            <w:rtl/>
          </w:rPr>
          <w:t>40י</w:t>
        </w:r>
      </w:hyperlink>
      <w:r w:rsidRPr="005231F3">
        <w:rPr>
          <w:rFonts w:ascii="FrankRuehl" w:hAnsi="FrankRuehl" w:cs="FrankRuehl"/>
          <w:rtl/>
        </w:rPr>
        <w:t xml:space="preserve">, </w:t>
      </w:r>
      <w:hyperlink r:id="rId16" w:history="1">
        <w:r w:rsidRPr="005231F3">
          <w:rPr>
            <w:rFonts w:ascii="FrankRuehl" w:hAnsi="FrankRuehl" w:cs="FrankRuehl"/>
            <w:color w:val="0000FF"/>
            <w:rtl/>
          </w:rPr>
          <w:t>40י(א)</w:t>
        </w:r>
      </w:hyperlink>
      <w:r w:rsidRPr="005231F3">
        <w:rPr>
          <w:rFonts w:ascii="FrankRuehl" w:hAnsi="FrankRuehl" w:cs="FrankRuehl"/>
          <w:rtl/>
        </w:rPr>
        <w:t xml:space="preserve">, </w:t>
      </w:r>
      <w:hyperlink r:id="rId17" w:history="1">
        <w:r w:rsidRPr="005231F3">
          <w:rPr>
            <w:rFonts w:ascii="FrankRuehl" w:hAnsi="FrankRuehl" w:cs="FrankRuehl"/>
            <w:color w:val="0000FF"/>
            <w:rtl/>
          </w:rPr>
          <w:t>40י(ג)</w:t>
        </w:r>
      </w:hyperlink>
      <w:r w:rsidRPr="005231F3">
        <w:rPr>
          <w:rFonts w:ascii="FrankRuehl" w:hAnsi="FrankRuehl" w:cs="FrankRuehl"/>
          <w:rtl/>
        </w:rPr>
        <w:t xml:space="preserve">, </w:t>
      </w:r>
      <w:hyperlink r:id="rId18" w:history="1">
        <w:r w:rsidRPr="005231F3">
          <w:rPr>
            <w:rFonts w:ascii="FrankRuehl" w:hAnsi="FrankRuehl" w:cs="FrankRuehl"/>
            <w:color w:val="0000FF"/>
            <w:rtl/>
          </w:rPr>
          <w:t>58</w:t>
        </w:r>
      </w:hyperlink>
      <w:r w:rsidRPr="005231F3">
        <w:rPr>
          <w:rFonts w:ascii="FrankRuehl" w:hAnsi="FrankRuehl" w:cs="FrankRuehl"/>
          <w:rtl/>
        </w:rPr>
        <w:t xml:space="preserve">, </w:t>
      </w:r>
      <w:hyperlink r:id="rId19" w:history="1">
        <w:r w:rsidRPr="005231F3">
          <w:rPr>
            <w:rFonts w:ascii="FrankRuehl" w:hAnsi="FrankRuehl" w:cs="FrankRuehl"/>
            <w:color w:val="0000FF"/>
            <w:rtl/>
          </w:rPr>
          <w:t>77(א)</w:t>
        </w:r>
      </w:hyperlink>
      <w:r w:rsidRPr="005231F3">
        <w:rPr>
          <w:rFonts w:ascii="FrankRuehl" w:hAnsi="FrankRuehl" w:cs="FrankRuehl"/>
          <w:rtl/>
        </w:rPr>
        <w:t xml:space="preserve">, </w:t>
      </w:r>
      <w:hyperlink r:id="rId20" w:history="1">
        <w:r w:rsidRPr="005231F3">
          <w:rPr>
            <w:rFonts w:ascii="FrankRuehl" w:hAnsi="FrankRuehl" w:cs="FrankRuehl"/>
            <w:color w:val="0000FF"/>
            <w:rtl/>
          </w:rPr>
          <w:t>186(א)</w:t>
        </w:r>
      </w:hyperlink>
      <w:r w:rsidRPr="005231F3">
        <w:rPr>
          <w:rFonts w:ascii="FrankRuehl" w:hAnsi="FrankRuehl" w:cs="FrankRuehl"/>
          <w:rtl/>
        </w:rPr>
        <w:t xml:space="preserve">, </w:t>
      </w:r>
      <w:hyperlink r:id="rId21" w:history="1">
        <w:r w:rsidRPr="005231F3">
          <w:rPr>
            <w:rFonts w:ascii="FrankRuehl" w:hAnsi="FrankRuehl" w:cs="FrankRuehl"/>
            <w:color w:val="0000FF"/>
            <w:rtl/>
          </w:rPr>
          <w:t>192</w:t>
        </w:r>
      </w:hyperlink>
      <w:r w:rsidRPr="005231F3">
        <w:rPr>
          <w:rFonts w:ascii="FrankRuehl" w:hAnsi="FrankRuehl" w:cs="FrankRuehl"/>
          <w:rtl/>
        </w:rPr>
        <w:t xml:space="preserve">, </w:t>
      </w:r>
      <w:hyperlink r:id="rId22" w:history="1">
        <w:r w:rsidRPr="005231F3">
          <w:rPr>
            <w:rFonts w:ascii="FrankRuehl" w:hAnsi="FrankRuehl" w:cs="FrankRuehl"/>
            <w:color w:val="0000FF"/>
            <w:rtl/>
          </w:rPr>
          <w:t>275</w:t>
        </w:r>
      </w:hyperlink>
      <w:r w:rsidRPr="005231F3">
        <w:rPr>
          <w:rFonts w:ascii="FrankRuehl" w:hAnsi="FrankRuehl" w:cs="FrankRuehl"/>
          <w:rtl/>
        </w:rPr>
        <w:t xml:space="preserve">, </w:t>
      </w:r>
      <w:hyperlink r:id="rId23" w:history="1">
        <w:r w:rsidRPr="005231F3">
          <w:rPr>
            <w:rFonts w:ascii="FrankRuehl" w:hAnsi="FrankRuehl" w:cs="FrankRuehl"/>
            <w:color w:val="0000FF"/>
            <w:rtl/>
          </w:rPr>
          <w:t>335(א)(1)</w:t>
        </w:r>
      </w:hyperlink>
      <w:r w:rsidRPr="005231F3">
        <w:rPr>
          <w:rFonts w:ascii="FrankRuehl" w:hAnsi="FrankRuehl" w:cs="FrankRuehl"/>
          <w:rtl/>
        </w:rPr>
        <w:t xml:space="preserve">, </w:t>
      </w:r>
      <w:hyperlink r:id="rId24" w:history="1">
        <w:r w:rsidRPr="005231F3">
          <w:rPr>
            <w:rFonts w:ascii="FrankRuehl" w:hAnsi="FrankRuehl" w:cs="FrankRuehl"/>
            <w:color w:val="0000FF"/>
            <w:rtl/>
          </w:rPr>
          <w:t>34כא</w:t>
        </w:r>
      </w:hyperlink>
      <w:r w:rsidRPr="005231F3">
        <w:rPr>
          <w:rFonts w:ascii="FrankRuehl" w:hAnsi="FrankRuehl" w:cs="FrankRuehl"/>
          <w:rtl/>
        </w:rPr>
        <w:t xml:space="preserve">, </w:t>
      </w:r>
      <w:hyperlink r:id="rId25" w:history="1">
        <w:r w:rsidRPr="005231F3">
          <w:rPr>
            <w:rFonts w:ascii="FrankRuehl" w:hAnsi="FrankRuehl" w:cs="FrankRuehl"/>
            <w:color w:val="0000FF"/>
            <w:rtl/>
          </w:rPr>
          <w:t>40יא</w:t>
        </w:r>
      </w:hyperlink>
      <w:r w:rsidRPr="005231F3">
        <w:rPr>
          <w:rFonts w:ascii="FrankRuehl" w:hAnsi="FrankRuehl" w:cs="FrankRuehl"/>
          <w:rtl/>
        </w:rPr>
        <w:t xml:space="preserve">, </w:t>
      </w:r>
      <w:hyperlink r:id="rId26" w:history="1">
        <w:r w:rsidRPr="005231F3">
          <w:rPr>
            <w:rFonts w:ascii="FrankRuehl" w:hAnsi="FrankRuehl" w:cs="FrankRuehl"/>
            <w:color w:val="0000FF"/>
            <w:rtl/>
          </w:rPr>
          <w:t>40יא(1)</w:t>
        </w:r>
      </w:hyperlink>
      <w:r w:rsidRPr="005231F3">
        <w:rPr>
          <w:rFonts w:ascii="FrankRuehl" w:hAnsi="FrankRuehl" w:cs="FrankRuehl"/>
          <w:rtl/>
        </w:rPr>
        <w:t xml:space="preserve">, </w:t>
      </w:r>
      <w:hyperlink r:id="rId27" w:history="1">
        <w:r w:rsidRPr="005231F3">
          <w:rPr>
            <w:rFonts w:ascii="FrankRuehl" w:hAnsi="FrankRuehl" w:cs="FrankRuehl"/>
            <w:color w:val="0000FF"/>
            <w:rtl/>
          </w:rPr>
          <w:t>40יא(4)</w:t>
        </w:r>
      </w:hyperlink>
      <w:r w:rsidRPr="005231F3">
        <w:rPr>
          <w:rFonts w:ascii="FrankRuehl" w:hAnsi="FrankRuehl" w:cs="FrankRuehl"/>
          <w:rtl/>
        </w:rPr>
        <w:t xml:space="preserve">, </w:t>
      </w:r>
      <w:hyperlink r:id="rId28" w:history="1">
        <w:r w:rsidRPr="005231F3">
          <w:rPr>
            <w:rFonts w:ascii="FrankRuehl" w:hAnsi="FrankRuehl" w:cs="FrankRuehl"/>
            <w:color w:val="0000FF"/>
            <w:rtl/>
          </w:rPr>
          <w:t>(5)</w:t>
        </w:r>
      </w:hyperlink>
    </w:p>
    <w:p w14:paraId="3E98D22B" w14:textId="77777777" w:rsidR="005231F3" w:rsidRPr="005231F3" w:rsidRDefault="005231F3" w:rsidP="005231F3">
      <w:pPr>
        <w:spacing w:before="120" w:after="120" w:line="240" w:lineRule="exact"/>
        <w:ind w:left="283" w:hanging="283"/>
        <w:jc w:val="both"/>
        <w:rPr>
          <w:rFonts w:ascii="FrankRuehl" w:hAnsi="FrankRuehl" w:cs="FrankRuehl"/>
          <w:rtl/>
        </w:rPr>
      </w:pPr>
      <w:hyperlink r:id="rId29" w:history="1">
        <w:r w:rsidRPr="005231F3">
          <w:rPr>
            <w:rFonts w:ascii="FrankRuehl" w:hAnsi="FrankRuehl" w:cs="FrankRuehl"/>
            <w:color w:val="0000FF"/>
            <w:rtl/>
          </w:rPr>
          <w:t>חוק סדר הדין הפלילי [נוסח משולב], תשמ"ב-1982</w:t>
        </w:r>
      </w:hyperlink>
      <w:r w:rsidRPr="005231F3">
        <w:rPr>
          <w:rFonts w:ascii="FrankRuehl" w:hAnsi="FrankRuehl" w:cs="FrankRuehl"/>
          <w:rtl/>
        </w:rPr>
        <w:t xml:space="preserve">: סע'  </w:t>
      </w:r>
      <w:hyperlink r:id="rId30" w:history="1">
        <w:r w:rsidRPr="005231F3">
          <w:rPr>
            <w:rFonts w:ascii="FrankRuehl" w:hAnsi="FrankRuehl" w:cs="FrankRuehl"/>
            <w:color w:val="0000FF"/>
            <w:rtl/>
          </w:rPr>
          <w:t>184</w:t>
        </w:r>
      </w:hyperlink>
      <w:r w:rsidRPr="005231F3">
        <w:rPr>
          <w:rFonts w:ascii="FrankRuehl" w:hAnsi="FrankRuehl" w:cs="FrankRuehl"/>
          <w:rtl/>
        </w:rPr>
        <w:t xml:space="preserve">, </w:t>
      </w:r>
      <w:hyperlink r:id="rId31" w:history="1">
        <w:r w:rsidRPr="005231F3">
          <w:rPr>
            <w:rFonts w:ascii="FrankRuehl" w:hAnsi="FrankRuehl" w:cs="FrankRuehl"/>
            <w:color w:val="0000FF"/>
            <w:rtl/>
          </w:rPr>
          <w:t>186(א)</w:t>
        </w:r>
      </w:hyperlink>
    </w:p>
    <w:p w14:paraId="07C38188" w14:textId="77777777" w:rsidR="005231F3" w:rsidRPr="005231F3" w:rsidRDefault="005231F3" w:rsidP="005231F3">
      <w:pPr>
        <w:spacing w:line="260" w:lineRule="exact"/>
        <w:rPr>
          <w:sz w:val="26"/>
          <w:szCs w:val="26"/>
          <w:rtl/>
        </w:rPr>
      </w:pPr>
      <w:bookmarkStart w:id="5" w:name="LawTable_End"/>
      <w:bookmarkEnd w:id="5"/>
    </w:p>
    <w:p w14:paraId="724D03F0" w14:textId="77777777" w:rsidR="00E07582" w:rsidRPr="005231F3" w:rsidRDefault="00E07582" w:rsidP="00FD13CD">
      <w:pPr>
        <w:spacing w:line="260" w:lineRule="exact"/>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07582" w:rsidRPr="00BF4CD5" w14:paraId="3EC6E5C1" w14:textId="77777777" w:rsidTr="00E07582">
        <w:trPr>
          <w:trHeight w:val="355"/>
          <w:jc w:val="center"/>
        </w:trPr>
        <w:tc>
          <w:tcPr>
            <w:tcW w:w="8820" w:type="dxa"/>
            <w:tcBorders>
              <w:top w:val="nil"/>
              <w:left w:val="nil"/>
              <w:bottom w:val="nil"/>
              <w:right w:val="nil"/>
            </w:tcBorders>
            <w:shd w:val="clear" w:color="auto" w:fill="auto"/>
          </w:tcPr>
          <w:p w14:paraId="0F9CFD9C" w14:textId="77777777" w:rsidR="00EE787A" w:rsidRPr="00EE787A" w:rsidRDefault="00EE787A" w:rsidP="00EE787A">
            <w:pPr>
              <w:spacing w:line="260" w:lineRule="exact"/>
              <w:jc w:val="center"/>
              <w:rPr>
                <w:rFonts w:ascii="David" w:hAnsi="David"/>
                <w:b/>
                <w:bCs/>
                <w:sz w:val="30"/>
                <w:szCs w:val="30"/>
                <w:u w:val="single"/>
                <w:rtl/>
              </w:rPr>
            </w:pPr>
            <w:bookmarkStart w:id="6" w:name="PsakDin" w:colFirst="0" w:colLast="0"/>
            <w:bookmarkEnd w:id="0"/>
            <w:r w:rsidRPr="00EE787A">
              <w:rPr>
                <w:rFonts w:ascii="David" w:hAnsi="David"/>
                <w:b/>
                <w:bCs/>
                <w:sz w:val="30"/>
                <w:szCs w:val="30"/>
                <w:u w:val="single"/>
                <w:rtl/>
              </w:rPr>
              <w:t>גזר דין</w:t>
            </w:r>
          </w:p>
          <w:p w14:paraId="14BA010C" w14:textId="77777777" w:rsidR="00E07582" w:rsidRPr="00EE787A" w:rsidRDefault="00E07582" w:rsidP="00EE787A">
            <w:pPr>
              <w:spacing w:line="260" w:lineRule="exact"/>
              <w:jc w:val="center"/>
              <w:rPr>
                <w:rFonts w:ascii="David" w:hAnsi="David"/>
                <w:bCs/>
                <w:sz w:val="36"/>
                <w:szCs w:val="36"/>
                <w:u w:val="single"/>
                <w:rtl/>
              </w:rPr>
            </w:pPr>
          </w:p>
        </w:tc>
      </w:tr>
      <w:bookmarkEnd w:id="6"/>
    </w:tbl>
    <w:p w14:paraId="6F68E006" w14:textId="77777777" w:rsidR="00E07582" w:rsidRPr="00BF4CD5" w:rsidRDefault="00E07582" w:rsidP="00E07582">
      <w:pPr>
        <w:spacing w:line="260" w:lineRule="exact"/>
        <w:rPr>
          <w:rFonts w:ascii="Arial" w:hAnsi="Arial"/>
          <w:b/>
          <w:bCs/>
          <w:sz w:val="26"/>
          <w:szCs w:val="26"/>
          <w:rtl/>
        </w:rPr>
      </w:pPr>
    </w:p>
    <w:p w14:paraId="256727E3" w14:textId="77777777" w:rsidR="00E07582" w:rsidRPr="00BF4CD5" w:rsidRDefault="00E07582" w:rsidP="00E07582">
      <w:pPr>
        <w:tabs>
          <w:tab w:val="left" w:pos="226"/>
        </w:tabs>
        <w:spacing w:afterLines="160" w:after="384" w:line="260" w:lineRule="exact"/>
        <w:ind w:left="85"/>
        <w:contextualSpacing/>
        <w:jc w:val="both"/>
        <w:rPr>
          <w:rFonts w:ascii="David" w:hAnsi="David"/>
          <w:b/>
          <w:bCs/>
          <w:u w:val="single"/>
        </w:rPr>
      </w:pPr>
      <w:r w:rsidRPr="00BF4CD5">
        <w:rPr>
          <w:rFonts w:ascii="David" w:hAnsi="David"/>
          <w:b/>
          <w:bCs/>
          <w:u w:val="single"/>
          <w:rtl/>
        </w:rPr>
        <w:t>רקע והשתלשלות ההליך</w:t>
      </w:r>
    </w:p>
    <w:p w14:paraId="017203EA" w14:textId="77777777" w:rsidR="00E07582" w:rsidRPr="00BF4CD5" w:rsidRDefault="00E07582" w:rsidP="00E07582">
      <w:pPr>
        <w:tabs>
          <w:tab w:val="left" w:pos="226"/>
        </w:tabs>
        <w:spacing w:afterLines="160" w:after="384" w:line="260" w:lineRule="exact"/>
        <w:ind w:left="85"/>
        <w:contextualSpacing/>
        <w:jc w:val="both"/>
        <w:rPr>
          <w:rFonts w:ascii="David" w:hAnsi="David"/>
          <w:u w:val="single"/>
          <w:rtl/>
        </w:rPr>
      </w:pPr>
      <w:r w:rsidRPr="00BF4CD5">
        <w:rPr>
          <w:rFonts w:ascii="David" w:hAnsi="David"/>
          <w:u w:val="single"/>
          <w:rtl/>
        </w:rPr>
        <w:t xml:space="preserve">כתב האישום </w:t>
      </w:r>
    </w:p>
    <w:p w14:paraId="0E0CD053" w14:textId="77777777" w:rsidR="00E07582" w:rsidRPr="00BF4CD5" w:rsidRDefault="00E07582" w:rsidP="00E07582">
      <w:pPr>
        <w:numPr>
          <w:ilvl w:val="0"/>
          <w:numId w:val="1"/>
        </w:numPr>
        <w:tabs>
          <w:tab w:val="left" w:pos="226"/>
        </w:tabs>
        <w:spacing w:line="260" w:lineRule="exact"/>
        <w:ind w:left="84" w:firstLine="0"/>
        <w:contextualSpacing/>
        <w:jc w:val="both"/>
        <w:rPr>
          <w:rFonts w:ascii="David" w:hAnsi="David"/>
          <w:rtl/>
        </w:rPr>
      </w:pPr>
      <w:bookmarkStart w:id="7" w:name="ABSTRACT_START"/>
      <w:bookmarkEnd w:id="7"/>
      <w:r w:rsidRPr="00BF4CD5">
        <w:rPr>
          <w:rFonts w:ascii="David" w:hAnsi="David"/>
          <w:rtl/>
        </w:rPr>
        <w:t xml:space="preserve">כתב האישום שהוגש כנגד הנאשם ביום 22.8.2023 ייחס לו פציעת המתלונן, כמו גם את נסיון פציעתו, על רקע סכסוך שהתגלע בינו לבין י', בן הנאשם. נטען, כי ביום 17.8.2023 הגיע הנאשם למספרה בה עבד המתלונן, מצויד במכשיר עשוי ברזל ובו זכוכית מגדלת, מכשיר שכונה על ידי הנאשם, כמו גם בהכרעת הדין, 'לופה', איים עליו לרצחו, ניסה לפצעו, ולאחר מכן אף פצעו בירכו, באמצעות הלופה, ומשהגיעו שוטרים למקום – התנגד למעצרו. </w:t>
      </w:r>
    </w:p>
    <w:p w14:paraId="1CA0A8FE" w14:textId="77777777" w:rsidR="00E07582" w:rsidRPr="00BF4CD5" w:rsidRDefault="00E07582" w:rsidP="00E07582">
      <w:pPr>
        <w:tabs>
          <w:tab w:val="left" w:pos="226"/>
        </w:tabs>
        <w:spacing w:line="260" w:lineRule="exact"/>
        <w:ind w:left="84"/>
        <w:contextualSpacing/>
        <w:jc w:val="both"/>
        <w:rPr>
          <w:rFonts w:ascii="David" w:hAnsi="David"/>
        </w:rPr>
      </w:pPr>
      <w:bookmarkStart w:id="8" w:name="ABSTRACT_END"/>
      <w:bookmarkEnd w:id="8"/>
    </w:p>
    <w:p w14:paraId="5A7FD706" w14:textId="77777777" w:rsidR="00E07582" w:rsidRPr="00BF4CD5" w:rsidRDefault="00E07582" w:rsidP="00E07582">
      <w:pPr>
        <w:numPr>
          <w:ilvl w:val="0"/>
          <w:numId w:val="1"/>
        </w:numPr>
        <w:tabs>
          <w:tab w:val="left" w:pos="226"/>
        </w:tabs>
        <w:spacing w:line="260" w:lineRule="exact"/>
        <w:ind w:left="84" w:firstLine="0"/>
        <w:contextualSpacing/>
        <w:jc w:val="both"/>
        <w:rPr>
          <w:rFonts w:ascii="David" w:hAnsi="David"/>
        </w:rPr>
      </w:pPr>
      <w:r w:rsidRPr="00BF4CD5">
        <w:rPr>
          <w:rFonts w:ascii="David" w:hAnsi="David"/>
          <w:rtl/>
        </w:rPr>
        <w:t xml:space="preserve">הנאשם הואשם בעבירות הבאות: איומים, עבירה לפי </w:t>
      </w:r>
      <w:hyperlink r:id="rId32" w:history="1">
        <w:r w:rsidR="00F93271" w:rsidRPr="00F93271">
          <w:rPr>
            <w:rStyle w:val="Hyperlink"/>
            <w:rFonts w:ascii="David" w:hAnsi="David"/>
            <w:rtl/>
          </w:rPr>
          <w:t>סעיף 192</w:t>
        </w:r>
      </w:hyperlink>
      <w:r w:rsidRPr="00BF4CD5">
        <w:rPr>
          <w:rFonts w:ascii="David" w:hAnsi="David"/>
          <w:rtl/>
        </w:rPr>
        <w:t xml:space="preserve"> ל</w:t>
      </w:r>
      <w:hyperlink r:id="rId33" w:history="1">
        <w:r w:rsidR="00EE787A" w:rsidRPr="00EE787A">
          <w:rPr>
            <w:rFonts w:ascii="David" w:hAnsi="David"/>
            <w:color w:val="0000FF"/>
            <w:u w:val="single"/>
            <w:rtl/>
          </w:rPr>
          <w:t>חוק העונשין</w:t>
        </w:r>
      </w:hyperlink>
      <w:r w:rsidRPr="00BF4CD5">
        <w:rPr>
          <w:rFonts w:ascii="David" w:hAnsi="David"/>
          <w:rtl/>
        </w:rPr>
        <w:t xml:space="preserve">, תשל"ז – 1977 (להלן: </w:t>
      </w:r>
      <w:r w:rsidRPr="00BF4CD5">
        <w:rPr>
          <w:rFonts w:ascii="Miriam" w:hAnsi="Miriam" w:cs="Miriam"/>
          <w:rtl/>
        </w:rPr>
        <w:t>החוק</w:t>
      </w:r>
      <w:r w:rsidRPr="00BF4CD5">
        <w:rPr>
          <w:rFonts w:ascii="David" w:hAnsi="David"/>
          <w:rtl/>
        </w:rPr>
        <w:t xml:space="preserve">); החזקת סכין שלא כדין, עבירה לפי </w:t>
      </w:r>
      <w:hyperlink r:id="rId34" w:history="1">
        <w:r w:rsidR="00F93271" w:rsidRPr="00F93271">
          <w:rPr>
            <w:rStyle w:val="Hyperlink"/>
            <w:rFonts w:ascii="David" w:hAnsi="David"/>
            <w:rtl/>
          </w:rPr>
          <w:t>סעיף 186(א)</w:t>
        </w:r>
      </w:hyperlink>
      <w:r w:rsidRPr="00BF4CD5">
        <w:rPr>
          <w:rFonts w:ascii="David" w:hAnsi="David"/>
          <w:rtl/>
        </w:rPr>
        <w:t xml:space="preserve"> לחוק; פציעה כשהעבריין מזוין, עבירה לפי </w:t>
      </w:r>
      <w:hyperlink r:id="rId35" w:history="1">
        <w:r w:rsidR="00F93271" w:rsidRPr="00F93271">
          <w:rPr>
            <w:rStyle w:val="Hyperlink"/>
            <w:rFonts w:ascii="David" w:hAnsi="David"/>
            <w:rtl/>
          </w:rPr>
          <w:t>סעיף 335(א)(1)</w:t>
        </w:r>
      </w:hyperlink>
      <w:r w:rsidRPr="00BF4CD5">
        <w:rPr>
          <w:rFonts w:ascii="David" w:hAnsi="David"/>
          <w:rtl/>
        </w:rPr>
        <w:t xml:space="preserve"> לחוק; ניסיון פציעה כאמור, עבירה לפי </w:t>
      </w:r>
      <w:hyperlink r:id="rId36" w:history="1">
        <w:r w:rsidR="00F93271" w:rsidRPr="00F93271">
          <w:rPr>
            <w:rStyle w:val="Hyperlink"/>
            <w:rFonts w:ascii="David" w:hAnsi="David"/>
            <w:rtl/>
          </w:rPr>
          <w:t>סעיף 335(א)(1)</w:t>
        </w:r>
      </w:hyperlink>
      <w:r w:rsidRPr="00BF4CD5">
        <w:rPr>
          <w:rFonts w:ascii="David" w:hAnsi="David"/>
          <w:rtl/>
        </w:rPr>
        <w:t xml:space="preserve"> בצירוף </w:t>
      </w:r>
      <w:hyperlink r:id="rId37" w:history="1">
        <w:r w:rsidR="00F93271" w:rsidRPr="00F93271">
          <w:rPr>
            <w:rStyle w:val="Hyperlink"/>
            <w:rFonts w:ascii="David" w:hAnsi="David"/>
            <w:rtl/>
          </w:rPr>
          <w:t>סעיף 25</w:t>
        </w:r>
      </w:hyperlink>
      <w:r w:rsidRPr="00BF4CD5">
        <w:rPr>
          <w:rFonts w:ascii="David" w:hAnsi="David"/>
          <w:rtl/>
        </w:rPr>
        <w:t xml:space="preserve"> לחוק והפרעה לשוטר במילוי תפקידו, עבירה לפי </w:t>
      </w:r>
      <w:hyperlink r:id="rId38" w:history="1">
        <w:r w:rsidR="00F93271" w:rsidRPr="00F93271">
          <w:rPr>
            <w:rStyle w:val="Hyperlink"/>
            <w:rFonts w:ascii="David" w:hAnsi="David"/>
            <w:rtl/>
          </w:rPr>
          <w:t>סעיף 275</w:t>
        </w:r>
      </w:hyperlink>
      <w:r w:rsidRPr="00BF4CD5">
        <w:rPr>
          <w:rFonts w:ascii="David" w:hAnsi="David"/>
          <w:rtl/>
        </w:rPr>
        <w:t xml:space="preserve"> לחוק. </w:t>
      </w:r>
    </w:p>
    <w:p w14:paraId="7568F2F5" w14:textId="77777777" w:rsidR="00E07582" w:rsidRPr="00BF4CD5" w:rsidRDefault="00E07582" w:rsidP="00E07582">
      <w:pPr>
        <w:tabs>
          <w:tab w:val="left" w:pos="226"/>
        </w:tabs>
        <w:spacing w:line="260" w:lineRule="exact"/>
        <w:ind w:left="84"/>
        <w:contextualSpacing/>
        <w:jc w:val="both"/>
        <w:rPr>
          <w:rFonts w:ascii="David" w:hAnsi="David"/>
        </w:rPr>
      </w:pPr>
    </w:p>
    <w:p w14:paraId="563D8734" w14:textId="77777777" w:rsidR="00E07582" w:rsidRPr="00BF4CD5" w:rsidRDefault="00E07582" w:rsidP="00E07582">
      <w:pPr>
        <w:numPr>
          <w:ilvl w:val="0"/>
          <w:numId w:val="1"/>
        </w:numPr>
        <w:tabs>
          <w:tab w:val="left" w:pos="226"/>
        </w:tabs>
        <w:spacing w:line="260" w:lineRule="exact"/>
        <w:ind w:left="84" w:firstLine="0"/>
        <w:contextualSpacing/>
        <w:jc w:val="both"/>
        <w:rPr>
          <w:rFonts w:ascii="David" w:hAnsi="David"/>
        </w:rPr>
      </w:pPr>
      <w:r w:rsidRPr="00BF4CD5">
        <w:rPr>
          <w:rFonts w:ascii="David" w:hAnsi="David"/>
          <w:rtl/>
        </w:rPr>
        <w:lastRenderedPageBreak/>
        <w:t>בתשובתו לאישום הודה הנאשם בעבירת החזקת הסכין, עבירת האיומים ועבירת ההפרעה לשוטר והכחיש את שתי עבירות הפציעה.</w:t>
      </w:r>
    </w:p>
    <w:p w14:paraId="1178CCCE" w14:textId="77777777" w:rsidR="00E07582" w:rsidRPr="00BF4CD5" w:rsidRDefault="00E07582" w:rsidP="00E07582">
      <w:pPr>
        <w:pStyle w:val="aa"/>
        <w:spacing w:line="260" w:lineRule="exact"/>
      </w:pPr>
    </w:p>
    <w:p w14:paraId="6255B86D" w14:textId="77777777" w:rsidR="00E07582" w:rsidRPr="00BF4CD5" w:rsidRDefault="00E07582" w:rsidP="00E07582">
      <w:pPr>
        <w:tabs>
          <w:tab w:val="left" w:pos="226"/>
        </w:tabs>
        <w:spacing w:line="260" w:lineRule="exact"/>
        <w:ind w:left="84"/>
        <w:contextualSpacing/>
        <w:jc w:val="both"/>
        <w:rPr>
          <w:rFonts w:ascii="David" w:hAnsi="David"/>
          <w:u w:val="single"/>
          <w:rtl/>
        </w:rPr>
      </w:pPr>
      <w:r w:rsidRPr="00BF4CD5">
        <w:rPr>
          <w:rFonts w:ascii="David" w:hAnsi="David"/>
          <w:u w:val="single"/>
          <w:rtl/>
        </w:rPr>
        <w:t>הכרעת הדין</w:t>
      </w:r>
    </w:p>
    <w:p w14:paraId="0D911347" w14:textId="77777777" w:rsidR="00E07582" w:rsidRPr="00BF4CD5" w:rsidRDefault="00E07582" w:rsidP="00E07582">
      <w:pPr>
        <w:numPr>
          <w:ilvl w:val="0"/>
          <w:numId w:val="1"/>
        </w:numPr>
        <w:tabs>
          <w:tab w:val="left" w:pos="226"/>
        </w:tabs>
        <w:spacing w:line="260" w:lineRule="exact"/>
        <w:ind w:left="84" w:firstLine="0"/>
        <w:contextualSpacing/>
        <w:jc w:val="both"/>
        <w:rPr>
          <w:rFonts w:ascii="David" w:hAnsi="David"/>
        </w:rPr>
      </w:pPr>
      <w:r w:rsidRPr="00BF4CD5">
        <w:rPr>
          <w:rFonts w:ascii="David" w:hAnsi="David"/>
          <w:rtl/>
        </w:rPr>
        <w:t>ביום 3.7.2024, לאחר שמיעת ראיות, הורשע הנאשם בכל המיוחס לו.</w:t>
      </w:r>
    </w:p>
    <w:p w14:paraId="119D50EE" w14:textId="77777777" w:rsidR="00E07582" w:rsidRPr="00BF4CD5" w:rsidRDefault="00E07582" w:rsidP="00E07582">
      <w:pPr>
        <w:pStyle w:val="aa"/>
        <w:spacing w:line="260" w:lineRule="exact"/>
      </w:pPr>
    </w:p>
    <w:p w14:paraId="5B366E89" w14:textId="77777777" w:rsidR="00E07582" w:rsidRPr="00BF4CD5" w:rsidRDefault="00E07582" w:rsidP="00E07582">
      <w:pPr>
        <w:tabs>
          <w:tab w:val="left" w:pos="226"/>
        </w:tabs>
        <w:spacing w:line="260" w:lineRule="exact"/>
        <w:ind w:left="84"/>
        <w:contextualSpacing/>
        <w:jc w:val="both"/>
        <w:rPr>
          <w:rFonts w:ascii="David" w:hAnsi="David"/>
          <w:rtl/>
        </w:rPr>
      </w:pPr>
      <w:r w:rsidRPr="00BF4CD5">
        <w:rPr>
          <w:rFonts w:ascii="David" w:hAnsi="David"/>
          <w:rtl/>
        </w:rPr>
        <w:tab/>
      </w:r>
      <w:r w:rsidRPr="00BF4CD5">
        <w:rPr>
          <w:rFonts w:ascii="David" w:hAnsi="David"/>
          <w:rtl/>
        </w:rPr>
        <w:tab/>
        <w:t>הכרעת הדין היא חלק בלתי נפרד מגזר הדין; יש לקרוא האחרון בזיקה לממצאיה העובדתיים ולקביעותי בנוגע לאופן התנהלות הנאשם במהלך האירוע ויחסו לעבירה ולמתלונן.</w:t>
      </w:r>
    </w:p>
    <w:p w14:paraId="523B60D3" w14:textId="77777777" w:rsidR="00E07582" w:rsidRPr="00BF4CD5" w:rsidRDefault="00E07582" w:rsidP="00E07582">
      <w:pPr>
        <w:tabs>
          <w:tab w:val="left" w:pos="226"/>
        </w:tabs>
        <w:spacing w:line="260" w:lineRule="exact"/>
        <w:ind w:left="84"/>
        <w:contextualSpacing/>
        <w:jc w:val="both"/>
        <w:rPr>
          <w:rFonts w:ascii="David" w:hAnsi="David"/>
        </w:rPr>
      </w:pPr>
    </w:p>
    <w:p w14:paraId="4AFE5D70" w14:textId="77777777" w:rsidR="00E07582" w:rsidRPr="00BF4CD5" w:rsidRDefault="00E07582" w:rsidP="00E07582">
      <w:pPr>
        <w:tabs>
          <w:tab w:val="left" w:pos="226"/>
        </w:tabs>
        <w:spacing w:line="260" w:lineRule="exact"/>
        <w:ind w:left="84"/>
        <w:contextualSpacing/>
        <w:jc w:val="both"/>
        <w:rPr>
          <w:rFonts w:ascii="David" w:hAnsi="David"/>
          <w:rtl/>
        </w:rPr>
      </w:pPr>
      <w:r w:rsidRPr="00BF4CD5">
        <w:rPr>
          <w:rFonts w:ascii="David" w:hAnsi="David"/>
          <w:rtl/>
        </w:rPr>
        <w:tab/>
      </w:r>
      <w:r w:rsidRPr="00BF4CD5">
        <w:rPr>
          <w:rFonts w:ascii="David" w:hAnsi="David"/>
          <w:rtl/>
        </w:rPr>
        <w:tab/>
        <w:t>בפסקה 11 להכרעת הדין (ככל שלא יאמר אחרת ההפניות הן להכרעת הדין, ש.ב) ציינתי כי: "קביעתי היא כי הנאשם הצטייד מראש, עוד טרם הגעתו למספרה, לא רק בלופה, אלא גם בחפץ בעל להב חד, המסוגל לחתוך, אליו אתייחס בהכרעת הדין כ-'סכין', והגיע למקום מתוך כוונה לפגוע פיזית במתלונן, לאחר שהטמין את הלופה ואת הסכין בתחבושת שהניח על ידו הימנית. הנאשם נכנס למספרה, ניגש למתלונן, בעוד זה עסוק במלאכתו, התקרב אליו וצעק עליו, ובמהלך כך הוציא את הסכין מהתחבושת והעבירה לידו השמאלית. המתלונן, בניסיון למנוע התדרדרות האירוע והסלמתו בתוככי המספרה ומחשש לפגיעה בלקוחותיו, אמר לנאשם: "בוא" והחל לצאת ממנה. בדרכו לדלת, התקיפו הנאשם, כשהוא אוחז בידיו בסכין ובלופה, וניסה לחבול בו ולפצעו באמצעותן, עד שהופל ארצה על ידי א'</w:t>
      </w:r>
      <w:r w:rsidRPr="00BF4CD5">
        <w:rPr>
          <w:rFonts w:ascii="David" w:hAnsi="David" w:hint="cs"/>
          <w:rtl/>
        </w:rPr>
        <w:t xml:space="preserve"> (עובד נוסף במספרה, ש.ב)</w:t>
      </w:r>
      <w:r w:rsidRPr="00BF4CD5">
        <w:rPr>
          <w:rFonts w:ascii="David" w:hAnsi="David"/>
          <w:rtl/>
        </w:rPr>
        <w:t>. הנאשם נאבק במתלונן גם לאחר נפילתו, ובשלב זה שיסף את ירכו הימנית באמצעות הסכין ופצעו. אף בהמשך, התפרע הנאשם ונלחם במתלונן ובאחרים שניסו לרסנו, והובא לרחבה אל מול המספרה, שם המשיך להיאבק במתלונן, שאחז ברגלו בניסיון למנוע ממנו לפגוע בו פעם נוספת. במהלך האירוע נגרמו למתלונן, כתוצאה מתקיפת הנאשם חבלה על רקתו השמאלית וכן חתך נוסף בצד חזהו, חבלה על זרועו ודימום מאפו".</w:t>
      </w:r>
    </w:p>
    <w:p w14:paraId="1B5362EA" w14:textId="77777777" w:rsidR="00E07582" w:rsidRPr="00BF4CD5" w:rsidRDefault="00E07582" w:rsidP="00E07582">
      <w:pPr>
        <w:tabs>
          <w:tab w:val="left" w:pos="226"/>
        </w:tabs>
        <w:spacing w:line="260" w:lineRule="exact"/>
        <w:ind w:left="84"/>
        <w:contextualSpacing/>
        <w:jc w:val="both"/>
        <w:rPr>
          <w:rFonts w:ascii="David" w:hAnsi="David"/>
          <w:rtl/>
        </w:rPr>
      </w:pPr>
    </w:p>
    <w:p w14:paraId="69065A96" w14:textId="77777777" w:rsidR="00E07582" w:rsidRPr="00BF4CD5" w:rsidRDefault="00E07582" w:rsidP="00E07582">
      <w:pPr>
        <w:tabs>
          <w:tab w:val="left" w:pos="226"/>
        </w:tabs>
        <w:spacing w:line="260" w:lineRule="exact"/>
        <w:ind w:left="84"/>
        <w:contextualSpacing/>
        <w:jc w:val="both"/>
        <w:rPr>
          <w:rFonts w:ascii="David" w:hAnsi="David"/>
          <w:rtl/>
        </w:rPr>
      </w:pPr>
      <w:r w:rsidRPr="00BF4CD5">
        <w:rPr>
          <w:rFonts w:ascii="David" w:hAnsi="David"/>
          <w:rtl/>
        </w:rPr>
        <w:tab/>
      </w:r>
      <w:r w:rsidRPr="00BF4CD5">
        <w:rPr>
          <w:rFonts w:ascii="David" w:hAnsi="David"/>
          <w:rtl/>
        </w:rPr>
        <w:tab/>
        <w:t xml:space="preserve">עובדות האירוע נפרשו בכתב האישום באופן בלתי מדויק וחסר. בשל כך, נדרשתי להוראות </w:t>
      </w:r>
      <w:hyperlink r:id="rId39" w:history="1">
        <w:r w:rsidR="00F93271" w:rsidRPr="00F93271">
          <w:rPr>
            <w:rStyle w:val="Hyperlink"/>
            <w:rFonts w:ascii="David" w:hAnsi="David"/>
            <w:rtl/>
          </w:rPr>
          <w:t>סעיף 184</w:t>
        </w:r>
      </w:hyperlink>
      <w:r w:rsidRPr="00BF4CD5">
        <w:rPr>
          <w:rFonts w:ascii="David" w:hAnsi="David"/>
          <w:rtl/>
        </w:rPr>
        <w:t xml:space="preserve"> ל</w:t>
      </w:r>
      <w:hyperlink r:id="rId40" w:history="1">
        <w:r w:rsidR="00EE787A" w:rsidRPr="00EE787A">
          <w:rPr>
            <w:rFonts w:ascii="David" w:hAnsi="David"/>
            <w:color w:val="0000FF"/>
            <w:u w:val="single"/>
            <w:rtl/>
          </w:rPr>
          <w:t>חוק סדר הדין הפלילי</w:t>
        </w:r>
      </w:hyperlink>
      <w:r w:rsidRPr="00BF4CD5">
        <w:rPr>
          <w:rFonts w:ascii="David" w:hAnsi="David"/>
          <w:rtl/>
        </w:rPr>
        <w:t xml:space="preserve"> [נוסח משולב], התשמ"ב –1982 (להלן: </w:t>
      </w:r>
      <w:r w:rsidRPr="00BF4CD5">
        <w:rPr>
          <w:rFonts w:ascii="Miriam" w:hAnsi="Miriam" w:cs="Miriam"/>
          <w:rtl/>
        </w:rPr>
        <w:t>ה</w:t>
      </w:r>
      <w:hyperlink r:id="rId41" w:history="1">
        <w:r w:rsidR="00EE787A" w:rsidRPr="00EE787A">
          <w:rPr>
            <w:rFonts w:ascii="Miriam" w:hAnsi="Miriam" w:cs="Miriam"/>
            <w:color w:val="0000FF"/>
            <w:u w:val="single"/>
            <w:rtl/>
          </w:rPr>
          <w:t>חסד"פ</w:t>
        </w:r>
      </w:hyperlink>
      <w:r w:rsidRPr="00BF4CD5">
        <w:rPr>
          <w:rFonts w:ascii="David" w:hAnsi="David"/>
          <w:rtl/>
        </w:rPr>
        <w:t>) בנוגע למגוון נושאים (פסקות 140-156).</w:t>
      </w:r>
    </w:p>
    <w:p w14:paraId="33CE1372" w14:textId="77777777" w:rsidR="00E07582" w:rsidRPr="00BF4CD5" w:rsidRDefault="00E07582" w:rsidP="00E07582">
      <w:pPr>
        <w:tabs>
          <w:tab w:val="left" w:pos="226"/>
        </w:tabs>
        <w:spacing w:line="260" w:lineRule="exact"/>
        <w:ind w:left="84"/>
        <w:contextualSpacing/>
        <w:jc w:val="both"/>
        <w:rPr>
          <w:rFonts w:ascii="David" w:hAnsi="David"/>
          <w:rtl/>
        </w:rPr>
      </w:pPr>
    </w:p>
    <w:p w14:paraId="03CCC5EC" w14:textId="77777777" w:rsidR="00E07582" w:rsidRPr="00BF4CD5" w:rsidRDefault="00E07582" w:rsidP="00E07582">
      <w:pPr>
        <w:tabs>
          <w:tab w:val="left" w:pos="226"/>
        </w:tabs>
        <w:spacing w:line="260" w:lineRule="exact"/>
        <w:ind w:left="84"/>
        <w:contextualSpacing/>
        <w:jc w:val="both"/>
        <w:rPr>
          <w:rFonts w:ascii="David" w:hAnsi="David"/>
          <w:rtl/>
        </w:rPr>
      </w:pPr>
      <w:r w:rsidRPr="00BF4CD5">
        <w:rPr>
          <w:rFonts w:ascii="David" w:hAnsi="David"/>
          <w:rtl/>
        </w:rPr>
        <w:tab/>
      </w:r>
      <w:r w:rsidRPr="00BF4CD5">
        <w:rPr>
          <w:rFonts w:ascii="David" w:hAnsi="David"/>
          <w:rtl/>
        </w:rPr>
        <w:tab/>
        <w:t>כעולה מהתמצית שצוטטה לעיל</w:t>
      </w:r>
      <w:r w:rsidRPr="00BF4CD5">
        <w:rPr>
          <w:rFonts w:ascii="David" w:hAnsi="David" w:hint="cs"/>
          <w:rtl/>
        </w:rPr>
        <w:t>,</w:t>
      </w:r>
      <w:r w:rsidRPr="00BF4CD5">
        <w:rPr>
          <w:rFonts w:ascii="David" w:hAnsi="David"/>
          <w:rtl/>
        </w:rPr>
        <w:t xml:space="preserve"> במהלך המשפט התברר כי התיאור העובדתי שבכתב האישום הנוגע לפציעת הנאשם באמצעות הלופה אינו נכון. קבעתי כי הלופה אינה סכין, שכן אין ביכולתה לדקור או לחתוך (פסקה 149) וכי פציעת המתלונן נעשתה באמצעות סכין בה הצטייד הנאשם (בנוסף ללופה) עוד טרם הגעתו למקום. קבעתי, בפסקה 147 להכרעת הדין כי "בנסיבות בהן יוחסו לנאשם מלכתחילה עבירות פציעה, גם אם באמצעות חפץ אחר, שהוגדר כסכין והוא אף הודה בעבירת החזקת הסכין וציין בעדותו מפורשות כי נכנס למספרה מצויד בתער ספרים, ספק האם יש צורך להידרש להוראות </w:t>
      </w:r>
      <w:hyperlink r:id="rId42" w:history="1">
        <w:r w:rsidR="00F93271" w:rsidRPr="00F93271">
          <w:rPr>
            <w:rStyle w:val="Hyperlink"/>
            <w:rFonts w:ascii="David" w:hAnsi="David"/>
            <w:rtl/>
          </w:rPr>
          <w:t>סעיף 184</w:t>
        </w:r>
      </w:hyperlink>
      <w:r w:rsidRPr="00BF4CD5">
        <w:rPr>
          <w:rFonts w:ascii="David" w:hAnsi="David"/>
          <w:rtl/>
        </w:rPr>
        <w:t xml:space="preserve"> ל</w:t>
      </w:r>
      <w:hyperlink r:id="rId43" w:history="1">
        <w:r w:rsidR="00EE787A" w:rsidRPr="00EE787A">
          <w:rPr>
            <w:rFonts w:ascii="David" w:hAnsi="David"/>
            <w:color w:val="0000FF"/>
            <w:u w:val="single"/>
            <w:rtl/>
          </w:rPr>
          <w:t>חסד"פ</w:t>
        </w:r>
      </w:hyperlink>
      <w:r w:rsidRPr="00BF4CD5">
        <w:rPr>
          <w:rFonts w:ascii="David" w:hAnsi="David"/>
          <w:rtl/>
        </w:rPr>
        <w:t xml:space="preserve">. כך או אחרת לנאשם נתנה הזדמנות סבירה להתגונן מפני פרט עובדתי זה. נושא הסכין היה לב המשפט, החלק המרכזי בו הדורש הכרעה. המתלונן ו-ר' </w:t>
      </w:r>
      <w:r w:rsidRPr="00BF4CD5">
        <w:rPr>
          <w:rFonts w:ascii="David" w:hAnsi="David" w:hint="cs"/>
          <w:rtl/>
        </w:rPr>
        <w:t xml:space="preserve">(עובדת נוספת במספרה, ש.ב) </w:t>
      </w:r>
      <w:r w:rsidRPr="00BF4CD5">
        <w:rPr>
          <w:rFonts w:ascii="David" w:hAnsi="David"/>
          <w:rtl/>
        </w:rPr>
        <w:t>נחקרו ממושכות בהקשר טיב החפץ בו נעשה שימוש על ידי הנאשם לשם פגיעה במתלונן. הנאשם אישר כי הצטייד בסכין, גם אם טענתו לאי-שימוש בה נדחתה. המאשימה, עוד טרם סיכומי ההגנה, הבהירה כי לשיטתה, בנקודת זמן זו, הפגיעה נעשתה שלא באמצעות הלופה ואף הסנגור נדרש לכך בסכומיו. עוד בחקירתו, כמו גם בתשובתו לכתב האישום, הודה הנאשם כי החזיק בסכין".</w:t>
      </w:r>
    </w:p>
    <w:p w14:paraId="61D1A97A" w14:textId="77777777" w:rsidR="00E07582" w:rsidRPr="00BF4CD5" w:rsidRDefault="00E07582" w:rsidP="00E07582">
      <w:pPr>
        <w:tabs>
          <w:tab w:val="left" w:pos="226"/>
        </w:tabs>
        <w:spacing w:line="260" w:lineRule="exact"/>
        <w:ind w:left="84"/>
        <w:contextualSpacing/>
        <w:jc w:val="both"/>
        <w:rPr>
          <w:rFonts w:ascii="David" w:hAnsi="David"/>
        </w:rPr>
      </w:pPr>
    </w:p>
    <w:p w14:paraId="435F96BF" w14:textId="77777777" w:rsidR="00E07582" w:rsidRPr="00BF4CD5" w:rsidRDefault="00E07582" w:rsidP="00E07582">
      <w:pPr>
        <w:tabs>
          <w:tab w:val="left" w:pos="226"/>
        </w:tabs>
        <w:spacing w:line="260" w:lineRule="exact"/>
        <w:ind w:left="84"/>
        <w:contextualSpacing/>
        <w:jc w:val="both"/>
        <w:rPr>
          <w:rFonts w:ascii="David" w:hAnsi="David"/>
          <w:rtl/>
        </w:rPr>
      </w:pPr>
      <w:r w:rsidRPr="00BF4CD5">
        <w:rPr>
          <w:rFonts w:ascii="David" w:hAnsi="David"/>
          <w:rtl/>
        </w:rPr>
        <w:tab/>
      </w:r>
      <w:r w:rsidRPr="00BF4CD5">
        <w:rPr>
          <w:rFonts w:ascii="David" w:hAnsi="David"/>
          <w:rtl/>
        </w:rPr>
        <w:tab/>
        <w:t>הנאשם הודה בתחילת ההליך בעבירת החזקת הסכין; אלא שכתב האישום הגדיר את הלופה, ש</w:t>
      </w:r>
      <w:r w:rsidRPr="00BF4CD5">
        <w:rPr>
          <w:rFonts w:ascii="David" w:hAnsi="David" w:hint="cs"/>
          <w:rtl/>
        </w:rPr>
        <w:t xml:space="preserve">כאמור </w:t>
      </w:r>
      <w:r w:rsidRPr="00BF4CD5">
        <w:rPr>
          <w:rFonts w:ascii="David" w:hAnsi="David"/>
          <w:rtl/>
        </w:rPr>
        <w:t xml:space="preserve">אינה מסוגלת לחתוך או לדקור, כסכין. על אף שעוד בחקירתו במשטרה אישר הנאשם כי הצטייד בתער ספרים בנוסף ללופה טרם כניסתו למספרה, לא נכללה עובדה זו בכתב האישום. בהקשר זה ציינתי בפסקה 151 כי "אני קובעת אפוא, ולו בהתאם לסמכותי לפי הוראות </w:t>
      </w:r>
      <w:hyperlink r:id="rId44" w:history="1">
        <w:r w:rsidR="00F93271" w:rsidRPr="00F93271">
          <w:rPr>
            <w:rStyle w:val="Hyperlink"/>
            <w:rFonts w:ascii="David" w:hAnsi="David"/>
            <w:rtl/>
          </w:rPr>
          <w:t>סעיף 184</w:t>
        </w:r>
      </w:hyperlink>
      <w:r w:rsidRPr="00BF4CD5">
        <w:rPr>
          <w:rFonts w:ascii="David" w:hAnsi="David"/>
          <w:rtl/>
        </w:rPr>
        <w:t xml:space="preserve"> ל</w:t>
      </w:r>
      <w:hyperlink r:id="rId45" w:history="1">
        <w:r w:rsidR="00EE787A" w:rsidRPr="00EE787A">
          <w:rPr>
            <w:rFonts w:ascii="David" w:hAnsi="David"/>
            <w:color w:val="0000FF"/>
            <w:u w:val="single"/>
            <w:rtl/>
          </w:rPr>
          <w:t>חסד"פ</w:t>
        </w:r>
      </w:hyperlink>
      <w:r w:rsidRPr="00BF4CD5">
        <w:rPr>
          <w:rFonts w:ascii="David" w:hAnsi="David"/>
          <w:rtl/>
        </w:rPr>
        <w:t xml:space="preserve">, כי אשמתו של הנאשם בעבירה זו הוכחה, מעבר לכל ספק סביר, בהקשר הסכין בה הצטייד טרם כניסתו למספרה, על יסוד הראיות שהובאו לפני במהלך המשפט, לרבות הודאתו". </w:t>
      </w:r>
    </w:p>
    <w:p w14:paraId="4526E6AB" w14:textId="77777777" w:rsidR="00E07582" w:rsidRPr="00BF4CD5" w:rsidRDefault="00E07582" w:rsidP="00E07582">
      <w:pPr>
        <w:tabs>
          <w:tab w:val="left" w:pos="226"/>
        </w:tabs>
        <w:spacing w:line="260" w:lineRule="exact"/>
        <w:ind w:left="84"/>
        <w:contextualSpacing/>
        <w:jc w:val="both"/>
        <w:rPr>
          <w:rFonts w:ascii="David" w:hAnsi="David"/>
          <w:rtl/>
        </w:rPr>
      </w:pPr>
    </w:p>
    <w:p w14:paraId="006BFA54" w14:textId="77777777" w:rsidR="00E07582" w:rsidRPr="00BF4CD5" w:rsidRDefault="00E07582" w:rsidP="00E07582">
      <w:pPr>
        <w:tabs>
          <w:tab w:val="left" w:pos="226"/>
        </w:tabs>
        <w:spacing w:line="260" w:lineRule="exact"/>
        <w:ind w:left="84"/>
        <w:contextualSpacing/>
        <w:jc w:val="both"/>
        <w:rPr>
          <w:rFonts w:ascii="David" w:hAnsi="David"/>
          <w:rtl/>
        </w:rPr>
      </w:pPr>
      <w:r w:rsidRPr="00BF4CD5">
        <w:rPr>
          <w:rFonts w:ascii="David" w:hAnsi="David"/>
          <w:rtl/>
        </w:rPr>
        <w:tab/>
      </w:r>
      <w:r w:rsidRPr="00BF4CD5">
        <w:rPr>
          <w:rFonts w:ascii="David" w:hAnsi="David"/>
          <w:rtl/>
        </w:rPr>
        <w:tab/>
        <w:t xml:space="preserve">ועוד: מסרטוני מצלמות האבטחה ומראיות נוספות שהתבררו במשפט, עלה כי הנאשם תקף את המתלונן, מספר פעמים, ואף גרם לו לחבלות שלא צוינו בכתב האישום. </w:t>
      </w:r>
    </w:p>
    <w:p w14:paraId="496F1193" w14:textId="77777777" w:rsidR="00E07582" w:rsidRPr="00BF4CD5" w:rsidRDefault="00E07582" w:rsidP="00E07582">
      <w:pPr>
        <w:tabs>
          <w:tab w:val="left" w:pos="226"/>
        </w:tabs>
        <w:spacing w:line="260" w:lineRule="exact"/>
        <w:ind w:left="84"/>
        <w:contextualSpacing/>
        <w:jc w:val="both"/>
        <w:rPr>
          <w:rFonts w:ascii="David" w:hAnsi="David"/>
          <w:rtl/>
        </w:rPr>
      </w:pPr>
    </w:p>
    <w:p w14:paraId="450222EC" w14:textId="77777777" w:rsidR="00E07582" w:rsidRPr="00BF4CD5" w:rsidRDefault="00E07582" w:rsidP="00E07582">
      <w:pPr>
        <w:tabs>
          <w:tab w:val="left" w:pos="226"/>
        </w:tabs>
        <w:spacing w:line="260" w:lineRule="exact"/>
        <w:ind w:left="84"/>
        <w:contextualSpacing/>
        <w:jc w:val="both"/>
        <w:rPr>
          <w:rFonts w:ascii="David" w:hAnsi="David"/>
          <w:rtl/>
        </w:rPr>
      </w:pPr>
      <w:r w:rsidRPr="00BF4CD5">
        <w:rPr>
          <w:rFonts w:ascii="David" w:hAnsi="David"/>
          <w:rtl/>
        </w:rPr>
        <w:tab/>
      </w:r>
      <w:r w:rsidRPr="00BF4CD5">
        <w:rPr>
          <w:rFonts w:ascii="David" w:hAnsi="David"/>
          <w:rtl/>
        </w:rPr>
        <w:tab/>
        <w:t xml:space="preserve">לאחר שקילה, נמנעתי משימוש בסמכותי לפי הוראות </w:t>
      </w:r>
      <w:hyperlink r:id="rId46" w:history="1">
        <w:r w:rsidR="00F93271" w:rsidRPr="00F93271">
          <w:rPr>
            <w:rStyle w:val="Hyperlink"/>
            <w:rFonts w:ascii="David" w:hAnsi="David"/>
            <w:rtl/>
          </w:rPr>
          <w:t>סעיף 184</w:t>
        </w:r>
      </w:hyperlink>
      <w:r w:rsidRPr="00BF4CD5">
        <w:rPr>
          <w:rFonts w:ascii="David" w:hAnsi="David"/>
          <w:rtl/>
        </w:rPr>
        <w:t xml:space="preserve"> ל</w:t>
      </w:r>
      <w:hyperlink r:id="rId47" w:history="1">
        <w:r w:rsidR="00EE787A" w:rsidRPr="00EE787A">
          <w:rPr>
            <w:rFonts w:ascii="David" w:hAnsi="David"/>
            <w:color w:val="0000FF"/>
            <w:u w:val="single"/>
            <w:rtl/>
          </w:rPr>
          <w:t>חסד"פ</w:t>
        </w:r>
      </w:hyperlink>
      <w:r w:rsidRPr="00BF4CD5">
        <w:rPr>
          <w:rFonts w:ascii="David" w:hAnsi="David"/>
          <w:rtl/>
        </w:rPr>
        <w:t xml:space="preserve"> בנוגע לאותן עובדות נוספות ועבירות התקיפה שעלו במשפט: תקיפת המתלונן בחלקו הראשון של האירוע, חבלות שלא צוינו בכתב האישום ונסיון תקיפה נוסף שהתרחש בשלב ריסון הנאשם מחוץ למספרה. בצד זאת נקבע כי אותן עובדות ועבירות הוכחו מעבר לכל ספק סביר (פסקה 155 להכרעת הדין) וכי לנאשם נתנה הזדמנות סבירה להתגונן מפניהן. ציינתי כי טענות הצדדים בהקשר קביעות אלו שמורות להן בהמשך ההליך, בהתאם להוראות </w:t>
      </w:r>
      <w:hyperlink r:id="rId48" w:history="1">
        <w:r w:rsidR="00F93271" w:rsidRPr="00F93271">
          <w:rPr>
            <w:rStyle w:val="Hyperlink"/>
            <w:rFonts w:ascii="David" w:hAnsi="David"/>
            <w:rtl/>
          </w:rPr>
          <w:t>סעיף 40י</w:t>
        </w:r>
      </w:hyperlink>
      <w:r w:rsidRPr="00BF4CD5">
        <w:rPr>
          <w:rFonts w:ascii="David" w:hAnsi="David"/>
          <w:rtl/>
        </w:rPr>
        <w:t xml:space="preserve"> לחוק, שעניינו נסיבות הקשורות לביצוע העבירה.</w:t>
      </w:r>
    </w:p>
    <w:p w14:paraId="7E0299F6" w14:textId="77777777" w:rsidR="00E07582" w:rsidRPr="00BF4CD5" w:rsidRDefault="00E07582" w:rsidP="00E07582">
      <w:pPr>
        <w:tabs>
          <w:tab w:val="left" w:pos="226"/>
        </w:tabs>
        <w:spacing w:line="260" w:lineRule="exact"/>
        <w:ind w:left="84"/>
        <w:contextualSpacing/>
        <w:jc w:val="both"/>
        <w:rPr>
          <w:rFonts w:ascii="David" w:hAnsi="David"/>
          <w:rtl/>
        </w:rPr>
      </w:pPr>
    </w:p>
    <w:p w14:paraId="44D97797" w14:textId="77777777" w:rsidR="00E07582" w:rsidRPr="00BF4CD5" w:rsidRDefault="00E07582" w:rsidP="00E07582">
      <w:pPr>
        <w:tabs>
          <w:tab w:val="left" w:pos="226"/>
        </w:tabs>
        <w:spacing w:line="260" w:lineRule="exact"/>
        <w:ind w:left="84"/>
        <w:contextualSpacing/>
        <w:jc w:val="both"/>
        <w:rPr>
          <w:rFonts w:ascii="David" w:hAnsi="David"/>
          <w:rtl/>
        </w:rPr>
      </w:pPr>
      <w:r w:rsidRPr="00BF4CD5">
        <w:rPr>
          <w:rFonts w:ascii="David" w:hAnsi="David"/>
          <w:rtl/>
        </w:rPr>
        <w:tab/>
      </w:r>
      <w:r w:rsidRPr="00BF4CD5">
        <w:rPr>
          <w:rFonts w:ascii="David" w:hAnsi="David"/>
          <w:rtl/>
        </w:rPr>
        <w:tab/>
        <w:t xml:space="preserve">עוד מצאתי כי חלק מהתיאור העובדתי בכתב האישום, הנוגע לעניין חמישה נסיונות דקירה של הנאשם את "המתלונן והסובבים אותו" בסוף האירוע, "בעודו שרוע על הרצפה", לא הוכח במידה הנדרשת בפלילים (פסקה 156). </w:t>
      </w:r>
    </w:p>
    <w:p w14:paraId="65CDB432" w14:textId="77777777" w:rsidR="00E07582" w:rsidRPr="00BF4CD5" w:rsidRDefault="00E07582" w:rsidP="00E07582">
      <w:pPr>
        <w:tabs>
          <w:tab w:val="left" w:pos="226"/>
        </w:tabs>
        <w:spacing w:line="260" w:lineRule="exact"/>
        <w:ind w:left="84"/>
        <w:contextualSpacing/>
        <w:jc w:val="both"/>
        <w:rPr>
          <w:rFonts w:ascii="David" w:hAnsi="David"/>
        </w:rPr>
      </w:pPr>
    </w:p>
    <w:p w14:paraId="1F86C1ED" w14:textId="77777777" w:rsidR="00E07582" w:rsidRPr="00BF4CD5" w:rsidRDefault="00E07582" w:rsidP="00E07582">
      <w:pPr>
        <w:tabs>
          <w:tab w:val="left" w:pos="226"/>
        </w:tabs>
        <w:spacing w:line="260" w:lineRule="exact"/>
        <w:ind w:left="85"/>
        <w:contextualSpacing/>
        <w:jc w:val="both"/>
        <w:rPr>
          <w:rFonts w:ascii="David" w:hAnsi="David"/>
          <w:u w:val="single"/>
        </w:rPr>
      </w:pPr>
      <w:r w:rsidRPr="00BF4CD5">
        <w:rPr>
          <w:rFonts w:ascii="David" w:hAnsi="David"/>
          <w:u w:val="single"/>
          <w:rtl/>
        </w:rPr>
        <w:t>טיעוני הצדדים לעונש</w:t>
      </w:r>
    </w:p>
    <w:p w14:paraId="0FCA59D2" w14:textId="77777777" w:rsidR="00E07582" w:rsidRPr="00BF4CD5" w:rsidRDefault="00E07582" w:rsidP="00E07582">
      <w:pPr>
        <w:numPr>
          <w:ilvl w:val="0"/>
          <w:numId w:val="1"/>
        </w:numPr>
        <w:tabs>
          <w:tab w:val="left" w:pos="226"/>
        </w:tabs>
        <w:spacing w:line="260" w:lineRule="exact"/>
        <w:ind w:left="84" w:firstLine="0"/>
        <w:contextualSpacing/>
        <w:jc w:val="both"/>
        <w:rPr>
          <w:rFonts w:ascii="David" w:hAnsi="David"/>
          <w:rtl/>
        </w:rPr>
      </w:pPr>
      <w:r w:rsidRPr="00BF4CD5">
        <w:rPr>
          <w:rFonts w:ascii="David" w:hAnsi="David"/>
          <w:rtl/>
        </w:rPr>
        <w:t xml:space="preserve">טיעוני הצדדים לעונש נשמעו לפני ביום 10.7.2024. </w:t>
      </w:r>
    </w:p>
    <w:p w14:paraId="60E49405" w14:textId="77777777" w:rsidR="00E07582" w:rsidRPr="00BF4CD5" w:rsidRDefault="00EE787A" w:rsidP="00E07582">
      <w:pPr>
        <w:spacing w:line="260" w:lineRule="exact"/>
        <w:ind w:left="84"/>
        <w:contextualSpacing/>
        <w:jc w:val="both"/>
        <w:rPr>
          <w:rFonts w:ascii="David" w:hAnsi="David"/>
        </w:rPr>
      </w:pPr>
      <w:r>
        <w:rPr>
          <w:rFonts w:ascii="David" w:hAnsi="David"/>
          <w:b/>
          <w:bCs/>
          <w:rtl/>
        </w:rPr>
        <w:t xml:space="preserve">      </w:t>
      </w:r>
      <w:r w:rsidR="00E07582" w:rsidRPr="00BF4CD5">
        <w:rPr>
          <w:rFonts w:ascii="David" w:hAnsi="David"/>
          <w:b/>
          <w:bCs/>
          <w:rtl/>
        </w:rPr>
        <w:t xml:space="preserve"> </w:t>
      </w:r>
      <w:r>
        <w:rPr>
          <w:rFonts w:ascii="David" w:hAnsi="David"/>
          <w:b/>
          <w:bCs/>
          <w:rtl/>
        </w:rPr>
        <w:t xml:space="preserve">     </w:t>
      </w:r>
      <w:r w:rsidR="00E07582" w:rsidRPr="00BF4CD5">
        <w:rPr>
          <w:rFonts w:ascii="David" w:hAnsi="David"/>
          <w:rtl/>
        </w:rPr>
        <w:t xml:space="preserve">בפתח הדיון הציגה </w:t>
      </w:r>
      <w:r w:rsidR="00E07582" w:rsidRPr="00BF4CD5">
        <w:rPr>
          <w:rFonts w:ascii="David" w:hAnsi="David"/>
          <w:b/>
          <w:bCs/>
          <w:rtl/>
        </w:rPr>
        <w:t>המאשימה</w:t>
      </w:r>
      <w:r w:rsidR="00E07582" w:rsidRPr="00BF4CD5">
        <w:rPr>
          <w:rFonts w:ascii="David" w:hAnsi="David"/>
          <w:rtl/>
        </w:rPr>
        <w:t xml:space="preserve"> את רישומו הפלילי של הנאשם וגזר דין הכולל מאסר מותנה שהוטל עליו בתיק קודם שלטענתה לא הרתיעו. המאשימה הדגישה את התנהלותו העבריינית של הנאשם, שהצטייד בסכין ופצע את המתלונן בצורה אכזרית, באור יום, אל מול אחרים, לרבות ילדים ונשים ואת העובדה כי אף לאחר שנתפס, השתולל וניסה לתקוף שוב. כן ציינה את מכלול נזקי המתלונן, לרבות האפשרות לגרימת נזק חמור יותר. </w:t>
      </w:r>
    </w:p>
    <w:p w14:paraId="3C0F6FA4" w14:textId="77777777" w:rsidR="00E07582" w:rsidRPr="00BF4CD5" w:rsidRDefault="00E07582" w:rsidP="00E07582">
      <w:pPr>
        <w:spacing w:line="260" w:lineRule="exact"/>
        <w:ind w:left="84"/>
        <w:contextualSpacing/>
        <w:jc w:val="both"/>
        <w:rPr>
          <w:rFonts w:ascii="David" w:hAnsi="David"/>
          <w:rtl/>
        </w:rPr>
      </w:pPr>
    </w:p>
    <w:p w14:paraId="373AA8AA" w14:textId="77777777" w:rsidR="00E07582" w:rsidRPr="00BF4CD5" w:rsidRDefault="00E07582" w:rsidP="00E07582">
      <w:pPr>
        <w:spacing w:line="260" w:lineRule="exact"/>
        <w:ind w:left="84"/>
        <w:contextualSpacing/>
        <w:jc w:val="both"/>
        <w:rPr>
          <w:rFonts w:ascii="David" w:hAnsi="David"/>
          <w:rtl/>
        </w:rPr>
      </w:pPr>
      <w:r w:rsidRPr="00BF4CD5">
        <w:rPr>
          <w:rFonts w:ascii="David" w:hAnsi="David"/>
          <w:rtl/>
        </w:rPr>
        <w:tab/>
        <w:t>בהינתן זאת, ובפגיעה בערכים המוגנים, עתרה המאשימה למתחם ענישה שנע בין 24 חודשים ועד 48 חודשים, בצד ענישה נלווית.</w:t>
      </w:r>
    </w:p>
    <w:p w14:paraId="6065638A" w14:textId="77777777" w:rsidR="00E07582" w:rsidRPr="00BF4CD5" w:rsidRDefault="00E07582" w:rsidP="00E07582">
      <w:pPr>
        <w:spacing w:line="260" w:lineRule="exact"/>
        <w:ind w:left="84"/>
        <w:contextualSpacing/>
        <w:jc w:val="both"/>
        <w:rPr>
          <w:rFonts w:ascii="David" w:hAnsi="David"/>
          <w:rtl/>
        </w:rPr>
      </w:pPr>
    </w:p>
    <w:p w14:paraId="2CA8808C" w14:textId="77777777" w:rsidR="00E07582" w:rsidRPr="00BF4CD5" w:rsidRDefault="00E07582" w:rsidP="00E07582">
      <w:pPr>
        <w:spacing w:line="260" w:lineRule="exact"/>
        <w:ind w:left="84" w:firstLine="636"/>
        <w:contextualSpacing/>
        <w:jc w:val="both"/>
        <w:rPr>
          <w:rFonts w:ascii="David" w:hAnsi="David"/>
          <w:rtl/>
        </w:rPr>
      </w:pPr>
      <w:r w:rsidRPr="00BF4CD5">
        <w:rPr>
          <w:rFonts w:ascii="David" w:hAnsi="David"/>
          <w:rtl/>
        </w:rPr>
        <w:t xml:space="preserve">אשר לנסיבות שאינן קשורות לביצוע העבירה, הפנתה המדינה לעבר הפלילי, להעדר לקיחת האחריות ולזלזול בחומרת המעשים, וביקשה למקם את הנאשם בשליש או ברף העליון של המתחם, בצד הפעלת המאסר המותנה במצטבר, הטלת מאסר מותנה, פיצוי משמעותי והתחייבות להימנע מביצוע עבירות. </w:t>
      </w:r>
    </w:p>
    <w:p w14:paraId="57584569" w14:textId="77777777" w:rsidR="00E07582" w:rsidRPr="00BF4CD5" w:rsidRDefault="00E07582" w:rsidP="00E07582">
      <w:pPr>
        <w:spacing w:line="260" w:lineRule="exact"/>
        <w:ind w:left="84"/>
        <w:contextualSpacing/>
        <w:jc w:val="both"/>
        <w:rPr>
          <w:rFonts w:ascii="David" w:hAnsi="David"/>
          <w:rtl/>
        </w:rPr>
      </w:pPr>
    </w:p>
    <w:p w14:paraId="706BC314" w14:textId="77777777" w:rsidR="00E07582" w:rsidRPr="00BF4CD5" w:rsidRDefault="00E07582" w:rsidP="00E07582">
      <w:pPr>
        <w:spacing w:line="260" w:lineRule="exact"/>
        <w:ind w:left="84" w:firstLine="636"/>
        <w:contextualSpacing/>
        <w:jc w:val="both"/>
        <w:rPr>
          <w:rFonts w:ascii="David" w:hAnsi="David"/>
          <w:rtl/>
        </w:rPr>
      </w:pPr>
      <w:r w:rsidRPr="00BF4CD5">
        <w:rPr>
          <w:rFonts w:ascii="David" w:hAnsi="David"/>
          <w:rtl/>
        </w:rPr>
        <w:t xml:space="preserve">לטענת </w:t>
      </w:r>
      <w:r w:rsidRPr="00BF4CD5">
        <w:rPr>
          <w:rFonts w:ascii="David" w:hAnsi="David"/>
          <w:b/>
          <w:bCs/>
          <w:rtl/>
        </w:rPr>
        <w:t>ההגנה</w:t>
      </w:r>
      <w:r w:rsidRPr="00BF4CD5">
        <w:rPr>
          <w:rFonts w:ascii="David" w:hAnsi="David"/>
          <w:rtl/>
        </w:rPr>
        <w:t xml:space="preserve"> פעולות הנאשם נועדו לגונן על בנו. הסנגור הדגיש את דברי הרופא שהעיד בהליך לפיהם מדובר בחבלה שטחית, שלא חדרה לשריר, ואף אם הנזק "נראה לא טוב, מזעזע", מדובר בחבלה נקודתית. עוד ציין כי </w:t>
      </w:r>
      <w:r w:rsidRPr="00BF4CD5">
        <w:rPr>
          <w:rFonts w:ascii="David" w:hAnsi="David" w:hint="cs"/>
          <w:rtl/>
        </w:rPr>
        <w:t xml:space="preserve">עולה מחקירת הנאשם כי זה </w:t>
      </w:r>
      <w:r w:rsidRPr="00BF4CD5">
        <w:rPr>
          <w:rFonts w:ascii="David" w:hAnsi="David"/>
          <w:rtl/>
        </w:rPr>
        <w:t>"הופתע" מ</w:t>
      </w:r>
      <w:r w:rsidRPr="00BF4CD5">
        <w:rPr>
          <w:rFonts w:ascii="David" w:hAnsi="David" w:hint="cs"/>
          <w:rtl/>
        </w:rPr>
        <w:t xml:space="preserve">מראה החתך </w:t>
      </w:r>
      <w:r w:rsidRPr="00BF4CD5">
        <w:rPr>
          <w:rFonts w:ascii="David" w:hAnsi="David"/>
          <w:rtl/>
        </w:rPr>
        <w:t xml:space="preserve">והדבר מעיד על כך שלא התכוון לפגוע בו או לדקור אותו "בצורה שנראית". הסנגור אף הפנה לעובדה כי הנאשם הושפל ונגרר על רצפת הרחבה לאחר האירוע ולכך שאף שהנאשם "מרגיש שהוא קרבן", תחושה זו אינה מנותקת מהקשר הפגיעה בבנו. </w:t>
      </w:r>
    </w:p>
    <w:p w14:paraId="7127D2B8" w14:textId="77777777" w:rsidR="00E07582" w:rsidRPr="00BF4CD5" w:rsidRDefault="00E07582" w:rsidP="00E07582">
      <w:pPr>
        <w:spacing w:line="260" w:lineRule="exact"/>
        <w:ind w:left="84" w:firstLine="636"/>
        <w:contextualSpacing/>
        <w:jc w:val="both"/>
        <w:rPr>
          <w:rFonts w:ascii="David" w:hAnsi="David"/>
          <w:rtl/>
        </w:rPr>
      </w:pPr>
    </w:p>
    <w:p w14:paraId="1FCBD1CF" w14:textId="77777777" w:rsidR="00E07582" w:rsidRPr="00BF4CD5" w:rsidRDefault="00E07582" w:rsidP="00E07582">
      <w:pPr>
        <w:spacing w:line="260" w:lineRule="exact"/>
        <w:ind w:left="84" w:firstLine="636"/>
        <w:contextualSpacing/>
        <w:jc w:val="both"/>
        <w:rPr>
          <w:rFonts w:ascii="David" w:hAnsi="David"/>
          <w:rtl/>
        </w:rPr>
      </w:pPr>
      <w:r w:rsidRPr="00BF4CD5">
        <w:rPr>
          <w:rFonts w:ascii="David" w:hAnsi="David"/>
          <w:rtl/>
        </w:rPr>
        <w:t xml:space="preserve">הסנגור הדגיש את נסיבותיו האישיות של הנאשם, היותו אב וסב לרבּים, רקעו הפסיכיאטרי וחווית המעצר הקשה, גם על רקע גילו. </w:t>
      </w:r>
    </w:p>
    <w:p w14:paraId="693CBA81" w14:textId="77777777" w:rsidR="00E07582" w:rsidRPr="00BF4CD5" w:rsidRDefault="00E07582" w:rsidP="00E07582">
      <w:pPr>
        <w:spacing w:line="260" w:lineRule="exact"/>
        <w:ind w:left="84" w:firstLine="636"/>
        <w:contextualSpacing/>
        <w:jc w:val="both"/>
        <w:rPr>
          <w:rFonts w:ascii="David" w:hAnsi="David"/>
          <w:rtl/>
        </w:rPr>
      </w:pPr>
    </w:p>
    <w:p w14:paraId="59CBCB91" w14:textId="77777777" w:rsidR="00E07582" w:rsidRPr="00BF4CD5" w:rsidRDefault="00E07582" w:rsidP="00E07582">
      <w:pPr>
        <w:spacing w:line="260" w:lineRule="exact"/>
        <w:ind w:left="84" w:firstLine="636"/>
        <w:contextualSpacing/>
        <w:jc w:val="both"/>
        <w:rPr>
          <w:rFonts w:ascii="David" w:hAnsi="David"/>
          <w:rtl/>
        </w:rPr>
      </w:pPr>
      <w:r w:rsidRPr="00BF4CD5">
        <w:rPr>
          <w:rFonts w:ascii="David" w:hAnsi="David"/>
          <w:rtl/>
        </w:rPr>
        <w:t xml:space="preserve">ההגנה עתרה לקביעת מתחם שינוע בין תקופת מעצרו של הנאשם לבין רף עליון של שנתיים מאסר (המקביל לרף התחתון שהציעה המאשימה) ולגזירת עונש הנאשם במסגרת מתחם זה. </w:t>
      </w:r>
    </w:p>
    <w:p w14:paraId="7A4D584F" w14:textId="77777777" w:rsidR="00E07582" w:rsidRPr="00BF4CD5" w:rsidRDefault="00EE787A" w:rsidP="00E07582">
      <w:pPr>
        <w:spacing w:line="260" w:lineRule="exact"/>
        <w:ind w:left="84"/>
        <w:contextualSpacing/>
        <w:jc w:val="both"/>
        <w:rPr>
          <w:rFonts w:ascii="David" w:hAnsi="David"/>
          <w:rtl/>
        </w:rPr>
      </w:pPr>
      <w:r>
        <w:rPr>
          <w:rFonts w:ascii="David" w:hAnsi="David"/>
          <w:rtl/>
        </w:rPr>
        <w:t xml:space="preserve"> </w:t>
      </w:r>
      <w:r w:rsidR="00E07582" w:rsidRPr="00BF4CD5">
        <w:rPr>
          <w:rFonts w:ascii="David" w:hAnsi="David"/>
          <w:rtl/>
        </w:rPr>
        <w:t xml:space="preserve"> </w:t>
      </w:r>
      <w:r>
        <w:rPr>
          <w:rFonts w:ascii="David" w:hAnsi="David"/>
          <w:rtl/>
        </w:rPr>
        <w:t xml:space="preserve">         </w:t>
      </w:r>
    </w:p>
    <w:p w14:paraId="0441B85A" w14:textId="77777777" w:rsidR="00E07582" w:rsidRPr="00BF4CD5" w:rsidRDefault="00E07582" w:rsidP="00E07582">
      <w:pPr>
        <w:tabs>
          <w:tab w:val="left" w:pos="226"/>
        </w:tabs>
        <w:spacing w:line="260" w:lineRule="exact"/>
        <w:ind w:left="84"/>
        <w:contextualSpacing/>
        <w:jc w:val="both"/>
        <w:rPr>
          <w:rFonts w:ascii="David" w:hAnsi="David"/>
        </w:rPr>
      </w:pPr>
      <w:r w:rsidRPr="00BF4CD5">
        <w:rPr>
          <w:rFonts w:ascii="David" w:hAnsi="David"/>
          <w:rtl/>
        </w:rPr>
        <w:t xml:space="preserve">  </w:t>
      </w:r>
      <w:r w:rsidRPr="00BF4CD5">
        <w:rPr>
          <w:rFonts w:ascii="David" w:hAnsi="David"/>
          <w:rtl/>
        </w:rPr>
        <w:tab/>
      </w:r>
      <w:r w:rsidRPr="00BF4CD5">
        <w:rPr>
          <w:rFonts w:ascii="David" w:hAnsi="David"/>
          <w:rtl/>
        </w:rPr>
        <w:tab/>
      </w:r>
      <w:r w:rsidRPr="00BF4CD5">
        <w:rPr>
          <w:rFonts w:ascii="David" w:hAnsi="David"/>
          <w:b/>
          <w:bCs/>
          <w:rtl/>
        </w:rPr>
        <w:t>הנאשם</w:t>
      </w:r>
      <w:r w:rsidRPr="00BF4CD5">
        <w:rPr>
          <w:rFonts w:ascii="David" w:hAnsi="David"/>
          <w:rtl/>
        </w:rPr>
        <w:t>, שלאורך כל הדיון קטע את באי כוח הצדדים והטיח טענות בתובע לפיהן הוא מעצים את אשמו (וכלשונו: "אתה יותר מדי קובר אותי באדמה"), אמר בדברו האחרון: "כמו שאמר עורך הדין, על המעצר שלי שאני עובר שם, לא פשוט. זה דבר הזוי שאני כל פעם נתקף, בפעם האחרונה כל השיניים שלי זזות, אני לא רואה, המשקפיים שלי. אני שומע דברים הזויים, רואה דברים מכתב האישום, דוקרנים, לא היה דבר כזה. לופה, לא ראיתי את זה בחיים, הלופה לא יכולה לדקור, לא יכולה לחתוך. אני רוצה ללכת הביתה, לצאת למסגרת שלי לחיים שלי, אני לא אלך לאף אחד, אני מבטיח לשופטת, אני למדתי ואני יודע לוותר, אני סולח לכולם. יש אנשים צעירים בבית הסוהר רק מכינים דוקרנים ורק רוצים אלימות. אני לא יכול לספוג עוד אלימות. בבקשה תתחשבי בי...".</w:t>
      </w:r>
    </w:p>
    <w:p w14:paraId="684A0CAA" w14:textId="77777777" w:rsidR="00E07582" w:rsidRPr="00BF4CD5" w:rsidRDefault="00E07582" w:rsidP="00E07582">
      <w:pPr>
        <w:tabs>
          <w:tab w:val="left" w:pos="226"/>
        </w:tabs>
        <w:spacing w:line="260" w:lineRule="exact"/>
        <w:ind w:left="84"/>
        <w:contextualSpacing/>
        <w:jc w:val="both"/>
        <w:rPr>
          <w:rFonts w:ascii="David" w:hAnsi="David"/>
          <w:rtl/>
        </w:rPr>
      </w:pPr>
    </w:p>
    <w:p w14:paraId="7BD4C9E5" w14:textId="77777777" w:rsidR="00E07582" w:rsidRPr="00BF4CD5" w:rsidRDefault="00E07582" w:rsidP="00E07582">
      <w:pPr>
        <w:tabs>
          <w:tab w:val="left" w:pos="226"/>
        </w:tabs>
        <w:spacing w:line="260" w:lineRule="exact"/>
        <w:ind w:left="84"/>
        <w:contextualSpacing/>
        <w:jc w:val="both"/>
        <w:rPr>
          <w:rFonts w:ascii="David" w:hAnsi="David"/>
          <w:rtl/>
        </w:rPr>
      </w:pPr>
      <w:r w:rsidRPr="00BF4CD5">
        <w:rPr>
          <w:rFonts w:ascii="David" w:hAnsi="David"/>
          <w:rtl/>
        </w:rPr>
        <w:tab/>
      </w:r>
      <w:r w:rsidRPr="00BF4CD5">
        <w:rPr>
          <w:rFonts w:ascii="David" w:hAnsi="David"/>
          <w:rtl/>
        </w:rPr>
        <w:tab/>
        <w:t>נוכח דברים אלה</w:t>
      </w:r>
      <w:r>
        <w:rPr>
          <w:rFonts w:ascii="David" w:hAnsi="David" w:hint="cs"/>
          <w:rtl/>
        </w:rPr>
        <w:t>,</w:t>
      </w:r>
      <w:r w:rsidRPr="00BF4CD5">
        <w:rPr>
          <w:rFonts w:ascii="David" w:hAnsi="David"/>
          <w:rtl/>
        </w:rPr>
        <w:t xml:space="preserve"> על מנת לוודא כי שלומו של הנאשם נשמר וצרכיו נענים</w:t>
      </w:r>
      <w:r>
        <w:rPr>
          <w:rFonts w:ascii="David" w:hAnsi="David" w:hint="cs"/>
          <w:rtl/>
        </w:rPr>
        <w:t xml:space="preserve"> </w:t>
      </w:r>
      <w:r w:rsidRPr="00BF4CD5">
        <w:rPr>
          <w:rFonts w:ascii="David" w:hAnsi="David"/>
          <w:rtl/>
        </w:rPr>
        <w:t>ביקשתי התייחסות שירות בתי הסוהר</w:t>
      </w:r>
      <w:r>
        <w:rPr>
          <w:rFonts w:ascii="David" w:hAnsi="David" w:hint="cs"/>
          <w:rtl/>
        </w:rPr>
        <w:t xml:space="preserve"> לטענותיו</w:t>
      </w:r>
      <w:r w:rsidRPr="00BF4CD5">
        <w:rPr>
          <w:rFonts w:ascii="David" w:hAnsi="David"/>
          <w:rtl/>
        </w:rPr>
        <w:t>. זו התקבלה ביום 15.7.2024 ולפיה במסגרת שהותו במעצר היה הנאשם מעורב בשתי קטטות, כאשר באפריל 2024, לאחר הראשונה בהן נבדק ולא נמצאו עליו סימני חבלה ומאז לא פנה לקבלת טיפול רפואי.</w:t>
      </w:r>
    </w:p>
    <w:p w14:paraId="2D5244DD" w14:textId="77777777" w:rsidR="00E07582" w:rsidRPr="00BF4CD5" w:rsidRDefault="00E07582" w:rsidP="00E07582">
      <w:pPr>
        <w:tabs>
          <w:tab w:val="left" w:pos="226"/>
        </w:tabs>
        <w:spacing w:line="260" w:lineRule="exact"/>
        <w:ind w:left="84"/>
        <w:contextualSpacing/>
        <w:jc w:val="both"/>
        <w:rPr>
          <w:rFonts w:ascii="David" w:hAnsi="David"/>
          <w:rtl/>
        </w:rPr>
      </w:pPr>
    </w:p>
    <w:p w14:paraId="482890B3" w14:textId="77777777" w:rsidR="00E07582" w:rsidRPr="00BF4CD5" w:rsidRDefault="00E07582" w:rsidP="00E07582">
      <w:pPr>
        <w:tabs>
          <w:tab w:val="left" w:pos="226"/>
        </w:tabs>
        <w:spacing w:line="260" w:lineRule="exact"/>
        <w:ind w:left="84"/>
        <w:contextualSpacing/>
        <w:jc w:val="both"/>
        <w:rPr>
          <w:rFonts w:ascii="David" w:hAnsi="David"/>
          <w:b/>
          <w:bCs/>
          <w:u w:val="single"/>
        </w:rPr>
      </w:pPr>
      <w:r w:rsidRPr="00BF4CD5">
        <w:rPr>
          <w:rFonts w:ascii="David" w:hAnsi="David"/>
          <w:b/>
          <w:bCs/>
          <w:u w:val="single"/>
          <w:rtl/>
        </w:rPr>
        <w:t>דיון והכרעה</w:t>
      </w:r>
    </w:p>
    <w:p w14:paraId="574408A1" w14:textId="77777777" w:rsidR="00E07582" w:rsidRPr="00BF4CD5" w:rsidRDefault="00E07582" w:rsidP="00E07582">
      <w:pPr>
        <w:pStyle w:val="aa"/>
        <w:spacing w:line="260" w:lineRule="exact"/>
        <w:ind w:left="85"/>
        <w:jc w:val="both"/>
        <w:rPr>
          <w:u w:val="single"/>
        </w:rPr>
      </w:pPr>
      <w:r w:rsidRPr="00BF4CD5">
        <w:rPr>
          <w:rFonts w:hint="cs"/>
          <w:u w:val="single"/>
          <w:rtl/>
        </w:rPr>
        <w:t>מתחם העונש ההולם</w:t>
      </w:r>
    </w:p>
    <w:p w14:paraId="680BEE04" w14:textId="77777777" w:rsidR="00E07582" w:rsidRPr="00BF4CD5" w:rsidRDefault="00E07582" w:rsidP="00E07582">
      <w:pPr>
        <w:numPr>
          <w:ilvl w:val="0"/>
          <w:numId w:val="1"/>
        </w:numPr>
        <w:tabs>
          <w:tab w:val="left" w:pos="226"/>
        </w:tabs>
        <w:spacing w:line="260" w:lineRule="exact"/>
        <w:ind w:left="84" w:firstLine="0"/>
        <w:contextualSpacing/>
        <w:jc w:val="both"/>
        <w:rPr>
          <w:rFonts w:ascii="David" w:hAnsi="David"/>
          <w:rtl/>
        </w:rPr>
      </w:pPr>
      <w:r w:rsidRPr="00BF4CD5">
        <w:rPr>
          <w:rFonts w:ascii="David" w:hAnsi="David"/>
          <w:rtl/>
        </w:rPr>
        <w:t xml:space="preserve">העיקרון המנחה בענישה, שעוגן במסגרת תיקון 113 לחוק, הוא עקרון ההלימה, שבהתאם להוראות </w:t>
      </w:r>
      <w:hyperlink r:id="rId49" w:history="1">
        <w:r w:rsidR="00F93271" w:rsidRPr="00F93271">
          <w:rPr>
            <w:rStyle w:val="Hyperlink"/>
            <w:rFonts w:ascii="David" w:hAnsi="David"/>
            <w:rtl/>
          </w:rPr>
          <w:t>סעיף 40ב</w:t>
        </w:r>
      </w:hyperlink>
      <w:r w:rsidRPr="00BF4CD5">
        <w:rPr>
          <w:rFonts w:ascii="David" w:hAnsi="David"/>
          <w:rtl/>
        </w:rPr>
        <w:t xml:space="preserve"> לחוק משמעו: "יחס הולם בין חומרת מעשה העבירה בנסיבותיו ומידת אשמו של הנאשם ובין סוג ומידת העונש המוטל עליו".</w:t>
      </w:r>
    </w:p>
    <w:p w14:paraId="2CB6EE04" w14:textId="77777777" w:rsidR="00E07582" w:rsidRPr="00BF4CD5" w:rsidRDefault="00E07582" w:rsidP="00E07582">
      <w:pPr>
        <w:numPr>
          <w:ilvl w:val="0"/>
          <w:numId w:val="1"/>
        </w:numPr>
        <w:tabs>
          <w:tab w:val="left" w:pos="226"/>
        </w:tabs>
        <w:spacing w:line="260" w:lineRule="exact"/>
        <w:ind w:left="84" w:firstLine="0"/>
        <w:contextualSpacing/>
        <w:jc w:val="both"/>
        <w:rPr>
          <w:rFonts w:ascii="David" w:hAnsi="David"/>
        </w:rPr>
      </w:pPr>
      <w:r w:rsidRPr="00BF4CD5">
        <w:rPr>
          <w:rFonts w:ascii="David" w:hAnsi="David"/>
          <w:rtl/>
        </w:rPr>
        <w:t>על פי הוראות</w:t>
      </w:r>
      <w:r w:rsidR="00EE787A">
        <w:rPr>
          <w:rFonts w:ascii="David" w:hAnsi="David"/>
          <w:rtl/>
        </w:rPr>
        <w:t xml:space="preserve"> </w:t>
      </w:r>
      <w:hyperlink r:id="rId50" w:history="1">
        <w:r w:rsidR="00F93271" w:rsidRPr="00F93271">
          <w:rPr>
            <w:rStyle w:val="Hyperlink"/>
            <w:rFonts w:ascii="David" w:hAnsi="David"/>
            <w:rtl/>
          </w:rPr>
          <w:t>סעיף 40ג(א)</w:t>
        </w:r>
      </w:hyperlink>
      <w:r w:rsidR="00EE787A">
        <w:rPr>
          <w:rFonts w:ascii="David" w:hAnsi="David"/>
          <w:rtl/>
        </w:rPr>
        <w:t xml:space="preserve"> </w:t>
      </w:r>
      <w:r w:rsidRPr="00BF4CD5">
        <w:rPr>
          <w:rFonts w:ascii="David" w:hAnsi="David"/>
          <w:rtl/>
        </w:rPr>
        <w:t>לחוק, טרם גזירת העונש יש לקבוע מתחם עונש הולם למעשה העבירה, תוך התחשבות בערך החברתי שנפגע כתוצאה מביצוע העבירה ומידת הפגיעה בערך זה, במדיניות הענישה הנהוגה ובנסיבות הקשורות בביצוע העבירה. אין מחלוקת כי על אף התמשכותו, מדובר באירוע אחד שבין כל רכיביו קשר ענייני הדוק (</w:t>
      </w:r>
      <w:hyperlink r:id="rId51" w:history="1">
        <w:r w:rsidR="00EE787A" w:rsidRPr="00EE787A">
          <w:rPr>
            <w:rFonts w:ascii="David" w:hAnsi="David"/>
            <w:color w:val="0000FF"/>
            <w:u w:val="single"/>
            <w:rtl/>
          </w:rPr>
          <w:t>ע"פ 4910/13</w:t>
        </w:r>
      </w:hyperlink>
      <w:r w:rsidRPr="00BF4CD5">
        <w:rPr>
          <w:rFonts w:ascii="David" w:hAnsi="David"/>
          <w:rtl/>
        </w:rPr>
        <w:t xml:space="preserve"> </w:t>
      </w:r>
      <w:r w:rsidRPr="00BF4CD5">
        <w:rPr>
          <w:rFonts w:ascii="David" w:hAnsi="David"/>
          <w:b/>
          <w:bCs/>
          <w:rtl/>
        </w:rPr>
        <w:t xml:space="preserve">ג'אבר נ' מדינת ישראל </w:t>
      </w:r>
      <w:r w:rsidRPr="00BF4CD5">
        <w:rPr>
          <w:rFonts w:ascii="David" w:hAnsi="David"/>
          <w:rtl/>
        </w:rPr>
        <w:t xml:space="preserve">(29.10.2014)). </w:t>
      </w:r>
    </w:p>
    <w:p w14:paraId="00D5CBC6" w14:textId="77777777" w:rsidR="00E07582" w:rsidRPr="00BF4CD5" w:rsidRDefault="00E07582" w:rsidP="00E07582">
      <w:pPr>
        <w:pStyle w:val="aa"/>
        <w:spacing w:line="260" w:lineRule="exact"/>
      </w:pPr>
    </w:p>
    <w:p w14:paraId="24F726E0" w14:textId="77777777" w:rsidR="00E07582" w:rsidRPr="00BF4CD5" w:rsidRDefault="00E07582" w:rsidP="00E07582">
      <w:pPr>
        <w:tabs>
          <w:tab w:val="left" w:pos="226"/>
        </w:tabs>
        <w:spacing w:line="260" w:lineRule="exact"/>
        <w:ind w:left="84"/>
        <w:contextualSpacing/>
        <w:jc w:val="both"/>
        <w:rPr>
          <w:rFonts w:ascii="David" w:hAnsi="David"/>
          <w:b/>
          <w:bCs/>
          <w:rtl/>
        </w:rPr>
      </w:pPr>
      <w:r w:rsidRPr="00BF4CD5">
        <w:rPr>
          <w:rFonts w:ascii="David" w:hAnsi="David"/>
          <w:b/>
          <w:bCs/>
          <w:rtl/>
        </w:rPr>
        <w:t>הערכים שנפגעו ממעשי הנאשם ומידת הפגיעה בהם</w:t>
      </w:r>
    </w:p>
    <w:p w14:paraId="389B1ED7" w14:textId="77777777" w:rsidR="00E07582" w:rsidRDefault="00E07582" w:rsidP="00E07582">
      <w:pPr>
        <w:numPr>
          <w:ilvl w:val="0"/>
          <w:numId w:val="1"/>
        </w:numPr>
        <w:tabs>
          <w:tab w:val="left" w:pos="226"/>
        </w:tabs>
        <w:spacing w:line="260" w:lineRule="exact"/>
        <w:ind w:left="84" w:firstLine="0"/>
        <w:contextualSpacing/>
        <w:jc w:val="both"/>
        <w:rPr>
          <w:rFonts w:ascii="David" w:hAnsi="David"/>
        </w:rPr>
      </w:pPr>
      <w:r w:rsidRPr="00BF4CD5">
        <w:rPr>
          <w:rFonts w:ascii="David" w:hAnsi="David"/>
          <w:rtl/>
        </w:rPr>
        <w:t>הנאשם ניסה לפצוע את המתלונן, ולבסוף: פצעו, כשהוא אוחז בסכין ובלופה וזאת תוך השמעת איומים לפגיעה בחיים.</w:t>
      </w:r>
      <w:r w:rsidR="00EE787A">
        <w:rPr>
          <w:rFonts w:ascii="David" w:hAnsi="David"/>
          <w:rtl/>
        </w:rPr>
        <w:t xml:space="preserve"> </w:t>
      </w:r>
      <w:r w:rsidRPr="00BF4CD5">
        <w:rPr>
          <w:rFonts w:ascii="David" w:hAnsi="David"/>
          <w:rtl/>
        </w:rPr>
        <w:t>לבסוף, התנגד למעצרו ונאבק בשוטרים שניסו לכבלו.</w:t>
      </w:r>
    </w:p>
    <w:p w14:paraId="31FAFDAD" w14:textId="77777777" w:rsidR="00E07582" w:rsidRPr="00BF4CD5" w:rsidRDefault="00E07582" w:rsidP="00E07582">
      <w:pPr>
        <w:tabs>
          <w:tab w:val="left" w:pos="226"/>
        </w:tabs>
        <w:spacing w:line="260" w:lineRule="exact"/>
        <w:ind w:left="84"/>
        <w:contextualSpacing/>
        <w:jc w:val="both"/>
        <w:rPr>
          <w:rFonts w:ascii="David" w:hAnsi="David"/>
        </w:rPr>
      </w:pPr>
    </w:p>
    <w:p w14:paraId="04E2B6A9" w14:textId="77777777" w:rsidR="00E07582" w:rsidRPr="00BF4CD5" w:rsidRDefault="00E07582" w:rsidP="00E07582">
      <w:pPr>
        <w:numPr>
          <w:ilvl w:val="0"/>
          <w:numId w:val="1"/>
        </w:numPr>
        <w:tabs>
          <w:tab w:val="left" w:pos="226"/>
        </w:tabs>
        <w:spacing w:line="260" w:lineRule="exact"/>
        <w:ind w:left="84" w:firstLine="0"/>
        <w:contextualSpacing/>
        <w:jc w:val="both"/>
        <w:rPr>
          <w:rFonts w:ascii="David" w:hAnsi="David"/>
        </w:rPr>
      </w:pPr>
      <w:r w:rsidRPr="00BF4CD5">
        <w:rPr>
          <w:rFonts w:ascii="David" w:hAnsi="David"/>
          <w:rtl/>
        </w:rPr>
        <w:t>הערכים המוגנים אשר נפגעו מביצוע עבירות הפציעה ונסיון הפציעה, בנסיבות מחמירות, הם ערכי שלמות הגוף והנפש, אוטונומית האדם על גופו ובנסיבות העניין, אף שימור תחושת הביטחון במקום עסקו.</w:t>
      </w:r>
    </w:p>
    <w:p w14:paraId="08861896" w14:textId="77777777" w:rsidR="00E07582" w:rsidRPr="00BA199E" w:rsidRDefault="00E07582" w:rsidP="00E07582">
      <w:pPr>
        <w:pStyle w:val="aa"/>
        <w:spacing w:line="260" w:lineRule="exact"/>
      </w:pPr>
    </w:p>
    <w:p w14:paraId="1B69E5E5" w14:textId="77777777" w:rsidR="00E07582" w:rsidRPr="00BF4CD5" w:rsidRDefault="00E07582" w:rsidP="00E07582">
      <w:pPr>
        <w:numPr>
          <w:ilvl w:val="0"/>
          <w:numId w:val="1"/>
        </w:numPr>
        <w:tabs>
          <w:tab w:val="left" w:pos="226"/>
        </w:tabs>
        <w:spacing w:line="260" w:lineRule="exact"/>
        <w:ind w:left="84" w:firstLine="0"/>
        <w:contextualSpacing/>
        <w:jc w:val="both"/>
        <w:rPr>
          <w:rFonts w:ascii="David" w:hAnsi="David"/>
          <w:rtl/>
        </w:rPr>
      </w:pPr>
      <w:r w:rsidRPr="00BF4CD5">
        <w:rPr>
          <w:rFonts w:ascii="David" w:hAnsi="David"/>
          <w:rtl/>
        </w:rPr>
        <w:t xml:space="preserve">ערכים אלה רלבנטיים אף לעבירת החזקת הסכין. זו קובעת סטנדרט התנהגות במרחב הציבורי, המשמש כשסתום ראשוני למניעת הסלמתה: שימוש </w:t>
      </w:r>
      <w:r w:rsidRPr="00BF4CD5">
        <w:rPr>
          <w:rFonts w:ascii="David" w:hAnsi="David" w:hint="cs"/>
          <w:rtl/>
        </w:rPr>
        <w:t xml:space="preserve">בפועל </w:t>
      </w:r>
      <w:r w:rsidRPr="00BF4CD5">
        <w:rPr>
          <w:rFonts w:ascii="David" w:hAnsi="David"/>
          <w:rtl/>
        </w:rPr>
        <w:t>בסכין</w:t>
      </w:r>
      <w:r w:rsidRPr="00BF4CD5">
        <w:rPr>
          <w:rFonts w:ascii="David" w:hAnsi="David" w:hint="cs"/>
          <w:rtl/>
        </w:rPr>
        <w:t>.</w:t>
      </w:r>
    </w:p>
    <w:p w14:paraId="48A54CE5" w14:textId="77777777" w:rsidR="00E07582" w:rsidRPr="00BF4CD5" w:rsidRDefault="00E07582" w:rsidP="00E07582">
      <w:pPr>
        <w:tabs>
          <w:tab w:val="left" w:pos="226"/>
        </w:tabs>
        <w:spacing w:line="260" w:lineRule="exact"/>
        <w:ind w:left="84"/>
        <w:contextualSpacing/>
        <w:jc w:val="both"/>
        <w:rPr>
          <w:rFonts w:ascii="David" w:hAnsi="David"/>
          <w:rtl/>
        </w:rPr>
      </w:pPr>
    </w:p>
    <w:p w14:paraId="0883CAB5" w14:textId="77777777" w:rsidR="00E07582" w:rsidRPr="00BF4CD5" w:rsidRDefault="00E07582" w:rsidP="00E07582">
      <w:pPr>
        <w:numPr>
          <w:ilvl w:val="0"/>
          <w:numId w:val="1"/>
        </w:numPr>
        <w:tabs>
          <w:tab w:val="left" w:pos="226"/>
        </w:tabs>
        <w:spacing w:line="260" w:lineRule="exact"/>
        <w:ind w:left="84" w:firstLine="0"/>
        <w:contextualSpacing/>
        <w:jc w:val="both"/>
        <w:rPr>
          <w:rFonts w:ascii="David" w:hAnsi="David"/>
        </w:rPr>
      </w:pPr>
      <w:r w:rsidRPr="00BF4CD5">
        <w:rPr>
          <w:rFonts w:ascii="David" w:hAnsi="David"/>
          <w:rtl/>
        </w:rPr>
        <w:t>הערכים המוגנים בבסיס עבירת האיומים נוגעים לשימור כבודו של הפרט, זכותו לחיים שלווים ולמניעת פגיעה בו, לרבות פגיעה בחופש הבחירה והאוטונומיה (</w:t>
      </w:r>
      <w:hyperlink r:id="rId52" w:history="1">
        <w:r w:rsidR="00EE787A" w:rsidRPr="00EE787A">
          <w:rPr>
            <w:rFonts w:ascii="David" w:hAnsi="David"/>
            <w:color w:val="0000FF"/>
            <w:u w:val="single"/>
            <w:rtl/>
          </w:rPr>
          <w:t>ע"פ 98/20</w:t>
        </w:r>
      </w:hyperlink>
      <w:r w:rsidR="00EE787A">
        <w:rPr>
          <w:rFonts w:ascii="David" w:hAnsi="David"/>
          <w:b/>
          <w:bCs/>
        </w:rPr>
        <w:t xml:space="preserve"> </w:t>
      </w:r>
      <w:r w:rsidRPr="00BF4CD5">
        <w:rPr>
          <w:rFonts w:ascii="David" w:hAnsi="David"/>
          <w:b/>
          <w:bCs/>
          <w:rtl/>
        </w:rPr>
        <w:t>‏כהן נ' מדינת ישראל</w:t>
      </w:r>
      <w:r w:rsidRPr="00BF4CD5">
        <w:rPr>
          <w:rFonts w:ascii="David" w:hAnsi="David"/>
          <w:rtl/>
        </w:rPr>
        <w:t xml:space="preserve">, פסקה 4 (11.6.2020)). עבירה זו, המעגנת בחובה איסור אלימות מילולית והתנהגותית, </w:t>
      </w:r>
      <w:r w:rsidRPr="00BF4CD5">
        <w:rPr>
          <w:rFonts w:ascii="David" w:hAnsi="David" w:hint="cs"/>
          <w:rtl/>
        </w:rPr>
        <w:t xml:space="preserve">נועדה, בין היתר, למנוע </w:t>
      </w:r>
      <w:r w:rsidRPr="00BF4CD5">
        <w:rPr>
          <w:rFonts w:ascii="David" w:hAnsi="David"/>
          <w:rtl/>
        </w:rPr>
        <w:t>מעבר לשלב הפגיעה הפיזית באדם; היא נוגעת לאיסור הצהרת הכוונות לבצע</w:t>
      </w:r>
      <w:r w:rsidRPr="00BF4CD5">
        <w:rPr>
          <w:rFonts w:ascii="David" w:hAnsi="David" w:hint="cs"/>
          <w:rtl/>
        </w:rPr>
        <w:t xml:space="preserve"> פגיעה, </w:t>
      </w:r>
      <w:r w:rsidRPr="00BF4CD5">
        <w:rPr>
          <w:rFonts w:ascii="David" w:hAnsi="David"/>
          <w:rtl/>
        </w:rPr>
        <w:t>בעוד עבירת החזקת הסכין</w:t>
      </w:r>
      <w:r w:rsidRPr="00BF4CD5">
        <w:rPr>
          <w:rFonts w:ascii="David" w:hAnsi="David" w:hint="cs"/>
          <w:rtl/>
        </w:rPr>
        <w:t>, בראיה צופת פני-עתיד</w:t>
      </w:r>
      <w:r w:rsidRPr="00BF4CD5">
        <w:rPr>
          <w:rFonts w:ascii="David" w:hAnsi="David"/>
          <w:rtl/>
        </w:rPr>
        <w:t xml:space="preserve"> אוסרת על החזקת </w:t>
      </w:r>
      <w:r w:rsidRPr="00BF4CD5">
        <w:rPr>
          <w:rFonts w:ascii="David" w:hAnsi="David" w:hint="cs"/>
          <w:rtl/>
        </w:rPr>
        <w:t>ה</w:t>
      </w:r>
      <w:r w:rsidRPr="00BF4CD5">
        <w:rPr>
          <w:rFonts w:ascii="David" w:hAnsi="David"/>
          <w:rtl/>
        </w:rPr>
        <w:t>אמצעי ל</w:t>
      </w:r>
      <w:r w:rsidRPr="00BF4CD5">
        <w:rPr>
          <w:rFonts w:ascii="David" w:hAnsi="David" w:hint="cs"/>
          <w:rtl/>
        </w:rPr>
        <w:t>ביצועה של פגיעה כאמור.</w:t>
      </w:r>
    </w:p>
    <w:p w14:paraId="4304293E" w14:textId="77777777" w:rsidR="00E07582" w:rsidRPr="00BF4CD5" w:rsidRDefault="00E07582" w:rsidP="00E07582">
      <w:pPr>
        <w:pStyle w:val="aa"/>
        <w:spacing w:line="260" w:lineRule="exact"/>
      </w:pPr>
    </w:p>
    <w:p w14:paraId="11AEFECD" w14:textId="77777777" w:rsidR="00E07582" w:rsidRPr="00BF4CD5" w:rsidRDefault="00E07582" w:rsidP="00E07582">
      <w:pPr>
        <w:numPr>
          <w:ilvl w:val="0"/>
          <w:numId w:val="1"/>
        </w:numPr>
        <w:tabs>
          <w:tab w:val="left" w:pos="226"/>
        </w:tabs>
        <w:spacing w:line="260" w:lineRule="exact"/>
        <w:ind w:left="84" w:firstLine="0"/>
        <w:contextualSpacing/>
        <w:jc w:val="both"/>
        <w:rPr>
          <w:rFonts w:ascii="David" w:hAnsi="David"/>
          <w:rtl/>
        </w:rPr>
      </w:pPr>
      <w:r w:rsidRPr="00BF4CD5">
        <w:rPr>
          <w:rFonts w:ascii="David" w:hAnsi="David"/>
          <w:rtl/>
        </w:rPr>
        <w:t>נסיבות האירוע, עליהן נעמוד בהרחבה לעיל, נושאות מטען חומרה מהותי וממשי ומלמדות על מידת אשם משמעותית. בנסיבות אלו, הפגיעה בערכים המוגנים כתוצאה מעבירות האלימות, האיומים והחזקת הסכין עומדת ברף גבוה מאוד.</w:t>
      </w:r>
    </w:p>
    <w:p w14:paraId="0171B8B2" w14:textId="77777777" w:rsidR="00E07582" w:rsidRPr="00BF4CD5" w:rsidRDefault="00E07582" w:rsidP="00E07582">
      <w:pPr>
        <w:pStyle w:val="aa"/>
        <w:spacing w:line="260" w:lineRule="exact"/>
      </w:pPr>
    </w:p>
    <w:p w14:paraId="02C73D50" w14:textId="77777777" w:rsidR="00E07582" w:rsidRPr="00BF4CD5" w:rsidRDefault="00E07582" w:rsidP="00E07582">
      <w:pPr>
        <w:numPr>
          <w:ilvl w:val="0"/>
          <w:numId w:val="1"/>
        </w:numPr>
        <w:tabs>
          <w:tab w:val="left" w:pos="226"/>
        </w:tabs>
        <w:spacing w:line="260" w:lineRule="exact"/>
        <w:ind w:left="84" w:firstLine="0"/>
        <w:contextualSpacing/>
        <w:jc w:val="both"/>
        <w:rPr>
          <w:rFonts w:ascii="David" w:hAnsi="David"/>
          <w:rtl/>
        </w:rPr>
      </w:pPr>
      <w:r w:rsidRPr="00BF4CD5">
        <w:rPr>
          <w:rFonts w:ascii="David" w:hAnsi="David"/>
          <w:rtl/>
        </w:rPr>
        <w:t xml:space="preserve">בסופו של האירוע, התנגד הנאשם למעצרו. הערכים המוגנים בבסיס עבירת הכשלת שוטר במילוי תפקידו, לפי </w:t>
      </w:r>
      <w:hyperlink r:id="rId53" w:history="1">
        <w:r w:rsidR="00F93271" w:rsidRPr="00F93271">
          <w:rPr>
            <w:rStyle w:val="Hyperlink"/>
            <w:rFonts w:ascii="David" w:hAnsi="David"/>
            <w:rtl/>
          </w:rPr>
          <w:t>סעיף 275</w:t>
        </w:r>
      </w:hyperlink>
      <w:r w:rsidRPr="00BF4CD5">
        <w:rPr>
          <w:rFonts w:ascii="David" w:hAnsi="David"/>
          <w:rtl/>
        </w:rPr>
        <w:t xml:space="preserve"> לחוק, הם שמירת הסדר הציבורי ומתן אפשרות לכוחות שיטור לפעול ביעילות לשם הבטחת חיים תקינים ושלווים</w:t>
      </w:r>
      <w:r w:rsidRPr="00BF4CD5">
        <w:rPr>
          <w:rFonts w:ascii="David" w:hAnsi="David"/>
        </w:rPr>
        <w:t xml:space="preserve"> </w:t>
      </w:r>
      <w:r w:rsidRPr="00BF4CD5">
        <w:rPr>
          <w:rFonts w:ascii="David" w:hAnsi="David"/>
          <w:rtl/>
        </w:rPr>
        <w:t>(</w:t>
      </w:r>
      <w:hyperlink r:id="rId54" w:history="1">
        <w:r w:rsidR="00EE787A" w:rsidRPr="00EE787A">
          <w:rPr>
            <w:rFonts w:ascii="David" w:hAnsi="David"/>
            <w:color w:val="0000FF"/>
            <w:u w:val="single"/>
            <w:rtl/>
          </w:rPr>
          <w:t>ע"פ 8462/15</w:t>
        </w:r>
      </w:hyperlink>
      <w:r w:rsidRPr="00BF4CD5">
        <w:rPr>
          <w:rFonts w:ascii="David" w:hAnsi="David"/>
          <w:rtl/>
        </w:rPr>
        <w:t xml:space="preserve"> </w:t>
      </w:r>
      <w:r w:rsidRPr="00BF4CD5">
        <w:rPr>
          <w:rFonts w:ascii="David" w:hAnsi="David"/>
          <w:b/>
          <w:bCs/>
          <w:rtl/>
        </w:rPr>
        <w:t>אבו ראס נ' מדינת ישראל</w:t>
      </w:r>
      <w:r w:rsidRPr="00BF4CD5">
        <w:rPr>
          <w:rFonts w:ascii="David" w:hAnsi="David"/>
          <w:rtl/>
        </w:rPr>
        <w:t xml:space="preserve"> (30.11.2016); </w:t>
      </w:r>
      <w:hyperlink r:id="rId55" w:history="1">
        <w:r w:rsidR="00EE787A" w:rsidRPr="00EE787A">
          <w:rPr>
            <w:rFonts w:ascii="David" w:hAnsi="David"/>
            <w:color w:val="0000FF"/>
            <w:u w:val="single"/>
            <w:rtl/>
          </w:rPr>
          <w:t>ת"פ (מחוזי י-ם) 16676-05-16</w:t>
        </w:r>
      </w:hyperlink>
      <w:r w:rsidRPr="00BF4CD5">
        <w:rPr>
          <w:rFonts w:ascii="David" w:hAnsi="David"/>
          <w:rtl/>
        </w:rPr>
        <w:t xml:space="preserve"> </w:t>
      </w:r>
      <w:r w:rsidRPr="00BF4CD5">
        <w:rPr>
          <w:rFonts w:ascii="David" w:hAnsi="David"/>
          <w:b/>
          <w:bCs/>
          <w:rtl/>
        </w:rPr>
        <w:t>מדינת ישראל נ' פרידמן</w:t>
      </w:r>
      <w:r w:rsidRPr="00BF4CD5">
        <w:rPr>
          <w:rFonts w:ascii="David" w:hAnsi="David"/>
          <w:rtl/>
        </w:rPr>
        <w:t>, פסקה 11 (17.12.2018)). במקרה מושא התיק בכותרת, עצמת הפגיעה בערכים אלה אינה גבוהה.</w:t>
      </w:r>
    </w:p>
    <w:p w14:paraId="3087E5D4" w14:textId="77777777" w:rsidR="00E07582" w:rsidRPr="00BF4CD5" w:rsidRDefault="00E07582" w:rsidP="00E07582">
      <w:pPr>
        <w:pStyle w:val="aa"/>
        <w:spacing w:line="260" w:lineRule="exact"/>
      </w:pPr>
    </w:p>
    <w:p w14:paraId="6888CB18" w14:textId="77777777" w:rsidR="00E07582" w:rsidRPr="00BF4CD5" w:rsidRDefault="00E07582" w:rsidP="00E07582">
      <w:pPr>
        <w:tabs>
          <w:tab w:val="left" w:pos="226"/>
        </w:tabs>
        <w:spacing w:line="260" w:lineRule="exact"/>
        <w:ind w:left="85"/>
        <w:contextualSpacing/>
        <w:jc w:val="both"/>
        <w:rPr>
          <w:rFonts w:ascii="David" w:hAnsi="David"/>
          <w:b/>
          <w:bCs/>
          <w:rtl/>
        </w:rPr>
      </w:pPr>
      <w:r w:rsidRPr="00BF4CD5">
        <w:rPr>
          <w:rFonts w:ascii="David" w:hAnsi="David"/>
          <w:b/>
          <w:bCs/>
          <w:rtl/>
        </w:rPr>
        <w:t>נסיבות ביצוע העבירה</w:t>
      </w:r>
    </w:p>
    <w:p w14:paraId="62E43770" w14:textId="77777777" w:rsidR="00E07582" w:rsidRPr="00BF4CD5" w:rsidRDefault="00F93271" w:rsidP="00E07582">
      <w:pPr>
        <w:numPr>
          <w:ilvl w:val="0"/>
          <w:numId w:val="1"/>
        </w:numPr>
        <w:tabs>
          <w:tab w:val="left" w:pos="226"/>
        </w:tabs>
        <w:spacing w:line="260" w:lineRule="exact"/>
        <w:ind w:left="85" w:firstLine="0"/>
        <w:contextualSpacing/>
        <w:jc w:val="both"/>
        <w:rPr>
          <w:rFonts w:ascii="David" w:hAnsi="David"/>
        </w:rPr>
      </w:pPr>
      <w:hyperlink r:id="rId56" w:history="1">
        <w:r w:rsidRPr="00F93271">
          <w:rPr>
            <w:rStyle w:val="Hyperlink"/>
            <w:rFonts w:ascii="David" w:hAnsi="David"/>
            <w:rtl/>
          </w:rPr>
          <w:t>סעיף 40ט(א)</w:t>
        </w:r>
      </w:hyperlink>
      <w:r w:rsidR="00E07582" w:rsidRPr="00BF4CD5">
        <w:rPr>
          <w:rFonts w:ascii="David" w:hAnsi="David"/>
          <w:rtl/>
        </w:rPr>
        <w:t xml:space="preserve"> לחוק קובע כי על בית המשפט להתחשב בקביעת העונש ההולם, בנסיבות הקשורות בביצוע העבירה, מקלות ומחמירות כאחד "ככל שסבר שהן משפיעות... על אשמו של הנאשם". בנסיבות המחמירות יש להתחשב אם הוכחו מעבר לכל ספק סביר; באלו הפועלות לזכות הנאשם – ברמת ההוכחה הנדרשת במשפט אזרחי (</w:t>
      </w:r>
      <w:hyperlink r:id="rId57" w:history="1">
        <w:r w:rsidRPr="00F93271">
          <w:rPr>
            <w:rStyle w:val="Hyperlink"/>
            <w:rFonts w:ascii="David" w:hAnsi="David"/>
            <w:rtl/>
          </w:rPr>
          <w:t>סעיף 40י(ג)</w:t>
        </w:r>
      </w:hyperlink>
      <w:r w:rsidR="00E07582" w:rsidRPr="00BF4CD5">
        <w:rPr>
          <w:rFonts w:ascii="David" w:hAnsi="David"/>
          <w:rtl/>
        </w:rPr>
        <w:t xml:space="preserve"> לחוק).</w:t>
      </w:r>
    </w:p>
    <w:p w14:paraId="682FB26E" w14:textId="77777777" w:rsidR="00E07582" w:rsidRPr="00BF4CD5" w:rsidRDefault="00E07582" w:rsidP="00E07582">
      <w:pPr>
        <w:tabs>
          <w:tab w:val="left" w:pos="226"/>
        </w:tabs>
        <w:spacing w:line="260" w:lineRule="exact"/>
        <w:ind w:left="85"/>
        <w:contextualSpacing/>
        <w:jc w:val="both"/>
        <w:rPr>
          <w:rFonts w:ascii="David" w:hAnsi="David"/>
        </w:rPr>
      </w:pPr>
    </w:p>
    <w:p w14:paraId="08DD11A3" w14:textId="77777777" w:rsidR="00E07582" w:rsidRPr="00BF4CD5" w:rsidRDefault="00E07582" w:rsidP="00E07582">
      <w:pPr>
        <w:tabs>
          <w:tab w:val="left" w:pos="226"/>
        </w:tabs>
        <w:spacing w:line="260" w:lineRule="exact"/>
        <w:ind w:left="85"/>
        <w:contextualSpacing/>
        <w:jc w:val="both"/>
        <w:rPr>
          <w:rFonts w:ascii="David" w:hAnsi="David"/>
          <w:i/>
          <w:iCs/>
        </w:rPr>
      </w:pPr>
      <w:r w:rsidRPr="00BF4CD5">
        <w:rPr>
          <w:rFonts w:ascii="David" w:hAnsi="David"/>
          <w:i/>
          <w:iCs/>
          <w:rtl/>
        </w:rPr>
        <w:t xml:space="preserve">השלכות הפער בין נסיבות ביצוע העבירות ועובדות נוספות כפי שהתגלו והוכחו במהלך המשפט לבין האמוּר בכתב האישום </w:t>
      </w:r>
    </w:p>
    <w:p w14:paraId="23FA4E5E"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 xml:space="preserve">בענייננו עולה שאלה הנוגעת ליחסי הכוחות שבין תיקון 113 לחוק לבין הוראות </w:t>
      </w:r>
      <w:hyperlink r:id="rId58" w:history="1">
        <w:r w:rsidR="00F93271" w:rsidRPr="00F93271">
          <w:rPr>
            <w:rStyle w:val="Hyperlink"/>
            <w:rFonts w:ascii="David" w:hAnsi="David"/>
            <w:rtl/>
          </w:rPr>
          <w:t>סעיף 184</w:t>
        </w:r>
      </w:hyperlink>
      <w:r w:rsidRPr="00BF4CD5">
        <w:rPr>
          <w:rFonts w:ascii="David" w:hAnsi="David"/>
          <w:rtl/>
        </w:rPr>
        <w:t xml:space="preserve"> ל</w:t>
      </w:r>
      <w:hyperlink r:id="rId59" w:history="1">
        <w:r w:rsidR="00EE787A" w:rsidRPr="00EE787A">
          <w:rPr>
            <w:rFonts w:ascii="David" w:hAnsi="David"/>
            <w:color w:val="0000FF"/>
            <w:u w:val="single"/>
            <w:rtl/>
          </w:rPr>
          <w:t>חסד"פ</w:t>
        </w:r>
      </w:hyperlink>
      <w:r w:rsidRPr="00BF4CD5">
        <w:rPr>
          <w:rFonts w:ascii="David" w:hAnsi="David"/>
          <w:rtl/>
        </w:rPr>
        <w:t xml:space="preserve">. </w:t>
      </w:r>
    </w:p>
    <w:p w14:paraId="549D2FCF" w14:textId="77777777" w:rsidR="00E07582" w:rsidRPr="00BF4CD5" w:rsidRDefault="00E07582" w:rsidP="00E07582">
      <w:pPr>
        <w:tabs>
          <w:tab w:val="left" w:pos="226"/>
        </w:tabs>
        <w:spacing w:line="260" w:lineRule="exact"/>
        <w:ind w:left="85"/>
        <w:contextualSpacing/>
        <w:jc w:val="both"/>
        <w:rPr>
          <w:rFonts w:ascii="David" w:hAnsi="David"/>
        </w:rPr>
      </w:pPr>
    </w:p>
    <w:p w14:paraId="2D3FF2DD"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 xml:space="preserve">לשם הנוחות, נפנה </w:t>
      </w:r>
      <w:r w:rsidRPr="00BF4CD5">
        <w:rPr>
          <w:rFonts w:ascii="David" w:hAnsi="David" w:hint="cs"/>
          <w:rtl/>
        </w:rPr>
        <w:t xml:space="preserve">תחילה </w:t>
      </w:r>
      <w:r w:rsidRPr="00BF4CD5">
        <w:rPr>
          <w:rFonts w:ascii="David" w:hAnsi="David"/>
          <w:rtl/>
        </w:rPr>
        <w:t xml:space="preserve">להוראות </w:t>
      </w:r>
      <w:hyperlink r:id="rId60" w:history="1">
        <w:r w:rsidR="00F93271" w:rsidRPr="00F93271">
          <w:rPr>
            <w:rStyle w:val="Hyperlink"/>
            <w:rFonts w:ascii="David" w:hAnsi="David"/>
            <w:rtl/>
          </w:rPr>
          <w:t>סעיף 184</w:t>
        </w:r>
      </w:hyperlink>
      <w:r w:rsidRPr="00BF4CD5">
        <w:rPr>
          <w:rFonts w:ascii="David" w:hAnsi="David"/>
          <w:rtl/>
        </w:rPr>
        <w:t xml:space="preserve"> ל</w:t>
      </w:r>
      <w:hyperlink r:id="rId61" w:history="1">
        <w:r w:rsidR="00EE787A" w:rsidRPr="00EE787A">
          <w:rPr>
            <w:rFonts w:ascii="David" w:hAnsi="David"/>
            <w:color w:val="0000FF"/>
            <w:u w:val="single"/>
            <w:rtl/>
          </w:rPr>
          <w:t>חסד"פ</w:t>
        </w:r>
      </w:hyperlink>
      <w:r w:rsidRPr="00BF4CD5">
        <w:rPr>
          <w:rFonts w:ascii="David" w:hAnsi="David"/>
          <w:rtl/>
        </w:rPr>
        <w:t>, לפיהן: "בית המשפט רשאי להרשיע נאשם בעבירה שאשמתו בה נתגלתה מן העובדות שהוכחו לפניו, אף אם עובדות אלה לא נטענו בכתב האישום, ובלבד שניתנה לנאשם הזדמנות סבירה להתגונן; אולם לא יוטל עליו בשל כך עונש חמור מזה שאפשר היה להטיל עליו אילו הוכחו העובדות כפי שנטענו בכתב האישום</w:t>
      </w:r>
      <w:r w:rsidRPr="00BF4CD5">
        <w:rPr>
          <w:rFonts w:ascii="David" w:hAnsi="David"/>
        </w:rPr>
        <w:t>"</w:t>
      </w:r>
      <w:r w:rsidRPr="00BF4CD5">
        <w:rPr>
          <w:rFonts w:ascii="David" w:hAnsi="David"/>
          <w:rtl/>
        </w:rPr>
        <w:t>.</w:t>
      </w:r>
    </w:p>
    <w:p w14:paraId="0954D9E3" w14:textId="77777777" w:rsidR="00E07582" w:rsidRPr="00BF4CD5" w:rsidRDefault="00E07582" w:rsidP="00E07582">
      <w:pPr>
        <w:pStyle w:val="aa"/>
        <w:spacing w:line="260" w:lineRule="exact"/>
        <w:rPr>
          <w:rtl/>
        </w:rPr>
      </w:pPr>
    </w:p>
    <w:p w14:paraId="17378587"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 xml:space="preserve">בהכרעת הדין, ככלל, לא עשיתי שימוש בסמכותי לפי </w:t>
      </w:r>
      <w:hyperlink r:id="rId62" w:history="1">
        <w:r w:rsidR="00F93271" w:rsidRPr="00F93271">
          <w:rPr>
            <w:rStyle w:val="Hyperlink"/>
            <w:rFonts w:ascii="David" w:hAnsi="David"/>
            <w:rtl/>
          </w:rPr>
          <w:t>סעיף 184</w:t>
        </w:r>
      </w:hyperlink>
      <w:r w:rsidRPr="00BF4CD5">
        <w:rPr>
          <w:rFonts w:ascii="David" w:hAnsi="David"/>
          <w:rtl/>
        </w:rPr>
        <w:t xml:space="preserve"> ל</w:t>
      </w:r>
      <w:hyperlink r:id="rId63" w:history="1">
        <w:r w:rsidR="00EE787A" w:rsidRPr="00EE787A">
          <w:rPr>
            <w:rFonts w:ascii="David" w:hAnsi="David"/>
            <w:color w:val="0000FF"/>
            <w:u w:val="single"/>
            <w:rtl/>
          </w:rPr>
          <w:t>חסד"פ</w:t>
        </w:r>
      </w:hyperlink>
      <w:r w:rsidRPr="00BF4CD5">
        <w:rPr>
          <w:rFonts w:ascii="David" w:hAnsi="David"/>
          <w:rtl/>
        </w:rPr>
        <w:t xml:space="preserve">, על אף שהתגלו עובדות חדשות או שונות מהנטען בכתב האישום. עובדות אלו, כמו גם נסיבות ביצוע העבירות כפי שנקבעו בהכרעת דיני בהקשר הפציעה באמצעות הסכין (להבדיל מהלופה) ועצם החזקת הסכין, הוכחו מעבר לספק סביר במהלך המשפט. בנוסף, בעניין עבירת החזקת הסכין בה הודה הנאשם, ציינתי כי הכרעת הדין מתבססת הן על הודאה זו, הן על ראיות שנשמעו במהלך ההליך, שכן בניגוד לנטען בכתב האישום הלופה אינה סכין ומשכך קבעתי "ולו בהתאם לסמכותי לפי הוראות </w:t>
      </w:r>
      <w:hyperlink r:id="rId64" w:history="1">
        <w:r w:rsidR="00F93271" w:rsidRPr="00F93271">
          <w:rPr>
            <w:rStyle w:val="Hyperlink"/>
            <w:rFonts w:ascii="David" w:hAnsi="David"/>
            <w:rtl/>
          </w:rPr>
          <w:t>סעיף 184</w:t>
        </w:r>
      </w:hyperlink>
      <w:r w:rsidRPr="00BF4CD5">
        <w:rPr>
          <w:rFonts w:ascii="David" w:hAnsi="David"/>
          <w:rtl/>
        </w:rPr>
        <w:t xml:space="preserve"> ל</w:t>
      </w:r>
      <w:hyperlink r:id="rId65" w:history="1">
        <w:r w:rsidR="00EE787A" w:rsidRPr="00EE787A">
          <w:rPr>
            <w:rFonts w:ascii="David" w:hAnsi="David"/>
            <w:color w:val="0000FF"/>
            <w:u w:val="single"/>
            <w:rtl/>
          </w:rPr>
          <w:t>חסד"פ</w:t>
        </w:r>
      </w:hyperlink>
      <w:r w:rsidRPr="00BF4CD5">
        <w:rPr>
          <w:rFonts w:ascii="David" w:hAnsi="David"/>
          <w:rtl/>
        </w:rPr>
        <w:t xml:space="preserve">" כי יש להרשיע הנאשם בעבירה לפי </w:t>
      </w:r>
      <w:hyperlink r:id="rId66" w:history="1">
        <w:r w:rsidR="00F93271" w:rsidRPr="00F93271">
          <w:rPr>
            <w:rStyle w:val="Hyperlink"/>
            <w:rFonts w:ascii="David" w:hAnsi="David"/>
            <w:rtl/>
          </w:rPr>
          <w:t>סעיף 186(א)</w:t>
        </w:r>
      </w:hyperlink>
      <w:r w:rsidRPr="00BF4CD5">
        <w:rPr>
          <w:rFonts w:ascii="David" w:hAnsi="David"/>
          <w:rtl/>
        </w:rPr>
        <w:t xml:space="preserve"> לחוק "על יסוד הראיות שהובאו לפני במהלך המשפט, לרבות הודאתו" (פסקה 151). </w:t>
      </w:r>
      <w:r w:rsidRPr="00BF4CD5">
        <w:rPr>
          <w:rFonts w:ascii="David" w:hAnsi="David" w:hint="cs"/>
          <w:rtl/>
        </w:rPr>
        <w:t xml:space="preserve">בהמשך הדברים ציינתי כי טענות הצדדים בהקשר הוראות </w:t>
      </w:r>
      <w:hyperlink r:id="rId67" w:history="1">
        <w:r w:rsidR="00F93271" w:rsidRPr="00F93271">
          <w:rPr>
            <w:rStyle w:val="Hyperlink"/>
            <w:rFonts w:ascii="David" w:hAnsi="David" w:hint="eastAsia"/>
            <w:rtl/>
          </w:rPr>
          <w:t>סעיף</w:t>
        </w:r>
        <w:r w:rsidR="00F93271" w:rsidRPr="00F93271">
          <w:rPr>
            <w:rStyle w:val="Hyperlink"/>
            <w:rFonts w:ascii="David" w:hAnsi="David"/>
            <w:rtl/>
          </w:rPr>
          <w:t xml:space="preserve"> 40י</w:t>
        </w:r>
      </w:hyperlink>
      <w:r w:rsidRPr="00BF4CD5">
        <w:rPr>
          <w:rFonts w:ascii="David" w:hAnsi="David" w:hint="cs"/>
          <w:rtl/>
        </w:rPr>
        <w:t xml:space="preserve"> לחוק שמורות להן להמשך ההליך (פסקה 155); הצדדים בחרו שלא להתייחס לכך במסגרת טיעוניהם לעונש. </w:t>
      </w:r>
    </w:p>
    <w:p w14:paraId="480A3807" w14:textId="77777777" w:rsidR="00E07582" w:rsidRPr="00BF4CD5" w:rsidRDefault="00E07582" w:rsidP="00E07582">
      <w:pPr>
        <w:pStyle w:val="aa"/>
        <w:rPr>
          <w:rtl/>
        </w:rPr>
      </w:pPr>
    </w:p>
    <w:p w14:paraId="4B142FEC"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 xml:space="preserve">אותן פעולות תקיפה נוספות, חבלות המתלונן וסוגיית הסכין, שלא צוינו בצורה מדויקת ומלאה במסגרת כתב האישום, מעבר לכך שיש בהן כדי לגבש יסודותיהן של עבירות נוספות, עולות בגדרי נסיבות הקשורות לביצוע העבירות שנכללו מלכתחילה בכתב האישום. הן נוגעות לאופן התקיפה, לעצמתה ולהתמשכותה, לנזק שנגרם ולפוטנציאל גרימתו ומשליכות על מידת אשמו של הנאשם. </w:t>
      </w:r>
    </w:p>
    <w:p w14:paraId="607F403B" w14:textId="77777777" w:rsidR="00E07582" w:rsidRPr="00BF4CD5" w:rsidRDefault="00E07582" w:rsidP="00E07582">
      <w:pPr>
        <w:tabs>
          <w:tab w:val="left" w:pos="226"/>
        </w:tabs>
        <w:spacing w:line="260" w:lineRule="exact"/>
        <w:ind w:left="85"/>
        <w:contextualSpacing/>
        <w:jc w:val="both"/>
        <w:rPr>
          <w:rFonts w:ascii="David" w:hAnsi="David"/>
        </w:rPr>
      </w:pPr>
    </w:p>
    <w:p w14:paraId="0CD00CED" w14:textId="77777777" w:rsidR="00E07582" w:rsidRPr="00BF4CD5" w:rsidRDefault="00F93271" w:rsidP="00E07582">
      <w:pPr>
        <w:numPr>
          <w:ilvl w:val="0"/>
          <w:numId w:val="1"/>
        </w:numPr>
        <w:tabs>
          <w:tab w:val="left" w:pos="226"/>
        </w:tabs>
        <w:spacing w:line="260" w:lineRule="exact"/>
        <w:ind w:left="85" w:firstLine="0"/>
        <w:contextualSpacing/>
        <w:jc w:val="both"/>
        <w:rPr>
          <w:rFonts w:ascii="David" w:hAnsi="David"/>
        </w:rPr>
      </w:pPr>
      <w:hyperlink r:id="rId68" w:history="1">
        <w:r w:rsidRPr="00F93271">
          <w:rPr>
            <w:rStyle w:val="Hyperlink"/>
            <w:rFonts w:ascii="David" w:hAnsi="David"/>
            <w:rtl/>
          </w:rPr>
          <w:t>סעיף 40י(א)</w:t>
        </w:r>
      </w:hyperlink>
      <w:r w:rsidR="00E07582" w:rsidRPr="00BF4CD5">
        <w:rPr>
          <w:rFonts w:ascii="David" w:hAnsi="David"/>
          <w:rtl/>
        </w:rPr>
        <w:t xml:space="preserve"> לחוק קובע מפורשות כי "בית המשפט יקבע כי התקיימו נסיבות הקשורות בביצוע העבירה, על בסיס ראיות שהובאו בשלב בירור האשמה". בעת הצגת התיקון לחוק בשלב הקריאה השניה והשלישית ציין ח"כ דוד רותם ז"ל: "אחד הנושאים שבהם עסקה הוועדה היה נטל הראיה ושלב הראיה של נסיבות שהן חלק מסיפור</w:t>
      </w:r>
      <w:r w:rsidR="00E07582" w:rsidRPr="00BF4CD5">
        <w:rPr>
          <w:rFonts w:ascii="David" w:hAnsi="David" w:hint="cs"/>
          <w:rtl/>
        </w:rPr>
        <w:t xml:space="preserve"> </w:t>
      </w:r>
      <w:r w:rsidR="00E07582" w:rsidRPr="00BF4CD5">
        <w:rPr>
          <w:rFonts w:ascii="David" w:hAnsi="David"/>
          <w:rtl/>
        </w:rPr>
        <w:t>העבירה. יש אי-אחידות בפסיקה בעניין זה, והוועדה סברה שצריך לקבוע הוראות ברורות בחוק בעניין. הנסיבות שבהן בית-המשפט יתחשב בקביעת המתחם ההולם יובאו בפני בית-המשפט בשלב בירור האשמה, לפני הכרעת הדין". (פרוטוקול ישיבה מס' 303 של הכנסת ה-18, 212-213 (2.1.2012)).</w:t>
      </w:r>
    </w:p>
    <w:p w14:paraId="248C8C62" w14:textId="77777777" w:rsidR="00E07582" w:rsidRPr="00BF4CD5" w:rsidRDefault="00E07582" w:rsidP="00E07582">
      <w:pPr>
        <w:pStyle w:val="aa"/>
        <w:spacing w:line="260" w:lineRule="exact"/>
      </w:pPr>
    </w:p>
    <w:p w14:paraId="3EF24C7D" w14:textId="77777777" w:rsidR="00E07582" w:rsidRPr="00BF4CD5" w:rsidRDefault="00E07582" w:rsidP="00E07582">
      <w:pPr>
        <w:numPr>
          <w:ilvl w:val="0"/>
          <w:numId w:val="1"/>
        </w:numPr>
        <w:tabs>
          <w:tab w:val="left" w:pos="226"/>
        </w:tabs>
        <w:spacing w:line="260" w:lineRule="exact"/>
        <w:ind w:left="85" w:firstLine="0"/>
        <w:contextualSpacing/>
        <w:jc w:val="both"/>
        <w:rPr>
          <w:rtl/>
        </w:rPr>
      </w:pPr>
      <w:r w:rsidRPr="00BF4CD5">
        <w:rPr>
          <w:rFonts w:ascii="David" w:hAnsi="David"/>
          <w:rtl/>
        </w:rPr>
        <w:t xml:space="preserve">וכך, בעניין </w:t>
      </w:r>
      <w:r w:rsidRPr="00BF4CD5">
        <w:rPr>
          <w:rFonts w:ascii="David" w:hAnsi="David"/>
          <w:b/>
          <w:bCs/>
          <w:rtl/>
        </w:rPr>
        <w:t>אוטמזגין חיון</w:t>
      </w:r>
      <w:r w:rsidRPr="00BF4CD5">
        <w:rPr>
          <w:rFonts w:ascii="David" w:hAnsi="David"/>
          <w:rtl/>
        </w:rPr>
        <w:t xml:space="preserve"> דחה בית המשפט המחוזי את טענת הסנגור לפיה אין מקום להתחשב בנסיבות מחמירות שלא צוינו בכתב האישום, מקום בו אלו הובאו במסגרת ראיות הצדדים (במקרה זה, הודה הנאשם בכתב האישום, ללא הסדר טיעון, בפתח ישיבה שנועדה להשמעת סיכומי הצדדים) (</w:t>
      </w:r>
      <w:hyperlink r:id="rId69" w:history="1">
        <w:r w:rsidR="00EE787A" w:rsidRPr="00EE787A">
          <w:rPr>
            <w:rFonts w:ascii="David" w:hAnsi="David"/>
            <w:color w:val="0000FF"/>
            <w:u w:val="single"/>
            <w:rtl/>
          </w:rPr>
          <w:t>עפ"ג (מחוזי חי') 20857-03-14</w:t>
        </w:r>
      </w:hyperlink>
      <w:r w:rsidRPr="00BF4CD5">
        <w:rPr>
          <w:rFonts w:ascii="David" w:hAnsi="David"/>
          <w:rtl/>
        </w:rPr>
        <w:t xml:space="preserve">‏ </w:t>
      </w:r>
      <w:r w:rsidRPr="00BF4CD5">
        <w:rPr>
          <w:rFonts w:ascii="David" w:hAnsi="David"/>
          <w:b/>
          <w:bCs/>
          <w:rtl/>
        </w:rPr>
        <w:t>אוטמזגין חיון נ' מדינת ישראל</w:t>
      </w:r>
      <w:r w:rsidRPr="00BF4CD5">
        <w:rPr>
          <w:rFonts w:ascii="David" w:hAnsi="David"/>
          <w:rtl/>
        </w:rPr>
        <w:t xml:space="preserve"> (29.5.2014). ערעור שהוגש נדחה (</w:t>
      </w:r>
      <w:hyperlink r:id="rId70" w:history="1">
        <w:r w:rsidR="00EE787A" w:rsidRPr="00EE787A">
          <w:rPr>
            <w:rFonts w:ascii="David" w:hAnsi="David"/>
            <w:color w:val="0000FF"/>
            <w:u w:val="single"/>
            <w:rtl/>
          </w:rPr>
          <w:t>רע"פ 4883/14</w:t>
        </w:r>
      </w:hyperlink>
      <w:r w:rsidRPr="00BF4CD5">
        <w:rPr>
          <w:rFonts w:ascii="David" w:hAnsi="David"/>
          <w:rtl/>
        </w:rPr>
        <w:t xml:space="preserve"> </w:t>
      </w:r>
      <w:r w:rsidRPr="00BF4CD5">
        <w:rPr>
          <w:rFonts w:ascii="David" w:hAnsi="David"/>
          <w:b/>
          <w:bCs/>
          <w:rtl/>
        </w:rPr>
        <w:t>בן חיון אוטמזגין נ' מדינת ישראל</w:t>
      </w:r>
      <w:r w:rsidRPr="00BF4CD5">
        <w:rPr>
          <w:rFonts w:ascii="David" w:hAnsi="David"/>
          <w:rtl/>
        </w:rPr>
        <w:t xml:space="preserve"> (4.12.2014)). </w:t>
      </w:r>
    </w:p>
    <w:p w14:paraId="706D3CC9" w14:textId="77777777" w:rsidR="00E07582" w:rsidRPr="00BF4CD5" w:rsidRDefault="00E07582" w:rsidP="00E07582">
      <w:pPr>
        <w:pStyle w:val="aa"/>
        <w:spacing w:line="260" w:lineRule="exact"/>
      </w:pPr>
    </w:p>
    <w:p w14:paraId="29C1E202"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המחוקק הכיר בכך כי נסיבות ביצוע העבירות יכולות להתברר בשלב המשפט ולא התנה ההתחשבות בהן בהכללתן מראש בכתב האישום. הטעמים לכך ברורים: "כתב האישום מנוסח על פי חומר הראיות שבידי התביעה ו</w:t>
      </w:r>
      <w:r w:rsidRPr="00BF4CD5">
        <w:rPr>
          <w:rFonts w:ascii="David" w:hAnsi="David" w:hint="cs"/>
          <w:rtl/>
        </w:rPr>
        <w:t>ב</w:t>
      </w:r>
      <w:r w:rsidRPr="00BF4CD5">
        <w:rPr>
          <w:rFonts w:ascii="David" w:hAnsi="David"/>
          <w:rtl/>
        </w:rPr>
        <w:t>דרך כלל תהא דרך ניסוחו 'טכנית' ו'יבשה'. מטבע הדברים, שמיעת עדויות העדים "מחייה" בפני השופט</w:t>
      </w:r>
      <w:r w:rsidR="00EE787A">
        <w:rPr>
          <w:rFonts w:ascii="David" w:hAnsi="David"/>
          <w:rtl/>
        </w:rPr>
        <w:t xml:space="preserve"> </w:t>
      </w:r>
      <w:r w:rsidRPr="00BF4CD5">
        <w:rPr>
          <w:rFonts w:ascii="David" w:hAnsi="David"/>
          <w:rtl/>
        </w:rPr>
        <w:t xml:space="preserve">היושב לדין, את העובדות היבשות אשר בכתב האישום, פורשת בפניו את פרטי האירוע במלואם ומביאה בפניו את אשר אירע באופן שלם ומקיף יותר" (פסקה 12 לפסק דינה של השופטת שרון-נתנאל בעניין </w:t>
      </w:r>
      <w:r w:rsidRPr="00BF4CD5">
        <w:rPr>
          <w:rFonts w:ascii="David" w:hAnsi="David"/>
          <w:b/>
          <w:bCs/>
          <w:rtl/>
        </w:rPr>
        <w:t>אוטמזגין</w:t>
      </w:r>
      <w:r w:rsidRPr="00BF4CD5">
        <w:rPr>
          <w:rFonts w:ascii="David" w:hAnsi="David"/>
          <w:rtl/>
        </w:rPr>
        <w:t xml:space="preserve"> </w:t>
      </w:r>
      <w:r w:rsidRPr="00BF4CD5">
        <w:rPr>
          <w:rFonts w:ascii="David" w:hAnsi="David"/>
          <w:b/>
          <w:bCs/>
          <w:rtl/>
        </w:rPr>
        <w:t>חיון</w:t>
      </w:r>
      <w:r w:rsidRPr="00BF4CD5">
        <w:rPr>
          <w:rFonts w:ascii="David" w:hAnsi="David"/>
          <w:rtl/>
        </w:rPr>
        <w:t xml:space="preserve">); "נסיבות אלו מלובנות בהליך החשוב ביותר... ובו חלים עוגנים ומגבלות שנועדו להגן על זכויותיו של הנאשם... כאשר הראיות פרוסות לפני הצדדים וניתנת להם ההזדמנות לטעון בעניינן במהלך הבירור... הדבר משרת את הדיוק הרצוי שיש לשאוף אליו – התאמת העונש למעשה העבירה על מכלול נסיבותיו ומביא לחסכון במשאבים... ולייעול ההליך (מוחמד </w:t>
      </w:r>
      <w:hyperlink r:id="rId71" w:history="1">
        <w:r w:rsidR="00EE787A" w:rsidRPr="00EE787A">
          <w:rPr>
            <w:rFonts w:ascii="David" w:hAnsi="David"/>
            <w:color w:val="0000FF"/>
            <w:u w:val="single"/>
            <w:rtl/>
          </w:rPr>
          <w:t xml:space="preserve">עלי "על סדרי דין וראיות </w:t>
        </w:r>
      </w:hyperlink>
      <w:r w:rsidRPr="00BF4CD5">
        <w:rPr>
          <w:rFonts w:ascii="David" w:hAnsi="David"/>
          <w:rtl/>
        </w:rPr>
        <w:t xml:space="preserve"> בדרך לקביעת מתחם מתחם עונש הולם" </w:t>
      </w:r>
      <w:r w:rsidRPr="00BF4CD5">
        <w:rPr>
          <w:rFonts w:ascii="David" w:hAnsi="David"/>
          <w:b/>
          <w:bCs/>
          <w:rtl/>
        </w:rPr>
        <w:t>הפרקליט</w:t>
      </w:r>
      <w:r w:rsidRPr="00BF4CD5">
        <w:rPr>
          <w:rFonts w:ascii="David" w:hAnsi="David"/>
          <w:rtl/>
        </w:rPr>
        <w:t xml:space="preserve"> נד 31-32 (תשע"ו)).</w:t>
      </w:r>
    </w:p>
    <w:p w14:paraId="0E082B4A" w14:textId="77777777" w:rsidR="00E07582" w:rsidRPr="00BF4CD5" w:rsidRDefault="00E07582" w:rsidP="00E07582">
      <w:pPr>
        <w:tabs>
          <w:tab w:val="left" w:pos="226"/>
        </w:tabs>
        <w:spacing w:line="260" w:lineRule="exact"/>
        <w:ind w:left="85"/>
        <w:contextualSpacing/>
        <w:jc w:val="both"/>
        <w:rPr>
          <w:rFonts w:ascii="David" w:hAnsi="David"/>
          <w:rtl/>
        </w:rPr>
      </w:pPr>
    </w:p>
    <w:p w14:paraId="6A717113"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 xml:space="preserve">ככל שהייתי מחליטה להרשיע את הנאשם בהתאם להוראות </w:t>
      </w:r>
      <w:hyperlink r:id="rId72" w:history="1">
        <w:r w:rsidR="00F93271" w:rsidRPr="00F93271">
          <w:rPr>
            <w:rStyle w:val="Hyperlink"/>
            <w:rFonts w:ascii="David" w:hAnsi="David"/>
            <w:rtl/>
          </w:rPr>
          <w:t>סעיף 184</w:t>
        </w:r>
      </w:hyperlink>
      <w:r w:rsidRPr="00BF4CD5">
        <w:rPr>
          <w:rFonts w:ascii="David" w:hAnsi="David"/>
          <w:rtl/>
        </w:rPr>
        <w:t xml:space="preserve"> ל</w:t>
      </w:r>
      <w:hyperlink r:id="rId73" w:history="1">
        <w:r w:rsidR="00EE787A" w:rsidRPr="00EE787A">
          <w:rPr>
            <w:rFonts w:ascii="David" w:hAnsi="David"/>
            <w:color w:val="0000FF"/>
            <w:u w:val="single"/>
            <w:rtl/>
          </w:rPr>
          <w:t>חסד"פ</w:t>
        </w:r>
      </w:hyperlink>
      <w:r w:rsidRPr="00BF4CD5">
        <w:rPr>
          <w:rFonts w:ascii="David" w:hAnsi="David"/>
          <w:rtl/>
        </w:rPr>
        <w:t>, היה מקום להידרש לסיפה סעיף זה הנוגע למגבלת הענישה שהרי אין לגזור עליו "עונש חמור מזה שאפשר היה להטיל עליו אילו הוכחו העובדות כפי שנטענו בכתב האישום". על-פניו, הוראות אלו עומד</w:t>
      </w:r>
      <w:r w:rsidRPr="00BF4CD5">
        <w:rPr>
          <w:rFonts w:ascii="David" w:hAnsi="David" w:hint="cs"/>
          <w:rtl/>
        </w:rPr>
        <w:t>ו</w:t>
      </w:r>
      <w:r w:rsidRPr="00BF4CD5">
        <w:rPr>
          <w:rFonts w:ascii="David" w:hAnsi="David"/>
          <w:rtl/>
        </w:rPr>
        <w:t xml:space="preserve">ת בסתירה לתיקון מס' 113 לחוק שכן קביעת מתחם העונש ההולם על יסוד נסיבות ביצוע העבירה משליכה על העונש שיש להשית על הנאשם במסגרתו. נוכח אותה מגבלה עונשית עשוי מצבו של הנאשם להיות מורע דווקא בשל הבחירה שלא להרשיעו בהתאם להוראות </w:t>
      </w:r>
      <w:hyperlink r:id="rId74" w:history="1">
        <w:r w:rsidR="00F93271" w:rsidRPr="00F93271">
          <w:rPr>
            <w:rStyle w:val="Hyperlink"/>
            <w:rFonts w:ascii="David" w:hAnsi="David"/>
            <w:rtl/>
          </w:rPr>
          <w:t>סעיף 184</w:t>
        </w:r>
      </w:hyperlink>
      <w:r w:rsidRPr="00BF4CD5">
        <w:rPr>
          <w:rFonts w:ascii="David" w:hAnsi="David"/>
          <w:rtl/>
        </w:rPr>
        <w:t xml:space="preserve"> ל</w:t>
      </w:r>
      <w:hyperlink r:id="rId75" w:history="1">
        <w:r w:rsidR="00EE787A" w:rsidRPr="00EE787A">
          <w:rPr>
            <w:rFonts w:ascii="David" w:hAnsi="David"/>
            <w:color w:val="0000FF"/>
            <w:u w:val="single"/>
            <w:rtl/>
          </w:rPr>
          <w:t>חסד"פ</w:t>
        </w:r>
      </w:hyperlink>
      <w:r w:rsidRPr="00BF4CD5">
        <w:rPr>
          <w:rFonts w:ascii="David" w:hAnsi="David"/>
          <w:rtl/>
        </w:rPr>
        <w:t xml:space="preserve">, שהרי, וכאמור בעניין </w:t>
      </w:r>
      <w:r w:rsidRPr="00BF4CD5">
        <w:rPr>
          <w:rFonts w:ascii="David" w:hAnsi="David"/>
          <w:b/>
          <w:bCs/>
          <w:rtl/>
        </w:rPr>
        <w:t>אוטמזגין חיון,</w:t>
      </w:r>
      <w:r w:rsidRPr="00BF4CD5">
        <w:rPr>
          <w:rFonts w:ascii="David" w:hAnsi="David"/>
          <w:rtl/>
        </w:rPr>
        <w:t xml:space="preserve"> יש להתחשב בעת קביעת המתחם גם בנסיבות מחמירות שהובאו בשלב שמיעת הראיות ולא צוינו בכתב האישום (קל וחומר מקום בו נקבעו, כפי ענייננו, בהכרעת הדין עצמה).</w:t>
      </w:r>
    </w:p>
    <w:p w14:paraId="1D0BD2C7" w14:textId="77777777" w:rsidR="00E07582" w:rsidRPr="00BF4CD5" w:rsidRDefault="00E07582" w:rsidP="00E07582">
      <w:pPr>
        <w:pStyle w:val="aa"/>
        <w:spacing w:line="260" w:lineRule="exact"/>
      </w:pPr>
    </w:p>
    <w:p w14:paraId="69A1CCD8"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 xml:space="preserve">לעמדתי, כך או אחרת, בין אם הורשע הנאשם על פי עובדות נוספות או שונות מהאמור בכתב האישום בהתאם להוראות </w:t>
      </w:r>
      <w:hyperlink r:id="rId76" w:history="1">
        <w:r w:rsidR="00F93271" w:rsidRPr="00F93271">
          <w:rPr>
            <w:rStyle w:val="Hyperlink"/>
            <w:rFonts w:ascii="David" w:hAnsi="David"/>
            <w:rtl/>
          </w:rPr>
          <w:t>סעיף 184</w:t>
        </w:r>
      </w:hyperlink>
      <w:r w:rsidRPr="00BF4CD5">
        <w:rPr>
          <w:rFonts w:ascii="David" w:hAnsi="David"/>
          <w:rtl/>
        </w:rPr>
        <w:t xml:space="preserve"> ל</w:t>
      </w:r>
      <w:hyperlink r:id="rId77" w:history="1">
        <w:r w:rsidR="00EE787A" w:rsidRPr="00EE787A">
          <w:rPr>
            <w:rFonts w:ascii="David" w:hAnsi="David"/>
            <w:color w:val="0000FF"/>
            <w:u w:val="single"/>
            <w:rtl/>
          </w:rPr>
          <w:t>חסד"פ</w:t>
        </w:r>
      </w:hyperlink>
      <w:r w:rsidRPr="00BF4CD5">
        <w:rPr>
          <w:rFonts w:ascii="David" w:hAnsi="David"/>
          <w:rtl/>
        </w:rPr>
        <w:t xml:space="preserve">, בין אם לאו, </w:t>
      </w:r>
      <w:r w:rsidRPr="00BF4CD5">
        <w:rPr>
          <w:rFonts w:ascii="David" w:hAnsi="David"/>
          <w:i/>
          <w:iCs/>
          <w:rtl/>
        </w:rPr>
        <w:t>ככל שאלו עולות כדי נסיבות עבירה במסגרת אותו אירוע מושא כתב האישום</w:t>
      </w:r>
      <w:r w:rsidRPr="00BF4CD5">
        <w:rPr>
          <w:rFonts w:ascii="David" w:hAnsi="David"/>
          <w:rtl/>
        </w:rPr>
        <w:t xml:space="preserve">, שומה על בית המשפט להתחשב בהן, ובלבד שאכן יכול היה הנאשם להידרש להן במסגרת פרשת הבאת הראיות בה מתבררות אמיתותן ומשקלן. ובמילים אחרות: כאשר נתאפשרה לו הזדמנות סבירה להתגונן מפני קביעת ממצאים עובדתיים אלה במידה הנדרשת בפלילים. </w:t>
      </w:r>
    </w:p>
    <w:p w14:paraId="7F3C6F47" w14:textId="77777777" w:rsidR="00E07582" w:rsidRPr="00BF4CD5" w:rsidRDefault="00E07582" w:rsidP="00E07582">
      <w:pPr>
        <w:pStyle w:val="aa"/>
        <w:spacing w:line="260" w:lineRule="exact"/>
      </w:pPr>
    </w:p>
    <w:p w14:paraId="4C85FDD0"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 xml:space="preserve">תחילה יוער כי קיימת עמדה פסיקתית לפיה "המגבלה </w:t>
      </w:r>
      <w:hyperlink r:id="rId78" w:history="1">
        <w:r w:rsidR="00F93271" w:rsidRPr="00F93271">
          <w:rPr>
            <w:rStyle w:val="Hyperlink"/>
            <w:rFonts w:ascii="David" w:hAnsi="David"/>
            <w:rtl/>
          </w:rPr>
          <w:t>בסעיף 184</w:t>
        </w:r>
      </w:hyperlink>
      <w:r w:rsidRPr="00BF4CD5">
        <w:rPr>
          <w:rFonts w:ascii="David" w:hAnsi="David"/>
          <w:rtl/>
        </w:rPr>
        <w:t xml:space="preserve"> ל</w:t>
      </w:r>
      <w:hyperlink r:id="rId79" w:history="1">
        <w:r w:rsidR="00EE787A" w:rsidRPr="00EE787A">
          <w:rPr>
            <w:rFonts w:ascii="David" w:hAnsi="David"/>
            <w:color w:val="0000FF"/>
            <w:u w:val="single"/>
            <w:rtl/>
          </w:rPr>
          <w:t>חסד"פ</w:t>
        </w:r>
      </w:hyperlink>
      <w:r w:rsidRPr="00BF4CD5">
        <w:rPr>
          <w:rFonts w:ascii="David" w:hAnsi="David"/>
          <w:rtl/>
        </w:rPr>
        <w:t xml:space="preserve"> נוגעת להעדר אפשרות "להש</w:t>
      </w:r>
      <w:r>
        <w:rPr>
          <w:rFonts w:ascii="David" w:hAnsi="David"/>
          <w:rtl/>
        </w:rPr>
        <w:t>ית על הנאשם עונש גבוה מהעונש המ</w:t>
      </w:r>
      <w:r w:rsidRPr="00BF4CD5">
        <w:rPr>
          <w:rFonts w:ascii="David" w:hAnsi="David"/>
          <w:rtl/>
        </w:rPr>
        <w:t>רבי הקבוע לעבירה המקורית בה הואשם בכתב האישום" והיא "טכנית" ואין בה "שינוי מהותי בשקלול חומרת העבירה" (</w:t>
      </w:r>
      <w:hyperlink r:id="rId80" w:history="1">
        <w:r w:rsidR="00EE787A" w:rsidRPr="00EE787A">
          <w:rPr>
            <w:rFonts w:ascii="David" w:hAnsi="David"/>
            <w:color w:val="0000FF"/>
            <w:u w:val="single"/>
            <w:rtl/>
          </w:rPr>
          <w:t>תפ"ח (מחוזי י-ם) 48009-03-13</w:t>
        </w:r>
      </w:hyperlink>
      <w:r w:rsidRPr="00BF4CD5">
        <w:rPr>
          <w:rFonts w:ascii="David" w:hAnsi="David"/>
          <w:rtl/>
        </w:rPr>
        <w:t>‏ ‏</w:t>
      </w:r>
      <w:r w:rsidRPr="00BF4CD5">
        <w:rPr>
          <w:rFonts w:ascii="David" w:hAnsi="David"/>
          <w:b/>
          <w:bCs/>
          <w:rtl/>
        </w:rPr>
        <w:t>מדינת ישראל נ' פלוני</w:t>
      </w:r>
      <w:r w:rsidRPr="00BF4CD5">
        <w:rPr>
          <w:rFonts w:ascii="David" w:hAnsi="David"/>
          <w:rtl/>
        </w:rPr>
        <w:t xml:space="preserve"> פסקה 13 (14.7.2014); ערעור הנאשם נדחה (</w:t>
      </w:r>
      <w:hyperlink r:id="rId81" w:history="1">
        <w:r w:rsidR="00EE787A" w:rsidRPr="00EE787A">
          <w:rPr>
            <w:rFonts w:ascii="David" w:hAnsi="David"/>
            <w:color w:val="0000FF"/>
            <w:u w:val="single"/>
            <w:rtl/>
          </w:rPr>
          <w:t>ע"פ 5808/14</w:t>
        </w:r>
      </w:hyperlink>
      <w:r w:rsidRPr="00BF4CD5">
        <w:rPr>
          <w:rFonts w:ascii="David" w:hAnsi="David"/>
          <w:rtl/>
        </w:rPr>
        <w:t xml:space="preserve"> </w:t>
      </w:r>
      <w:r w:rsidRPr="00BF4CD5">
        <w:rPr>
          <w:rFonts w:ascii="David" w:hAnsi="David"/>
          <w:b/>
          <w:bCs/>
          <w:rtl/>
        </w:rPr>
        <w:t>פלוני נ' מדינת ישראל</w:t>
      </w:r>
      <w:r w:rsidRPr="00BF4CD5">
        <w:rPr>
          <w:rFonts w:ascii="David" w:hAnsi="David"/>
          <w:rtl/>
        </w:rPr>
        <w:t xml:space="preserve"> (7.10.2015)). ככל שפרשנות זו אכן תאומץ, כל עוד לא נג</w:t>
      </w:r>
      <w:r>
        <w:rPr>
          <w:rFonts w:ascii="David" w:hAnsi="David"/>
          <w:rtl/>
        </w:rPr>
        <w:t>זר על הנאשם עונש חמור מהעונש המ</w:t>
      </w:r>
      <w:r w:rsidRPr="00BF4CD5">
        <w:rPr>
          <w:rFonts w:ascii="David" w:hAnsi="David"/>
          <w:rtl/>
        </w:rPr>
        <w:t>רבי הקבוע לעבירה, אין מניעה להתחשב בכל הנתונים שהוכחו, במידה הנדרשת בפלילים, במהלך המשפט.</w:t>
      </w:r>
    </w:p>
    <w:p w14:paraId="4B66FAB0" w14:textId="77777777" w:rsidR="00E07582" w:rsidRPr="00BF4CD5" w:rsidRDefault="00E07582" w:rsidP="00E07582">
      <w:pPr>
        <w:pStyle w:val="aa"/>
        <w:spacing w:line="260" w:lineRule="exact"/>
      </w:pPr>
    </w:p>
    <w:p w14:paraId="48AC21E1" w14:textId="77777777" w:rsidR="00E07582" w:rsidRPr="00BF4CD5" w:rsidRDefault="00E07582" w:rsidP="00E07582">
      <w:pPr>
        <w:numPr>
          <w:ilvl w:val="0"/>
          <w:numId w:val="1"/>
        </w:numPr>
        <w:tabs>
          <w:tab w:val="left" w:pos="226"/>
        </w:tabs>
        <w:spacing w:line="260" w:lineRule="exact"/>
        <w:ind w:left="85" w:firstLine="0"/>
        <w:contextualSpacing/>
        <w:jc w:val="both"/>
        <w:rPr>
          <w:rtl/>
        </w:rPr>
      </w:pPr>
      <w:r w:rsidRPr="00BF4CD5">
        <w:rPr>
          <w:rFonts w:ascii="David" w:hAnsi="David"/>
          <w:rtl/>
        </w:rPr>
        <w:t xml:space="preserve">אך גם אם ייקבע כי התיבה 'עונש חמור מזה' המוזכרת </w:t>
      </w:r>
      <w:hyperlink r:id="rId82" w:history="1">
        <w:r w:rsidR="00F93271" w:rsidRPr="00F93271">
          <w:rPr>
            <w:rStyle w:val="Hyperlink"/>
            <w:rFonts w:ascii="David" w:hAnsi="David"/>
            <w:rtl/>
          </w:rPr>
          <w:t>בסעיף 184</w:t>
        </w:r>
      </w:hyperlink>
      <w:r w:rsidRPr="00BF4CD5">
        <w:rPr>
          <w:rFonts w:ascii="David" w:hAnsi="David"/>
          <w:rtl/>
        </w:rPr>
        <w:t xml:space="preserve"> ל</w:t>
      </w:r>
      <w:hyperlink r:id="rId83" w:history="1">
        <w:r w:rsidR="00EE787A" w:rsidRPr="00EE787A">
          <w:rPr>
            <w:rFonts w:ascii="David" w:hAnsi="David"/>
            <w:color w:val="0000FF"/>
            <w:u w:val="single"/>
            <w:rtl/>
          </w:rPr>
          <w:t>חסד"פ</w:t>
        </w:r>
      </w:hyperlink>
      <w:r w:rsidRPr="00BF4CD5">
        <w:rPr>
          <w:rFonts w:ascii="David" w:hAnsi="David"/>
          <w:rtl/>
        </w:rPr>
        <w:t xml:space="preserve"> משמעה העדר אפשרות להשית עונש חמור מזה שניתן לקבעו על פי העובדות המתוארות בכתב האישום, להבדיל מסעיף העבירה המקורי, עמדתי היא כי יש להתחשב בנסיבות העבירה או בעבירה נוספת או שונה כפי שנקבעו במסגרת הכרעת הדין בהקשר האירוע מושא כתב האישום לצורך קביעת מתחם העונש ההולם, על אף שזה, מטיבו, קשור קשר הדוק לעונש שיוטל על הנאשם. נקודת המוצא לקביעה זו היא הוראות </w:t>
      </w:r>
      <w:hyperlink r:id="rId84" w:history="1">
        <w:r w:rsidR="00F93271" w:rsidRPr="00F93271">
          <w:rPr>
            <w:rStyle w:val="Hyperlink"/>
            <w:rFonts w:ascii="David" w:hAnsi="David"/>
            <w:rtl/>
          </w:rPr>
          <w:t>סעיף 40א</w:t>
        </w:r>
      </w:hyperlink>
      <w:r w:rsidRPr="00BF4CD5">
        <w:rPr>
          <w:rFonts w:ascii="David" w:hAnsi="David"/>
          <w:rtl/>
        </w:rPr>
        <w:t xml:space="preserve"> לחוק, המציין את מטרת התיקון: קביעת העונש המתאים לנאשם בנסיבות העבירה</w:t>
      </w:r>
      <w:r w:rsidRPr="00BF4CD5">
        <w:rPr>
          <w:rFonts w:ascii="David" w:hAnsi="David" w:hint="cs"/>
          <w:rtl/>
        </w:rPr>
        <w:t xml:space="preserve"> והוראות </w:t>
      </w:r>
      <w:hyperlink r:id="rId85" w:history="1">
        <w:r w:rsidR="00F93271" w:rsidRPr="00F93271">
          <w:rPr>
            <w:rStyle w:val="Hyperlink"/>
            <w:rFonts w:ascii="David" w:hAnsi="David" w:hint="eastAsia"/>
            <w:rtl/>
          </w:rPr>
          <w:t>סעיף</w:t>
        </w:r>
        <w:r w:rsidR="00F93271" w:rsidRPr="00F93271">
          <w:rPr>
            <w:rStyle w:val="Hyperlink"/>
            <w:rFonts w:ascii="David" w:hAnsi="David"/>
            <w:rtl/>
          </w:rPr>
          <w:t xml:space="preserve"> 40ט(א)</w:t>
        </w:r>
      </w:hyperlink>
      <w:r w:rsidRPr="00BF4CD5">
        <w:rPr>
          <w:rFonts w:ascii="David" w:hAnsi="David" w:hint="cs"/>
          <w:rtl/>
        </w:rPr>
        <w:t xml:space="preserve"> לפיהן יש להתחשב בשעת קביעת המתחם "בהתקיימותן של נסיבות הקשורות בביצוע העבירה"</w:t>
      </w:r>
      <w:r w:rsidRPr="00BF4CD5">
        <w:rPr>
          <w:rFonts w:ascii="David" w:hAnsi="David"/>
          <w:rtl/>
        </w:rPr>
        <w:t>. עיון בפרוטוקולי ועדת חוק חוקה ומשפטית שדנה, במהלך שנים, בחקיקת התיקון לחוק מעלה כי נושא זה, חשיבות הדגשת נסיבות המעשה, העשויות להשליך על מידת-חומרתו, עבר כחוט השני במהלך כל דיוני הועדה</w:t>
      </w:r>
      <w:r w:rsidRPr="00BF4CD5">
        <w:rPr>
          <w:rFonts w:hint="cs"/>
          <w:rtl/>
        </w:rPr>
        <w:t xml:space="preserve"> ועמד במו</w:t>
      </w:r>
      <w:r>
        <w:rPr>
          <w:rFonts w:hint="cs"/>
          <w:rtl/>
        </w:rPr>
        <w:t>ֹ</w:t>
      </w:r>
      <w:r w:rsidRPr="00BF4CD5">
        <w:rPr>
          <w:rFonts w:hint="cs"/>
          <w:rtl/>
        </w:rPr>
        <w:t>קדם</w:t>
      </w:r>
      <w:r w:rsidRPr="00BF4CD5">
        <w:rPr>
          <w:rtl/>
        </w:rPr>
        <w:t>.</w:t>
      </w:r>
    </w:p>
    <w:p w14:paraId="0E9C9CD1" w14:textId="77777777" w:rsidR="00E07582" w:rsidRPr="00BF4CD5" w:rsidRDefault="00E07582" w:rsidP="00E07582">
      <w:pPr>
        <w:pStyle w:val="aa"/>
        <w:spacing w:line="260" w:lineRule="exact"/>
      </w:pPr>
    </w:p>
    <w:p w14:paraId="2938BCDE"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 xml:space="preserve">לכך יש להוסיף את האמירה הברורה והמפורשת המעוגנת </w:t>
      </w:r>
      <w:hyperlink r:id="rId86" w:history="1">
        <w:r w:rsidR="00F93271" w:rsidRPr="00F93271">
          <w:rPr>
            <w:rStyle w:val="Hyperlink"/>
            <w:rFonts w:ascii="David" w:hAnsi="David"/>
            <w:rtl/>
          </w:rPr>
          <w:t>בסעיף 40י(א)</w:t>
        </w:r>
      </w:hyperlink>
      <w:r w:rsidRPr="00BF4CD5">
        <w:rPr>
          <w:rFonts w:ascii="David" w:hAnsi="David"/>
          <w:rtl/>
        </w:rPr>
        <w:t xml:space="preserve"> לחוק ולפיה קביעת התקיימותן של נסיבות ביצוע העבירה תעשה על יסוד ראיות שהובאו בשלב בירור האשמה. ונדגיש: להבדיל מנסיבות שאינן קשורות בביצוע העבירה, בהן בית המשפט "רשאי להתחשב" בגזירת העונש המתאים לנאשם</w:t>
      </w:r>
      <w:r w:rsidRPr="00BF4CD5">
        <w:rPr>
          <w:rFonts w:ascii="David" w:hAnsi="David" w:hint="cs"/>
          <w:rtl/>
        </w:rPr>
        <w:t xml:space="preserve"> </w:t>
      </w:r>
      <w:r w:rsidRPr="00BF4CD5">
        <w:rPr>
          <w:rFonts w:ascii="David" w:hAnsi="David"/>
          <w:rtl/>
        </w:rPr>
        <w:t xml:space="preserve">(פרוטוקול ישיבה מס' 424 של ועדת החוקה חוק ומשפט, הכנסת ה-18, 35 (5.7.2011)), כשמדובר בנסיבות הנוגעות לביצוע העבירה לשון החוק מורה "להתחשב", ככל שאלו משפיעות על חומרת העבירה ואשם הנאשם. </w:t>
      </w:r>
    </w:p>
    <w:p w14:paraId="00B25A4F" w14:textId="77777777" w:rsidR="00E07582" w:rsidRPr="00E07582" w:rsidRDefault="00E07582" w:rsidP="00E07582">
      <w:pPr>
        <w:tabs>
          <w:tab w:val="left" w:pos="226"/>
        </w:tabs>
        <w:spacing w:line="260" w:lineRule="exact"/>
        <w:ind w:left="85"/>
        <w:contextualSpacing/>
        <w:jc w:val="both"/>
        <w:rPr>
          <w:rFonts w:ascii="Calibri" w:hAnsi="Calibri" w:cs="Arial"/>
          <w:sz w:val="22"/>
          <w:szCs w:val="22"/>
        </w:rPr>
      </w:pPr>
    </w:p>
    <w:p w14:paraId="553F2B04" w14:textId="77777777" w:rsidR="00E07582"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 xml:space="preserve">תיקון 113 לחוק מאוחר לחקיקת </w:t>
      </w:r>
      <w:hyperlink r:id="rId87" w:history="1">
        <w:r w:rsidR="00F93271" w:rsidRPr="00F93271">
          <w:rPr>
            <w:rStyle w:val="Hyperlink"/>
            <w:rFonts w:ascii="David" w:hAnsi="David"/>
            <w:rtl/>
          </w:rPr>
          <w:t>סעיף 184</w:t>
        </w:r>
      </w:hyperlink>
      <w:r w:rsidRPr="00BF4CD5">
        <w:rPr>
          <w:rFonts w:ascii="David" w:hAnsi="David"/>
          <w:rtl/>
        </w:rPr>
        <w:t xml:space="preserve"> ל</w:t>
      </w:r>
      <w:hyperlink r:id="rId88" w:history="1">
        <w:r w:rsidR="00EE787A" w:rsidRPr="00EE787A">
          <w:rPr>
            <w:rFonts w:ascii="David" w:hAnsi="David"/>
            <w:color w:val="0000FF"/>
            <w:u w:val="single"/>
            <w:rtl/>
          </w:rPr>
          <w:t>חסד"פ</w:t>
        </w:r>
      </w:hyperlink>
      <w:r w:rsidRPr="00BF4CD5">
        <w:rPr>
          <w:rFonts w:ascii="David" w:hAnsi="David"/>
          <w:rtl/>
        </w:rPr>
        <w:t>; "הכלל הבסיסי בשיטת המשפט שלנו לפיו הוראת חוק מאוחרת גוברת על הוראת חוק מוקדמת, ובלבד ששתי ההוראות שוות מעמד" (</w:t>
      </w:r>
      <w:hyperlink r:id="rId89" w:history="1">
        <w:r w:rsidR="00EE787A" w:rsidRPr="00EE787A">
          <w:rPr>
            <w:rFonts w:ascii="David" w:hAnsi="David"/>
            <w:color w:val="0000FF"/>
            <w:u w:val="single"/>
            <w:rtl/>
          </w:rPr>
          <w:t>בג"ץ 4124/00</w:t>
        </w:r>
      </w:hyperlink>
      <w:r w:rsidRPr="00BF4CD5">
        <w:rPr>
          <w:rFonts w:ascii="David" w:hAnsi="David"/>
          <w:rtl/>
        </w:rPr>
        <w:t xml:space="preserve"> </w:t>
      </w:r>
      <w:r w:rsidRPr="00BF4CD5">
        <w:rPr>
          <w:rFonts w:ascii="David" w:hAnsi="David"/>
          <w:b/>
          <w:bCs/>
          <w:rtl/>
        </w:rPr>
        <w:t>יקותיאלי נ' השר לעניני דתות</w:t>
      </w:r>
      <w:r w:rsidRPr="00BF4CD5">
        <w:rPr>
          <w:rFonts w:ascii="David" w:hAnsi="David"/>
          <w:rtl/>
        </w:rPr>
        <w:t>, פסקה 25 פ''ד סד(1) 142). במסגרת תיקון זה הביע המחוקק עמדתו, מפורשות, לפיה יש לגזור דינו של נאשם בהתאם לעקרון ההלימה, כלומר: "יחס הולם בין חומרת מעשה העבירה בנסיבותיו" לבין העונש שיש להטיל עליו. בהינתן העובדה כי תיקון 113 לחוק עוסק מפורשות בשאלה הקונקרטית הנוגעת למעמדן של עובדות שהוכחו במהלך המשפט לא ניתן לסווגו כנורמה כללית אל מול נורמה ספציפית עדיפה</w:t>
      </w:r>
      <w:r w:rsidRPr="00BF4CD5">
        <w:rPr>
          <w:rFonts w:ascii="David" w:hAnsi="David" w:hint="cs"/>
          <w:rtl/>
        </w:rPr>
        <w:t xml:space="preserve"> </w:t>
      </w:r>
      <w:hyperlink r:id="rId90" w:history="1">
        <w:r w:rsidR="00F93271" w:rsidRPr="00F93271">
          <w:rPr>
            <w:rStyle w:val="Hyperlink"/>
            <w:rFonts w:ascii="David" w:hAnsi="David"/>
            <w:rtl/>
          </w:rPr>
          <w:t>שבסעיף 184</w:t>
        </w:r>
      </w:hyperlink>
      <w:r w:rsidRPr="00BF4CD5">
        <w:rPr>
          <w:rFonts w:ascii="David" w:hAnsi="David"/>
          <w:rtl/>
        </w:rPr>
        <w:t xml:space="preserve"> ל</w:t>
      </w:r>
      <w:hyperlink r:id="rId91" w:history="1">
        <w:r w:rsidR="00EE787A" w:rsidRPr="00EE787A">
          <w:rPr>
            <w:rFonts w:ascii="David" w:hAnsi="David"/>
            <w:color w:val="0000FF"/>
            <w:u w:val="single"/>
            <w:rtl/>
          </w:rPr>
          <w:t>חסד"פ</w:t>
        </w:r>
      </w:hyperlink>
      <w:r w:rsidRPr="00BF4CD5">
        <w:rPr>
          <w:rFonts w:ascii="David" w:hAnsi="David"/>
          <w:rtl/>
        </w:rPr>
        <w:t>.</w:t>
      </w:r>
    </w:p>
    <w:p w14:paraId="736219A2" w14:textId="77777777" w:rsidR="00E07582" w:rsidRDefault="00E07582" w:rsidP="00E07582">
      <w:pPr>
        <w:pStyle w:val="aa"/>
        <w:rPr>
          <w:rtl/>
        </w:rPr>
      </w:pPr>
    </w:p>
    <w:p w14:paraId="157E57B6" w14:textId="77777777" w:rsidR="00E07582" w:rsidRPr="00BF4CD5" w:rsidRDefault="00F93271" w:rsidP="00E07582">
      <w:pPr>
        <w:numPr>
          <w:ilvl w:val="0"/>
          <w:numId w:val="1"/>
        </w:numPr>
        <w:tabs>
          <w:tab w:val="left" w:pos="226"/>
        </w:tabs>
        <w:spacing w:line="260" w:lineRule="exact"/>
        <w:ind w:left="85" w:firstLine="0"/>
        <w:contextualSpacing/>
        <w:jc w:val="both"/>
        <w:rPr>
          <w:rFonts w:ascii="David" w:hAnsi="David"/>
          <w:rtl/>
        </w:rPr>
      </w:pPr>
      <w:hyperlink r:id="rId92" w:history="1">
        <w:r w:rsidRPr="00F93271">
          <w:rPr>
            <w:rStyle w:val="Hyperlink"/>
            <w:rFonts w:ascii="David" w:hAnsi="David"/>
            <w:rtl/>
          </w:rPr>
          <w:t>סעיף 34כא</w:t>
        </w:r>
      </w:hyperlink>
      <w:r w:rsidR="00EE787A">
        <w:rPr>
          <w:rFonts w:ascii="David" w:hAnsi="David"/>
        </w:rPr>
        <w:t xml:space="preserve"> </w:t>
      </w:r>
      <w:r w:rsidR="00E07582" w:rsidRPr="00BF4CD5">
        <w:rPr>
          <w:rFonts w:ascii="David" w:hAnsi="David"/>
          <w:rtl/>
        </w:rPr>
        <w:t>לחוק</w:t>
      </w:r>
      <w:r w:rsidR="00E07582" w:rsidRPr="00BF4CD5">
        <w:rPr>
          <w:rFonts w:ascii="David" w:hAnsi="David"/>
        </w:rPr>
        <w:t xml:space="preserve"> </w:t>
      </w:r>
      <w:r w:rsidR="00E07582" w:rsidRPr="00BF4CD5">
        <w:rPr>
          <w:rFonts w:ascii="David" w:hAnsi="David"/>
          <w:rtl/>
        </w:rPr>
        <w:t>קובע כי כאשר ניתן דין לפירושים סבירים אחדים לפי תכליתו, יוכרע העניין לפי הפירוש המקל ביותר עם מי שאמור לשאת באחריות פלילית לפי אותו דין. שקלתי הוראותיו אך פרשנות לפיה אין ליתן משקל לנסיבות מחמירות שהתבררו במהלך ניהול המשפט אינה פרשנות סבירה בהתאם ל</w:t>
      </w:r>
      <w:r w:rsidR="00E07582">
        <w:rPr>
          <w:rFonts w:ascii="David" w:hAnsi="David" w:hint="cs"/>
          <w:rtl/>
        </w:rPr>
        <w:t>מטרת</w:t>
      </w:r>
      <w:r w:rsidR="00E07582" w:rsidRPr="00BF4CD5">
        <w:rPr>
          <w:rFonts w:ascii="David" w:hAnsi="David"/>
          <w:rtl/>
        </w:rPr>
        <w:t xml:space="preserve"> התיקון</w:t>
      </w:r>
      <w:r w:rsidR="00E07582" w:rsidRPr="00BF4CD5">
        <w:rPr>
          <w:rFonts w:ascii="David" w:hAnsi="David" w:hint="cs"/>
          <w:rtl/>
        </w:rPr>
        <w:t xml:space="preserve">. </w:t>
      </w:r>
      <w:r w:rsidR="00E07582" w:rsidRPr="00BF4CD5">
        <w:rPr>
          <w:rFonts w:ascii="David" w:hAnsi="David"/>
          <w:rtl/>
        </w:rPr>
        <w:t>תכליתו הברורה והמוצהרת היא שימת דגש על מעשה העבירה, בנסיבותיו, ואי</w:t>
      </w:r>
      <w:r w:rsidR="00E07582" w:rsidRPr="00BF4CD5">
        <w:rPr>
          <w:rFonts w:ascii="David" w:hAnsi="David" w:hint="cs"/>
          <w:rtl/>
        </w:rPr>
        <w:t>-</w:t>
      </w:r>
      <w:r w:rsidR="00E07582" w:rsidRPr="00BF4CD5">
        <w:rPr>
          <w:rFonts w:ascii="David" w:hAnsi="David"/>
          <w:rtl/>
        </w:rPr>
        <w:t>מתן משקל להן אינו עומד בהלימה לתכלית זו ולא ניתן לקבלו כפירוש סביר</w:t>
      </w:r>
      <w:r w:rsidR="00E07582">
        <w:rPr>
          <w:rFonts w:ascii="David" w:hAnsi="David" w:hint="cs"/>
          <w:rtl/>
        </w:rPr>
        <w:t>.</w:t>
      </w:r>
      <w:r w:rsidR="00E07582" w:rsidRPr="00BF4CD5">
        <w:rPr>
          <w:rFonts w:ascii="David" w:hAnsi="David"/>
          <w:rtl/>
        </w:rPr>
        <w:t xml:space="preserve"> </w:t>
      </w:r>
    </w:p>
    <w:p w14:paraId="2AF79E56" w14:textId="77777777" w:rsidR="00E07582" w:rsidRPr="00BF4CD5" w:rsidRDefault="00E07582" w:rsidP="00E07582">
      <w:pPr>
        <w:pStyle w:val="aa"/>
        <w:spacing w:line="260" w:lineRule="exact"/>
      </w:pPr>
    </w:p>
    <w:p w14:paraId="78820C13"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משכך, וכל עוד העבירות הנוספות</w:t>
      </w:r>
      <w:r w:rsidRPr="00BF4CD5">
        <w:rPr>
          <w:rFonts w:ascii="David" w:hAnsi="David" w:hint="cs"/>
          <w:rtl/>
        </w:rPr>
        <w:t xml:space="preserve"> או השונות</w:t>
      </w:r>
      <w:r w:rsidRPr="00BF4CD5">
        <w:rPr>
          <w:rFonts w:ascii="David" w:hAnsi="David"/>
          <w:rtl/>
        </w:rPr>
        <w:t xml:space="preserve"> או העובדות הנוספות אינן באות בגדרי אירוע נפרד, אלא מהוות נסיבות הנוגעות לאירוע שבכתב האישום, </w:t>
      </w:r>
      <w:r w:rsidRPr="00BF4CD5">
        <w:rPr>
          <w:rFonts w:ascii="David" w:hAnsi="David" w:hint="cs"/>
          <w:rtl/>
        </w:rPr>
        <w:t>יש ל</w:t>
      </w:r>
      <w:r w:rsidRPr="00BF4CD5">
        <w:rPr>
          <w:rFonts w:ascii="David" w:hAnsi="David"/>
          <w:rtl/>
        </w:rPr>
        <w:t xml:space="preserve">ראות בסיפה </w:t>
      </w:r>
      <w:hyperlink r:id="rId93" w:history="1">
        <w:r w:rsidR="00F93271" w:rsidRPr="00F93271">
          <w:rPr>
            <w:rStyle w:val="Hyperlink"/>
            <w:rFonts w:ascii="David" w:hAnsi="David"/>
            <w:rtl/>
          </w:rPr>
          <w:t>סעיף 184</w:t>
        </w:r>
      </w:hyperlink>
      <w:r w:rsidRPr="00BF4CD5">
        <w:rPr>
          <w:rFonts w:ascii="David" w:hAnsi="David"/>
          <w:rtl/>
        </w:rPr>
        <w:t xml:space="preserve"> ל</w:t>
      </w:r>
      <w:hyperlink r:id="rId94" w:history="1">
        <w:r w:rsidR="00EE787A" w:rsidRPr="00EE787A">
          <w:rPr>
            <w:rFonts w:ascii="David" w:hAnsi="David"/>
            <w:color w:val="0000FF"/>
            <w:u w:val="single"/>
            <w:rtl/>
          </w:rPr>
          <w:t>חסד"פ</w:t>
        </w:r>
      </w:hyperlink>
      <w:r>
        <w:rPr>
          <w:rFonts w:ascii="David" w:hAnsi="David"/>
          <w:rtl/>
        </w:rPr>
        <w:t xml:space="preserve"> מגבלה עונשית הנוגעת לעונש המ</w:t>
      </w:r>
      <w:r w:rsidRPr="00BF4CD5">
        <w:rPr>
          <w:rFonts w:ascii="David" w:hAnsi="David"/>
          <w:rtl/>
        </w:rPr>
        <w:t>רבי הקבוע לסעיף העבירה בה הואשם הנאשם</w:t>
      </w:r>
      <w:r w:rsidRPr="00BF4CD5">
        <w:rPr>
          <w:rFonts w:ascii="David" w:hAnsi="David" w:hint="cs"/>
          <w:rtl/>
        </w:rPr>
        <w:t xml:space="preserve"> ולא חסם מפני התחשבות בהן</w:t>
      </w:r>
      <w:r w:rsidRPr="00BF4CD5">
        <w:rPr>
          <w:rFonts w:ascii="David" w:hAnsi="David"/>
          <w:rtl/>
        </w:rPr>
        <w:t>.</w:t>
      </w:r>
    </w:p>
    <w:p w14:paraId="30163601" w14:textId="77777777" w:rsidR="00E07582" w:rsidRPr="00BF4CD5" w:rsidRDefault="00E07582" w:rsidP="00E07582">
      <w:pPr>
        <w:pStyle w:val="aa"/>
        <w:spacing w:line="260" w:lineRule="exact"/>
      </w:pPr>
    </w:p>
    <w:p w14:paraId="5F229D00"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 xml:space="preserve">ובחזרה לענייננו אנו: גם אם הייתי עושה שימוש בהוראות </w:t>
      </w:r>
      <w:hyperlink r:id="rId95" w:history="1">
        <w:r w:rsidR="00F93271" w:rsidRPr="00F93271">
          <w:rPr>
            <w:rStyle w:val="Hyperlink"/>
            <w:rFonts w:ascii="David" w:hAnsi="David"/>
            <w:rtl/>
          </w:rPr>
          <w:t>סעיף 184</w:t>
        </w:r>
      </w:hyperlink>
      <w:r w:rsidRPr="00BF4CD5">
        <w:rPr>
          <w:rFonts w:ascii="David" w:hAnsi="David"/>
          <w:rtl/>
        </w:rPr>
        <w:t xml:space="preserve"> ל</w:t>
      </w:r>
      <w:hyperlink r:id="rId96" w:history="1">
        <w:r w:rsidR="00EE787A" w:rsidRPr="00EE787A">
          <w:rPr>
            <w:rFonts w:ascii="David" w:hAnsi="David"/>
            <w:color w:val="0000FF"/>
            <w:u w:val="single"/>
            <w:rtl/>
          </w:rPr>
          <w:t>חסד"פ</w:t>
        </w:r>
      </w:hyperlink>
      <w:r w:rsidRPr="00BF4CD5">
        <w:rPr>
          <w:rFonts w:ascii="David" w:hAnsi="David"/>
          <w:rtl/>
        </w:rPr>
        <w:t xml:space="preserve"> ומרשיעה את הנאשם לפי אותן עובדות היה מקום להתחשב באותן נסיבות מחמירות, שהוכחו כולן מעבר לספק סביר, לשם קביעת המתחם. זאת בנוגע למספר נתונים: הנאשם תקף את המתלונן באמצעות הלופה במקביל לתקיפתו בסכין, אותה הביא עמו בכוונת מכוון, הוא חבל בו וגרם לו למספר נזקי גוף שלא צוינו בכתב האישום. הפציעה היתה באמצעות הסכין, ולא הלופה, והנאשם שב וניסה לתקוף את המתלונן גם לאחר הפלתו ארצה.</w:t>
      </w:r>
    </w:p>
    <w:p w14:paraId="4DEE04A2" w14:textId="77777777" w:rsidR="00E07582" w:rsidRPr="00BF4CD5" w:rsidRDefault="00E07582" w:rsidP="00E07582">
      <w:pPr>
        <w:pStyle w:val="aa"/>
        <w:rPr>
          <w:rtl/>
        </w:rPr>
      </w:pPr>
    </w:p>
    <w:p w14:paraId="3F348974"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בצד זאת, לעובדה כי כתב האישום אינו משקף בצורה מדויקת את ההתרחשויות, על אף שהנתונים, לרבות הודאת הנאשם בהבאת סכין למספרה, היו בידי המאשימה כבר בשלב החקירה ולא התגלו לראשונה במשפט, יינתן משקל בעת שקילת העונש הראוי לנאשם.</w:t>
      </w:r>
    </w:p>
    <w:p w14:paraId="5D89EF5F" w14:textId="77777777" w:rsidR="00E07582" w:rsidRPr="00BF4CD5" w:rsidRDefault="00E07582" w:rsidP="00E07582">
      <w:pPr>
        <w:pStyle w:val="aa"/>
        <w:spacing w:line="260" w:lineRule="exact"/>
      </w:pPr>
    </w:p>
    <w:p w14:paraId="0FB0ED40"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כעת נפנה לנסיבות שהוכחו במהלך המשפט, מעבר לספק סביר, בין אם נכללו בכתב האישום, בין אם לאו.</w:t>
      </w:r>
    </w:p>
    <w:p w14:paraId="118A6CA5" w14:textId="77777777" w:rsidR="00E07582" w:rsidRPr="00BF4CD5" w:rsidRDefault="00E07582" w:rsidP="00E07582">
      <w:pPr>
        <w:pStyle w:val="aa"/>
        <w:spacing w:line="260" w:lineRule="exact"/>
      </w:pPr>
    </w:p>
    <w:p w14:paraId="0676B8DB" w14:textId="77777777" w:rsidR="00E07582" w:rsidRPr="00BF4CD5" w:rsidRDefault="00E07582" w:rsidP="00E07582">
      <w:pPr>
        <w:tabs>
          <w:tab w:val="left" w:pos="226"/>
        </w:tabs>
        <w:spacing w:line="260" w:lineRule="exact"/>
        <w:ind w:left="85"/>
        <w:contextualSpacing/>
        <w:jc w:val="both"/>
        <w:rPr>
          <w:rFonts w:ascii="David" w:hAnsi="David"/>
          <w:i/>
          <w:iCs/>
          <w:rtl/>
        </w:rPr>
      </w:pPr>
      <w:r w:rsidRPr="00BF4CD5">
        <w:rPr>
          <w:rFonts w:ascii="David" w:hAnsi="David"/>
          <w:i/>
          <w:iCs/>
          <w:rtl/>
        </w:rPr>
        <w:t>תכנון האירוע והצטיידות בכלי תקיפה</w:t>
      </w:r>
    </w:p>
    <w:p w14:paraId="139E64E8"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מדובר במעשה מתוכנן אליו נערך הנאשם מלכתחילה, בכוונת מכוון; הוא הצטייד בשני עזרי-תקיפה לשם מטרתו זו. בלופה, שגם אם השימוש היומיומי בה על פי תכליתה הוא לגיטימי, אחז הנאשם בין אצבעותיו, כ</w:t>
      </w:r>
      <w:r w:rsidRPr="00BF4CD5">
        <w:rPr>
          <w:rFonts w:ascii="David" w:hAnsi="David" w:hint="cs"/>
          <w:rtl/>
        </w:rPr>
        <w:t>ש</w:t>
      </w:r>
      <w:r w:rsidRPr="00BF4CD5">
        <w:rPr>
          <w:rFonts w:ascii="David" w:hAnsi="David"/>
          <w:rtl/>
        </w:rPr>
        <w:t>חלקה המוארך בולט, ובסכין, שהיא חדה ביותר (על פי דברי הרופא; נתון המוסכם על ההגנה), כשלהבה שלוף בידו השמאלית. הנאשם הסווה תחילה שני עצמים אלה בתחבושת שעל ידו, כאשר קביעתי היא כי לא נדרש לה מצרכים רפואיים (פסקה 63). מדובר במעשה נגוע ב</w:t>
      </w:r>
      <w:r>
        <w:rPr>
          <w:rFonts w:ascii="David" w:hAnsi="David" w:hint="cs"/>
          <w:rtl/>
        </w:rPr>
        <w:t xml:space="preserve">סממנים </w:t>
      </w:r>
      <w:r w:rsidRPr="00BF4CD5">
        <w:rPr>
          <w:rFonts w:ascii="David" w:hAnsi="David"/>
          <w:rtl/>
        </w:rPr>
        <w:t>עבריינ</w:t>
      </w:r>
      <w:r>
        <w:rPr>
          <w:rFonts w:ascii="David" w:hAnsi="David" w:hint="cs"/>
          <w:rtl/>
        </w:rPr>
        <w:t>ים בולטים</w:t>
      </w:r>
      <w:r w:rsidRPr="00BF4CD5">
        <w:rPr>
          <w:rFonts w:ascii="David" w:hAnsi="David"/>
          <w:rtl/>
        </w:rPr>
        <w:t>, שנועד להקל על הנאשם לפגוע במתלונן, הצעיר ממנו וחזק ממנו, על-יד הסתרת כלי התקיפה מעיניו עד לרגע בו בחר לתקפו.</w:t>
      </w:r>
    </w:p>
    <w:p w14:paraId="3E91C65D" w14:textId="77777777" w:rsidR="00E07582" w:rsidRPr="00BF4CD5" w:rsidRDefault="00E07582" w:rsidP="00E07582">
      <w:pPr>
        <w:pStyle w:val="aa"/>
        <w:spacing w:line="260" w:lineRule="exact"/>
      </w:pPr>
    </w:p>
    <w:p w14:paraId="7973AC75" w14:textId="77777777" w:rsidR="00E07582" w:rsidRPr="00BF4CD5" w:rsidRDefault="00E07582" w:rsidP="00E07582">
      <w:pPr>
        <w:tabs>
          <w:tab w:val="left" w:pos="226"/>
        </w:tabs>
        <w:spacing w:line="260" w:lineRule="exact"/>
        <w:ind w:left="85"/>
        <w:contextualSpacing/>
        <w:jc w:val="both"/>
        <w:rPr>
          <w:rFonts w:ascii="David" w:hAnsi="David"/>
          <w:rtl/>
        </w:rPr>
      </w:pPr>
      <w:r w:rsidRPr="00BF4CD5">
        <w:rPr>
          <w:rFonts w:ascii="David" w:hAnsi="David"/>
          <w:i/>
          <w:iCs/>
          <w:rtl/>
        </w:rPr>
        <w:t>נחישות הנאשם לפגוע במתלונן</w:t>
      </w:r>
    </w:p>
    <w:p w14:paraId="65ABFA10"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סרטוני האירוע מלמדים כי מלכתחילה התכוון הנאשם למעשיו. הוא לא מצא את הסכין באקראי בפתח המספרה, כטענתו, "באינסטינקט" אלא הצטייד בה מלכתחילה. הנאשם הכין עצמו לתקיפה, על ידי העברת הסכין לידו השמאלית והוצאת הלופה, כשחלקה המוארך בין אצבעותיו, עוד טרם עזב המתלונן את עמדת העבודה; זאת, בניגוד מוחלט לטענותיו כי התגונן מהמתלונן או חשש ממנו בשל התנהלותו התוקפנית. טרם הפלתו ארצה ניסה הנאשם, מספר פעמים, להתקרב למתלונן, כשהוא אוחז בשני כלי התקיפה, ומכוונם לחלקו העליון של גופו, בסמוך לצווארו ולאחר מכן גרם לו לחתך משמעותי בירכו. גם לאחר שהופל ארצה, מספר פעמים, ניסה הנאשם, ולעיתים אף הצליח, להתחמק מידי המתלונן ויתר המעורבים. בסמוך לדלת החנות, לאחר שלא החזיקו בו, הוא קופץ מעלה, תוך בעיטות לעבר המתלונן, ובהמשך רץ לעברו, באגרופים שלופים.</w:t>
      </w:r>
    </w:p>
    <w:p w14:paraId="11A537DE" w14:textId="77777777" w:rsidR="00E07582" w:rsidRPr="00BF4CD5" w:rsidRDefault="00E07582" w:rsidP="00E07582">
      <w:pPr>
        <w:tabs>
          <w:tab w:val="left" w:pos="226"/>
        </w:tabs>
        <w:spacing w:line="260" w:lineRule="exact"/>
        <w:ind w:left="85"/>
        <w:contextualSpacing/>
        <w:jc w:val="both"/>
        <w:rPr>
          <w:rFonts w:ascii="David" w:hAnsi="David"/>
        </w:rPr>
      </w:pPr>
    </w:p>
    <w:p w14:paraId="0A5D0363"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במהלך טיעוני הסנגור לעונש הפנה לכך שהנאשם, כעולה מחקירתו, "הופתע" מעומק החתך בירך המתלונן וכי לא התכוון לגרמו. ראשית, לא ניתן לה</w:t>
      </w:r>
      <w:r w:rsidRPr="00BF4CD5">
        <w:rPr>
          <w:rFonts w:ascii="David" w:hAnsi="David" w:hint="cs"/>
          <w:rtl/>
        </w:rPr>
        <w:t>י</w:t>
      </w:r>
      <w:r w:rsidRPr="00BF4CD5">
        <w:rPr>
          <w:rFonts w:ascii="David" w:hAnsi="David"/>
          <w:rtl/>
        </w:rPr>
        <w:t xml:space="preserve">מנע מלציין כי קשה מאוד לייחס אמינות לדברי הנאשם, נוכח שקריו בנוגע להתנהלותו במהלך האירוע, אליהם התייחסתי בהרחבה במסגרת הכרעת הדין. שנית ועיקר, גם אם הפציעה התרחשה בחלקו השני של האירוע, </w:t>
      </w:r>
      <w:r w:rsidRPr="00BF4CD5">
        <w:rPr>
          <w:rFonts w:ascii="David" w:hAnsi="David" w:hint="cs"/>
          <w:rtl/>
        </w:rPr>
        <w:t xml:space="preserve">בו רותק הנאשם לרצפה, </w:t>
      </w:r>
      <w:r w:rsidRPr="00BF4CD5">
        <w:rPr>
          <w:rFonts w:ascii="David" w:hAnsi="David"/>
          <w:rtl/>
        </w:rPr>
        <w:t>לא ניתן לנתקה מהתנהלות הנאשם עובר ל</w:t>
      </w:r>
      <w:r w:rsidRPr="00BF4CD5">
        <w:rPr>
          <w:rFonts w:ascii="David" w:hAnsi="David" w:hint="cs"/>
          <w:rtl/>
        </w:rPr>
        <w:t>ו</w:t>
      </w:r>
      <w:r w:rsidRPr="00BF4CD5">
        <w:rPr>
          <w:rFonts w:ascii="David" w:hAnsi="David"/>
          <w:rtl/>
        </w:rPr>
        <w:t xml:space="preserve"> ולאחרי</w:t>
      </w:r>
      <w:r w:rsidRPr="00BF4CD5">
        <w:rPr>
          <w:rFonts w:ascii="David" w:hAnsi="David" w:hint="cs"/>
          <w:rtl/>
        </w:rPr>
        <w:t>ו</w:t>
      </w:r>
      <w:r w:rsidRPr="00BF4CD5">
        <w:rPr>
          <w:rFonts w:ascii="David" w:hAnsi="David"/>
          <w:rtl/>
        </w:rPr>
        <w:t xml:space="preserve">, התנהלות המצביעה לא רק על כוונה לפגוע במתלונן, אלא גם על נחישות לעשות כן, העדר חרטה וגילויי שמחה על אותה הפגיעה. </w:t>
      </w:r>
    </w:p>
    <w:p w14:paraId="2D57A83C" w14:textId="77777777" w:rsidR="00E07582" w:rsidRPr="00BF4CD5" w:rsidRDefault="00E07582" w:rsidP="00E07582">
      <w:pPr>
        <w:pStyle w:val="aa"/>
        <w:spacing w:line="260" w:lineRule="exact"/>
      </w:pPr>
    </w:p>
    <w:p w14:paraId="16DDD347"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בפסקה 137 להכרעת הדין קבעתי כי "רצונו המוצהר של הנאשם היה לפגוע במתלונן קשות והוא הגיע למספרה נכון לעשות כן ומצויד בכל הנדרש כדי להוציא רצון זה מהכוח לפועל. רגעים ספורים לפני גרימת החתך הוא נלחם בו בעוז, כשהסכין בידו, וזו נשמטה מידו רק לאחר שהוכנע. גם לאחר מכן ניסה</w:t>
      </w:r>
      <w:r>
        <w:rPr>
          <w:rFonts w:ascii="David" w:hAnsi="David"/>
          <w:rtl/>
        </w:rPr>
        <w:t xml:space="preserve"> מספר פעמים לפגוע במתלונן;</w:t>
      </w:r>
      <w:r>
        <w:rPr>
          <w:rFonts w:ascii="David" w:hAnsi="David" w:hint="cs"/>
          <w:rtl/>
        </w:rPr>
        <w:t xml:space="preserve"> </w:t>
      </w:r>
      <w:r w:rsidRPr="00BF4CD5">
        <w:rPr>
          <w:rFonts w:ascii="David" w:hAnsi="David"/>
          <w:rtl/>
        </w:rPr>
        <w:t>באחרונה שבהן רץ אליו בידיים מאוגרפות. קבלת טענה, שממילא לא הועלתה ומנוגדת לגרסת הנאשם בהקשר אי-שימוש בסכין, ולפיה בסד זמנים צר זה שינה הנאשם טעמו וכבר לא היה מעוניין לפגוע במתלונן, אינה יכולה להתקבל, והיא בגדר הפרדה מלאכותית החוטאת לאמת ולמציאות". ועוד: בחקירתו, מספר שעות לאחר האירוע, כינה הנאשם את המתלונן "מנייאק", "רוצח ו-"אכזר" טען כי הוא זה שפצע עצמו ואיחל למתלונן, לאחר שראה את תמונות החתך: "מגיע לך מנייאק" (פסקה 117).</w:t>
      </w:r>
    </w:p>
    <w:p w14:paraId="56FEF739" w14:textId="77777777" w:rsidR="00E07582" w:rsidRPr="00BF4CD5" w:rsidRDefault="00E07582" w:rsidP="00E07582">
      <w:pPr>
        <w:pStyle w:val="aa"/>
        <w:spacing w:line="260" w:lineRule="exact"/>
      </w:pPr>
    </w:p>
    <w:p w14:paraId="0E5F3AE6"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כידוע, חזקה עובדתית היא כי אדם מתכוון לתוצאות מעשיו, והנאשם, שהכחיש כי אחז בסכין, וודאי כי ניסה לתקוף המתלונן באמצעותה, לא הציע כל הסבר חלופי המפריך חזקה זו. לא ניתן לראות בפצע המתלונן ביטוי ל-"תאונה" מצערת (והרי תגובת הנאשם למראה פצע המתלונן מלמדת כי לא חש צער או חרטה על שעולל</w:t>
      </w:r>
      <w:r w:rsidRPr="00BF4CD5">
        <w:rPr>
          <w:rFonts w:ascii="David" w:hAnsi="David" w:hint="cs"/>
          <w:rtl/>
        </w:rPr>
        <w:t xml:space="preserve">; אף לגרסת ההגנה לכל היותר </w:t>
      </w:r>
      <w:r>
        <w:rPr>
          <w:rFonts w:ascii="David" w:hAnsi="David" w:hint="cs"/>
          <w:rtl/>
        </w:rPr>
        <w:t>"</w:t>
      </w:r>
      <w:r w:rsidRPr="00BF4CD5">
        <w:rPr>
          <w:rFonts w:ascii="David" w:hAnsi="David" w:hint="cs"/>
          <w:rtl/>
        </w:rPr>
        <w:t>הופתע</w:t>
      </w:r>
      <w:r>
        <w:rPr>
          <w:rFonts w:ascii="David" w:hAnsi="David" w:hint="cs"/>
          <w:rtl/>
        </w:rPr>
        <w:t>"</w:t>
      </w:r>
      <w:r w:rsidRPr="00BF4CD5">
        <w:rPr>
          <w:rFonts w:ascii="David" w:hAnsi="David"/>
          <w:rtl/>
        </w:rPr>
        <w:t xml:space="preserve">) וממילא, כפי שציינתי בפסקה 138 להכרעת הדין: "אף אם היה נקבע כי הנאשם לא חפץ בפצע העמוק בירך המתלונן ומדובר בחתך שנגרם תוך כדי מאבק בו ומבלי כוונה קונקרטית לגרמו, ואיני קובעת זאת, הנאשם אינו יכול להבנות מכך, נוכח הוראות סעיף 20(א)(2) לחוק. הנאשם, לכל הפחות, היה אדיש לאפשרות פציעת המתלונן במהלך מאבק זה; הוא וודאי לא קיווה כי פציעה זו תימנע". </w:t>
      </w:r>
    </w:p>
    <w:p w14:paraId="76634053" w14:textId="77777777" w:rsidR="00E07582" w:rsidRPr="00BF4CD5" w:rsidRDefault="00E07582" w:rsidP="00E07582">
      <w:pPr>
        <w:pStyle w:val="aa"/>
        <w:spacing w:line="260" w:lineRule="exact"/>
        <w:rPr>
          <w:rtl/>
        </w:rPr>
      </w:pPr>
    </w:p>
    <w:p w14:paraId="58A7A7E3"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hint="cs"/>
          <w:rtl/>
        </w:rPr>
        <w:t>פעולות התכנון וההסוואה, הנ</w:t>
      </w:r>
      <w:r>
        <w:rPr>
          <w:rFonts w:ascii="David" w:hAnsi="David" w:hint="cs"/>
          <w:rtl/>
        </w:rPr>
        <w:t>י</w:t>
      </w:r>
      <w:r w:rsidRPr="00BF4CD5">
        <w:rPr>
          <w:rFonts w:ascii="David" w:hAnsi="David" w:hint="cs"/>
          <w:rtl/>
        </w:rPr>
        <w:t>סיונות החוזרים לפגוע במתלונן באמצעות שני עזרי תקיפה ומאבקו הנחוש של הנאשם בו ובאחרים במהלך דקות ארוכות, עולים כדי נתונים בעלי משקל מחמיר בדרגה גבוהה, ובהצטברותם זה לזה מצביעים על מידת אשם בעצמה משמעותית ביותר.</w:t>
      </w:r>
    </w:p>
    <w:p w14:paraId="32E0937F" w14:textId="77777777" w:rsidR="00E07582" w:rsidRPr="00BF4CD5" w:rsidRDefault="00E07582" w:rsidP="00E07582">
      <w:pPr>
        <w:tabs>
          <w:tab w:val="left" w:pos="226"/>
        </w:tabs>
        <w:spacing w:line="260" w:lineRule="exact"/>
        <w:ind w:left="85"/>
        <w:contextualSpacing/>
        <w:jc w:val="both"/>
        <w:rPr>
          <w:rFonts w:ascii="David" w:hAnsi="David"/>
          <w:i/>
          <w:iCs/>
        </w:rPr>
      </w:pPr>
    </w:p>
    <w:p w14:paraId="6C87356B" w14:textId="77777777" w:rsidR="00E07582" w:rsidRPr="00BF4CD5" w:rsidRDefault="00E07582" w:rsidP="00E07582">
      <w:pPr>
        <w:tabs>
          <w:tab w:val="left" w:pos="226"/>
        </w:tabs>
        <w:spacing w:line="260" w:lineRule="exact"/>
        <w:ind w:left="85"/>
        <w:contextualSpacing/>
        <w:jc w:val="both"/>
        <w:rPr>
          <w:rFonts w:ascii="David" w:hAnsi="David"/>
          <w:i/>
          <w:iCs/>
          <w:rtl/>
        </w:rPr>
      </w:pPr>
      <w:r w:rsidRPr="00BF4CD5">
        <w:rPr>
          <w:rFonts w:ascii="David" w:hAnsi="David"/>
          <w:i/>
          <w:iCs/>
          <w:rtl/>
        </w:rPr>
        <w:t>הנזקים שנגרמו למתלונן ואלה שיכולים היו לה</w:t>
      </w:r>
      <w:r>
        <w:rPr>
          <w:rFonts w:ascii="David" w:hAnsi="David" w:hint="cs"/>
          <w:i/>
          <w:iCs/>
          <w:rtl/>
        </w:rPr>
        <w:t>י</w:t>
      </w:r>
      <w:r w:rsidRPr="00BF4CD5">
        <w:rPr>
          <w:rFonts w:ascii="David" w:hAnsi="David"/>
          <w:i/>
          <w:iCs/>
          <w:rtl/>
        </w:rPr>
        <w:t>גרם</w:t>
      </w:r>
    </w:p>
    <w:p w14:paraId="1A193240" w14:textId="77777777" w:rsidR="00E07582" w:rsidRPr="00BF4CD5" w:rsidRDefault="00E07582" w:rsidP="00E07582">
      <w:pPr>
        <w:numPr>
          <w:ilvl w:val="0"/>
          <w:numId w:val="1"/>
        </w:numPr>
        <w:tabs>
          <w:tab w:val="left" w:pos="226"/>
        </w:tabs>
        <w:spacing w:before="240" w:after="160" w:line="260" w:lineRule="exact"/>
        <w:ind w:left="85" w:firstLine="0"/>
        <w:contextualSpacing/>
        <w:jc w:val="both"/>
        <w:rPr>
          <w:rFonts w:ascii="David" w:hAnsi="David"/>
        </w:rPr>
      </w:pPr>
      <w:r w:rsidRPr="00BF4CD5">
        <w:rPr>
          <w:rFonts w:ascii="David" w:hAnsi="David"/>
          <w:rtl/>
        </w:rPr>
        <w:t>כאמור בפסקה 153 להכרעת הדין, מעבר לחתך העמוק בירכו, גרמו מעשי הנאשם לפגיעות נוספות בגוף המתלונן: המטומה ברקתו השמאלית, שהוזכרה בכתב האישום, חבלה דמוית שריטה בצלעותיו, דימום מאפו וחבלה בזרועו השמאלית, מהן ניתן להתרשם בתמונות שהוגשו לתיק בבית המשפט.</w:t>
      </w:r>
    </w:p>
    <w:p w14:paraId="53A975C6" w14:textId="77777777" w:rsidR="00E07582" w:rsidRPr="00BF4CD5" w:rsidRDefault="00E07582" w:rsidP="00E07582">
      <w:pPr>
        <w:tabs>
          <w:tab w:val="left" w:pos="226"/>
        </w:tabs>
        <w:spacing w:before="240" w:after="160" w:line="260" w:lineRule="exact"/>
        <w:ind w:left="85"/>
        <w:contextualSpacing/>
        <w:jc w:val="both"/>
        <w:rPr>
          <w:rFonts w:ascii="David" w:hAnsi="David"/>
        </w:rPr>
      </w:pPr>
    </w:p>
    <w:p w14:paraId="2718136F" w14:textId="77777777" w:rsidR="00E07582" w:rsidRPr="00BF4CD5" w:rsidRDefault="00E07582" w:rsidP="00E07582">
      <w:pPr>
        <w:numPr>
          <w:ilvl w:val="0"/>
          <w:numId w:val="1"/>
        </w:numPr>
        <w:tabs>
          <w:tab w:val="left" w:pos="226"/>
        </w:tabs>
        <w:spacing w:before="240" w:after="160" w:line="260" w:lineRule="exact"/>
        <w:ind w:left="85" w:firstLine="0"/>
        <w:contextualSpacing/>
        <w:jc w:val="both"/>
        <w:rPr>
          <w:rFonts w:ascii="David" w:hAnsi="David"/>
        </w:rPr>
      </w:pPr>
      <w:r w:rsidRPr="00BF4CD5">
        <w:rPr>
          <w:rFonts w:ascii="David" w:hAnsi="David"/>
          <w:rtl/>
        </w:rPr>
        <w:t>החבלה המשמעותית היא כמובן הפציעה בירך, שתיעודה מצביע עד כה עמוקה היא. מי שמביט בתצלומה חש זעזוע; הרופא שטיפל במתלונן ציין כי "ברור שיש כאן לעין שלא מנוסה מי שמסתכל על זה נראה מאוד מלחיץ ומפחיד" (עמ' 62, ש' 9-10) ואף ההגנה הכירה בכך (עמ' 158, ש' 6).</w:t>
      </w:r>
    </w:p>
    <w:p w14:paraId="61AE4F61"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 xml:space="preserve">הסנגור הפנה לעדות הרופא שהגדיר הפצע כ-"חתך יחסית שטחי..." שלא "חצה את השריר" וציין כי אינה מסכנת חיים. כך אכן העיד הרופא, אך לא ניתן לסווג פצע זה, חושף שכבות שומן ועור, כקל-ערך או בלתי-משמעותי. לנראותו משמעות וניתן לשער את עצמת האימה שאחזה במתלונן עת הבין מה עולל לו הנאשם; כפי שצוין בהכרעת הדין, עדת התביעה ר' ושתי נשים נוספות נדהמות ונחרדות כשהן נחשפות למראה החתך (פסקה 113). הפצע טופל בהרדמה מקומית ונתפר והמתלונן נזקק לתרופות לשם הטבת מצבו. לא יכולה להיות מחלוקת כי חתך זה מכאיב, גם אם המתלונן אישר כי לא חש בו בזמן אמת, בשל "האדרנלין", כהגדרתו. המתלונן אף העיד כי </w:t>
      </w:r>
      <w:r w:rsidRPr="00BF4CD5">
        <w:rPr>
          <w:rFonts w:ascii="David" w:hAnsi="David" w:hint="cs"/>
          <w:rtl/>
        </w:rPr>
        <w:t xml:space="preserve">על גופו </w:t>
      </w:r>
      <w:r w:rsidRPr="00BF4CD5">
        <w:rPr>
          <w:rFonts w:ascii="David" w:hAnsi="David"/>
          <w:rtl/>
        </w:rPr>
        <w:t xml:space="preserve">נותרה צלקת ארוכה וכי הוא עדיין חש בכאבים (פסקה 18). יש לראות בחבלות המתלונן, ובעיקר בחתך שבירך, נזק ממשי ומשמעותי. </w:t>
      </w:r>
    </w:p>
    <w:p w14:paraId="77283612" w14:textId="77777777" w:rsidR="00E07582" w:rsidRPr="00BF4CD5" w:rsidRDefault="00E07582" w:rsidP="00E07582">
      <w:pPr>
        <w:pStyle w:val="aa"/>
        <w:spacing w:line="260" w:lineRule="exact"/>
      </w:pPr>
    </w:p>
    <w:p w14:paraId="5CAF37B7"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אך מעבר לכך</w:t>
      </w:r>
      <w:r w:rsidRPr="00BF4CD5">
        <w:rPr>
          <w:rFonts w:ascii="David" w:hAnsi="David" w:hint="cs"/>
          <w:rtl/>
        </w:rPr>
        <w:t xml:space="preserve"> יש ליתן הדעת ל</w:t>
      </w:r>
      <w:r w:rsidRPr="00BF4CD5">
        <w:rPr>
          <w:rFonts w:ascii="David" w:hAnsi="David"/>
          <w:rtl/>
        </w:rPr>
        <w:t>פוטנציאל הנזק שהיה עשוי להיגרם כתוצאה מתקיפת הנאשם את המתלונן במספרה (וזאת גם אם ניקח בחשבון כי הנאשם אחז בסכין, שפגיעתה האפשרית קשה יותר, בידו השמאלית אליה התייחס כידו החלשה). צפיה בתיעוד האירוע מצביעה בבירור על אפשרות מוחשית לגרימת פגיעות משמעותיות</w:t>
      </w:r>
      <w:r w:rsidRPr="00BF4CD5">
        <w:rPr>
          <w:rFonts w:ascii="David" w:hAnsi="David" w:hint="cs"/>
          <w:rtl/>
        </w:rPr>
        <w:t xml:space="preserve">, לרבות </w:t>
      </w:r>
      <w:r w:rsidRPr="00BF4CD5">
        <w:rPr>
          <w:rFonts w:ascii="David" w:hAnsi="David"/>
          <w:rtl/>
        </w:rPr>
        <w:t xml:space="preserve">מוות, שהרי הנאשם קרב למתלונן, בתנופה, מספר פעמים, ומנסה להכותו באזור צווארו ופלג גופו העליון. </w:t>
      </w:r>
      <w:r w:rsidRPr="00BF4CD5">
        <w:rPr>
          <w:rFonts w:ascii="David" w:hAnsi="David" w:hint="cs"/>
          <w:rtl/>
        </w:rPr>
        <w:t xml:space="preserve">בהינתן חדותו, </w:t>
      </w:r>
      <w:r w:rsidRPr="00BF4CD5">
        <w:rPr>
          <w:rFonts w:ascii="David" w:hAnsi="David"/>
          <w:rtl/>
        </w:rPr>
        <w:t>אם להב הסכין השלוף היה פוגע במתלונן באזורים רגישים אלה וחודר לגופו</w:t>
      </w:r>
      <w:r>
        <w:rPr>
          <w:rFonts w:ascii="David" w:hAnsi="David" w:hint="cs"/>
          <w:rtl/>
        </w:rPr>
        <w:t xml:space="preserve">, </w:t>
      </w:r>
      <w:r w:rsidRPr="00BF4CD5">
        <w:rPr>
          <w:rFonts w:ascii="David" w:hAnsi="David"/>
          <w:rtl/>
        </w:rPr>
        <w:t>תוצאות התקיפה היו הרות אסון</w:t>
      </w:r>
      <w:r>
        <w:rPr>
          <w:rFonts w:ascii="David" w:hAnsi="David" w:hint="cs"/>
          <w:rtl/>
        </w:rPr>
        <w:t xml:space="preserve">. די להביט בתמונת החתך העמוק שנגרם למתלונן על מנת להבין כי מעשי הנאשם היו </w:t>
      </w:r>
      <w:r w:rsidRPr="00BF4CD5">
        <w:rPr>
          <w:rFonts w:ascii="David" w:hAnsi="David" w:hint="cs"/>
          <w:rtl/>
        </w:rPr>
        <w:t>עלול</w:t>
      </w:r>
      <w:r>
        <w:rPr>
          <w:rFonts w:ascii="David" w:hAnsi="David" w:hint="cs"/>
          <w:rtl/>
        </w:rPr>
        <w:t>ים</w:t>
      </w:r>
      <w:r w:rsidRPr="00BF4CD5">
        <w:rPr>
          <w:rFonts w:ascii="David" w:hAnsi="David" w:hint="cs"/>
          <w:rtl/>
        </w:rPr>
        <w:t xml:space="preserve"> </w:t>
      </w:r>
      <w:r>
        <w:rPr>
          <w:rFonts w:ascii="David" w:hAnsi="David" w:hint="cs"/>
          <w:rtl/>
        </w:rPr>
        <w:t>להוביל</w:t>
      </w:r>
      <w:r w:rsidRPr="00BF4CD5">
        <w:rPr>
          <w:rFonts w:ascii="David" w:hAnsi="David" w:hint="cs"/>
          <w:rtl/>
        </w:rPr>
        <w:t xml:space="preserve"> </w:t>
      </w:r>
      <w:r w:rsidRPr="00BF4CD5">
        <w:rPr>
          <w:rFonts w:ascii="David" w:hAnsi="David"/>
          <w:rtl/>
        </w:rPr>
        <w:t>למות המתלונן.</w:t>
      </w:r>
    </w:p>
    <w:p w14:paraId="48F945F7" w14:textId="77777777" w:rsidR="00E07582" w:rsidRPr="00BF4CD5" w:rsidRDefault="00E07582" w:rsidP="00E07582">
      <w:pPr>
        <w:pStyle w:val="aa"/>
        <w:spacing w:line="260" w:lineRule="exact"/>
      </w:pPr>
    </w:p>
    <w:p w14:paraId="1DFDF072"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 xml:space="preserve">אף הלופה, בה החזיק הנאשם ביד ימינו, כמעין אגרופן, ובאמצעותה ניסה להכות במתלונן, היא כלי העשוי לגרום נזק של ממש, ועל פי דברי הנאשם עצמו היא יכולה לגרום ל-"סימן ברגל, או ביד, או לעקור לו עין. או לא יודע מה" (עמ' 122, ש' 11-12 לפרוטוקול הדיון). </w:t>
      </w:r>
    </w:p>
    <w:p w14:paraId="31FE057B" w14:textId="77777777" w:rsidR="00E07582" w:rsidRPr="00BF4CD5" w:rsidRDefault="00E07582" w:rsidP="00E07582">
      <w:pPr>
        <w:tabs>
          <w:tab w:val="left" w:pos="226"/>
        </w:tabs>
        <w:spacing w:line="260" w:lineRule="exact"/>
        <w:ind w:left="85"/>
        <w:contextualSpacing/>
        <w:jc w:val="both"/>
        <w:rPr>
          <w:rFonts w:ascii="David" w:hAnsi="David"/>
          <w:rtl/>
        </w:rPr>
      </w:pPr>
    </w:p>
    <w:p w14:paraId="7924FEC5"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 xml:space="preserve">אירוע כה קשה מותיר חותם וספק אם ישכח. למתלונן נגרם נזק משני ומתמשך כתוצאה מתקיפת הנאשם. הוא העיד על הפגיעה בתדמיתו והדגיש את הטראומה שחווה ואת העובדה כי הוא נדרש לשיח עם פסיכולוג על מנת להתמודד עם קשייו. אף להיבטי פגיעה אלה יש ליתן את הדעת. </w:t>
      </w:r>
    </w:p>
    <w:p w14:paraId="1B4EC986" w14:textId="77777777" w:rsidR="00E07582" w:rsidRPr="00BF4CD5" w:rsidRDefault="00E07582" w:rsidP="00E07582">
      <w:pPr>
        <w:pStyle w:val="aa"/>
        <w:spacing w:line="260" w:lineRule="exact"/>
        <w:rPr>
          <w:rtl/>
        </w:rPr>
      </w:pPr>
    </w:p>
    <w:p w14:paraId="3895DA32"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hint="cs"/>
          <w:rtl/>
        </w:rPr>
        <w:t>הנזקים שנגרמו למתלונן, על כל רכיביהם, והנזקים שהיו עשויים להגרם כתוצאה ממעשי הנאשם, המסוכנים ונטולי הרסן, עומדים אף הם במוקד ויש ליתן להם משקל נכבד בעת קביעת מתחם הענישה.</w:t>
      </w:r>
    </w:p>
    <w:p w14:paraId="67E072B3" w14:textId="77777777" w:rsidR="00E07582" w:rsidRPr="00BF4CD5" w:rsidRDefault="00E07582" w:rsidP="00E07582">
      <w:pPr>
        <w:pStyle w:val="aa"/>
        <w:spacing w:line="260" w:lineRule="exact"/>
      </w:pPr>
    </w:p>
    <w:p w14:paraId="289D2242" w14:textId="77777777" w:rsidR="00E07582" w:rsidRPr="00BF4CD5" w:rsidRDefault="00E07582" w:rsidP="00E07582">
      <w:pPr>
        <w:tabs>
          <w:tab w:val="left" w:pos="226"/>
        </w:tabs>
        <w:spacing w:line="260" w:lineRule="exact"/>
        <w:ind w:left="85"/>
        <w:contextualSpacing/>
        <w:jc w:val="both"/>
        <w:rPr>
          <w:rFonts w:ascii="David" w:hAnsi="David"/>
          <w:i/>
          <w:iCs/>
          <w:rtl/>
        </w:rPr>
      </w:pPr>
      <w:r w:rsidRPr="00BF4CD5">
        <w:rPr>
          <w:rFonts w:ascii="David" w:hAnsi="David"/>
          <w:i/>
          <w:iCs/>
          <w:rtl/>
        </w:rPr>
        <w:t>ביצוע העבירה במרחב הציבורי, בנוכחות אנשים נוספים, באופן שעשוי לסכנם</w:t>
      </w:r>
    </w:p>
    <w:p w14:paraId="2F3800AA" w14:textId="77777777" w:rsidR="00E07582" w:rsidRPr="004B0DD1"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 xml:space="preserve">התפרעותו נטולת הרסן של הנאשם במספרה נעשתה בנוכחות אחרים, נשים, ילדים ועובד נוסף של המספרה, אזרחים תמימים ששגרת יומם הופרעה בשל פרצי אלימותו. התיעוד מצביע בבירור כי נחרדו ממעשי הנאשם שזרע במקום טרור ובהלה. </w:t>
      </w:r>
      <w:r w:rsidRPr="00BF4CD5">
        <w:rPr>
          <w:rFonts w:ascii="David" w:hAnsi="David" w:hint="cs"/>
          <w:rtl/>
        </w:rPr>
        <w:t xml:space="preserve">אירוע שכזה </w:t>
      </w:r>
      <w:r w:rsidRPr="00BF4CD5">
        <w:rPr>
          <w:rFonts w:ascii="David" w:hAnsi="David"/>
          <w:rtl/>
        </w:rPr>
        <w:t>יהיה חרות בזכרונם ימים ארוכים</w:t>
      </w:r>
      <w:r w:rsidRPr="00BF4CD5">
        <w:rPr>
          <w:rFonts w:ascii="David" w:hAnsi="David" w:hint="cs"/>
          <w:rtl/>
        </w:rPr>
        <w:t>, אם כלל ישכח</w:t>
      </w:r>
      <w:r w:rsidRPr="00BF4CD5">
        <w:rPr>
          <w:rFonts w:ascii="David" w:hAnsi="David"/>
          <w:rtl/>
        </w:rPr>
        <w:t>.</w:t>
      </w:r>
      <w:r w:rsidRPr="00E07582">
        <w:rPr>
          <w:rFonts w:ascii="Calibri" w:hAnsi="Calibri" w:cs="Arial" w:hint="cs"/>
          <w:sz w:val="22"/>
          <w:szCs w:val="22"/>
          <w:rtl/>
        </w:rPr>
        <w:t xml:space="preserve"> </w:t>
      </w:r>
    </w:p>
    <w:p w14:paraId="127E4690" w14:textId="77777777" w:rsidR="00E07582" w:rsidRPr="004B0DD1" w:rsidRDefault="00E07582" w:rsidP="00E07582">
      <w:pPr>
        <w:tabs>
          <w:tab w:val="left" w:pos="226"/>
        </w:tabs>
        <w:spacing w:line="260" w:lineRule="exact"/>
        <w:ind w:left="85"/>
        <w:contextualSpacing/>
        <w:jc w:val="both"/>
        <w:rPr>
          <w:rFonts w:ascii="David" w:hAnsi="David"/>
        </w:rPr>
      </w:pPr>
    </w:p>
    <w:p w14:paraId="1165BCC2"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ועוד: המרחב הצר בו בחר הנאשם לתקוף את המתלונן הוא קרקע פורייה לסיכון יתרת הנוכחים במקום, וככל שהאירוע היה מתפתח אחרת, ומדובר באפשרות ממשית בהינתן הצפיפות והעדר עכבות הנאשם, היו אף הם עשויים להיפגע. בהמשך הדברים, אזרחים נוספים נחלצו לעזור למתלונן וביניהם א', שבאומץ הפיל הנאשם ארצה בתוך המספרה ואחרים, שנאבקו בו מחוצה לה. אף הם היו חשופים לפגיעה פ</w:t>
      </w:r>
      <w:r w:rsidRPr="00BF4CD5">
        <w:rPr>
          <w:rFonts w:ascii="David" w:hAnsi="David" w:hint="cs"/>
          <w:rtl/>
        </w:rPr>
        <w:t>י</w:t>
      </w:r>
      <w:r w:rsidRPr="00BF4CD5">
        <w:rPr>
          <w:rFonts w:ascii="David" w:hAnsi="David"/>
          <w:rtl/>
        </w:rPr>
        <w:t xml:space="preserve">זית ולקושי הנפשי הנגזר ממעורבות בריסון אדם אלים כנאשם. </w:t>
      </w:r>
    </w:p>
    <w:p w14:paraId="07072C08" w14:textId="77777777" w:rsidR="00E07582" w:rsidRPr="00E07582" w:rsidRDefault="00E07582" w:rsidP="00E07582">
      <w:pPr>
        <w:tabs>
          <w:tab w:val="left" w:pos="226"/>
        </w:tabs>
        <w:spacing w:line="260" w:lineRule="exact"/>
        <w:ind w:left="85"/>
        <w:contextualSpacing/>
        <w:jc w:val="both"/>
        <w:rPr>
          <w:rFonts w:ascii="Calibri" w:hAnsi="Calibri" w:cs="Arial"/>
          <w:sz w:val="22"/>
          <w:szCs w:val="22"/>
        </w:rPr>
      </w:pPr>
    </w:p>
    <w:p w14:paraId="3930E24F" w14:textId="77777777" w:rsidR="00E07582" w:rsidRPr="00BF4CD5" w:rsidRDefault="00E07582" w:rsidP="00E07582">
      <w:pPr>
        <w:tabs>
          <w:tab w:val="left" w:pos="226"/>
        </w:tabs>
        <w:spacing w:line="260" w:lineRule="exact"/>
        <w:ind w:left="85"/>
        <w:contextualSpacing/>
        <w:jc w:val="both"/>
        <w:rPr>
          <w:rFonts w:ascii="David" w:hAnsi="David"/>
          <w:i/>
          <w:iCs/>
          <w:rtl/>
        </w:rPr>
      </w:pPr>
      <w:r w:rsidRPr="00BF4CD5">
        <w:rPr>
          <w:rFonts w:ascii="David" w:hAnsi="David"/>
          <w:i/>
          <w:iCs/>
          <w:rtl/>
        </w:rPr>
        <w:t>הרקע לאירוע: סכסוך אזרחי וחשדו של הנאשם כי המתלונן פגע בבנו</w:t>
      </w:r>
    </w:p>
    <w:p w14:paraId="2366BB68"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כאמור בהכרעת הדין איני יכולה לייחס משקל לטענות י' כנגד המתלונן; אלו לא הוכחו, אף לא במאזן ההסתברויות, נוכח התרשמותי מ</w:t>
      </w:r>
      <w:r w:rsidRPr="00BF4CD5">
        <w:rPr>
          <w:rFonts w:ascii="David" w:hAnsi="David" w:hint="cs"/>
          <w:rtl/>
        </w:rPr>
        <w:t xml:space="preserve">משקל </w:t>
      </w:r>
      <w:r w:rsidRPr="00BF4CD5">
        <w:rPr>
          <w:rFonts w:ascii="David" w:hAnsi="David"/>
          <w:rtl/>
        </w:rPr>
        <w:t>דבריו וכאשר ברקע טענות להתנהלות אלימה של י' עצמו (פסקות 49-50). אלא שגם אם טענות אלו נכונות והמתלונן חבל ב-י', מבלי ש</w:t>
      </w:r>
      <w:r>
        <w:rPr>
          <w:rFonts w:ascii="David" w:hAnsi="David" w:hint="cs"/>
          <w:rtl/>
        </w:rPr>
        <w:t xml:space="preserve">הותקף בעצמו, </w:t>
      </w:r>
      <w:r w:rsidRPr="00BF4CD5">
        <w:rPr>
          <w:rFonts w:ascii="David" w:hAnsi="David"/>
          <w:rtl/>
        </w:rPr>
        <w:t xml:space="preserve">הנאשם אינו יכול להבנות מהן. עשיית דין עצמי ולקיחת החוק בידיים, באופן עברייני ופוגעני, חותרת תחת יסודות המשטר החברתי והסדר הציבורי. על הנאשם היה לפעול בדרכים חוקיות לשם בירור טענות י' כנגד המתלונן ולא לשים עצמו שוטר, שופט ותליין. </w:t>
      </w:r>
    </w:p>
    <w:p w14:paraId="37303BEE" w14:textId="77777777" w:rsidR="00E07582" w:rsidRPr="00BF4CD5" w:rsidRDefault="00E07582" w:rsidP="00E07582">
      <w:pPr>
        <w:tabs>
          <w:tab w:val="left" w:pos="226"/>
        </w:tabs>
        <w:spacing w:line="260" w:lineRule="exact"/>
        <w:ind w:left="85"/>
        <w:contextualSpacing/>
        <w:jc w:val="both"/>
        <w:rPr>
          <w:rFonts w:ascii="David" w:hAnsi="David"/>
          <w:i/>
          <w:iCs/>
          <w:rtl/>
        </w:rPr>
      </w:pPr>
    </w:p>
    <w:p w14:paraId="5077E750" w14:textId="77777777" w:rsidR="00E07582" w:rsidRPr="00BF4CD5" w:rsidRDefault="00E07582" w:rsidP="00E07582">
      <w:pPr>
        <w:tabs>
          <w:tab w:val="left" w:pos="226"/>
        </w:tabs>
        <w:spacing w:line="260" w:lineRule="exact"/>
        <w:ind w:left="85"/>
        <w:contextualSpacing/>
        <w:jc w:val="both"/>
        <w:rPr>
          <w:rFonts w:ascii="David" w:hAnsi="David"/>
          <w:i/>
          <w:iCs/>
          <w:rtl/>
        </w:rPr>
      </w:pPr>
      <w:r w:rsidRPr="00BF4CD5">
        <w:rPr>
          <w:rFonts w:ascii="David" w:hAnsi="David"/>
          <w:i/>
          <w:iCs/>
          <w:rtl/>
        </w:rPr>
        <w:t>עבירת הכשלת השוטר</w:t>
      </w:r>
    </w:p>
    <w:p w14:paraId="22F1B757"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התפרעותו של הנאשם לא מסתיימת גם כשהגיעו אנשי חוק למקום; הוא התנגד למעצרו ונאבק בהם. התנהלות זו מוסיפה ממד חומרה נוסף למעשיו ואף מצביעה על כך שהאלימות בה נקט לא הופנתה רק כלפי המתלונן.</w:t>
      </w:r>
    </w:p>
    <w:p w14:paraId="2E133ED4" w14:textId="77777777" w:rsidR="00E07582" w:rsidRPr="00BF4CD5" w:rsidRDefault="00E07582" w:rsidP="00E07582">
      <w:pPr>
        <w:tabs>
          <w:tab w:val="left" w:pos="-57"/>
        </w:tabs>
        <w:spacing w:line="260" w:lineRule="exact"/>
        <w:ind w:left="85"/>
        <w:contextualSpacing/>
        <w:jc w:val="both"/>
        <w:rPr>
          <w:rFonts w:ascii="David" w:hAnsi="David"/>
          <w:b/>
          <w:bCs/>
          <w:rtl/>
        </w:rPr>
      </w:pPr>
    </w:p>
    <w:p w14:paraId="335E03AA" w14:textId="77777777" w:rsidR="00E07582" w:rsidRPr="00BF4CD5" w:rsidRDefault="00E07582" w:rsidP="00E07582">
      <w:pPr>
        <w:tabs>
          <w:tab w:val="left" w:pos="-57"/>
        </w:tabs>
        <w:spacing w:line="260" w:lineRule="exact"/>
        <w:ind w:left="85"/>
        <w:contextualSpacing/>
        <w:jc w:val="both"/>
        <w:rPr>
          <w:rFonts w:ascii="David" w:hAnsi="David"/>
          <w:b/>
          <w:bCs/>
        </w:rPr>
      </w:pPr>
      <w:r w:rsidRPr="00BF4CD5">
        <w:rPr>
          <w:rFonts w:ascii="David" w:hAnsi="David"/>
          <w:b/>
          <w:bCs/>
          <w:rtl/>
        </w:rPr>
        <w:t>מדיניות הענישה</w:t>
      </w:r>
    </w:p>
    <w:p w14:paraId="38BF5086"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לב העניין הוא טיב המעשים בהם הורשע אדם, להבדיל מכותרת הסעיף בו הורשע (</w:t>
      </w:r>
      <w:hyperlink r:id="rId97" w:history="1">
        <w:r w:rsidR="00EE787A" w:rsidRPr="00EE787A">
          <w:rPr>
            <w:rFonts w:ascii="David" w:hAnsi="David"/>
            <w:color w:val="0000FF"/>
            <w:u w:val="single"/>
            <w:rtl/>
          </w:rPr>
          <w:t>ע"פ 1997/13</w:t>
        </w:r>
      </w:hyperlink>
      <w:r w:rsidRPr="00BF4CD5">
        <w:rPr>
          <w:rFonts w:ascii="David" w:hAnsi="David"/>
          <w:rtl/>
        </w:rPr>
        <w:t xml:space="preserve"> </w:t>
      </w:r>
      <w:r w:rsidRPr="00BF4CD5">
        <w:rPr>
          <w:rFonts w:ascii="David" w:hAnsi="David"/>
          <w:b/>
          <w:bCs/>
          <w:rtl/>
        </w:rPr>
        <w:t>פלוני נ' מדינת ישראל</w:t>
      </w:r>
      <w:r w:rsidRPr="00BF4CD5">
        <w:rPr>
          <w:rFonts w:ascii="David" w:hAnsi="David"/>
          <w:rtl/>
        </w:rPr>
        <w:t>, פסקה 12 (29.8.2013)). עם זאת, מדיניות הענישה נגזרת, מטבעם של דברים, מהעונש המרבי שבצד עבירות הפציעה, שבמקרה זה קרוב לגבול סמכותה העליונה של ערכאת השלום.</w:t>
      </w:r>
    </w:p>
    <w:p w14:paraId="1E80EE43" w14:textId="77777777" w:rsidR="00E07582" w:rsidRPr="00BF4CD5" w:rsidRDefault="00E07582" w:rsidP="00E07582">
      <w:pPr>
        <w:tabs>
          <w:tab w:val="left" w:pos="226"/>
        </w:tabs>
        <w:spacing w:line="260" w:lineRule="exact"/>
        <w:ind w:left="85"/>
        <w:contextualSpacing/>
        <w:jc w:val="both"/>
        <w:rPr>
          <w:rFonts w:ascii="David" w:hAnsi="David"/>
          <w:rtl/>
        </w:rPr>
      </w:pPr>
    </w:p>
    <w:p w14:paraId="5341420D"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קריאה ברורה זו של המחוקק מהדהדת בהחלטות ערכאות בתי המשפט בנוגע לחומרתה של תופעת ישוב סכסוכים בדרכי אלימות והצורך בענישה מרתיעה, שעמדו "בשורה ארוכה של פסקי דין... על הצורך לעקור מן השורש את "תת-תרבות הסכין", הטומנת בחובה פוטנציאל לנזק רב ומצדיקה נקיטה באמצעי ענישה מחמירים ... ולא אחת נאמר כי שומה על בית המשפט להעביר מסר חד וברור לגבי החומרה הרבה הנודעת לשימוש באלימות כאמצעי ל"פתרון" סכסוכים ממין זה" (</w:t>
      </w:r>
      <w:hyperlink r:id="rId98" w:history="1">
        <w:r w:rsidR="00EE787A" w:rsidRPr="00EE787A">
          <w:rPr>
            <w:rFonts w:ascii="David" w:hAnsi="David"/>
            <w:color w:val="0000FF"/>
            <w:u w:val="single"/>
            <w:rtl/>
          </w:rPr>
          <w:t>ע"פ 3092/20</w:t>
        </w:r>
      </w:hyperlink>
      <w:r w:rsidRPr="00BF4CD5">
        <w:rPr>
          <w:rFonts w:ascii="David" w:hAnsi="David"/>
          <w:rtl/>
        </w:rPr>
        <w:t xml:space="preserve"> </w:t>
      </w:r>
      <w:r w:rsidRPr="00BF4CD5">
        <w:rPr>
          <w:rFonts w:ascii="David" w:hAnsi="David"/>
          <w:b/>
          <w:bCs/>
          <w:rtl/>
        </w:rPr>
        <w:t>נאצר נ' מדינת ישראל</w:t>
      </w:r>
      <w:r w:rsidRPr="00BF4CD5">
        <w:rPr>
          <w:rFonts w:ascii="David" w:hAnsi="David"/>
          <w:rtl/>
        </w:rPr>
        <w:t>, פסקה 10 (19.11.2020);</w:t>
      </w:r>
      <w:r w:rsidRPr="00BF4CD5">
        <w:rPr>
          <w:rFonts w:ascii="David" w:hAnsi="David" w:hint="cs"/>
          <w:rtl/>
        </w:rPr>
        <w:t xml:space="preserve"> </w:t>
      </w:r>
      <w:r w:rsidRPr="00BF4CD5">
        <w:rPr>
          <w:rFonts w:ascii="David" w:hAnsi="David"/>
          <w:rtl/>
        </w:rPr>
        <w:t>(</w:t>
      </w:r>
      <w:hyperlink r:id="rId99" w:history="1">
        <w:r w:rsidR="00EE787A" w:rsidRPr="00EE787A">
          <w:rPr>
            <w:rFonts w:ascii="David" w:hAnsi="David"/>
            <w:color w:val="0000FF"/>
            <w:u w:val="single"/>
            <w:rtl/>
          </w:rPr>
          <w:t>ע"פ 175/10</w:t>
        </w:r>
      </w:hyperlink>
      <w:r w:rsidR="00EE787A">
        <w:rPr>
          <w:rFonts w:ascii="David" w:hAnsi="David"/>
          <w:rtl/>
        </w:rPr>
        <w:t xml:space="preserve"> </w:t>
      </w:r>
      <w:r w:rsidRPr="00BF4CD5">
        <w:rPr>
          <w:rFonts w:ascii="David" w:hAnsi="David"/>
          <w:b/>
          <w:bCs/>
          <w:rtl/>
        </w:rPr>
        <w:t>חנוכייב נ' מדינת ישראל</w:t>
      </w:r>
      <w:r w:rsidRPr="00BF4CD5">
        <w:rPr>
          <w:rFonts w:ascii="David" w:hAnsi="David"/>
          <w:rtl/>
        </w:rPr>
        <w:t>,</w:t>
      </w:r>
      <w:r w:rsidR="00EE787A">
        <w:rPr>
          <w:rFonts w:ascii="David" w:hAnsi="David"/>
          <w:rtl/>
        </w:rPr>
        <w:t xml:space="preserve"> </w:t>
      </w:r>
      <w:r w:rsidRPr="00BF4CD5">
        <w:rPr>
          <w:rFonts w:ascii="David" w:hAnsi="David"/>
          <w:rtl/>
        </w:rPr>
        <w:t xml:space="preserve"> פסקה 42 (28.7.2011)). </w:t>
      </w:r>
    </w:p>
    <w:p w14:paraId="098FD208" w14:textId="77777777" w:rsidR="00E07582" w:rsidRPr="00BF4CD5" w:rsidRDefault="00E07582" w:rsidP="00E07582">
      <w:pPr>
        <w:pStyle w:val="aa"/>
        <w:spacing w:line="260" w:lineRule="exact"/>
      </w:pPr>
    </w:p>
    <w:p w14:paraId="6D792032"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ואכן, בחינת מגמת הפסיקה בכל הנוגע לעבירות שבוצעו באמצעות סכין, מחמירה וככלל, מקום בו נעשה שימוש בחפץ חד לשם פציעת אדם באופן ממשי, ובפרט כאשר מדובר בעבירה שתוכננה</w:t>
      </w:r>
      <w:r w:rsidRPr="00BF4CD5">
        <w:rPr>
          <w:rFonts w:ascii="David" w:hAnsi="David" w:hint="cs"/>
          <w:rtl/>
        </w:rPr>
        <w:t xml:space="preserve"> מלכתחילה</w:t>
      </w:r>
      <w:r w:rsidRPr="00BF4CD5">
        <w:rPr>
          <w:rFonts w:ascii="David" w:hAnsi="David"/>
          <w:rtl/>
        </w:rPr>
        <w:t xml:space="preserve">, ללא התגרות או מעשה אלימות קודם של קרבנה, כוללת הענישה רכיב של מאסר בפועל ממש, ולא בעבודות שירות, אלא אם התקיימו נסיבות מיוחדות וחריגות, לרבות הליך שיקום משמעותי וארוך. </w:t>
      </w:r>
    </w:p>
    <w:p w14:paraId="5AD50D35" w14:textId="77777777" w:rsidR="00E07582" w:rsidRPr="00BF4CD5" w:rsidRDefault="00E07582" w:rsidP="00E07582">
      <w:pPr>
        <w:pStyle w:val="aa"/>
        <w:spacing w:line="260" w:lineRule="exact"/>
      </w:pPr>
    </w:p>
    <w:p w14:paraId="3A688B96"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 xml:space="preserve">בא כוח הנאשם לא הפנה לפסיקה. </w:t>
      </w:r>
    </w:p>
    <w:p w14:paraId="57BFD175" w14:textId="77777777" w:rsidR="00E07582" w:rsidRPr="00BF4CD5" w:rsidRDefault="00E07582" w:rsidP="00E07582">
      <w:pPr>
        <w:pStyle w:val="aa"/>
        <w:spacing w:line="260" w:lineRule="exact"/>
      </w:pPr>
    </w:p>
    <w:p w14:paraId="74D358C8"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המאשימה הפנתה להחלטות הבאות:</w:t>
      </w:r>
    </w:p>
    <w:p w14:paraId="6B01E458" w14:textId="77777777" w:rsidR="00E07582" w:rsidRPr="00BF4CD5" w:rsidRDefault="00E07582" w:rsidP="00E07582">
      <w:pPr>
        <w:pStyle w:val="aa"/>
        <w:spacing w:line="260" w:lineRule="exact"/>
      </w:pPr>
    </w:p>
    <w:p w14:paraId="42A1EF31" w14:textId="77777777" w:rsidR="00E07582" w:rsidRPr="00BF4CD5" w:rsidRDefault="00E07582" w:rsidP="00E07582">
      <w:pPr>
        <w:tabs>
          <w:tab w:val="left" w:pos="226"/>
        </w:tabs>
        <w:spacing w:line="260" w:lineRule="exact"/>
        <w:ind w:left="85"/>
        <w:contextualSpacing/>
        <w:jc w:val="both"/>
        <w:rPr>
          <w:rFonts w:ascii="David" w:hAnsi="David"/>
          <w:rtl/>
        </w:rPr>
      </w:pPr>
      <w:r w:rsidRPr="00BF4CD5">
        <w:rPr>
          <w:rFonts w:ascii="David" w:hAnsi="David"/>
          <w:rtl/>
        </w:rPr>
        <w:tab/>
      </w:r>
      <w:r w:rsidRPr="00BF4CD5">
        <w:rPr>
          <w:rFonts w:ascii="David" w:hAnsi="David"/>
          <w:rtl/>
        </w:rPr>
        <w:tab/>
      </w:r>
      <w:hyperlink r:id="rId100" w:history="1">
        <w:r w:rsidR="00EE787A" w:rsidRPr="00EE787A">
          <w:rPr>
            <w:rFonts w:ascii="David" w:hAnsi="David"/>
            <w:color w:val="0000FF"/>
            <w:u w:val="single"/>
            <w:rtl/>
          </w:rPr>
          <w:t>ת"פ (שלום ת"א) 58915-10-21</w:t>
        </w:r>
      </w:hyperlink>
      <w:r w:rsidRPr="00BF4CD5">
        <w:rPr>
          <w:rFonts w:ascii="David" w:hAnsi="David"/>
          <w:rtl/>
        </w:rPr>
        <w:t xml:space="preserve"> </w:t>
      </w:r>
      <w:r w:rsidRPr="00BF4CD5">
        <w:rPr>
          <w:rFonts w:ascii="David" w:hAnsi="David"/>
          <w:b/>
          <w:bCs/>
          <w:rtl/>
        </w:rPr>
        <w:t>מדינת ישראל נ' עליאן</w:t>
      </w:r>
      <w:r w:rsidRPr="00BF4CD5">
        <w:rPr>
          <w:rFonts w:ascii="David" w:hAnsi="David"/>
          <w:rtl/>
        </w:rPr>
        <w:t xml:space="preserve"> (5.9.2022) (להלן: </w:t>
      </w:r>
      <w:r w:rsidRPr="00BF4CD5">
        <w:rPr>
          <w:rFonts w:ascii="Miriam" w:hAnsi="Miriam" w:cs="Miriam"/>
          <w:sz w:val="22"/>
          <w:szCs w:val="22"/>
          <w:rtl/>
        </w:rPr>
        <w:t>עניין עליאן</w:t>
      </w:r>
      <w:r w:rsidRPr="000454CF">
        <w:rPr>
          <w:rFonts w:ascii="David" w:hAnsi="David"/>
          <w:rtl/>
        </w:rPr>
        <w:t>)</w:t>
      </w:r>
      <w:r w:rsidRPr="00BF4CD5">
        <w:rPr>
          <w:rFonts w:ascii="David" w:hAnsi="David"/>
          <w:rtl/>
        </w:rPr>
        <w:t>: במקרה זה הורשע הנאשם, בעל עבר פלילי ישן ושאינו מחמיר, על יסוד הודאתו, בעבירות איומים ופציעה בנסיבות מחמירות, בכך שניפץ בקבוק זכוכית על ראש המתלוננת, שלדירתה הגיע לשם צריכת שירותי מין, הכה אותה באמצעות הבקבוק השבור ואיים עליה. בית המשפט, תוך מתן דגש למוחלשות המתלוננת ולפערי הכוחות בינה לבין הנאשם, קבע מתחם ענישה הנע בין 22 ל-36 חודשי מאסר, בצד ענישה נלווית, וגזר על הנאשם 24 חודשי מאסר, בצירוף מאסר מותנה ופיצוי.</w:t>
      </w:r>
    </w:p>
    <w:p w14:paraId="596201F1" w14:textId="77777777" w:rsidR="00E07582" w:rsidRPr="00BF4CD5" w:rsidRDefault="00E07582" w:rsidP="00E07582">
      <w:pPr>
        <w:tabs>
          <w:tab w:val="left" w:pos="226"/>
        </w:tabs>
        <w:spacing w:line="260" w:lineRule="exact"/>
        <w:ind w:left="85"/>
        <w:contextualSpacing/>
        <w:jc w:val="both"/>
        <w:rPr>
          <w:rFonts w:ascii="David" w:hAnsi="David"/>
          <w:rtl/>
        </w:rPr>
      </w:pPr>
    </w:p>
    <w:p w14:paraId="1FF15DE8" w14:textId="77777777" w:rsidR="00E07582" w:rsidRPr="00BF4CD5" w:rsidRDefault="00E07582" w:rsidP="00E07582">
      <w:pPr>
        <w:tabs>
          <w:tab w:val="left" w:pos="226"/>
        </w:tabs>
        <w:spacing w:line="260" w:lineRule="exact"/>
        <w:ind w:left="85"/>
        <w:contextualSpacing/>
        <w:jc w:val="both"/>
        <w:rPr>
          <w:rFonts w:ascii="David" w:hAnsi="David"/>
          <w:rtl/>
        </w:rPr>
      </w:pPr>
      <w:r w:rsidRPr="00BF4CD5">
        <w:rPr>
          <w:rFonts w:ascii="David" w:hAnsi="David"/>
          <w:rtl/>
        </w:rPr>
        <w:tab/>
      </w:r>
      <w:r w:rsidRPr="00BF4CD5">
        <w:rPr>
          <w:rFonts w:ascii="David" w:hAnsi="David"/>
          <w:rtl/>
        </w:rPr>
        <w:tab/>
      </w:r>
      <w:hyperlink r:id="rId101" w:history="1">
        <w:r w:rsidR="00EE787A" w:rsidRPr="00EE787A">
          <w:rPr>
            <w:rFonts w:ascii="David" w:hAnsi="David"/>
            <w:color w:val="0000FF"/>
            <w:u w:val="single"/>
            <w:rtl/>
          </w:rPr>
          <w:t>ת"פ (שלום ב"ש) 38853-09-20</w:t>
        </w:r>
      </w:hyperlink>
      <w:r w:rsidRPr="00BF4CD5">
        <w:rPr>
          <w:rFonts w:ascii="David" w:hAnsi="David"/>
          <w:rtl/>
        </w:rPr>
        <w:t xml:space="preserve"> </w:t>
      </w:r>
      <w:r w:rsidRPr="00BF4CD5">
        <w:rPr>
          <w:rFonts w:ascii="David" w:hAnsi="David"/>
          <w:b/>
          <w:bCs/>
          <w:rtl/>
        </w:rPr>
        <w:t>מדינת ישראל נ' אבו כף</w:t>
      </w:r>
      <w:r w:rsidRPr="00BF4CD5">
        <w:rPr>
          <w:rFonts w:ascii="David" w:hAnsi="David"/>
          <w:rtl/>
        </w:rPr>
        <w:t xml:space="preserve"> (10.3.2021): במקרה זה הורשע הנאשם, בעל עבר פלילי, על יסוד הודאתו, בעבירות החזקת סכין ופציעה בנסיבות מחמירות, בכך שהכה את אחותו באמצעות סכין ופצעה. הצדדים הסכימו כי על הנאשם יושת עונש מאסר לתקופה של 21 חודשים והמחלוקת נגעה לשאלת צבירתו לעונש אחר שהושת עליו. בית המשפט קבע כי על הנאשם לשאת בעונש מאסר לתקופה של שנתיים, בצד ענישה נלווית. </w:t>
      </w:r>
    </w:p>
    <w:p w14:paraId="09AC6194" w14:textId="77777777" w:rsidR="00E07582" w:rsidRPr="00BF4CD5" w:rsidRDefault="00E07582" w:rsidP="00E07582">
      <w:pPr>
        <w:tabs>
          <w:tab w:val="left" w:pos="226"/>
        </w:tabs>
        <w:spacing w:line="260" w:lineRule="exact"/>
        <w:ind w:left="85"/>
        <w:contextualSpacing/>
        <w:jc w:val="both"/>
        <w:rPr>
          <w:rFonts w:ascii="David" w:hAnsi="David"/>
          <w:rtl/>
        </w:rPr>
      </w:pPr>
      <w:r w:rsidRPr="00BF4CD5">
        <w:rPr>
          <w:rFonts w:ascii="David" w:hAnsi="David"/>
          <w:rtl/>
        </w:rPr>
        <w:tab/>
      </w:r>
      <w:r w:rsidRPr="00BF4CD5">
        <w:rPr>
          <w:rFonts w:ascii="David" w:hAnsi="David"/>
          <w:rtl/>
        </w:rPr>
        <w:tab/>
      </w:r>
      <w:hyperlink r:id="rId102" w:history="1">
        <w:r w:rsidR="00EE787A" w:rsidRPr="00EE787A">
          <w:rPr>
            <w:rFonts w:ascii="David" w:hAnsi="David"/>
            <w:color w:val="0000FF"/>
            <w:u w:val="single"/>
            <w:rtl/>
          </w:rPr>
          <w:t>ת"פ (שלום ב"ש) 51336-03-16</w:t>
        </w:r>
      </w:hyperlink>
      <w:r w:rsidRPr="00BF4CD5">
        <w:rPr>
          <w:rFonts w:ascii="David" w:hAnsi="David"/>
          <w:rtl/>
        </w:rPr>
        <w:t xml:space="preserve"> </w:t>
      </w:r>
      <w:r w:rsidRPr="00BF4CD5">
        <w:rPr>
          <w:rFonts w:ascii="David" w:hAnsi="David"/>
          <w:b/>
          <w:bCs/>
          <w:rtl/>
        </w:rPr>
        <w:t>מדינת ישראל נ' טלקר</w:t>
      </w:r>
      <w:r w:rsidRPr="00BF4CD5">
        <w:rPr>
          <w:rFonts w:ascii="David" w:hAnsi="David"/>
          <w:rtl/>
        </w:rPr>
        <w:t xml:space="preserve"> (7.11.2016): במקרה זה הורשע הנאשם, בעל עבר פלילי מכביד, על יסוד הודאתו, בעבירות תקיפה ופציעה בנסיבות מחמירות, בכך שדחף א</w:t>
      </w:r>
      <w:r w:rsidRPr="00BF4CD5">
        <w:rPr>
          <w:rFonts w:ascii="David" w:hAnsi="David" w:hint="cs"/>
          <w:rtl/>
        </w:rPr>
        <w:t>י</w:t>
      </w:r>
      <w:r w:rsidRPr="00BF4CD5">
        <w:rPr>
          <w:rFonts w:ascii="David" w:hAnsi="David"/>
          <w:rtl/>
        </w:rPr>
        <w:t xml:space="preserve">שה עמה היה בקשר זוגי, הטיח בראשה אבן וגרם לה לחבלות. בית המשפט קבע מתחם ענישה הנע בין 14 ל-42 חודשי מאסר, תוך ציון כי </w:t>
      </w:r>
      <w:r w:rsidRPr="00BF4CD5">
        <w:rPr>
          <w:rFonts w:ascii="David" w:hAnsi="David" w:hint="cs"/>
          <w:rtl/>
        </w:rPr>
        <w:t xml:space="preserve">הרף התחתון שהוצע </w:t>
      </w:r>
      <w:r w:rsidRPr="00BF4CD5">
        <w:rPr>
          <w:rFonts w:ascii="David" w:hAnsi="David"/>
          <w:rtl/>
        </w:rPr>
        <w:t>שהוצע על ידי המאשימה</w:t>
      </w:r>
      <w:r w:rsidRPr="00BF4CD5">
        <w:rPr>
          <w:rFonts w:ascii="David" w:hAnsi="David" w:hint="cs"/>
          <w:rtl/>
        </w:rPr>
        <w:t xml:space="preserve">, 10 חודשי מאסר, </w:t>
      </w:r>
      <w:r w:rsidRPr="00BF4CD5">
        <w:rPr>
          <w:rFonts w:ascii="David" w:hAnsi="David"/>
          <w:rtl/>
        </w:rPr>
        <w:t xml:space="preserve">מקל </w:t>
      </w:r>
      <w:r w:rsidRPr="00BF4CD5">
        <w:rPr>
          <w:rFonts w:ascii="David" w:hAnsi="David" w:hint="cs"/>
          <w:rtl/>
        </w:rPr>
        <w:t xml:space="preserve">יתר על המידה </w:t>
      </w:r>
      <w:r w:rsidRPr="00BF4CD5">
        <w:rPr>
          <w:rFonts w:ascii="David" w:hAnsi="David"/>
          <w:rtl/>
        </w:rPr>
        <w:t>והשית על הנאשם 23 חודשי מאסר, ובסך הכל, בצירוף מאסרים מותנים שהופעלו חלקם בחופף לעונש זה, 29 חודשי מאסר, בצירוף מאסר מותנה ופיצוי.</w:t>
      </w:r>
    </w:p>
    <w:p w14:paraId="35282B81" w14:textId="77777777" w:rsidR="00E07582" w:rsidRPr="00BF4CD5" w:rsidRDefault="00E07582" w:rsidP="00E07582">
      <w:pPr>
        <w:tabs>
          <w:tab w:val="left" w:pos="226"/>
        </w:tabs>
        <w:spacing w:line="260" w:lineRule="exact"/>
        <w:ind w:left="85"/>
        <w:contextualSpacing/>
        <w:jc w:val="both"/>
        <w:rPr>
          <w:rFonts w:ascii="David" w:hAnsi="David"/>
          <w:rtl/>
        </w:rPr>
      </w:pPr>
    </w:p>
    <w:p w14:paraId="6119CB4E"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עיינתי בפסיקה נוספת.</w:t>
      </w:r>
    </w:p>
    <w:p w14:paraId="35994834" w14:textId="77777777" w:rsidR="00E07582" w:rsidRPr="00BF4CD5" w:rsidRDefault="00E07582" w:rsidP="00E07582">
      <w:pPr>
        <w:tabs>
          <w:tab w:val="left" w:pos="226"/>
        </w:tabs>
        <w:spacing w:line="260" w:lineRule="exact"/>
        <w:ind w:left="85"/>
        <w:contextualSpacing/>
        <w:jc w:val="both"/>
        <w:rPr>
          <w:rFonts w:ascii="David" w:hAnsi="David"/>
          <w:rtl/>
        </w:rPr>
      </w:pPr>
    </w:p>
    <w:p w14:paraId="5473B6B3" w14:textId="77777777" w:rsidR="00E07582" w:rsidRPr="00BF4CD5" w:rsidRDefault="00E07582" w:rsidP="00E07582">
      <w:pPr>
        <w:tabs>
          <w:tab w:val="left" w:pos="226"/>
        </w:tabs>
        <w:spacing w:line="260" w:lineRule="exact"/>
        <w:ind w:left="85"/>
        <w:contextualSpacing/>
        <w:jc w:val="both"/>
        <w:rPr>
          <w:rFonts w:ascii="David" w:hAnsi="David"/>
          <w:rtl/>
        </w:rPr>
      </w:pPr>
      <w:r w:rsidRPr="00BF4CD5">
        <w:rPr>
          <w:rFonts w:ascii="David" w:hAnsi="David"/>
        </w:rPr>
        <w:tab/>
      </w:r>
      <w:r w:rsidRPr="00BF4CD5">
        <w:rPr>
          <w:rFonts w:ascii="David" w:hAnsi="David"/>
        </w:rPr>
        <w:tab/>
      </w:r>
      <w:hyperlink r:id="rId103" w:history="1">
        <w:r w:rsidR="00EE787A" w:rsidRPr="00EE787A">
          <w:rPr>
            <w:rFonts w:ascii="David" w:hAnsi="David"/>
            <w:color w:val="0000FF"/>
            <w:u w:val="single"/>
            <w:rtl/>
          </w:rPr>
          <w:t>רע"פ 3408/23</w:t>
        </w:r>
      </w:hyperlink>
      <w:r w:rsidRPr="00BF4CD5">
        <w:rPr>
          <w:rFonts w:ascii="David" w:hAnsi="David"/>
          <w:rtl/>
        </w:rPr>
        <w:t xml:space="preserve"> </w:t>
      </w:r>
      <w:r w:rsidRPr="00BF4CD5">
        <w:rPr>
          <w:rFonts w:ascii="David" w:hAnsi="David"/>
          <w:b/>
          <w:bCs/>
          <w:rtl/>
        </w:rPr>
        <w:t>בוזגלו נ' מדינת ישראל</w:t>
      </w:r>
      <w:r w:rsidRPr="00BF4CD5">
        <w:rPr>
          <w:rFonts w:ascii="David" w:hAnsi="David"/>
          <w:rtl/>
        </w:rPr>
        <w:t xml:space="preserve"> </w:t>
      </w:r>
      <w:r w:rsidRPr="00BF4CD5">
        <w:rPr>
          <w:rFonts w:ascii="David" w:hAnsi="David" w:hint="cs"/>
          <w:rtl/>
        </w:rPr>
        <w:t>(11.5.2023): במקרה זה הורשע המבקש, ללא עבר פלילי, לאחר שמיעת ראיות בעבירות איומים, החזקת סכין ופציעה בנסיבות מחמירות (ואף בעבירת סמים, לגביה נקבע מתחם ענישה נפרד, בין מאסר מותנה למספר חודשי מאסר). המבקש, על רקע סכסוך אזרחי, רדף אחר המתלונן, קטין הצעיר ממנו בשנים רבות, כשסכין בידו, דקר אותו בפלג גופו התחתון ארבע דקירות ופצעו. בית המשפט השלום קבע מתחם עונש הולם הנע בין שנתיים לארבע שנים והשית עליו ארבע שנות מאסר, מאסר על תנאי, קנס ופיצוי. המבקש הגיש ערעור, הן על הכרעת הדין, ממנו חזר במהלך הדיון, הן על גזר הדין. בית המשפט המחוזי הקל בעונשו של המבקש  והשית עליו 32 חודשי מאסר בקבעו כי העונש שנגזר עליו מחמיר יתר על המידה ביחס למדיניות הענישה הנוהגת ובשים לב למצבו הרפואי ולנסיבותיו האישיות. בקשת רשות הערעור נדחתה.</w:t>
      </w:r>
    </w:p>
    <w:p w14:paraId="7634D9A0" w14:textId="77777777" w:rsidR="00E07582" w:rsidRPr="00BF4CD5" w:rsidRDefault="00E07582" w:rsidP="00E07582">
      <w:pPr>
        <w:tabs>
          <w:tab w:val="left" w:pos="226"/>
        </w:tabs>
        <w:spacing w:line="260" w:lineRule="exact"/>
        <w:jc w:val="both"/>
        <w:rPr>
          <w:rFonts w:ascii="David" w:hAnsi="David"/>
          <w:rtl/>
        </w:rPr>
      </w:pPr>
      <w:r w:rsidRPr="00BF4CD5">
        <w:rPr>
          <w:rFonts w:ascii="David" w:hAnsi="David"/>
          <w:rtl/>
        </w:rPr>
        <w:tab/>
      </w:r>
    </w:p>
    <w:p w14:paraId="648DBED7" w14:textId="77777777" w:rsidR="00E07582" w:rsidRPr="00BF4CD5" w:rsidRDefault="00E07582" w:rsidP="00E07582">
      <w:pPr>
        <w:tabs>
          <w:tab w:val="left" w:pos="226"/>
        </w:tabs>
        <w:spacing w:line="260" w:lineRule="exact"/>
        <w:ind w:left="85"/>
        <w:contextualSpacing/>
        <w:jc w:val="both"/>
        <w:rPr>
          <w:rFonts w:ascii="David" w:hAnsi="David"/>
          <w:rtl/>
        </w:rPr>
      </w:pPr>
      <w:r w:rsidRPr="00BF4CD5">
        <w:rPr>
          <w:rFonts w:ascii="David" w:hAnsi="David"/>
          <w:rtl/>
        </w:rPr>
        <w:tab/>
      </w:r>
      <w:r w:rsidRPr="00BF4CD5">
        <w:rPr>
          <w:rFonts w:ascii="David" w:hAnsi="David"/>
          <w:rtl/>
        </w:rPr>
        <w:tab/>
      </w:r>
      <w:hyperlink r:id="rId104" w:history="1">
        <w:r w:rsidR="00EE787A" w:rsidRPr="00EE787A">
          <w:rPr>
            <w:rFonts w:ascii="David" w:hAnsi="David"/>
            <w:color w:val="0000FF"/>
            <w:u w:val="single"/>
            <w:rtl/>
          </w:rPr>
          <w:t>רע"פ 5377/23</w:t>
        </w:r>
      </w:hyperlink>
      <w:r w:rsidRPr="00BF4CD5">
        <w:rPr>
          <w:rFonts w:ascii="David" w:hAnsi="David"/>
          <w:rtl/>
        </w:rPr>
        <w:t xml:space="preserve"> </w:t>
      </w:r>
      <w:r w:rsidRPr="00BF4CD5">
        <w:rPr>
          <w:rFonts w:ascii="David" w:hAnsi="David"/>
          <w:b/>
          <w:bCs/>
          <w:rtl/>
        </w:rPr>
        <w:t>דכוור נ' מדינת ישראל</w:t>
      </w:r>
      <w:r w:rsidRPr="00BF4CD5">
        <w:rPr>
          <w:rFonts w:ascii="David" w:hAnsi="David"/>
          <w:rtl/>
        </w:rPr>
        <w:t xml:space="preserve"> (19.7.2023): המבקש, ללא עבר פלילי, הורשע על יסוד הודאתו בעבירות תקיפה ופציעה בנסיבות מחמירות, בכך שהטיח בקבוק בראשו של אדם ודקרו בשברי אותו בקבוק, ולאחר מכן הכה במכת אגרוף אדם נוסף, וגרם לשניהם חבלות ופציעות. בית משפט השלום קבע מתחם עונש הולם הנע בין 12 ל-36 חודשי מאסר, סטה ממנו, מטעמי שיקום ונוכח המלצת שירות המבחן, והשית על המבקש עונש מאסר בדרך של עבודות שירות למשך 9 חודשים, בצד פיצוי למתלוננים, צו מבחן ומאסר מותנה. ערעור המדינה לבית המשפט המחוזי התקבל ועל המבקש הושת עונש מאסר לתקופה של 15 חודשים; בקשת רשות הערעור נדחתה. </w:t>
      </w:r>
    </w:p>
    <w:p w14:paraId="2CDF37B7" w14:textId="77777777" w:rsidR="00E07582" w:rsidRPr="00BF4CD5" w:rsidRDefault="00E07582" w:rsidP="00E07582">
      <w:pPr>
        <w:tabs>
          <w:tab w:val="left" w:pos="226"/>
        </w:tabs>
        <w:spacing w:line="260" w:lineRule="exact"/>
        <w:ind w:left="85"/>
        <w:contextualSpacing/>
        <w:jc w:val="both"/>
        <w:rPr>
          <w:rFonts w:ascii="David" w:hAnsi="David"/>
          <w:rtl/>
        </w:rPr>
      </w:pPr>
    </w:p>
    <w:p w14:paraId="0A6939C1" w14:textId="77777777" w:rsidR="00E07582" w:rsidRPr="00BF4CD5" w:rsidRDefault="00E07582" w:rsidP="00E07582">
      <w:pPr>
        <w:tabs>
          <w:tab w:val="left" w:pos="226"/>
        </w:tabs>
        <w:spacing w:line="260" w:lineRule="exact"/>
        <w:ind w:left="85"/>
        <w:contextualSpacing/>
        <w:jc w:val="both"/>
        <w:rPr>
          <w:rFonts w:ascii="David" w:hAnsi="David"/>
          <w:rtl/>
        </w:rPr>
      </w:pPr>
      <w:r w:rsidRPr="00BF4CD5">
        <w:rPr>
          <w:rFonts w:ascii="David" w:hAnsi="David"/>
        </w:rPr>
        <w:tab/>
      </w:r>
      <w:r w:rsidRPr="00BF4CD5">
        <w:rPr>
          <w:rFonts w:ascii="David" w:hAnsi="David"/>
        </w:rPr>
        <w:tab/>
      </w:r>
      <w:hyperlink r:id="rId105" w:history="1">
        <w:r w:rsidR="00EE787A" w:rsidRPr="00EE787A">
          <w:rPr>
            <w:rFonts w:ascii="David" w:hAnsi="David"/>
            <w:color w:val="0000FF"/>
            <w:u w:val="single"/>
            <w:rtl/>
          </w:rPr>
          <w:t>רע"פ 6817/22</w:t>
        </w:r>
      </w:hyperlink>
      <w:r w:rsidR="00EE787A">
        <w:rPr>
          <w:rFonts w:ascii="David" w:hAnsi="David"/>
          <w:rtl/>
        </w:rPr>
        <w:t xml:space="preserve"> </w:t>
      </w:r>
      <w:r w:rsidRPr="00BF4CD5">
        <w:rPr>
          <w:rFonts w:ascii="David" w:hAnsi="David"/>
          <w:rtl/>
        </w:rPr>
        <w:t xml:space="preserve"> </w:t>
      </w:r>
      <w:r w:rsidRPr="00BF4CD5">
        <w:rPr>
          <w:rFonts w:ascii="David" w:hAnsi="David"/>
          <w:b/>
          <w:bCs/>
          <w:rtl/>
        </w:rPr>
        <w:t>פריג' נ' מדינת ישראל</w:t>
      </w:r>
      <w:r w:rsidRPr="00BF4CD5">
        <w:rPr>
          <w:rFonts w:ascii="David" w:hAnsi="David"/>
          <w:rtl/>
        </w:rPr>
        <w:t xml:space="preserve"> (18.10.2022): במקרה זה, שנסיבותיו אינן חמורות כבענייננו, הורשע המבקש, בעל הרשעה אחת רחוקה בעבירת אלימות, על יסוד הודאתו בעבירת החזקת סכין ופציעה בנסיבות מחמירות, בכך שדקר את ידו של המתלונן באמצעות סכין ופצעו, על רקעו של סכסוך מתמשך, לאחר שזה חסם את רכבו. בית משפט השלום קבע מתחם עונש הולם הנע בין 10 ל-24 חודשי מאסר והשית עליו שנת מאסר, בצד ענישה נלווית. הערעור, כמו גם בקשת רשות הערעור, נדחו.</w:t>
      </w:r>
    </w:p>
    <w:p w14:paraId="01D96587" w14:textId="77777777" w:rsidR="00E07582" w:rsidRPr="00BF4CD5" w:rsidRDefault="00E07582" w:rsidP="00E07582">
      <w:pPr>
        <w:tabs>
          <w:tab w:val="left" w:pos="226"/>
        </w:tabs>
        <w:spacing w:line="260" w:lineRule="exact"/>
        <w:ind w:left="85"/>
        <w:contextualSpacing/>
        <w:jc w:val="both"/>
        <w:rPr>
          <w:rFonts w:ascii="David" w:hAnsi="David"/>
          <w:rtl/>
        </w:rPr>
      </w:pPr>
    </w:p>
    <w:p w14:paraId="0C18994E" w14:textId="77777777" w:rsidR="00E07582" w:rsidRPr="00BF4CD5" w:rsidRDefault="00E07582" w:rsidP="00E07582">
      <w:pPr>
        <w:tabs>
          <w:tab w:val="left" w:pos="226"/>
        </w:tabs>
        <w:spacing w:line="260" w:lineRule="exact"/>
        <w:ind w:left="85"/>
        <w:contextualSpacing/>
        <w:jc w:val="both"/>
        <w:rPr>
          <w:rFonts w:ascii="David" w:hAnsi="David"/>
          <w:rtl/>
        </w:rPr>
      </w:pPr>
      <w:r w:rsidRPr="00BF4CD5">
        <w:rPr>
          <w:rFonts w:ascii="David" w:hAnsi="David"/>
          <w:rtl/>
        </w:rPr>
        <w:tab/>
      </w:r>
      <w:r w:rsidRPr="00BF4CD5">
        <w:rPr>
          <w:rFonts w:ascii="David" w:hAnsi="David"/>
          <w:rtl/>
        </w:rPr>
        <w:tab/>
      </w:r>
      <w:hyperlink r:id="rId106" w:history="1">
        <w:r w:rsidR="00EE787A" w:rsidRPr="00EE787A">
          <w:rPr>
            <w:rFonts w:ascii="David" w:hAnsi="David"/>
            <w:color w:val="0000FF"/>
            <w:u w:val="single"/>
            <w:rtl/>
          </w:rPr>
          <w:t>רע"פ 2335/21</w:t>
        </w:r>
      </w:hyperlink>
      <w:r w:rsidR="00EE787A">
        <w:rPr>
          <w:rFonts w:ascii="David" w:hAnsi="David"/>
        </w:rPr>
        <w:t xml:space="preserve"> </w:t>
      </w:r>
      <w:r w:rsidRPr="00BF4CD5">
        <w:rPr>
          <w:rFonts w:ascii="David" w:hAnsi="David"/>
          <w:b/>
          <w:bCs/>
          <w:rtl/>
        </w:rPr>
        <w:t>פלונית נ' מדינת ישראל</w:t>
      </w:r>
      <w:r w:rsidRPr="00BF4CD5">
        <w:rPr>
          <w:rFonts w:ascii="David" w:hAnsi="David"/>
          <w:rtl/>
        </w:rPr>
        <w:t xml:space="preserve"> (11.4.2021): במקרה זה הורשעה המבקשת על יסוד הודאתה, שנתנה רק לאחר עדות המתלוננת, כלתה, בעבירות איומים ופציעה בנסיבות מחמירות, בכך שלאחר שהמתלוננת הוכתה על ידי בנה של המבקשת וביקשה את סיועה, איימה עליה ושרטה אותה באמצעות סכין בפניה ובחזה. בית המשפט השלום קבע מתחם עונש הולם הנע בין 8 ל-20 חודשי מאסר, בצד ענישה נלווית ועל אף המלצת שירות המבחן להסתפק במאסר בדרך של עבודות שירות, דן את המבקשת לשנת מאסר, בצירוף מאסר מותנה ופיצוי. הערעור, כמו גם בקשת רשות הערעור נדחו. </w:t>
      </w:r>
    </w:p>
    <w:p w14:paraId="26BDEDBA" w14:textId="77777777" w:rsidR="00E07582" w:rsidRPr="00BF4CD5" w:rsidRDefault="00E07582" w:rsidP="00E07582">
      <w:pPr>
        <w:tabs>
          <w:tab w:val="left" w:pos="226"/>
        </w:tabs>
        <w:spacing w:line="260" w:lineRule="exact"/>
        <w:jc w:val="both"/>
        <w:rPr>
          <w:rFonts w:ascii="David" w:hAnsi="David"/>
          <w:rtl/>
        </w:rPr>
      </w:pPr>
      <w:r w:rsidRPr="00BF4CD5">
        <w:rPr>
          <w:rFonts w:ascii="David" w:hAnsi="David"/>
          <w:rtl/>
        </w:rPr>
        <w:tab/>
      </w:r>
    </w:p>
    <w:p w14:paraId="5F55BF5E" w14:textId="77777777" w:rsidR="00E07582" w:rsidRPr="00BF4CD5" w:rsidRDefault="00E07582" w:rsidP="00E07582">
      <w:pPr>
        <w:tabs>
          <w:tab w:val="left" w:pos="226"/>
        </w:tabs>
        <w:spacing w:line="260" w:lineRule="exact"/>
        <w:ind w:left="85"/>
        <w:contextualSpacing/>
        <w:jc w:val="both"/>
        <w:rPr>
          <w:rFonts w:ascii="David" w:hAnsi="David"/>
          <w:rtl/>
        </w:rPr>
      </w:pPr>
      <w:r w:rsidRPr="00BF4CD5">
        <w:rPr>
          <w:rFonts w:ascii="David" w:hAnsi="David"/>
          <w:rtl/>
        </w:rPr>
        <w:tab/>
      </w:r>
      <w:r w:rsidRPr="00BF4CD5">
        <w:rPr>
          <w:rFonts w:ascii="David" w:hAnsi="David"/>
          <w:rtl/>
        </w:rPr>
        <w:tab/>
      </w:r>
      <w:hyperlink r:id="rId107" w:history="1">
        <w:r w:rsidR="00EE787A" w:rsidRPr="00EE787A">
          <w:rPr>
            <w:rFonts w:ascii="David" w:hAnsi="David"/>
            <w:color w:val="0000FF"/>
            <w:u w:val="single"/>
            <w:rtl/>
          </w:rPr>
          <w:t>רע"פ 489/21</w:t>
        </w:r>
      </w:hyperlink>
      <w:r w:rsidRPr="00BF4CD5">
        <w:rPr>
          <w:rFonts w:ascii="David" w:hAnsi="David"/>
          <w:rtl/>
        </w:rPr>
        <w:t xml:space="preserve"> ‏</w:t>
      </w:r>
      <w:r w:rsidRPr="00BF4CD5">
        <w:rPr>
          <w:rFonts w:ascii="David" w:hAnsi="David"/>
          <w:b/>
          <w:bCs/>
          <w:rtl/>
        </w:rPr>
        <w:t>ביטאו נ' מדינת ישראל</w:t>
      </w:r>
      <w:r w:rsidRPr="00BF4CD5">
        <w:rPr>
          <w:rFonts w:ascii="David" w:hAnsi="David"/>
          <w:rtl/>
        </w:rPr>
        <w:t xml:space="preserve"> (26.1.2021): המבקש, בעל עבר פלילי רלבנטי, אם כי רחוק,  הורשע על יסוד הודאתו בעבירת פציעה בנסיבות מחמירות בכך, שלאחר שהמתלונן דחפו והפילו על רצפת קיוסק, אחז בחפץ חד, התקדם לעבר המתלונן אשר נסוג לאחור, דקר אותו בבטנו פעמיים וגרם לו שתי פציעות. בית משפט השלום קבע מתחם עונש הולם, הנע בין 8 ל-20 חודשי מאסר והשית עליו עונש של שישה חודשי מאסר, בדרך של עבודות שירות, ערעור המדינה לבית המשפט המחוזי התקבל ובמסגרת פסק הדין נקבע כי הרף התחתון של מתחם העונש ההולם עומד על 12 חודשי מאסר. על המבקש הושת עונש מאסר לתקופה של 10 חודשים, נוכח הכלל לפיו ערכאת הערעור אינה ממצה את הדין. בקשת רשות הערעור נדחתה ובמסגרתה צוין, כי אין מדובר בעונש מחמיר וכי: "אין להקל ראש בחומרת מעשיו של המבקש, אשר דקר את המתלונן פעמיים באמצעות חפץ חד, באופן שהוביל לפציעה עמוקה בבטנו. כל זאת, בשל התגרות מסוימת מצד המתלונן, ועל אף שכבר לא נשקפה כל סכנה מצדו. רק במזל רב נמנעה תוצאה טראגית וקשה הרבה יותר. על בתי המשפט להימנע מגישה סלחנית כלפי עבירות אלימות מעין אלו, ולשלוח מסר מרתיע שלפיו העונש הראוי בגין עבירות אלו הוא מאסר בפועל מאחורי סורג ובריח...".</w:t>
      </w:r>
    </w:p>
    <w:p w14:paraId="779B5CB0" w14:textId="77777777" w:rsidR="00E07582" w:rsidRPr="00BF4CD5" w:rsidRDefault="00E07582" w:rsidP="00E07582">
      <w:pPr>
        <w:tabs>
          <w:tab w:val="left" w:pos="226"/>
        </w:tabs>
        <w:spacing w:line="260" w:lineRule="exact"/>
        <w:ind w:left="85"/>
        <w:contextualSpacing/>
        <w:jc w:val="both"/>
        <w:rPr>
          <w:rFonts w:ascii="David" w:hAnsi="David"/>
          <w:rtl/>
        </w:rPr>
      </w:pPr>
    </w:p>
    <w:p w14:paraId="1E3FC4E0" w14:textId="77777777" w:rsidR="00E07582" w:rsidRPr="00BF4CD5" w:rsidRDefault="00E07582" w:rsidP="00E07582">
      <w:pPr>
        <w:tabs>
          <w:tab w:val="left" w:pos="226"/>
        </w:tabs>
        <w:spacing w:line="260" w:lineRule="exact"/>
        <w:ind w:left="85"/>
        <w:contextualSpacing/>
        <w:jc w:val="both"/>
        <w:rPr>
          <w:rFonts w:ascii="David" w:hAnsi="David"/>
          <w:rtl/>
        </w:rPr>
      </w:pPr>
      <w:r w:rsidRPr="00BF4CD5">
        <w:rPr>
          <w:rFonts w:ascii="David" w:hAnsi="David"/>
          <w:rtl/>
        </w:rPr>
        <w:tab/>
        <w:t xml:space="preserve">  </w:t>
      </w:r>
      <w:r w:rsidRPr="00BF4CD5">
        <w:rPr>
          <w:rFonts w:ascii="David" w:hAnsi="David"/>
          <w:rtl/>
        </w:rPr>
        <w:tab/>
      </w:r>
      <w:hyperlink r:id="rId108" w:history="1">
        <w:r w:rsidR="00EE787A" w:rsidRPr="00EE787A">
          <w:rPr>
            <w:rFonts w:ascii="David" w:hAnsi="David"/>
            <w:color w:val="0000FF"/>
            <w:u w:val="single"/>
            <w:rtl/>
          </w:rPr>
          <w:t>רע"פ 5216/20</w:t>
        </w:r>
      </w:hyperlink>
      <w:r w:rsidRPr="00BF4CD5">
        <w:rPr>
          <w:rFonts w:ascii="David" w:hAnsi="David"/>
          <w:rtl/>
        </w:rPr>
        <w:t xml:space="preserve"> </w:t>
      </w:r>
      <w:r w:rsidRPr="00BF4CD5">
        <w:rPr>
          <w:rFonts w:ascii="David" w:hAnsi="David"/>
          <w:b/>
          <w:bCs/>
          <w:rtl/>
        </w:rPr>
        <w:t>עלקם נ' מדינת ישראל</w:t>
      </w:r>
      <w:r w:rsidRPr="00BF4CD5">
        <w:rPr>
          <w:rFonts w:ascii="David" w:hAnsi="David"/>
          <w:rtl/>
        </w:rPr>
        <w:t xml:space="preserve"> (6.8.2020): במקרה זה, שנסיבותיו אינן חמורות כבענייננו (על אף פגיעה בשני מתלוננים, להבדיל מאחד), הורשע המבקש, ללא עבר פלילי, לאחר שמיעת ראיות, בשתי עבירות פציעה (שלא בנסיבות מחמירות), בכך שתקף שני אנשים בקניון, ללא סכסוך קודם, וכאשר אחד מאותם שניים הוא זה שהחל לנקוט באלימות. בית משפט השלום קבע מתחם עונש הולם, הנע בין 10 ל-20 חודשי מאסר והשית עליו עונש בתחתית המתחם. ערעור המבקש לבית המשפט המחוזי נדחה וכך גם בקשת רשות הערעור, במסגרתה ציין בית המשפט כי מדובר בעונש שאינו חורג ממדיניות הענישה הראויה. </w:t>
      </w:r>
    </w:p>
    <w:p w14:paraId="0F707F73" w14:textId="77777777" w:rsidR="00E07582" w:rsidRPr="00BF4CD5" w:rsidRDefault="00E07582" w:rsidP="00E07582">
      <w:pPr>
        <w:tabs>
          <w:tab w:val="left" w:pos="226"/>
        </w:tabs>
        <w:spacing w:line="260" w:lineRule="exact"/>
        <w:ind w:left="85"/>
        <w:contextualSpacing/>
        <w:jc w:val="both"/>
        <w:rPr>
          <w:rFonts w:ascii="David" w:hAnsi="David"/>
          <w:rtl/>
        </w:rPr>
      </w:pPr>
    </w:p>
    <w:p w14:paraId="69D6097C" w14:textId="77777777" w:rsidR="00E07582" w:rsidRPr="00BF4CD5" w:rsidRDefault="00E07582" w:rsidP="00E07582">
      <w:pPr>
        <w:tabs>
          <w:tab w:val="left" w:pos="226"/>
        </w:tabs>
        <w:spacing w:line="260" w:lineRule="exact"/>
        <w:ind w:left="85"/>
        <w:contextualSpacing/>
        <w:jc w:val="both"/>
        <w:rPr>
          <w:rFonts w:ascii="David" w:hAnsi="David"/>
          <w:rtl/>
        </w:rPr>
      </w:pPr>
      <w:r w:rsidRPr="00BF4CD5">
        <w:rPr>
          <w:rFonts w:ascii="David" w:hAnsi="David"/>
          <w:rtl/>
        </w:rPr>
        <w:tab/>
      </w:r>
      <w:r w:rsidRPr="00BF4CD5">
        <w:rPr>
          <w:rFonts w:ascii="David" w:hAnsi="David"/>
          <w:rtl/>
        </w:rPr>
        <w:tab/>
      </w:r>
      <w:hyperlink r:id="rId109" w:history="1">
        <w:r w:rsidR="00EE787A" w:rsidRPr="00EE787A">
          <w:rPr>
            <w:rFonts w:ascii="David" w:hAnsi="David"/>
            <w:color w:val="0000FF"/>
            <w:u w:val="single"/>
            <w:rtl/>
          </w:rPr>
          <w:t>רע"פ 8699/15</w:t>
        </w:r>
      </w:hyperlink>
      <w:r w:rsidRPr="00BF4CD5">
        <w:rPr>
          <w:rFonts w:ascii="David" w:hAnsi="David"/>
          <w:rtl/>
        </w:rPr>
        <w:t xml:space="preserve"> </w:t>
      </w:r>
      <w:r w:rsidRPr="00BF4CD5">
        <w:rPr>
          <w:rFonts w:ascii="David" w:hAnsi="David"/>
          <w:b/>
          <w:bCs/>
          <w:rtl/>
        </w:rPr>
        <w:t>אבוהאני נ' מדינת ישראל</w:t>
      </w:r>
      <w:r w:rsidRPr="00BF4CD5">
        <w:rPr>
          <w:rFonts w:ascii="David" w:hAnsi="David"/>
          <w:rtl/>
        </w:rPr>
        <w:t xml:space="preserve"> (17.12.2015): במקרה זה, שנסיבותיו אינן חמורות כבענייננו, הורשע המבקש, ללא עבר פלילי, על יסוד הודאתו, בעבירת פציעה (שלא בנסיבות מחמירות), בכך ששבוע לאחר שהמתלונן דרש ממנו לשלם חובו, ניגש אליו מאחור, כבידו חפץ חד ופצע אותו בראשו וגרם לו לחתך בקרקפתו. תסקיר שירות המבחן המליץ על ענישה שיקומית. בית משפט השלום קבע מתחם עונש הולם, הנע בין 6 ל-18 חודשי מאסר והשית על המבקש 8 חודשי מאסר בפועל, בצד מאסר מותנה, קנס ופיצוי. ערעור המבקש לבית המשפט המחוזי נדחה וכך גם בקשת רשות הערעור. </w:t>
      </w:r>
    </w:p>
    <w:p w14:paraId="5336C86A" w14:textId="77777777" w:rsidR="00E07582" w:rsidRPr="00BF4CD5" w:rsidRDefault="00E07582" w:rsidP="00E07582">
      <w:pPr>
        <w:tabs>
          <w:tab w:val="left" w:pos="226"/>
        </w:tabs>
        <w:spacing w:line="260" w:lineRule="exact"/>
        <w:ind w:left="85"/>
        <w:contextualSpacing/>
        <w:jc w:val="both"/>
        <w:rPr>
          <w:rFonts w:ascii="David" w:hAnsi="David"/>
          <w:rtl/>
        </w:rPr>
      </w:pPr>
    </w:p>
    <w:p w14:paraId="77B379B3" w14:textId="77777777" w:rsidR="00E07582" w:rsidRPr="00E07582" w:rsidRDefault="00EE787A" w:rsidP="00E07582">
      <w:pPr>
        <w:pStyle w:val="aa"/>
        <w:spacing w:line="260" w:lineRule="exact"/>
        <w:ind w:left="84" w:firstLine="636"/>
        <w:jc w:val="both"/>
        <w:rPr>
          <w:rtl/>
        </w:rPr>
      </w:pPr>
      <w:hyperlink r:id="rId110" w:history="1">
        <w:r w:rsidRPr="00EE787A">
          <w:rPr>
            <w:color w:val="0000FF"/>
            <w:u w:val="single"/>
            <w:rtl/>
          </w:rPr>
          <w:t>רע"פ 5655/13</w:t>
        </w:r>
      </w:hyperlink>
      <w:r>
        <w:rPr>
          <w:rFonts w:hint="cs"/>
          <w:rtl/>
        </w:rPr>
        <w:t xml:space="preserve"> </w:t>
      </w:r>
      <w:r w:rsidR="00E07582" w:rsidRPr="00E07582">
        <w:rPr>
          <w:rFonts w:hint="cs"/>
          <w:b/>
          <w:bCs/>
          <w:rtl/>
        </w:rPr>
        <w:t>עמרם נ' מדינת ישראל</w:t>
      </w:r>
      <w:r>
        <w:rPr>
          <w:rFonts w:hint="cs"/>
          <w:rtl/>
        </w:rPr>
        <w:t xml:space="preserve"> </w:t>
      </w:r>
      <w:r w:rsidR="00E07582" w:rsidRPr="00E07582">
        <w:rPr>
          <w:rFonts w:hint="cs"/>
          <w:rtl/>
        </w:rPr>
        <w:t>(20.11.2014): המבקש, ללא עבר פלילי שבשעת ביצוע העבירה טרם מלאו לו 19 שנה, הורשע, על יסוד הודאתו, בעבירת פציעה בנסיבות מחמירות בכך שחבט בראשו של המתלונן, לאחר שזה הציע לו לשתות עמו אלכוהול, באמצעות בקבוק, אותו הטיח לאחר מכן בראש המתלונן, ופצעו בפניו; מדובר בעבירות שבוצעו ללא תכנון או הכרות מוקדמת, על רקע חשדו של המבקש כי חברם של הנפגעים הביט על חברתו. בית משפט השלום קבע מתחם עונש הולם הנע בין 6 חודשי מאסר לשנת מאסר, וגזר על המבקש, צעיר כבן 18 שנים וחצי, ללא עבר פלילי, 6 חודשי מאסר לריצוי בדרך של עבודות שירות, בצירוף ענישה נלווית. בית המשפט המחוזי קיבל את ערעורה של המדינה על קולת העונש, קבע כי מתחם העונש ההולם נע בין 9 חודשי מאסר לשנתיים והשית על המבקש שנת מאסר בפועל. בית המשפט העליון דחה את בקשת רשות הערעור, תוך קביעה כי על אף ההליך השיקומי, עונש של ביצוע עבודות שירות "מקל מדי", בהינתן הפגיעה במתלונן.</w:t>
      </w:r>
    </w:p>
    <w:p w14:paraId="3B50B726" w14:textId="77777777" w:rsidR="00E07582" w:rsidRPr="00BF4CD5" w:rsidRDefault="00EE787A" w:rsidP="00E07582">
      <w:pPr>
        <w:pStyle w:val="aa"/>
        <w:spacing w:line="260" w:lineRule="exact"/>
        <w:ind w:left="84"/>
        <w:jc w:val="both"/>
        <w:rPr>
          <w:rFonts w:ascii="Calibri" w:hAnsi="Calibri" w:cs="Calibri"/>
          <w:color w:val="000000"/>
          <w:sz w:val="22"/>
          <w:szCs w:val="22"/>
        </w:rPr>
      </w:pPr>
      <w:r>
        <w:rPr>
          <w:rFonts w:hint="cs"/>
          <w:color w:val="000000"/>
          <w:rtl/>
        </w:rPr>
        <w:t xml:space="preserve"> </w:t>
      </w:r>
    </w:p>
    <w:p w14:paraId="228EEEAB" w14:textId="77777777" w:rsidR="00E07582" w:rsidRPr="00BF4CD5" w:rsidRDefault="00E07582" w:rsidP="00E07582">
      <w:pPr>
        <w:tabs>
          <w:tab w:val="left" w:pos="226"/>
        </w:tabs>
        <w:spacing w:line="260" w:lineRule="exact"/>
        <w:jc w:val="both"/>
        <w:rPr>
          <w:rFonts w:ascii="David" w:hAnsi="David"/>
          <w:rtl/>
        </w:rPr>
      </w:pPr>
      <w:r w:rsidRPr="00BF4CD5">
        <w:rPr>
          <w:rFonts w:ascii="David" w:hAnsi="David"/>
          <w:color w:val="000000"/>
          <w:rtl/>
        </w:rPr>
        <w:tab/>
      </w:r>
      <w:r w:rsidRPr="00BF4CD5">
        <w:rPr>
          <w:rFonts w:ascii="David" w:hAnsi="David"/>
          <w:color w:val="000000"/>
          <w:rtl/>
        </w:rPr>
        <w:tab/>
      </w:r>
      <w:hyperlink r:id="rId111" w:history="1">
        <w:r w:rsidR="00EE787A" w:rsidRPr="00EE787A">
          <w:rPr>
            <w:rFonts w:ascii="David" w:hAnsi="David"/>
            <w:color w:val="0000FF"/>
            <w:u w:val="single"/>
            <w:rtl/>
          </w:rPr>
          <w:t>רע"פ 7498/11</w:t>
        </w:r>
      </w:hyperlink>
      <w:r w:rsidR="00EE787A">
        <w:rPr>
          <w:rFonts w:ascii="David" w:hAnsi="David"/>
          <w:rtl/>
        </w:rPr>
        <w:t xml:space="preserve"> </w:t>
      </w:r>
      <w:r w:rsidRPr="00BF4CD5">
        <w:rPr>
          <w:rFonts w:ascii="David" w:hAnsi="David"/>
          <w:b/>
          <w:bCs/>
          <w:rtl/>
        </w:rPr>
        <w:t>נאטור נ' מדינת ישראל</w:t>
      </w:r>
      <w:r w:rsidRPr="00BF4CD5">
        <w:rPr>
          <w:rFonts w:ascii="David" w:hAnsi="David"/>
          <w:rtl/>
        </w:rPr>
        <w:t xml:space="preserve"> (11.10.2011): במקרה זה, שהוכרע טרם כניסת תיקון 113 לחוק לתוקפו, הורשע המבקש, בעל עבר פלילי, על יסוד הודאתו בעבירות תקיפה, פציעה בנסיבות מחמירות והחזקת סכין, בכך שתקף אדם על רקע סכסוך כספי ולאחר מכן שב למקום, מצויד בסכין ארוכה. המבקש רדף אחר המתלונן, שהתגונן מפניו ותוך כך נגרם לו חתך באצבעו, שנדרש לתפירה ולניתוח. בית משפט השלום השית על הנאשם עונש מאסר לתקופה של שנה, במצטבר לתקופת מאסר מותנה לתקופה של ארבעה חודשים, בצד ענישה נלווית. ערעור המבקש לבית המשפט המחוזי נדחה וכך גם בקשת רשות הערעור, במסגרתן צוין כי אין מדובר בעונש מחמיר. </w:t>
      </w:r>
    </w:p>
    <w:p w14:paraId="6066E2FF" w14:textId="77777777" w:rsidR="00E07582" w:rsidRPr="00BF4CD5" w:rsidRDefault="00E07582" w:rsidP="00E07582">
      <w:pPr>
        <w:tabs>
          <w:tab w:val="left" w:pos="226"/>
        </w:tabs>
        <w:spacing w:line="260" w:lineRule="exact"/>
        <w:ind w:left="85"/>
        <w:contextualSpacing/>
        <w:jc w:val="both"/>
        <w:rPr>
          <w:rFonts w:ascii="David" w:hAnsi="David"/>
          <w:rtl/>
        </w:rPr>
      </w:pPr>
    </w:p>
    <w:p w14:paraId="661F3869" w14:textId="77777777" w:rsidR="00E07582" w:rsidRPr="00BF4CD5" w:rsidRDefault="00E07582" w:rsidP="00E07582">
      <w:pPr>
        <w:tabs>
          <w:tab w:val="left" w:pos="226"/>
        </w:tabs>
        <w:spacing w:line="260" w:lineRule="exact"/>
        <w:ind w:left="85"/>
        <w:contextualSpacing/>
        <w:jc w:val="both"/>
        <w:rPr>
          <w:rFonts w:ascii="David" w:hAnsi="David"/>
          <w:rtl/>
        </w:rPr>
      </w:pPr>
      <w:r w:rsidRPr="00BF4CD5">
        <w:rPr>
          <w:rFonts w:ascii="David" w:hAnsi="David"/>
          <w:rtl/>
        </w:rPr>
        <w:tab/>
      </w:r>
      <w:r w:rsidRPr="00BF4CD5">
        <w:rPr>
          <w:rFonts w:ascii="David" w:hAnsi="David"/>
          <w:rtl/>
        </w:rPr>
        <w:tab/>
      </w:r>
      <w:hyperlink r:id="rId112" w:history="1">
        <w:r w:rsidR="00EE787A" w:rsidRPr="00EE787A">
          <w:rPr>
            <w:rFonts w:ascii="David" w:hAnsi="David"/>
            <w:color w:val="0000FF"/>
            <w:u w:val="single"/>
            <w:rtl/>
          </w:rPr>
          <w:t>ע"פ (מחוזי מר') 29248-08-22</w:t>
        </w:r>
      </w:hyperlink>
      <w:r w:rsidRPr="00BF4CD5">
        <w:rPr>
          <w:rFonts w:ascii="David" w:hAnsi="David"/>
          <w:rtl/>
        </w:rPr>
        <w:t xml:space="preserve"> </w:t>
      </w:r>
      <w:r w:rsidRPr="00BF4CD5">
        <w:rPr>
          <w:rFonts w:ascii="David" w:hAnsi="David"/>
          <w:b/>
          <w:bCs/>
          <w:rtl/>
        </w:rPr>
        <w:t>אלבאז נ' מדינת ישראל</w:t>
      </w:r>
      <w:r w:rsidRPr="00BF4CD5">
        <w:rPr>
          <w:rFonts w:ascii="David" w:hAnsi="David"/>
          <w:rtl/>
        </w:rPr>
        <w:t xml:space="preserve"> (19.12.2022): במקרה זה הורשע המערער, שיח' קהילה ללא עבר פלילי, לאחר שמיעת ראיות, בעבירות איומים ופציעה בנסיבות מחמירות, בכך שהטיח אבן גדולה בראשו של עורך דין, פצעו ואיים עליו, וזאת על רקע סכסוך אזרחי. בית משפט השלום קבע מתחם עונש הולם שנע בין 12 ל-36 חודשי מאסר בצד ענישה נלווית והשית על הנאשם עונש מאסר לתקופה של 20 חודשים, בצירוף מאסר מותנה קנס ופיצוי. המערער הגיש ערעור על הכרעת דין, שנדחה ועל גזר הדין, שהתקבל, כך שנקבע כי עונש המאסר בו על המערער לשאת יעמוד על 16 חודשים, וזאת בשל תרומתו לחברה ונסיבותיו האישיות. </w:t>
      </w:r>
    </w:p>
    <w:p w14:paraId="56C403F0" w14:textId="77777777" w:rsidR="00E07582" w:rsidRPr="00BF4CD5" w:rsidRDefault="00E07582" w:rsidP="00E07582">
      <w:pPr>
        <w:tabs>
          <w:tab w:val="left" w:pos="226"/>
        </w:tabs>
        <w:spacing w:line="260" w:lineRule="exact"/>
        <w:ind w:left="85"/>
        <w:contextualSpacing/>
        <w:jc w:val="both"/>
        <w:rPr>
          <w:rFonts w:ascii="David" w:hAnsi="David"/>
          <w:rtl/>
        </w:rPr>
      </w:pPr>
    </w:p>
    <w:p w14:paraId="38D7E854" w14:textId="77777777" w:rsidR="00E07582" w:rsidRPr="00BF4CD5" w:rsidRDefault="00E07582" w:rsidP="00E07582">
      <w:pPr>
        <w:tabs>
          <w:tab w:val="left" w:pos="226"/>
        </w:tabs>
        <w:spacing w:line="260" w:lineRule="exact"/>
        <w:ind w:left="85"/>
        <w:contextualSpacing/>
        <w:jc w:val="both"/>
        <w:rPr>
          <w:rFonts w:ascii="David" w:hAnsi="David"/>
          <w:rtl/>
        </w:rPr>
      </w:pPr>
      <w:r w:rsidRPr="00BF4CD5">
        <w:rPr>
          <w:rFonts w:ascii="David" w:hAnsi="David"/>
          <w:rtl/>
        </w:rPr>
        <w:tab/>
      </w:r>
      <w:r w:rsidRPr="00BF4CD5">
        <w:rPr>
          <w:rFonts w:ascii="David" w:hAnsi="David"/>
          <w:rtl/>
        </w:rPr>
        <w:tab/>
        <w:t xml:space="preserve">ראו אף סקירת הפסיקה בפסקה 41 בעניין </w:t>
      </w:r>
      <w:r w:rsidRPr="00BF4CD5">
        <w:rPr>
          <w:rFonts w:ascii="David" w:hAnsi="David"/>
          <w:b/>
          <w:bCs/>
          <w:rtl/>
        </w:rPr>
        <w:t>עליאן</w:t>
      </w:r>
      <w:r w:rsidRPr="00BF4CD5">
        <w:rPr>
          <w:rFonts w:ascii="David" w:hAnsi="David"/>
          <w:rtl/>
        </w:rPr>
        <w:t xml:space="preserve">. </w:t>
      </w:r>
    </w:p>
    <w:p w14:paraId="4DF8A5B2" w14:textId="77777777" w:rsidR="00E07582" w:rsidRPr="00BF4CD5" w:rsidRDefault="00E07582" w:rsidP="00E07582">
      <w:pPr>
        <w:tabs>
          <w:tab w:val="left" w:pos="226"/>
        </w:tabs>
        <w:spacing w:line="260" w:lineRule="exact"/>
        <w:ind w:left="85"/>
        <w:contextualSpacing/>
        <w:jc w:val="both"/>
        <w:rPr>
          <w:rFonts w:ascii="David" w:hAnsi="David"/>
          <w:rtl/>
        </w:rPr>
      </w:pPr>
    </w:p>
    <w:p w14:paraId="56F98CEE"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 xml:space="preserve">עבירות האיומים והחזקת הסכין שלובות במעשי הפציעה וכרוכות ביתר התנהלותו האלימה של הנאשם. עם זאת, לשם שלמות התמונה, אציין אף בהקשרן, במנותק מעבירות הפציעה, את מדיניות הענישה הנוהגת. </w:t>
      </w:r>
    </w:p>
    <w:p w14:paraId="3EA07C8C" w14:textId="77777777" w:rsidR="00E07582" w:rsidRPr="00BF4CD5" w:rsidRDefault="00E07582" w:rsidP="00E07582">
      <w:pPr>
        <w:tabs>
          <w:tab w:val="left" w:pos="226"/>
        </w:tabs>
        <w:spacing w:line="260" w:lineRule="exact"/>
        <w:ind w:left="85"/>
        <w:contextualSpacing/>
        <w:jc w:val="both"/>
        <w:rPr>
          <w:rFonts w:ascii="David" w:hAnsi="David"/>
        </w:rPr>
      </w:pPr>
    </w:p>
    <w:p w14:paraId="2DD6EAE4" w14:textId="77777777" w:rsidR="00E07582"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אשר לעבירת האיומים: "עיון בפסיקה מעלה כי טווח הענישה בעבירת איומים הוא רחב מאוד, תלוי נסיבות הקשורות למספר האיומים, טיבם ומיהות מושאם, ונע בין מאסר מותנה לבין מאסר בפועל לתקופה של מספר חודשים</w:t>
      </w:r>
      <w:r w:rsidRPr="00BF4CD5">
        <w:rPr>
          <w:rFonts w:ascii="David" w:hAnsi="David"/>
        </w:rPr>
        <w:t>"</w:t>
      </w:r>
      <w:r w:rsidRPr="00BF4CD5">
        <w:rPr>
          <w:rFonts w:ascii="David" w:hAnsi="David"/>
          <w:rtl/>
        </w:rPr>
        <w:t xml:space="preserve"> (</w:t>
      </w:r>
      <w:hyperlink r:id="rId113" w:history="1">
        <w:r w:rsidR="00EE787A" w:rsidRPr="00EE787A">
          <w:rPr>
            <w:rFonts w:ascii="David" w:hAnsi="David"/>
            <w:color w:val="0000FF"/>
            <w:u w:val="single"/>
            <w:rtl/>
          </w:rPr>
          <w:t>ת"פ (שלום ת"א) 29115-09-18</w:t>
        </w:r>
      </w:hyperlink>
      <w:r w:rsidRPr="00BF4CD5">
        <w:rPr>
          <w:rFonts w:ascii="David" w:hAnsi="David"/>
          <w:rtl/>
        </w:rPr>
        <w:t xml:space="preserve"> </w:t>
      </w:r>
      <w:r w:rsidRPr="00BF4CD5">
        <w:rPr>
          <w:rFonts w:ascii="David" w:hAnsi="David"/>
          <w:b/>
          <w:bCs/>
          <w:rtl/>
        </w:rPr>
        <w:t>מדינת ישראל נ' מתנה</w:t>
      </w:r>
      <w:r w:rsidRPr="00BF4CD5">
        <w:rPr>
          <w:rFonts w:ascii="David" w:hAnsi="David"/>
          <w:rtl/>
        </w:rPr>
        <w:t xml:space="preserve">, פסקה 17 (20.11.2022); ראו הפסיקה המוזכרת שם). </w:t>
      </w:r>
    </w:p>
    <w:p w14:paraId="28FDF31D" w14:textId="77777777" w:rsidR="00E07582" w:rsidRDefault="00E07582" w:rsidP="00E07582">
      <w:pPr>
        <w:pStyle w:val="aa"/>
        <w:rPr>
          <w:rtl/>
        </w:rPr>
      </w:pPr>
    </w:p>
    <w:p w14:paraId="3164618C" w14:textId="77777777" w:rsidR="00E07582" w:rsidRPr="00BF4CD5" w:rsidRDefault="00E07582" w:rsidP="00E07582">
      <w:pPr>
        <w:tabs>
          <w:tab w:val="left" w:pos="226"/>
        </w:tabs>
        <w:spacing w:line="260" w:lineRule="exact"/>
        <w:ind w:left="85"/>
        <w:contextualSpacing/>
        <w:jc w:val="both"/>
        <w:rPr>
          <w:rFonts w:ascii="David" w:hAnsi="David"/>
        </w:rPr>
      </w:pPr>
      <w:r>
        <w:rPr>
          <w:rFonts w:ascii="David" w:hAnsi="David"/>
          <w:rtl/>
        </w:rPr>
        <w:tab/>
      </w:r>
      <w:r>
        <w:rPr>
          <w:rFonts w:ascii="David" w:hAnsi="David"/>
          <w:rtl/>
        </w:rPr>
        <w:tab/>
      </w:r>
      <w:r w:rsidRPr="00BF4CD5">
        <w:rPr>
          <w:rFonts w:ascii="David" w:hAnsi="David"/>
          <w:rtl/>
        </w:rPr>
        <w:t>בענייננו, מדובר באיומים שיש למקמם ברף הגבוה: הנאשם אמר למתלונן כי ירצח אותו, בפניו, ותוך שהוא מכין עצמו לפגוע בו.</w:t>
      </w:r>
    </w:p>
    <w:p w14:paraId="72FF12AB" w14:textId="77777777" w:rsidR="00E07582" w:rsidRPr="00BF4CD5" w:rsidRDefault="00E07582" w:rsidP="00E07582">
      <w:pPr>
        <w:pStyle w:val="aa"/>
        <w:spacing w:line="260" w:lineRule="exact"/>
        <w:rPr>
          <w:rtl/>
        </w:rPr>
      </w:pPr>
    </w:p>
    <w:p w14:paraId="3E7C3005" w14:textId="77777777" w:rsidR="00E07582"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אשר לעבירת החזקת הסכין: "נמצא מנעד הענישה החל ממאסר על תנאי ו/או של"צ ועד למספר חודשי מאסר בפועל", והכל בהתאם לנסיבות החזקתה ולמטרות ההחזקה (</w:t>
      </w:r>
      <w:hyperlink r:id="rId114" w:history="1">
        <w:r w:rsidR="00EE787A" w:rsidRPr="00EE787A">
          <w:rPr>
            <w:rFonts w:ascii="David" w:hAnsi="David"/>
            <w:color w:val="0000FF"/>
            <w:u w:val="single"/>
            <w:rtl/>
          </w:rPr>
          <w:t>ת"פ (מחוזי ת"א) 5852-10-21</w:t>
        </w:r>
      </w:hyperlink>
      <w:r w:rsidR="00EE787A">
        <w:rPr>
          <w:rFonts w:ascii="David" w:hAnsi="David"/>
          <w:rtl/>
        </w:rPr>
        <w:t xml:space="preserve"> </w:t>
      </w:r>
      <w:r w:rsidRPr="00BF4CD5">
        <w:rPr>
          <w:rFonts w:ascii="David" w:hAnsi="David"/>
          <w:b/>
          <w:bCs/>
          <w:rtl/>
        </w:rPr>
        <w:t xml:space="preserve">מדינת ישראל </w:t>
      </w:r>
      <w:r w:rsidRPr="00BF4CD5">
        <w:rPr>
          <w:rFonts w:ascii="David" w:hAnsi="David"/>
          <w:b/>
          <w:bCs/>
        </w:rPr>
        <w:t>YEZOUM</w:t>
      </w:r>
      <w:r w:rsidRPr="00BF4CD5">
        <w:rPr>
          <w:rFonts w:ascii="David" w:hAnsi="David"/>
          <w:rtl/>
        </w:rPr>
        <w:t xml:space="preserve"> פסקה 16 (3.10.2022); ראו הפסיקה המוזכרת שם). </w:t>
      </w:r>
    </w:p>
    <w:p w14:paraId="3D4AFA12" w14:textId="77777777" w:rsidR="00E07582" w:rsidRDefault="00E07582" w:rsidP="00E07582">
      <w:pPr>
        <w:pStyle w:val="aa"/>
        <w:rPr>
          <w:rtl/>
        </w:rPr>
      </w:pPr>
    </w:p>
    <w:p w14:paraId="00685E9B" w14:textId="77777777" w:rsidR="00E07582" w:rsidRPr="00BF4CD5" w:rsidRDefault="00E07582" w:rsidP="00E07582">
      <w:pPr>
        <w:tabs>
          <w:tab w:val="left" w:pos="226"/>
        </w:tabs>
        <w:spacing w:line="260" w:lineRule="exact"/>
        <w:ind w:left="85"/>
        <w:contextualSpacing/>
        <w:jc w:val="both"/>
        <w:rPr>
          <w:rFonts w:ascii="David" w:hAnsi="David"/>
          <w:rtl/>
        </w:rPr>
      </w:pPr>
      <w:r>
        <w:rPr>
          <w:rFonts w:ascii="David" w:hAnsi="David"/>
          <w:rtl/>
        </w:rPr>
        <w:tab/>
      </w:r>
      <w:r>
        <w:rPr>
          <w:rFonts w:ascii="David" w:hAnsi="David"/>
          <w:rtl/>
        </w:rPr>
        <w:tab/>
      </w:r>
      <w:r w:rsidRPr="00BF4CD5">
        <w:rPr>
          <w:rFonts w:ascii="David" w:hAnsi="David"/>
          <w:rtl/>
        </w:rPr>
        <w:t xml:space="preserve">נוכח הבאת הסכין למספרה, הסוואתה טרם התקיפה, השימוש בה במהלכה ופציעת המתלונן באמצעותה, נסיבות ביצועה הן בדרגה החמורה ביותר האפשרית. </w:t>
      </w:r>
    </w:p>
    <w:p w14:paraId="3F022086" w14:textId="77777777" w:rsidR="00E07582" w:rsidRPr="00BF4CD5" w:rsidRDefault="00E07582" w:rsidP="00E07582">
      <w:pPr>
        <w:pStyle w:val="aa"/>
        <w:spacing w:line="260" w:lineRule="exact"/>
      </w:pPr>
    </w:p>
    <w:p w14:paraId="4FA681B5" w14:textId="77777777" w:rsidR="00E07582"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אשר לעבירת הכשלת השוטר, נקבעו מתחמי ענישה הנעים בין מאסר מותנה לתקופת מאסר קצרה, שניתן ל</w:t>
      </w:r>
      <w:r w:rsidRPr="00BF4CD5">
        <w:rPr>
          <w:rFonts w:ascii="David" w:hAnsi="David" w:hint="cs"/>
          <w:rtl/>
        </w:rPr>
        <w:t>שאת</w:t>
      </w:r>
      <w:r w:rsidRPr="00BF4CD5">
        <w:rPr>
          <w:rFonts w:ascii="David" w:hAnsi="David"/>
          <w:rtl/>
        </w:rPr>
        <w:t xml:space="preserve">ה בעבודות שירות (עניין </w:t>
      </w:r>
      <w:r w:rsidRPr="00BF4CD5">
        <w:rPr>
          <w:rFonts w:ascii="David" w:hAnsi="David"/>
          <w:b/>
          <w:bCs/>
          <w:rtl/>
        </w:rPr>
        <w:t>אבו ראס</w:t>
      </w:r>
      <w:r w:rsidRPr="00BF4CD5">
        <w:rPr>
          <w:rFonts w:ascii="David" w:hAnsi="David"/>
          <w:rtl/>
        </w:rPr>
        <w:t xml:space="preserve">, פסקה 14; ת"פ (מחוזי </w:t>
      </w:r>
      <w:hyperlink r:id="rId115" w:history="1">
        <w:r w:rsidR="00EE787A" w:rsidRPr="00EE787A">
          <w:rPr>
            <w:rFonts w:ascii="David" w:hAnsi="David"/>
            <w:color w:val="0000FF"/>
            <w:u w:val="single"/>
            <w:rtl/>
          </w:rPr>
          <w:t>ב"ש 21339-04-17</w:t>
        </w:r>
      </w:hyperlink>
      <w:r w:rsidRPr="00BF4CD5">
        <w:rPr>
          <w:rFonts w:ascii="David" w:hAnsi="David"/>
          <w:rtl/>
        </w:rPr>
        <w:t xml:space="preserve"> </w:t>
      </w:r>
      <w:r w:rsidRPr="00BF4CD5">
        <w:rPr>
          <w:rFonts w:ascii="David" w:hAnsi="David"/>
          <w:b/>
          <w:bCs/>
          <w:rtl/>
        </w:rPr>
        <w:t>מדינת ישראל נ' יעקב</w:t>
      </w:r>
      <w:r>
        <w:rPr>
          <w:rFonts w:ascii="David" w:hAnsi="David"/>
          <w:rtl/>
        </w:rPr>
        <w:t xml:space="preserve"> (3.12.2018))</w:t>
      </w:r>
      <w:r>
        <w:rPr>
          <w:rFonts w:ascii="David" w:hAnsi="David" w:hint="cs"/>
          <w:rtl/>
        </w:rPr>
        <w:t>.</w:t>
      </w:r>
      <w:r w:rsidRPr="0000436F">
        <w:rPr>
          <w:rFonts w:ascii="David" w:hAnsi="David"/>
          <w:rtl/>
        </w:rPr>
        <w:t xml:space="preserve"> </w:t>
      </w:r>
      <w:r w:rsidRPr="00BF4CD5">
        <w:rPr>
          <w:rFonts w:ascii="David" w:hAnsi="David"/>
          <w:rtl/>
        </w:rPr>
        <w:t>נזכיר כי בעבירה זו קבע המחוקק עונש מינימום לתקופה של שבועיים ועד שלוש שנות מאסר.</w:t>
      </w:r>
    </w:p>
    <w:p w14:paraId="41CADA7D" w14:textId="77777777" w:rsidR="00E07582" w:rsidRDefault="00E07582" w:rsidP="00E07582">
      <w:pPr>
        <w:pStyle w:val="aa"/>
        <w:rPr>
          <w:rtl/>
        </w:rPr>
      </w:pPr>
    </w:p>
    <w:p w14:paraId="1E2CD02B" w14:textId="77777777" w:rsidR="00E07582" w:rsidRPr="00BF4CD5" w:rsidRDefault="00E07582" w:rsidP="00E07582">
      <w:pPr>
        <w:tabs>
          <w:tab w:val="left" w:pos="226"/>
        </w:tabs>
        <w:spacing w:line="260" w:lineRule="exact"/>
        <w:ind w:left="85"/>
        <w:contextualSpacing/>
        <w:jc w:val="both"/>
        <w:rPr>
          <w:rFonts w:ascii="David" w:hAnsi="David"/>
          <w:rtl/>
        </w:rPr>
      </w:pPr>
      <w:r>
        <w:rPr>
          <w:rFonts w:ascii="David" w:hAnsi="David"/>
          <w:rtl/>
        </w:rPr>
        <w:tab/>
      </w:r>
      <w:r>
        <w:rPr>
          <w:rFonts w:ascii="David" w:hAnsi="David"/>
          <w:rtl/>
        </w:rPr>
        <w:tab/>
      </w:r>
      <w:r w:rsidRPr="00BF4CD5">
        <w:rPr>
          <w:rFonts w:ascii="David" w:hAnsi="David"/>
          <w:rtl/>
        </w:rPr>
        <w:t xml:space="preserve">בענייננו, על פי עובדות כתב האישום בהן הודה, התנגד הנאשם למעצרו, בדרך של השתוללות וניסה למנוע את איזוקו בכך שאחז את ידיהם של השוטרים. מבוקשו של הנאשם היה להתחמק מידי השוטרים ולא לפגוע בהם פיזית ומידת האלימות בה נקט אינה גבוהה; </w:t>
      </w:r>
      <w:r w:rsidRPr="00BF4CD5">
        <w:rPr>
          <w:rFonts w:ascii="David" w:hAnsi="David" w:hint="cs"/>
          <w:rtl/>
        </w:rPr>
        <w:t>כך עולה אף מ</w:t>
      </w:r>
      <w:r w:rsidRPr="00BF4CD5">
        <w:rPr>
          <w:rFonts w:ascii="David" w:hAnsi="David"/>
          <w:rtl/>
        </w:rPr>
        <w:t xml:space="preserve">דוחות הפעולה </w:t>
      </w:r>
      <w:r w:rsidRPr="00BF4CD5">
        <w:rPr>
          <w:rFonts w:ascii="David" w:hAnsi="David" w:hint="cs"/>
          <w:rtl/>
        </w:rPr>
        <w:t>ו</w:t>
      </w:r>
      <w:r w:rsidRPr="00BF4CD5">
        <w:rPr>
          <w:rFonts w:ascii="David" w:hAnsi="David"/>
          <w:rtl/>
        </w:rPr>
        <w:t>תיעוד מצלמות האבטחה. בנסיבות אלו, מבלי להקל ראש, אין משום חומרה יתרה, אך הן מצטברות למעשיו הקודמים של הנאשם, כחלק ישיר מהתנהלותו הפרועה והאלימה, ואף אותן יש לבטא, במידה המתונה והמתאימה, במתחם העונש ההולם.</w:t>
      </w:r>
    </w:p>
    <w:p w14:paraId="383AC488" w14:textId="77777777" w:rsidR="00E07582" w:rsidRPr="00BF4CD5" w:rsidRDefault="00E07582" w:rsidP="00E07582">
      <w:pPr>
        <w:pStyle w:val="aa"/>
        <w:spacing w:line="260" w:lineRule="exact"/>
      </w:pPr>
    </w:p>
    <w:p w14:paraId="4192771D" w14:textId="77777777" w:rsidR="00E07582" w:rsidRPr="00BF4CD5" w:rsidRDefault="00E07582" w:rsidP="00E07582">
      <w:pPr>
        <w:tabs>
          <w:tab w:val="left" w:pos="226"/>
        </w:tabs>
        <w:spacing w:line="260" w:lineRule="exact"/>
        <w:ind w:left="85"/>
        <w:contextualSpacing/>
        <w:jc w:val="both"/>
        <w:rPr>
          <w:rFonts w:ascii="David" w:hAnsi="David"/>
          <w:rtl/>
        </w:rPr>
      </w:pPr>
      <w:r w:rsidRPr="00BF4CD5">
        <w:rPr>
          <w:rFonts w:ascii="David" w:hAnsi="David"/>
          <w:u w:val="single"/>
          <w:rtl/>
        </w:rPr>
        <w:t>סיכום: מתחם העונש ההולם בנסיבות ענייננו</w:t>
      </w:r>
      <w:r w:rsidRPr="00BF4CD5">
        <w:rPr>
          <w:rFonts w:ascii="David" w:hAnsi="David"/>
          <w:rtl/>
        </w:rPr>
        <w:t xml:space="preserve"> </w:t>
      </w:r>
    </w:p>
    <w:p w14:paraId="2AF067FB"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hint="cs"/>
          <w:rtl/>
        </w:rPr>
        <w:t xml:space="preserve">במוקד יש להציב את </w:t>
      </w:r>
      <w:r w:rsidRPr="00BF4CD5">
        <w:rPr>
          <w:rFonts w:ascii="David" w:hAnsi="David"/>
          <w:rtl/>
        </w:rPr>
        <w:t>תכנון העבירה</w:t>
      </w:r>
      <w:r w:rsidRPr="00BF4CD5">
        <w:rPr>
          <w:rFonts w:ascii="David" w:hAnsi="David" w:hint="cs"/>
          <w:rtl/>
        </w:rPr>
        <w:t>;</w:t>
      </w:r>
      <w:r w:rsidRPr="00BF4CD5">
        <w:rPr>
          <w:rFonts w:ascii="David" w:hAnsi="David"/>
          <w:rtl/>
        </w:rPr>
        <w:t xml:space="preserve"> </w:t>
      </w:r>
      <w:r w:rsidRPr="00BF4CD5">
        <w:rPr>
          <w:rFonts w:ascii="David" w:hAnsi="David" w:hint="cs"/>
          <w:rtl/>
        </w:rPr>
        <w:t>ה</w:t>
      </w:r>
      <w:r w:rsidRPr="00BF4CD5">
        <w:rPr>
          <w:rFonts w:ascii="David" w:hAnsi="David"/>
          <w:rtl/>
        </w:rPr>
        <w:t>הצטיידות מלכתחילה בשני כלי תקיפה העשויים לגרום נזק משמעותי וב</w:t>
      </w:r>
      <w:r w:rsidRPr="00BF4CD5">
        <w:rPr>
          <w:rFonts w:ascii="David" w:hAnsi="David" w:hint="cs"/>
          <w:rtl/>
        </w:rPr>
        <w:t>עיקר ב</w:t>
      </w:r>
      <w:r w:rsidRPr="00BF4CD5">
        <w:rPr>
          <w:rFonts w:ascii="David" w:hAnsi="David"/>
          <w:rtl/>
        </w:rPr>
        <w:t>סכין חדה מאוד</w:t>
      </w:r>
      <w:r w:rsidRPr="00BF4CD5">
        <w:rPr>
          <w:rFonts w:ascii="David" w:hAnsi="David" w:hint="cs"/>
          <w:rtl/>
        </w:rPr>
        <w:t>;</w:t>
      </w:r>
      <w:r w:rsidRPr="00BF4CD5">
        <w:rPr>
          <w:rFonts w:ascii="David" w:hAnsi="David"/>
          <w:rtl/>
        </w:rPr>
        <w:t xml:space="preserve"> הסוואתם טרם התקיפה</w:t>
      </w:r>
      <w:r w:rsidRPr="00BF4CD5">
        <w:rPr>
          <w:rFonts w:ascii="David" w:hAnsi="David" w:hint="cs"/>
          <w:rtl/>
        </w:rPr>
        <w:t xml:space="preserve">; </w:t>
      </w:r>
      <w:r w:rsidRPr="00BF4CD5">
        <w:rPr>
          <w:rFonts w:ascii="David" w:hAnsi="David"/>
          <w:rtl/>
        </w:rPr>
        <w:t>נחישות הנאשם, ששוב ושוב ניסה לפגוע במתלונן באמצעות הלופה והסכין</w:t>
      </w:r>
      <w:r w:rsidRPr="00BF4CD5">
        <w:rPr>
          <w:rFonts w:ascii="David" w:hAnsi="David" w:hint="cs"/>
          <w:rtl/>
        </w:rPr>
        <w:t>; ה</w:t>
      </w:r>
      <w:r w:rsidRPr="00BF4CD5">
        <w:rPr>
          <w:rFonts w:ascii="David" w:hAnsi="David"/>
          <w:rtl/>
        </w:rPr>
        <w:t xml:space="preserve">נזק שנגרם בפועל ופוטנציאל הנזק </w:t>
      </w:r>
      <w:r w:rsidRPr="00BF4CD5">
        <w:rPr>
          <w:rFonts w:ascii="David" w:hAnsi="David" w:hint="cs"/>
          <w:rtl/>
        </w:rPr>
        <w:t xml:space="preserve">העצום שהיה יכול להיגרם, </w:t>
      </w:r>
      <w:r w:rsidRPr="00BF4CD5">
        <w:rPr>
          <w:rFonts w:ascii="David" w:hAnsi="David"/>
          <w:rtl/>
        </w:rPr>
        <w:t>למתלונן ולאחרים</w:t>
      </w:r>
      <w:r w:rsidRPr="00BF4CD5">
        <w:rPr>
          <w:rFonts w:ascii="David" w:hAnsi="David" w:hint="cs"/>
          <w:rtl/>
        </w:rPr>
        <w:t xml:space="preserve">. בהינתן אלה, עצמת הפגיעה </w:t>
      </w:r>
      <w:r>
        <w:rPr>
          <w:rFonts w:ascii="David" w:hAnsi="David" w:hint="cs"/>
          <w:rtl/>
        </w:rPr>
        <w:t xml:space="preserve">הרבה </w:t>
      </w:r>
      <w:r w:rsidRPr="00BF4CD5">
        <w:rPr>
          <w:rFonts w:ascii="David" w:hAnsi="David" w:hint="cs"/>
          <w:rtl/>
        </w:rPr>
        <w:t>בערכים המוגנים</w:t>
      </w:r>
      <w:r w:rsidRPr="00BF4CD5">
        <w:rPr>
          <w:rFonts w:ascii="David" w:hAnsi="David"/>
          <w:rtl/>
        </w:rPr>
        <w:t xml:space="preserve"> </w:t>
      </w:r>
      <w:r w:rsidRPr="00BF4CD5">
        <w:rPr>
          <w:rFonts w:ascii="David" w:hAnsi="David" w:hint="cs"/>
          <w:rtl/>
        </w:rPr>
        <w:t xml:space="preserve">ומדיניות הענישה המחמירה, נע </w:t>
      </w:r>
      <w:r w:rsidRPr="00BF4CD5">
        <w:rPr>
          <w:rFonts w:ascii="David" w:hAnsi="David"/>
          <w:rtl/>
        </w:rPr>
        <w:t>מתחם העונש ההולם בין 15 ל-42 חודשי מאסר, בצד ענישה נלווית ומרתיעה, לרבות פיצוי משמעותי לקרבן העבירה.</w:t>
      </w:r>
    </w:p>
    <w:p w14:paraId="63D1D6DB" w14:textId="77777777" w:rsidR="00E07582" w:rsidRPr="00BF4CD5" w:rsidRDefault="00E07582" w:rsidP="00E07582">
      <w:pPr>
        <w:tabs>
          <w:tab w:val="left" w:pos="226"/>
        </w:tabs>
        <w:spacing w:line="260" w:lineRule="exact"/>
        <w:ind w:left="85"/>
        <w:contextualSpacing/>
        <w:jc w:val="both"/>
        <w:rPr>
          <w:rFonts w:ascii="David" w:hAnsi="David"/>
        </w:rPr>
      </w:pPr>
    </w:p>
    <w:p w14:paraId="042C8520" w14:textId="77777777" w:rsidR="00E07582" w:rsidRPr="00BF4CD5" w:rsidRDefault="00E07582" w:rsidP="00E07582">
      <w:pPr>
        <w:pStyle w:val="aa"/>
        <w:spacing w:line="260" w:lineRule="exact"/>
        <w:ind w:left="84"/>
        <w:jc w:val="both"/>
        <w:rPr>
          <w:u w:val="single"/>
          <w:rtl/>
        </w:rPr>
      </w:pPr>
      <w:r w:rsidRPr="00BF4CD5">
        <w:rPr>
          <w:rFonts w:hint="cs"/>
          <w:u w:val="single"/>
          <w:rtl/>
        </w:rPr>
        <w:t>גזירת עונש הנאשם בתוך המתחם</w:t>
      </w:r>
    </w:p>
    <w:p w14:paraId="3AFBCFE0"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 xml:space="preserve">בהתאם להוראות </w:t>
      </w:r>
      <w:hyperlink r:id="rId116" w:history="1">
        <w:r w:rsidR="00F93271" w:rsidRPr="00F93271">
          <w:rPr>
            <w:rStyle w:val="Hyperlink"/>
            <w:rFonts w:ascii="David" w:hAnsi="David"/>
            <w:rtl/>
          </w:rPr>
          <w:t>סעיף 40יא</w:t>
        </w:r>
      </w:hyperlink>
      <w:r w:rsidRPr="00BF4CD5">
        <w:rPr>
          <w:rFonts w:ascii="David" w:hAnsi="David"/>
          <w:rtl/>
        </w:rPr>
        <w:t xml:space="preserve"> לחוק, בגזירת עונשו של נאשם, רשאי בית המשפט להתחשב בהתקיימות נסיבות שאינן קשורות בביצוע העבירה, תוך איזון בין השיקולים השונים (</w:t>
      </w:r>
      <w:hyperlink r:id="rId117" w:history="1">
        <w:r w:rsidR="00EE787A" w:rsidRPr="00EE787A">
          <w:rPr>
            <w:rFonts w:ascii="David" w:hAnsi="David"/>
            <w:color w:val="0000FF"/>
            <w:u w:val="single"/>
            <w:rtl/>
          </w:rPr>
          <w:t>ע"פ 280/23</w:t>
        </w:r>
      </w:hyperlink>
      <w:r w:rsidR="00EE787A">
        <w:rPr>
          <w:rFonts w:ascii="David" w:hAnsi="David"/>
          <w:rtl/>
        </w:rPr>
        <w:t xml:space="preserve"> </w:t>
      </w:r>
      <w:r w:rsidRPr="00BF4CD5">
        <w:rPr>
          <w:rFonts w:ascii="David" w:hAnsi="David"/>
          <w:b/>
          <w:bCs/>
          <w:rtl/>
        </w:rPr>
        <w:t>מדינת ישראל נ'</w:t>
      </w:r>
      <w:r w:rsidR="00EE787A">
        <w:rPr>
          <w:rFonts w:ascii="David" w:hAnsi="David"/>
          <w:b/>
          <w:bCs/>
          <w:rtl/>
        </w:rPr>
        <w:t xml:space="preserve"> </w:t>
      </w:r>
      <w:r w:rsidRPr="00BF4CD5">
        <w:rPr>
          <w:rFonts w:ascii="David" w:hAnsi="David"/>
          <w:b/>
          <w:bCs/>
        </w:rPr>
        <w:t>Ibrahim Yahia Alnour Abker</w:t>
      </w:r>
      <w:r w:rsidRPr="00BF4CD5">
        <w:rPr>
          <w:rFonts w:ascii="David" w:hAnsi="David"/>
          <w:rtl/>
        </w:rPr>
        <w:t xml:space="preserve">, פסקה 9 (18.5.2023)) והכל במסגרת מתחם העונש ההולם. לא נטען וממילא אין לקבל כי עניינו של הנאשם מצדיק סטיה ממתחם זה, לקולה, משיקולי שיקום או לחומרה, משיקולי הרתעת הרבים. </w:t>
      </w:r>
    </w:p>
    <w:p w14:paraId="6962A781" w14:textId="77777777" w:rsidR="00E07582" w:rsidRPr="00BF4CD5" w:rsidRDefault="00E07582" w:rsidP="00E07582">
      <w:pPr>
        <w:pStyle w:val="aa"/>
        <w:tabs>
          <w:tab w:val="left" w:pos="226"/>
        </w:tabs>
        <w:spacing w:line="260" w:lineRule="exact"/>
        <w:ind w:left="84"/>
        <w:jc w:val="both"/>
      </w:pPr>
    </w:p>
    <w:p w14:paraId="08C0E59F" w14:textId="77777777" w:rsidR="00E07582" w:rsidRPr="00BF4CD5" w:rsidRDefault="00E07582" w:rsidP="00E07582">
      <w:pPr>
        <w:tabs>
          <w:tab w:val="left" w:pos="226"/>
        </w:tabs>
        <w:spacing w:line="260" w:lineRule="exact"/>
        <w:ind w:left="85"/>
        <w:contextualSpacing/>
        <w:jc w:val="both"/>
        <w:rPr>
          <w:rFonts w:ascii="David" w:hAnsi="David"/>
          <w:b/>
          <w:bCs/>
        </w:rPr>
      </w:pPr>
      <w:r w:rsidRPr="00BF4CD5">
        <w:rPr>
          <w:rFonts w:ascii="David" w:hAnsi="David"/>
          <w:b/>
          <w:bCs/>
          <w:rtl/>
        </w:rPr>
        <w:t xml:space="preserve">הנסיבות </w:t>
      </w:r>
      <w:r>
        <w:rPr>
          <w:rFonts w:ascii="David" w:hAnsi="David" w:hint="cs"/>
          <w:b/>
          <w:bCs/>
          <w:rtl/>
        </w:rPr>
        <w:t>המחמירות</w:t>
      </w:r>
    </w:p>
    <w:p w14:paraId="6B35AB7F" w14:textId="77777777" w:rsidR="00E07582" w:rsidRPr="00BF4CD5" w:rsidRDefault="00E07582" w:rsidP="00E07582">
      <w:pPr>
        <w:tabs>
          <w:tab w:val="left" w:pos="226"/>
        </w:tabs>
        <w:spacing w:line="260" w:lineRule="exact"/>
        <w:ind w:left="85"/>
        <w:contextualSpacing/>
        <w:jc w:val="both"/>
        <w:rPr>
          <w:rFonts w:ascii="David" w:hAnsi="David"/>
          <w:i/>
          <w:iCs/>
          <w:rtl/>
        </w:rPr>
      </w:pPr>
      <w:r w:rsidRPr="00BF4CD5">
        <w:rPr>
          <w:rFonts w:ascii="David" w:hAnsi="David"/>
          <w:i/>
          <w:iCs/>
          <w:rtl/>
        </w:rPr>
        <w:t>יחסו של הנאשם לעבירה ולמתלונן</w:t>
      </w:r>
    </w:p>
    <w:p w14:paraId="050123D2"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זכותו של כל אדם לעמוד על חפותו ו</w:t>
      </w:r>
      <w:r w:rsidRPr="00BF4CD5">
        <w:rPr>
          <w:rFonts w:ascii="David" w:hAnsi="David" w:hint="cs"/>
          <w:rtl/>
        </w:rPr>
        <w:t xml:space="preserve">אין לזקוף ניהול משפט </w:t>
      </w:r>
      <w:r w:rsidRPr="00BF4CD5">
        <w:rPr>
          <w:rFonts w:ascii="David" w:hAnsi="David"/>
          <w:rtl/>
        </w:rPr>
        <w:t xml:space="preserve">לחובתו. בצד זאת, לא ניתן לשקול לטובת מי שבחר לנהל משפטו את לקיחת האחריות, פיצוי הקרבן חסכון בזמן שיפוטי ובזמן עדים – ובפרט כאשר אלה נדרשים לשחזר חוויה טראומטית ומהימנותם מוטלת בספק – נתונים שניתן להתחשב בהם בהתאם להוראות </w:t>
      </w:r>
      <w:hyperlink r:id="rId118" w:history="1">
        <w:r w:rsidR="00F93271" w:rsidRPr="00F93271">
          <w:rPr>
            <w:rStyle w:val="Hyperlink"/>
            <w:rFonts w:ascii="David" w:hAnsi="David"/>
            <w:rtl/>
          </w:rPr>
          <w:t>סעיף 40יא(4)</w:t>
        </w:r>
      </w:hyperlink>
      <w:r w:rsidRPr="00BF4CD5">
        <w:rPr>
          <w:rFonts w:ascii="David" w:hAnsi="David"/>
          <w:rtl/>
        </w:rPr>
        <w:t xml:space="preserve"> ו-</w:t>
      </w:r>
      <w:hyperlink r:id="rId119" w:history="1">
        <w:r w:rsidR="00F93271" w:rsidRPr="00F93271">
          <w:rPr>
            <w:rStyle w:val="Hyperlink"/>
            <w:rFonts w:ascii="David" w:hAnsi="David"/>
            <w:rtl/>
          </w:rPr>
          <w:t>(5)</w:t>
        </w:r>
      </w:hyperlink>
      <w:r w:rsidRPr="00BF4CD5">
        <w:rPr>
          <w:rFonts w:ascii="David" w:hAnsi="David"/>
          <w:rtl/>
        </w:rPr>
        <w:t xml:space="preserve"> לחוק. </w:t>
      </w:r>
    </w:p>
    <w:p w14:paraId="17C7EC5C" w14:textId="77777777" w:rsidR="00E07582" w:rsidRPr="00BF4CD5" w:rsidRDefault="00E07582" w:rsidP="00E07582">
      <w:pPr>
        <w:tabs>
          <w:tab w:val="left" w:pos="226"/>
        </w:tabs>
        <w:spacing w:line="260" w:lineRule="exact"/>
        <w:ind w:left="85"/>
        <w:contextualSpacing/>
        <w:jc w:val="both"/>
        <w:rPr>
          <w:rFonts w:ascii="David" w:hAnsi="David"/>
        </w:rPr>
      </w:pPr>
    </w:p>
    <w:p w14:paraId="6BC33A52"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 xml:space="preserve">אלא שעניינו של הנאשם חורג מעבר להכחשת המיוחס לו ולכך יש ליתן משקל משמעותי </w:t>
      </w:r>
      <w:r>
        <w:rPr>
          <w:rFonts w:ascii="David" w:hAnsi="David" w:hint="cs"/>
          <w:rtl/>
        </w:rPr>
        <w:t xml:space="preserve">ורב </w:t>
      </w:r>
      <w:r w:rsidRPr="00BF4CD5">
        <w:rPr>
          <w:rFonts w:ascii="David" w:hAnsi="David"/>
          <w:rtl/>
        </w:rPr>
        <w:t xml:space="preserve">בעת גזירת דינו. באופן בוטה ומקומם, לאורך כל ההליך, משלבי החקירה ועד טיעוני הצדדים לעונש, התייחס הנאשם אל עצמו כקרבן ההתרחשות החריגה והמסוכנת אותה חולל ויזם, ואף הרהיב עוז לומר כי נפצע ממספריים חדים שהחזיק המתלונן; מדובר בטענה שקרית (פסקה 86). אף טענותיו בנוגע לכך שהותקף בתחילת האירוע על ידי המתלונן ונאלץ להגן על עצמו ובנוגע לאופן בו נהג בו המתלונן לאחר מעצרו היו מוגזמות וחוטאות לתמונת המצב המדויקת (פסקות 74 ו-75; פסקה 91). </w:t>
      </w:r>
    </w:p>
    <w:p w14:paraId="3BA13EC5" w14:textId="77777777" w:rsidR="00E07582" w:rsidRPr="00BF4CD5" w:rsidRDefault="00E07582" w:rsidP="00E07582">
      <w:pPr>
        <w:pStyle w:val="aa"/>
        <w:spacing w:line="260" w:lineRule="exact"/>
      </w:pPr>
    </w:p>
    <w:p w14:paraId="33F1E375" w14:textId="77777777" w:rsidR="00E07582" w:rsidRPr="00BF4CD5" w:rsidRDefault="00E07582" w:rsidP="00E07582">
      <w:pPr>
        <w:numPr>
          <w:ilvl w:val="0"/>
          <w:numId w:val="1"/>
        </w:numPr>
        <w:tabs>
          <w:tab w:val="left" w:pos="226"/>
        </w:tabs>
        <w:spacing w:line="260" w:lineRule="exact"/>
        <w:ind w:left="85" w:firstLine="0"/>
        <w:contextualSpacing/>
        <w:jc w:val="both"/>
        <w:rPr>
          <w:rtl/>
        </w:rPr>
      </w:pPr>
      <w:r w:rsidRPr="00BF4CD5">
        <w:rPr>
          <w:rFonts w:ascii="David" w:hAnsi="David"/>
          <w:rtl/>
        </w:rPr>
        <w:t>הנאשם זלזל בחומרת פציעותיו של המתלונן וטען כי מדובר "כולה חתך ברגל שלו"; "חתך זה כלום זה נחתך וכלום סוגרים תופרים נסגר" (ת/4א, עמ' 32 – 33). הוא נשמע אומר, אף אם דבריו אלה לא תומללו, לאחר שהוא מביט היטב בתמונות הפצע כי: "מגיע לך יא מנייאק, יותר מזה..." (מונה 1:23:02 לתיעוד הודעתו הראשונה) ומאחל לו "שיהיה לו סימן כזה בפנים להראות שהוא מנייאק" (ת/4א, עמ' 31, ש' 26-27).</w:t>
      </w:r>
      <w:r w:rsidRPr="00BF4CD5">
        <w:rPr>
          <w:rtl/>
        </w:rPr>
        <w:t xml:space="preserve"> </w:t>
      </w:r>
    </w:p>
    <w:p w14:paraId="61AFDBD0" w14:textId="77777777" w:rsidR="00E07582" w:rsidRPr="00BF4CD5" w:rsidRDefault="00E07582" w:rsidP="00E07582">
      <w:pPr>
        <w:tabs>
          <w:tab w:val="left" w:pos="226"/>
        </w:tabs>
        <w:spacing w:line="260" w:lineRule="exact"/>
        <w:ind w:left="85"/>
        <w:contextualSpacing/>
        <w:jc w:val="both"/>
        <w:rPr>
          <w:rFonts w:ascii="David" w:hAnsi="David"/>
          <w:rtl/>
        </w:rPr>
      </w:pPr>
    </w:p>
    <w:p w14:paraId="3290B260"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לגישתו הקרבנית של הנאשם ולהטחת אשם במתלונן התייחסתי במסגרת הכרעת דין (פסקות 46 ו-86). בזמן, הקצר אמנם, בין הרשעתו לבין הדיון בו נשמעו טיעוני הצדדים לעונש לא חל כל שינוי באופן יחסו להתנהלותו שלו באירוע ולמתלונן. הנאשם התפרץ מספר פעמים, חזר על טענתו כי אחז רק בלופה, התמקד בקשייו במעצר: "עוד מעט שנה אני פגוע נפשית... אני גמור נפשית יותר מכל אחד אחר", וטען כי הוא זה שהותקף: "אני הותקפתי שם ריבונו של עולם, הותקפתי בצורה מגעילה, אין לי כוח לשמוע, יש לכם כל הסרטונים, כמה בעיטות הוא נתן לי כמה הותקפתי, מאיפה הבאת את הדבר הזה, הלופה לא יכולה לדקור לא כלום, תרחם על בן, הבן הזה סתם נתן עדות. יש לכם כל הסרטונים והמכות שהוא נתן לי ברחוב, מכות בראש של בן, הולך אחורה ורץ ונותן לי בעיטה, איפה התמונות האלה. יש לי כאב בלב"; "רציתי לדבר איתו, הוא תקף אותי"; "הוא התחיל איתי. נמאס לי מזה, עוד מעט שנה".</w:t>
      </w:r>
    </w:p>
    <w:p w14:paraId="7417D15B" w14:textId="77777777" w:rsidR="00E07582" w:rsidRPr="00BF4CD5" w:rsidRDefault="00E07582" w:rsidP="00E07582">
      <w:pPr>
        <w:tabs>
          <w:tab w:val="left" w:pos="226"/>
        </w:tabs>
        <w:spacing w:line="260" w:lineRule="exact"/>
        <w:ind w:left="85"/>
        <w:contextualSpacing/>
        <w:jc w:val="both"/>
        <w:rPr>
          <w:rFonts w:ascii="David" w:hAnsi="David"/>
        </w:rPr>
      </w:pPr>
    </w:p>
    <w:p w14:paraId="50C79102"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התייחסות חריגה ובוטה זו למתלונן, סירובו להפנים את משמעות מעשיו והשלכותיהם הקשות, העדר כל אמפטיה אנושית או חרטה על הנזק הנרחב והקשה שגרם לאדם אחר, משליכה מהותית על מידת אשמו של הנאשם. בפעמים הספורות שציין כי הוא "מתחרט ומצטער" כורך זאת הנאשם בנזק שנגרם לו ובטענות כי המתלונן פצע עצמו (סוף ת/5א; פסקה 117). מסקנתי, לאחר התרשמות ממושכת מהנאשם, במסגרת המשפט ובפרט – במהלך עדותו, כי יש צורך בהרתעתו מפני ביצוע עבירות נוספות ומפגיעה נוספת במתלונן</w:t>
      </w:r>
      <w:r w:rsidRPr="00BF4CD5">
        <w:rPr>
          <w:rFonts w:ascii="David" w:hAnsi="David" w:hint="cs"/>
          <w:rtl/>
        </w:rPr>
        <w:t xml:space="preserve"> וכי קיים סיכוי ממשי כי זו תושג על ידי החמרה ברכיבי עונשו </w:t>
      </w:r>
      <w:r w:rsidRPr="00BF4CD5">
        <w:rPr>
          <w:rFonts w:ascii="David" w:hAnsi="David"/>
          <w:rtl/>
        </w:rPr>
        <w:t>(</w:t>
      </w:r>
      <w:hyperlink r:id="rId120" w:history="1">
        <w:r w:rsidR="00F93271" w:rsidRPr="00F93271">
          <w:rPr>
            <w:rStyle w:val="Hyperlink"/>
            <w:rFonts w:ascii="David" w:hAnsi="David"/>
            <w:rtl/>
          </w:rPr>
          <w:t>סעיף 40ו</w:t>
        </w:r>
      </w:hyperlink>
      <w:r w:rsidRPr="00BF4CD5">
        <w:rPr>
          <w:rFonts w:ascii="David" w:hAnsi="David"/>
          <w:rtl/>
        </w:rPr>
        <w:t xml:space="preserve"> לחוק)</w:t>
      </w:r>
      <w:r w:rsidRPr="00BF4CD5">
        <w:rPr>
          <w:rFonts w:ascii="David" w:hAnsi="David" w:hint="cs"/>
          <w:rtl/>
        </w:rPr>
        <w:t xml:space="preserve">. </w:t>
      </w:r>
      <w:r w:rsidRPr="00BF4CD5">
        <w:rPr>
          <w:rFonts w:ascii="David" w:hAnsi="David"/>
          <w:rtl/>
        </w:rPr>
        <w:t xml:space="preserve">הנאשם אכן טען כי "אני לא אלך לאף אחד... אני למדתי ואני יודע לוותר" אך דברים אלה הם מהשפה ולחוץ ואיני נותנת בהם אמון. טינתו היוקדת למתלונן, עדיין, מלמדת על הסיכון האצור בו. </w:t>
      </w:r>
    </w:p>
    <w:p w14:paraId="1312EACC" w14:textId="77777777" w:rsidR="00E07582" w:rsidRPr="00BF4CD5" w:rsidRDefault="00E07582" w:rsidP="00E07582">
      <w:pPr>
        <w:tabs>
          <w:tab w:val="left" w:pos="226"/>
        </w:tabs>
        <w:spacing w:line="260" w:lineRule="exact"/>
        <w:ind w:left="85"/>
        <w:contextualSpacing/>
        <w:jc w:val="both"/>
        <w:rPr>
          <w:rFonts w:ascii="David" w:hAnsi="David"/>
          <w:b/>
          <w:bCs/>
        </w:rPr>
      </w:pPr>
    </w:p>
    <w:p w14:paraId="57C64B41" w14:textId="77777777" w:rsidR="00E07582" w:rsidRPr="00BF4CD5" w:rsidRDefault="00E07582" w:rsidP="00E07582">
      <w:pPr>
        <w:tabs>
          <w:tab w:val="left" w:pos="226"/>
        </w:tabs>
        <w:spacing w:line="260" w:lineRule="exact"/>
        <w:ind w:left="85"/>
        <w:contextualSpacing/>
        <w:jc w:val="both"/>
        <w:rPr>
          <w:rFonts w:ascii="David" w:hAnsi="David"/>
          <w:i/>
          <w:iCs/>
          <w:rtl/>
        </w:rPr>
      </w:pPr>
      <w:r w:rsidRPr="00BF4CD5">
        <w:rPr>
          <w:rFonts w:ascii="David" w:hAnsi="David"/>
          <w:i/>
          <w:iCs/>
          <w:rtl/>
        </w:rPr>
        <w:t>רישומו הפלילי של הנאשם</w:t>
      </w:r>
    </w:p>
    <w:p w14:paraId="6D41F0D3" w14:textId="77777777" w:rsidR="00E07582" w:rsidRPr="00E07582" w:rsidRDefault="00E07582" w:rsidP="00E07582">
      <w:pPr>
        <w:numPr>
          <w:ilvl w:val="0"/>
          <w:numId w:val="1"/>
        </w:numPr>
        <w:tabs>
          <w:tab w:val="left" w:pos="226"/>
        </w:tabs>
        <w:spacing w:line="260" w:lineRule="exact"/>
        <w:ind w:left="85" w:firstLine="0"/>
        <w:contextualSpacing/>
        <w:jc w:val="both"/>
        <w:rPr>
          <w:rFonts w:ascii="Calibri" w:hAnsi="Calibri" w:cs="Arial"/>
          <w:sz w:val="22"/>
          <w:szCs w:val="22"/>
        </w:rPr>
      </w:pPr>
      <w:r w:rsidRPr="00BF4CD5">
        <w:rPr>
          <w:rFonts w:ascii="David" w:hAnsi="David"/>
          <w:rtl/>
        </w:rPr>
        <w:t>הנאשם ביצע המיוחס לו על אף קיומו של מאסר מותנה לתקופה של שלושה חודשים, שהושת עליו כחצי שנה בלבד לפני האירוע (</w:t>
      </w:r>
      <w:hyperlink r:id="rId121" w:history="1">
        <w:r w:rsidR="00EE787A" w:rsidRPr="00EE787A">
          <w:rPr>
            <w:rFonts w:ascii="David" w:hAnsi="David"/>
            <w:color w:val="0000FF"/>
            <w:u w:val="single"/>
            <w:rtl/>
          </w:rPr>
          <w:t>ת"פ 41029-07-20</w:t>
        </w:r>
      </w:hyperlink>
      <w:r w:rsidRPr="00BF4CD5">
        <w:rPr>
          <w:rFonts w:ascii="David" w:hAnsi="David"/>
          <w:rtl/>
        </w:rPr>
        <w:t xml:space="preserve"> (שלום ת"א) </w:t>
      </w:r>
      <w:r w:rsidRPr="00BF4CD5">
        <w:rPr>
          <w:rFonts w:ascii="David" w:hAnsi="David"/>
          <w:b/>
          <w:bCs/>
          <w:rtl/>
        </w:rPr>
        <w:t>מדינת ישראל נ' מלול</w:t>
      </w:r>
      <w:r w:rsidRPr="00BF4CD5">
        <w:rPr>
          <w:rFonts w:ascii="David" w:hAnsi="David"/>
          <w:rtl/>
        </w:rPr>
        <w:t xml:space="preserve"> (8.2.2023)). בתיק זה הורשע הנאשם בשני תיקים שצורפו זה לזה, שתי עבירות איומים ושתי עבירות תקיפה וכן עבירת היזק לרכוש במזיד והחזקת סמים לצריכה עצמית שבוצעו במהלך יולי ואוגוסט 2019. מעבר לכך לחובתו הרשעה נוספת, מינואר 2023, שעניינה החזקת סמים לצריכה עצמית בלבד. מדובר ברישומים שאינם מכבידים, כשלעצמם, והנאשם אכן נדון בגינם </w:t>
      </w:r>
      <w:r w:rsidRPr="00BF4CD5">
        <w:rPr>
          <w:rFonts w:ascii="David" w:hAnsi="David" w:hint="cs"/>
          <w:rtl/>
        </w:rPr>
        <w:t>ל</w:t>
      </w:r>
      <w:r w:rsidRPr="00BF4CD5">
        <w:rPr>
          <w:rFonts w:ascii="David" w:hAnsi="David"/>
          <w:rtl/>
        </w:rPr>
        <w:t>עונשים שרכיביהם הם כספיים וצופי פני עתיד, אך עם זאת הם רלבנטיים מאוד לענייננו וסמוכים בזמן, וכאמור, כוללים גם מאסר מותנה; לכך משמעות שאינה מבוטלת לחובת הנאשם.</w:t>
      </w:r>
    </w:p>
    <w:p w14:paraId="15C0C44B" w14:textId="77777777" w:rsidR="00E07582" w:rsidRPr="00BF4CD5" w:rsidRDefault="00E07582" w:rsidP="00E07582">
      <w:pPr>
        <w:tabs>
          <w:tab w:val="left" w:pos="226"/>
        </w:tabs>
        <w:spacing w:line="260" w:lineRule="exact"/>
        <w:jc w:val="both"/>
        <w:rPr>
          <w:rFonts w:ascii="David" w:hAnsi="David"/>
          <w:b/>
          <w:bCs/>
          <w:rtl/>
        </w:rPr>
      </w:pPr>
    </w:p>
    <w:p w14:paraId="1F372B9E" w14:textId="77777777" w:rsidR="00E07582" w:rsidRPr="00BF4CD5" w:rsidRDefault="00E07582" w:rsidP="00E07582">
      <w:pPr>
        <w:tabs>
          <w:tab w:val="left" w:pos="226"/>
        </w:tabs>
        <w:spacing w:line="260" w:lineRule="exact"/>
        <w:jc w:val="both"/>
        <w:rPr>
          <w:rFonts w:ascii="David" w:hAnsi="David"/>
          <w:b/>
          <w:bCs/>
          <w:rtl/>
        </w:rPr>
      </w:pPr>
      <w:r w:rsidRPr="00BF4CD5">
        <w:rPr>
          <w:rFonts w:ascii="David" w:hAnsi="David"/>
          <w:b/>
          <w:bCs/>
          <w:rtl/>
        </w:rPr>
        <w:t>הנסיבות אותן יש לשקול לזכות הנאשם</w:t>
      </w:r>
    </w:p>
    <w:p w14:paraId="229112FC" w14:textId="77777777" w:rsidR="00E07582" w:rsidRPr="00BF4CD5" w:rsidRDefault="00E07582" w:rsidP="00E07582">
      <w:pPr>
        <w:tabs>
          <w:tab w:val="left" w:pos="226"/>
        </w:tabs>
        <w:spacing w:line="260" w:lineRule="exact"/>
        <w:ind w:left="85"/>
        <w:contextualSpacing/>
        <w:jc w:val="both"/>
        <w:rPr>
          <w:rFonts w:ascii="David" w:hAnsi="David"/>
        </w:rPr>
      </w:pPr>
      <w:r w:rsidRPr="00BF4CD5">
        <w:rPr>
          <w:rFonts w:ascii="David" w:hAnsi="David"/>
          <w:i/>
          <w:iCs/>
          <w:rtl/>
        </w:rPr>
        <w:t>נסיבותיו האישיות המורכבות של הנאשם ומצבו הנפשי והבריאותי</w:t>
      </w:r>
    </w:p>
    <w:p w14:paraId="32920512"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 xml:space="preserve">לאחר שמיעת טיעוני הצדדים לעונש הוגשה לעיוני חוות דעת מטעם הפסיכיאטר המחוזי שנערכה בעניין הנאשם במסגרת הליכי המעצר ביום 5.9.2023. אעיר, כי עולה מכותרתה כי הוכנה במסגרת הליכי המעצר על יסוד החלטתי שלי, אך הדבר לא היה זכור לי בעת שמיעת הראיות. </w:t>
      </w:r>
    </w:p>
    <w:p w14:paraId="26D94DDF" w14:textId="77777777" w:rsidR="00E07582" w:rsidRPr="00BF4CD5" w:rsidRDefault="00E07582" w:rsidP="00E07582">
      <w:pPr>
        <w:tabs>
          <w:tab w:val="left" w:pos="226"/>
        </w:tabs>
        <w:spacing w:line="260" w:lineRule="exact"/>
        <w:ind w:left="85"/>
        <w:contextualSpacing/>
        <w:jc w:val="both"/>
        <w:rPr>
          <w:rFonts w:ascii="David" w:hAnsi="David"/>
          <w:i/>
          <w:iCs/>
        </w:rPr>
      </w:pPr>
    </w:p>
    <w:p w14:paraId="798D1EAD"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חוות הדעת</w:t>
      </w:r>
      <w:r w:rsidRPr="00BF4CD5">
        <w:rPr>
          <w:rFonts w:ascii="David" w:hAnsi="David" w:hint="cs"/>
          <w:rtl/>
        </w:rPr>
        <w:t xml:space="preserve"> מצאה</w:t>
      </w:r>
      <w:r w:rsidRPr="00BF4CD5">
        <w:rPr>
          <w:rFonts w:ascii="David" w:hAnsi="David"/>
          <w:rtl/>
        </w:rPr>
        <w:t xml:space="preserve"> כי הנאשם, יליד שנת 1961, כבן 62 שנים בעת ביצוע העבירה, כשיר לעמוד לדין ואחראי למעשיו, מפרטת את קורותיו ומצביעה על נסיבות חיים כואבות, לרבות אובדן בני משפחה ובעיות נפשיות מהן סבל לאורך השנים, חלקן בשל שימוש בחומרים משכרים. מחוות הדעת עולה אף כי בסמוך למעצרו סבל הנאשם מכאבים בציסטה.</w:t>
      </w:r>
    </w:p>
    <w:p w14:paraId="35DEDBAB" w14:textId="77777777" w:rsidR="00E07582" w:rsidRPr="00BF4CD5" w:rsidRDefault="00E07582" w:rsidP="00E07582">
      <w:pPr>
        <w:pStyle w:val="aa"/>
        <w:spacing w:line="260" w:lineRule="exact"/>
        <w:rPr>
          <w:rtl/>
        </w:rPr>
      </w:pPr>
    </w:p>
    <w:p w14:paraId="419DFCAC"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לא מצאתי כי לנסיבות חייו של הנאשם, שהן אכן קשות ומורכבות, היתה השפעה על ביצוע העבירות; הדבר אף לא נטען. אני ערה</w:t>
      </w:r>
      <w:r>
        <w:rPr>
          <w:rFonts w:ascii="David" w:hAnsi="David" w:hint="cs"/>
          <w:rtl/>
        </w:rPr>
        <w:t xml:space="preserve"> אף</w:t>
      </w:r>
      <w:r w:rsidRPr="00BF4CD5">
        <w:rPr>
          <w:rFonts w:ascii="David" w:hAnsi="David"/>
          <w:rtl/>
        </w:rPr>
        <w:t xml:space="preserve"> לכך שגם בתיקו הקודם מצא בית המשפט להתחשב "בנסיבות אישיות מורכבות" וכי אותה התחשבות לא מנעה הסתבכותו החוזרת של הנאשם תוך תקופה קצרה בעבירות דומות. ועדיין, ראוי לשקול לקולה את גילו המתקדם, מצוקותיו, מורכבות אישיותו ורקעו הבריאותי, גופני ונפשי כאחד, בעת בחינת העונש שיש לגזור עליו </w:t>
      </w:r>
      <w:r w:rsidRPr="00BF4CD5">
        <w:rPr>
          <w:rFonts w:ascii="David" w:hAnsi="David" w:hint="cs"/>
          <w:rtl/>
        </w:rPr>
        <w:t xml:space="preserve">שכן </w:t>
      </w:r>
      <w:r w:rsidRPr="00BF4CD5">
        <w:rPr>
          <w:rFonts w:ascii="David" w:hAnsi="David"/>
          <w:rtl/>
        </w:rPr>
        <w:t>מצאתי בסיס לקבוע כי הפגיעה של עונש מאסר בנאשם חורגת מהשלכותיה – הקשות והאינהרנטיות – בנוגע לכל אדם (</w:t>
      </w:r>
      <w:hyperlink r:id="rId122" w:history="1">
        <w:r w:rsidR="00F93271" w:rsidRPr="00F93271">
          <w:rPr>
            <w:rStyle w:val="Hyperlink"/>
            <w:rFonts w:ascii="David" w:hAnsi="David"/>
            <w:rtl/>
          </w:rPr>
          <w:t>סעיף 40יא(1)</w:t>
        </w:r>
      </w:hyperlink>
      <w:r w:rsidRPr="00BF4CD5">
        <w:rPr>
          <w:rFonts w:ascii="David" w:hAnsi="David"/>
          <w:rtl/>
        </w:rPr>
        <w:t xml:space="preserve"> לחוק).</w:t>
      </w:r>
    </w:p>
    <w:p w14:paraId="64F32C3F" w14:textId="77777777" w:rsidR="00E07582" w:rsidRPr="00BF4CD5" w:rsidRDefault="00E07582" w:rsidP="00E07582">
      <w:pPr>
        <w:tabs>
          <w:tab w:val="left" w:pos="226"/>
        </w:tabs>
        <w:spacing w:line="260" w:lineRule="exact"/>
        <w:ind w:left="85"/>
        <w:contextualSpacing/>
        <w:jc w:val="both"/>
        <w:rPr>
          <w:rFonts w:ascii="David" w:hAnsi="David"/>
        </w:rPr>
      </w:pPr>
    </w:p>
    <w:p w14:paraId="5FF55DF4" w14:textId="77777777" w:rsidR="00E07582" w:rsidRPr="00BF4CD5" w:rsidRDefault="00E07582" w:rsidP="00E07582">
      <w:pPr>
        <w:tabs>
          <w:tab w:val="left" w:pos="226"/>
        </w:tabs>
        <w:spacing w:line="260" w:lineRule="exact"/>
        <w:ind w:left="85"/>
        <w:contextualSpacing/>
        <w:jc w:val="both"/>
        <w:rPr>
          <w:rFonts w:ascii="David" w:hAnsi="David"/>
          <w:i/>
          <w:iCs/>
        </w:rPr>
      </w:pPr>
      <w:r w:rsidRPr="00BF4CD5">
        <w:rPr>
          <w:rFonts w:ascii="David" w:hAnsi="David"/>
          <w:i/>
          <w:iCs/>
          <w:rtl/>
        </w:rPr>
        <w:t>ריסונו של הנאשם במרחב הציבורי</w:t>
      </w:r>
    </w:p>
    <w:p w14:paraId="63223726"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 xml:space="preserve">כפי שציינתי בהכרעת הדין, תיאורו של הנאשם את אלימות המתלונן, ואחרים, כלפיו בשלביו האחרונים של האירוע, רחוק מלשקף דברים </w:t>
      </w:r>
      <w:r w:rsidRPr="00BF4CD5">
        <w:rPr>
          <w:rFonts w:ascii="David" w:hAnsi="David" w:hint="cs"/>
          <w:rtl/>
        </w:rPr>
        <w:t>כהוויית</w:t>
      </w:r>
      <w:r w:rsidRPr="00BF4CD5">
        <w:rPr>
          <w:rFonts w:ascii="David" w:hAnsi="David" w:hint="eastAsia"/>
          <w:rtl/>
        </w:rPr>
        <w:t>ם</w:t>
      </w:r>
      <w:r w:rsidRPr="00BF4CD5">
        <w:rPr>
          <w:rFonts w:ascii="David" w:hAnsi="David"/>
          <w:rtl/>
        </w:rPr>
        <w:t>. מעבר לכך, התנהלות הנאשם גם בשלב זה, קללותיו ונ</w:t>
      </w:r>
      <w:r>
        <w:rPr>
          <w:rFonts w:ascii="David" w:hAnsi="David" w:hint="cs"/>
          <w:rtl/>
        </w:rPr>
        <w:t>י</w:t>
      </w:r>
      <w:r w:rsidRPr="00BF4CD5">
        <w:rPr>
          <w:rFonts w:ascii="David" w:hAnsi="David"/>
          <w:rtl/>
        </w:rPr>
        <w:t>סיונותיו להתחמק מידי המחזיקים בו, נ</w:t>
      </w:r>
      <w:r>
        <w:rPr>
          <w:rFonts w:ascii="David" w:hAnsi="David" w:hint="cs"/>
          <w:rtl/>
        </w:rPr>
        <w:t>י</w:t>
      </w:r>
      <w:r w:rsidRPr="00BF4CD5">
        <w:rPr>
          <w:rFonts w:ascii="David" w:hAnsi="David"/>
          <w:rtl/>
        </w:rPr>
        <w:t xml:space="preserve">סיונות שלעיתים אף צלחו, וסירובו למסור את הלופה, כאשר בשלב זה טרם אותרה הסכין, עוררו חשש ממשי שמא יפגע פעם נוספת במתלונן. התרשמתי כי התנהלות המתלונן נדרשה לשם נטרול הנאשם "ולא נועדה בעיקרה להשפיל... או להכאיב. בנסיבות אלו, אין לנאשם להלין אלא עצמו, ואף כי אכן מדובר במראות שאינם קלים </w:t>
      </w:r>
      <w:r w:rsidRPr="00BF4CD5">
        <w:rPr>
          <w:rFonts w:ascii="David" w:hAnsi="David" w:hint="cs"/>
          <w:rtl/>
        </w:rPr>
        <w:t>לצפיי</w:t>
      </w:r>
      <w:r w:rsidRPr="00BF4CD5">
        <w:rPr>
          <w:rFonts w:ascii="David" w:hAnsi="David" w:hint="eastAsia"/>
          <w:rtl/>
        </w:rPr>
        <w:t>ה</w:t>
      </w:r>
      <w:r w:rsidRPr="00BF4CD5">
        <w:rPr>
          <w:rFonts w:ascii="David" w:hAnsi="David"/>
          <w:rtl/>
        </w:rPr>
        <w:t xml:space="preserve">... אין לנתקם מהקשרם ומהתמונה הכוללת" (פסקות 91-93). כאשר הניחו לנאשם – הוא שב וניסה לתקוף את המתלונן (דקה 6:25 לסרטון הכניסה לחנות; דקה שביעית לסרטון בלפור). המשקל שיש לתת אפוא לתחושות הנאשם (שנאבק אף בשוטרות שהגיעו למקום, כפי הודאתו וכפי העולה מתחילת דקה 9 לסרטון בלפור) </w:t>
      </w:r>
      <w:r w:rsidRPr="00BF4CD5">
        <w:rPr>
          <w:rFonts w:ascii="David" w:hAnsi="David" w:hint="cs"/>
          <w:rtl/>
        </w:rPr>
        <w:t>בהקשר ה</w:t>
      </w:r>
      <w:r w:rsidRPr="00BF4CD5">
        <w:rPr>
          <w:rFonts w:ascii="David" w:hAnsi="David"/>
          <w:rtl/>
        </w:rPr>
        <w:t xml:space="preserve">אופן בו הוחזק </w:t>
      </w:r>
      <w:r w:rsidRPr="00BF4CD5">
        <w:rPr>
          <w:rFonts w:ascii="David" w:hAnsi="David" w:hint="cs"/>
          <w:rtl/>
        </w:rPr>
        <w:t>ברשות הרבים</w:t>
      </w:r>
      <w:r w:rsidRPr="00BF4CD5">
        <w:rPr>
          <w:rFonts w:ascii="David" w:hAnsi="David"/>
          <w:rtl/>
        </w:rPr>
        <w:t xml:space="preserve"> נמוך. </w:t>
      </w:r>
    </w:p>
    <w:p w14:paraId="32AAA105" w14:textId="77777777" w:rsidR="00E07582" w:rsidRPr="00BF4CD5" w:rsidRDefault="00E07582" w:rsidP="00E07582">
      <w:pPr>
        <w:tabs>
          <w:tab w:val="left" w:pos="226"/>
        </w:tabs>
        <w:spacing w:line="260" w:lineRule="exact"/>
        <w:ind w:left="85"/>
        <w:contextualSpacing/>
        <w:jc w:val="both"/>
        <w:rPr>
          <w:rFonts w:ascii="David" w:hAnsi="David"/>
        </w:rPr>
      </w:pPr>
    </w:p>
    <w:p w14:paraId="56F00C17" w14:textId="77777777" w:rsidR="00E07582" w:rsidRPr="00BF4CD5" w:rsidRDefault="00E07582" w:rsidP="00E07582">
      <w:pPr>
        <w:tabs>
          <w:tab w:val="left" w:pos="226"/>
        </w:tabs>
        <w:spacing w:line="260" w:lineRule="exact"/>
        <w:ind w:left="85"/>
        <w:contextualSpacing/>
        <w:jc w:val="both"/>
        <w:rPr>
          <w:rFonts w:ascii="David" w:hAnsi="David"/>
          <w:i/>
          <w:iCs/>
        </w:rPr>
      </w:pPr>
      <w:r w:rsidRPr="00BF4CD5">
        <w:rPr>
          <w:rFonts w:ascii="David" w:hAnsi="David"/>
          <w:i/>
          <w:iCs/>
          <w:rtl/>
        </w:rPr>
        <w:t>שהותו של הנאשם במעצר ובפיקוח אלקטרוני</w:t>
      </w:r>
    </w:p>
    <w:p w14:paraId="520CAEF0"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מעבר לעובדה כי את ימי המעצר מאחורי סורג ובריח, יש לקזז מעונשו של הנאשם, אתחשב בהיותו של הנאשם נתון לתקופה ממושכת במעצר שתנאיו קשים ממאסר (</w:t>
      </w:r>
      <w:hyperlink r:id="rId123" w:history="1">
        <w:r w:rsidR="00EE787A" w:rsidRPr="00EE787A">
          <w:rPr>
            <w:rFonts w:ascii="David" w:hAnsi="David"/>
            <w:color w:val="0000FF"/>
            <w:u w:val="single"/>
            <w:rtl/>
          </w:rPr>
          <w:t>ע"פ 2564/19</w:t>
        </w:r>
      </w:hyperlink>
      <w:r w:rsidRPr="00BF4CD5">
        <w:rPr>
          <w:rFonts w:ascii="David" w:hAnsi="David"/>
          <w:rtl/>
        </w:rPr>
        <w:t xml:space="preserve"> </w:t>
      </w:r>
      <w:r w:rsidRPr="00BF4CD5">
        <w:rPr>
          <w:rFonts w:ascii="David" w:hAnsi="David"/>
          <w:b/>
          <w:bCs/>
          <w:rtl/>
        </w:rPr>
        <w:t>אזברגה נ' מדינת ישראל</w:t>
      </w:r>
      <w:r w:rsidRPr="00BF4CD5">
        <w:rPr>
          <w:rFonts w:ascii="David" w:hAnsi="David"/>
          <w:rtl/>
        </w:rPr>
        <w:t xml:space="preserve">, פסקה 11 (18.7.2019); ראו הודעת המאשימה מיום 14.7.2024 לפיה בעת שליחת ההודעה שהה הנאשם 232 ימים במעצר). </w:t>
      </w:r>
    </w:p>
    <w:p w14:paraId="4BA00C32" w14:textId="77777777" w:rsidR="00E07582" w:rsidRPr="00E07582" w:rsidRDefault="00E07582" w:rsidP="00E07582">
      <w:pPr>
        <w:tabs>
          <w:tab w:val="left" w:pos="226"/>
        </w:tabs>
        <w:spacing w:line="260" w:lineRule="exact"/>
        <w:ind w:left="85"/>
        <w:contextualSpacing/>
        <w:jc w:val="both"/>
        <w:rPr>
          <w:rFonts w:ascii="Calibri" w:hAnsi="Calibri" w:cs="Arial"/>
          <w:color w:val="000000"/>
          <w:sz w:val="27"/>
          <w:szCs w:val="27"/>
        </w:rPr>
      </w:pPr>
    </w:p>
    <w:p w14:paraId="5600C04A"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הנאשם שהה אף 106 ימים בפיקוח אלקטרוני, ללא חלונות פיקוח, בעיר ירוחם, במנותק ממסגרת חייו עובר למעצרו. מדובר בתקופה של כשלושה חודשים ומחצה, שאף אם אין לנכותה מתקופת המאסר על פי מפתחות קבועים מראש ראוי להתחשב בה (</w:t>
      </w:r>
      <w:hyperlink r:id="rId124" w:history="1">
        <w:r w:rsidR="00EE787A" w:rsidRPr="00EE787A">
          <w:rPr>
            <w:rFonts w:ascii="David" w:hAnsi="David"/>
            <w:color w:val="0000FF"/>
            <w:u w:val="single"/>
            <w:rtl/>
          </w:rPr>
          <w:t>ע"פ 7768/15</w:t>
        </w:r>
      </w:hyperlink>
      <w:r w:rsidR="00EE787A">
        <w:rPr>
          <w:rFonts w:ascii="David" w:hAnsi="David"/>
          <w:rtl/>
        </w:rPr>
        <w:t xml:space="preserve"> </w:t>
      </w:r>
      <w:r w:rsidRPr="00BF4CD5">
        <w:rPr>
          <w:rFonts w:ascii="David" w:hAnsi="David"/>
          <w:b/>
          <w:bCs/>
          <w:rtl/>
        </w:rPr>
        <w:t>פלוני נ' מדינת ישראל</w:t>
      </w:r>
      <w:r w:rsidRPr="00BF4CD5">
        <w:rPr>
          <w:rFonts w:ascii="David" w:hAnsi="David"/>
          <w:rtl/>
        </w:rPr>
        <w:t>, פסקות 25 ו-43 (20.4.2016)).</w:t>
      </w:r>
    </w:p>
    <w:p w14:paraId="75DDC6D3" w14:textId="77777777" w:rsidR="00E07582" w:rsidRPr="00BF4CD5" w:rsidRDefault="00E07582" w:rsidP="00E07582">
      <w:pPr>
        <w:pStyle w:val="aa"/>
        <w:spacing w:line="260" w:lineRule="exact"/>
      </w:pPr>
    </w:p>
    <w:p w14:paraId="582174BA"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 xml:space="preserve">פירוט הנסיבות </w:t>
      </w:r>
      <w:hyperlink r:id="rId125" w:history="1">
        <w:r w:rsidR="00F93271" w:rsidRPr="00F93271">
          <w:rPr>
            <w:rStyle w:val="Hyperlink"/>
            <w:rFonts w:ascii="David" w:hAnsi="David"/>
            <w:rtl/>
          </w:rPr>
          <w:t>בסעיפים 40ט</w:t>
        </w:r>
      </w:hyperlink>
      <w:r w:rsidRPr="00BF4CD5">
        <w:rPr>
          <w:rFonts w:ascii="David" w:hAnsi="David"/>
          <w:rtl/>
        </w:rPr>
        <w:t xml:space="preserve"> ו-</w:t>
      </w:r>
      <w:hyperlink r:id="rId126" w:history="1">
        <w:r w:rsidR="00F93271" w:rsidRPr="00F93271">
          <w:rPr>
            <w:rStyle w:val="Hyperlink"/>
            <w:rFonts w:ascii="David" w:hAnsi="David"/>
            <w:rtl/>
          </w:rPr>
          <w:t>40יא</w:t>
        </w:r>
      </w:hyperlink>
      <w:r w:rsidRPr="00BF4CD5">
        <w:rPr>
          <w:rFonts w:ascii="David" w:hAnsi="David"/>
          <w:rtl/>
        </w:rPr>
        <w:t xml:space="preserve"> לחוק, אלו הקשורות לביצוע העבירה ואלו שאינן קשורות אליה, אינו גורע מסמכות בית המשפט לשקול נתונים נוספים. בענייננו, העובדה כי כתב האישום לא </w:t>
      </w:r>
      <w:r>
        <w:rPr>
          <w:rFonts w:ascii="David" w:hAnsi="David" w:hint="cs"/>
          <w:rtl/>
        </w:rPr>
        <w:t>דייק בניסוח</w:t>
      </w:r>
      <w:r w:rsidRPr="00BF4CD5">
        <w:rPr>
          <w:rFonts w:ascii="David" w:hAnsi="David"/>
          <w:rtl/>
        </w:rPr>
        <w:t xml:space="preserve"> </w:t>
      </w:r>
      <w:r>
        <w:rPr>
          <w:rFonts w:ascii="David" w:hAnsi="David" w:hint="cs"/>
          <w:rtl/>
        </w:rPr>
        <w:t xml:space="preserve">טיב </w:t>
      </w:r>
      <w:r w:rsidRPr="00BF4CD5">
        <w:rPr>
          <w:rFonts w:ascii="David" w:hAnsi="David"/>
          <w:rtl/>
        </w:rPr>
        <w:t xml:space="preserve">ההתרחשויות, לרבות הכלי שגרם לפציעה, כאשר מירב הנתונים היו ידועים מראש וכלולים בחומר החקירה, אף אם לא פגעה בהגנת הנאשם במישור קביעת אשמתו, ראויה לבוא לידי ביטוי, אף אם </w:t>
      </w:r>
      <w:r w:rsidRPr="00BF4CD5">
        <w:rPr>
          <w:rFonts w:ascii="David" w:hAnsi="David" w:hint="cs"/>
          <w:rtl/>
        </w:rPr>
        <w:t>לא רב</w:t>
      </w:r>
      <w:r w:rsidRPr="00BF4CD5">
        <w:rPr>
          <w:rFonts w:ascii="David" w:hAnsi="David"/>
          <w:rtl/>
        </w:rPr>
        <w:t>, בעונש שיש להשית עליו. מצאתי להתחשב אף בכך שאחת הטענות העובדתיות כנגד הנאשם לא הוכחה (ראו סיפה פסקה 4 לעיל).</w:t>
      </w:r>
    </w:p>
    <w:p w14:paraId="1687E8F3" w14:textId="77777777" w:rsidR="00E07582" w:rsidRPr="00BF4CD5" w:rsidRDefault="00E07582" w:rsidP="00E07582">
      <w:pPr>
        <w:pStyle w:val="aa"/>
        <w:spacing w:line="260" w:lineRule="exact"/>
      </w:pPr>
    </w:p>
    <w:p w14:paraId="770082E6" w14:textId="77777777" w:rsidR="00E07582" w:rsidRPr="00BF4CD5" w:rsidRDefault="00E07582" w:rsidP="00E07582">
      <w:pPr>
        <w:numPr>
          <w:ilvl w:val="0"/>
          <w:numId w:val="1"/>
        </w:numPr>
        <w:tabs>
          <w:tab w:val="left" w:pos="226"/>
        </w:tabs>
        <w:spacing w:line="260" w:lineRule="exact"/>
        <w:ind w:left="85" w:firstLine="0"/>
        <w:contextualSpacing/>
        <w:jc w:val="both"/>
        <w:rPr>
          <w:color w:val="000000"/>
          <w:sz w:val="27"/>
          <w:szCs w:val="27"/>
        </w:rPr>
      </w:pPr>
      <w:r w:rsidRPr="00BF4CD5">
        <w:rPr>
          <w:rFonts w:ascii="David" w:hAnsi="David"/>
          <w:rtl/>
        </w:rPr>
        <w:t xml:space="preserve">בהכרעת הדין התייחסתי לטענות בנוגע למחדלי חקירה (פסקות 120-124). לא מצאתי כי יש בהן כדי לקפח הגנתו בשלב קביעת אחריותו הפלילית. לא נתבקשתי להדרש למחדלים אלה בשלב גזירת העונש וממילא, בנסיבות העניין, איני </w:t>
      </w:r>
      <w:r w:rsidRPr="00BF4CD5">
        <w:rPr>
          <w:rFonts w:ascii="David" w:hAnsi="David" w:hint="cs"/>
          <w:rtl/>
        </w:rPr>
        <w:t xml:space="preserve">סבורה כי להן השפעה בהקשר העונש שראוי להטיל עליו. </w:t>
      </w:r>
    </w:p>
    <w:p w14:paraId="69AA9C7A" w14:textId="77777777" w:rsidR="00E07582" w:rsidRPr="00BF4CD5" w:rsidRDefault="00E07582" w:rsidP="00E07582">
      <w:pPr>
        <w:pStyle w:val="aa"/>
        <w:spacing w:line="260" w:lineRule="exact"/>
        <w:rPr>
          <w:color w:val="000000"/>
          <w:sz w:val="27"/>
          <w:szCs w:val="27"/>
          <w:rtl/>
        </w:rPr>
      </w:pPr>
    </w:p>
    <w:p w14:paraId="5141D5F3" w14:textId="77777777" w:rsidR="00E07582" w:rsidRPr="00BF4CD5" w:rsidRDefault="00E07582" w:rsidP="00E07582">
      <w:pPr>
        <w:tabs>
          <w:tab w:val="left" w:pos="226"/>
        </w:tabs>
        <w:spacing w:line="260" w:lineRule="exact"/>
        <w:ind w:left="85"/>
        <w:contextualSpacing/>
        <w:jc w:val="both"/>
        <w:rPr>
          <w:rFonts w:ascii="David" w:hAnsi="David"/>
          <w:u w:val="single"/>
        </w:rPr>
      </w:pPr>
      <w:r w:rsidRPr="00BF4CD5">
        <w:rPr>
          <w:rFonts w:ascii="David" w:hAnsi="David" w:hint="cs"/>
          <w:u w:val="single"/>
          <w:rtl/>
        </w:rPr>
        <w:t>סיכום: מקומו של הנאשם בתוך מתחם העונש ההולם</w:t>
      </w:r>
    </w:p>
    <w:p w14:paraId="65B9BF1D"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 xml:space="preserve">יחסו של הנאשם לעבירה ולמתלונן, על המסוכנות הנגזרת מיחס זה, ורישומו הפלילי הסמוך והרלבנטי - גם אם </w:t>
      </w:r>
      <w:r w:rsidRPr="00BF4CD5">
        <w:rPr>
          <w:rFonts w:ascii="David" w:hAnsi="David" w:hint="cs"/>
          <w:rtl/>
        </w:rPr>
        <w:t xml:space="preserve">כזה שאינו </w:t>
      </w:r>
      <w:r w:rsidRPr="00BF4CD5">
        <w:rPr>
          <w:rFonts w:ascii="David" w:hAnsi="David"/>
          <w:rtl/>
        </w:rPr>
        <w:t>מכביד - הם בעלי משקל ממשי לחובתו ו</w:t>
      </w:r>
      <w:r w:rsidRPr="00BF4CD5">
        <w:rPr>
          <w:rFonts w:ascii="David" w:hAnsi="David" w:hint="cs"/>
          <w:rtl/>
        </w:rPr>
        <w:t>ל</w:t>
      </w:r>
      <w:r w:rsidRPr="00BF4CD5">
        <w:rPr>
          <w:rFonts w:ascii="David" w:hAnsi="David"/>
          <w:rtl/>
        </w:rPr>
        <w:t xml:space="preserve">נתונים אלה המשמעות הרבה ביותר, בצד הצורך הברור בהרתעתו האישית מפני עשיית דין עצמית בכוח הזרוע. </w:t>
      </w:r>
      <w:r w:rsidRPr="00BF4CD5">
        <w:rPr>
          <w:rFonts w:ascii="David" w:hAnsi="David" w:hint="cs"/>
          <w:rtl/>
        </w:rPr>
        <w:t xml:space="preserve">מנגד, קיימים נתונים נוספים הראויים להתחשבות, על אף שמשקלם המצטבר נמוך ממשקלם של נתוני החומרה שלעיל. אקח בחשבון את </w:t>
      </w:r>
      <w:r w:rsidRPr="00BF4CD5">
        <w:rPr>
          <w:rFonts w:ascii="David" w:hAnsi="David"/>
          <w:rtl/>
        </w:rPr>
        <w:t>מצבו הבריאותי והנפשי</w:t>
      </w:r>
      <w:r w:rsidRPr="00BF4CD5">
        <w:rPr>
          <w:rFonts w:ascii="David" w:hAnsi="David" w:hint="cs"/>
          <w:rtl/>
        </w:rPr>
        <w:t xml:space="preserve"> של הנאשם</w:t>
      </w:r>
      <w:r w:rsidRPr="00BF4CD5">
        <w:rPr>
          <w:rFonts w:ascii="David" w:hAnsi="David"/>
          <w:rtl/>
        </w:rPr>
        <w:t xml:space="preserve">, הגם </w:t>
      </w:r>
      <w:r w:rsidRPr="00BF4CD5">
        <w:rPr>
          <w:rFonts w:ascii="David" w:hAnsi="David" w:hint="cs"/>
          <w:rtl/>
        </w:rPr>
        <w:t>ש</w:t>
      </w:r>
      <w:r w:rsidRPr="00BF4CD5">
        <w:rPr>
          <w:rFonts w:ascii="David" w:hAnsi="David"/>
          <w:rtl/>
        </w:rPr>
        <w:t>חלק מהתדרדרות מצב זה היא פרי בחירותיו של הנאשם</w:t>
      </w:r>
      <w:r w:rsidRPr="00BF4CD5">
        <w:rPr>
          <w:rFonts w:ascii="David" w:hAnsi="David" w:hint="cs"/>
          <w:rtl/>
        </w:rPr>
        <w:t xml:space="preserve"> הוא ואת ה</w:t>
      </w:r>
      <w:r w:rsidRPr="00BF4CD5">
        <w:rPr>
          <w:rFonts w:ascii="David" w:hAnsi="David"/>
          <w:rtl/>
        </w:rPr>
        <w:t>קושי הטמון עבורו בריצוי עונש מאסר</w:t>
      </w:r>
      <w:r w:rsidRPr="00BF4CD5">
        <w:rPr>
          <w:rFonts w:ascii="David" w:hAnsi="David" w:hint="cs"/>
          <w:rtl/>
        </w:rPr>
        <w:t xml:space="preserve"> ממושך</w:t>
      </w:r>
      <w:r w:rsidRPr="00BF4CD5">
        <w:rPr>
          <w:rFonts w:ascii="David" w:hAnsi="David"/>
          <w:rtl/>
        </w:rPr>
        <w:t xml:space="preserve">. בהינתן </w:t>
      </w:r>
      <w:r w:rsidRPr="00BF4CD5">
        <w:rPr>
          <w:rFonts w:ascii="David" w:hAnsi="David" w:hint="cs"/>
          <w:rtl/>
        </w:rPr>
        <w:t xml:space="preserve">אלה, </w:t>
      </w:r>
      <w:r w:rsidRPr="00BF4CD5">
        <w:rPr>
          <w:rFonts w:ascii="David" w:hAnsi="David"/>
          <w:rtl/>
        </w:rPr>
        <w:t xml:space="preserve">ולאור הקביעות העובדתיות בהכרעת הדין שאינן בהלימה לתזה בכתב האישום בנוגע לאופן הפציעה, כאשר יש </w:t>
      </w:r>
      <w:r w:rsidRPr="00BF4CD5">
        <w:rPr>
          <w:rFonts w:ascii="David" w:hAnsi="David" w:hint="cs"/>
          <w:rtl/>
        </w:rPr>
        <w:t xml:space="preserve">ליתן הדעת </w:t>
      </w:r>
      <w:r w:rsidRPr="00BF4CD5">
        <w:rPr>
          <w:rFonts w:ascii="David" w:hAnsi="David"/>
          <w:rtl/>
        </w:rPr>
        <w:t xml:space="preserve">אף </w:t>
      </w:r>
      <w:r w:rsidRPr="00BF4CD5">
        <w:rPr>
          <w:rFonts w:ascii="David" w:hAnsi="David" w:hint="cs"/>
          <w:rtl/>
        </w:rPr>
        <w:t>למ</w:t>
      </w:r>
      <w:r w:rsidRPr="00BF4CD5">
        <w:rPr>
          <w:rFonts w:ascii="David" w:hAnsi="David"/>
          <w:rtl/>
        </w:rPr>
        <w:t>עצר הממושך ו</w:t>
      </w:r>
      <w:r w:rsidRPr="00BF4CD5">
        <w:rPr>
          <w:rFonts w:ascii="David" w:hAnsi="David" w:hint="cs"/>
          <w:rtl/>
        </w:rPr>
        <w:t>ל</w:t>
      </w:r>
      <w:r w:rsidRPr="00BF4CD5">
        <w:rPr>
          <w:rFonts w:ascii="David" w:hAnsi="David"/>
          <w:rtl/>
        </w:rPr>
        <w:t xml:space="preserve">תקופת הפיקוח האלקטרוני, </w:t>
      </w:r>
      <w:r w:rsidRPr="00BF4CD5">
        <w:rPr>
          <w:rFonts w:ascii="David" w:hAnsi="David" w:hint="cs"/>
          <w:rtl/>
        </w:rPr>
        <w:t xml:space="preserve">איני מקבלת עתירת המאשימה למקם הנאשם בקצהו העליון של מתחם העונש ההולם. המקום </w:t>
      </w:r>
      <w:r>
        <w:rPr>
          <w:rFonts w:ascii="David" w:hAnsi="David" w:hint="cs"/>
          <w:rtl/>
        </w:rPr>
        <w:t>הראוי לנאשם</w:t>
      </w:r>
      <w:r w:rsidRPr="00BF4CD5">
        <w:rPr>
          <w:rFonts w:ascii="David" w:hAnsi="David" w:hint="cs"/>
          <w:rtl/>
        </w:rPr>
        <w:t xml:space="preserve">, באיזון מכלול השיקולים, על משמעותם השונה, הוא </w:t>
      </w:r>
      <w:r w:rsidRPr="00BF4CD5">
        <w:rPr>
          <w:rFonts w:ascii="David" w:hAnsi="David"/>
          <w:rtl/>
        </w:rPr>
        <w:t xml:space="preserve">השליש האמצעי </w:t>
      </w:r>
      <w:r w:rsidRPr="00BF4CD5">
        <w:rPr>
          <w:rFonts w:ascii="David" w:hAnsi="David" w:hint="cs"/>
          <w:rtl/>
        </w:rPr>
        <w:t xml:space="preserve">של </w:t>
      </w:r>
      <w:r w:rsidRPr="00BF4CD5">
        <w:rPr>
          <w:rFonts w:ascii="David" w:hAnsi="David"/>
          <w:rtl/>
        </w:rPr>
        <w:t>מתחם העונש ההולם</w:t>
      </w:r>
      <w:r w:rsidRPr="00BF4CD5">
        <w:rPr>
          <w:rFonts w:ascii="David" w:hAnsi="David" w:hint="cs"/>
          <w:rtl/>
        </w:rPr>
        <w:t>, גם אם על רף גבוה בשליש זה</w:t>
      </w:r>
      <w:r w:rsidRPr="00BF4CD5">
        <w:rPr>
          <w:rFonts w:ascii="David" w:hAnsi="David"/>
          <w:rtl/>
        </w:rPr>
        <w:t xml:space="preserve">. </w:t>
      </w:r>
    </w:p>
    <w:p w14:paraId="21E5B4B2" w14:textId="77777777" w:rsidR="00E07582" w:rsidRPr="00BF4CD5" w:rsidRDefault="00E07582" w:rsidP="00E07582">
      <w:pPr>
        <w:tabs>
          <w:tab w:val="left" w:pos="226"/>
        </w:tabs>
        <w:spacing w:line="260" w:lineRule="exact"/>
        <w:ind w:left="85"/>
        <w:contextualSpacing/>
        <w:jc w:val="both"/>
        <w:rPr>
          <w:rFonts w:ascii="David" w:hAnsi="David"/>
          <w:rtl/>
        </w:rPr>
      </w:pPr>
    </w:p>
    <w:p w14:paraId="0451DF7E" w14:textId="77777777" w:rsidR="00E07582" w:rsidRPr="00BF4CD5" w:rsidRDefault="00E07582" w:rsidP="00E07582">
      <w:pPr>
        <w:tabs>
          <w:tab w:val="left" w:pos="226"/>
        </w:tabs>
        <w:spacing w:line="260" w:lineRule="exact"/>
        <w:ind w:left="85"/>
        <w:contextualSpacing/>
        <w:jc w:val="both"/>
        <w:rPr>
          <w:rFonts w:ascii="David" w:hAnsi="David"/>
          <w:u w:val="single"/>
        </w:rPr>
      </w:pPr>
      <w:r w:rsidRPr="00BF4CD5">
        <w:rPr>
          <w:rFonts w:ascii="David" w:hAnsi="David"/>
          <w:u w:val="single"/>
          <w:rtl/>
        </w:rPr>
        <w:t>פיצוי המתלונן</w:t>
      </w:r>
    </w:p>
    <w:p w14:paraId="53F79B8C"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 xml:space="preserve">יש מקום להטלת פיצוי כספי משמעותי שישולם למתלונן. נזקיו של אלה משמעותיים ואינם נוגעים רק לפגיעה הפיזית בלבד, שתוצאותיה עדיין </w:t>
      </w:r>
      <w:r>
        <w:rPr>
          <w:rFonts w:ascii="David" w:hAnsi="David" w:hint="cs"/>
          <w:rtl/>
        </w:rPr>
        <w:t xml:space="preserve">ניכרות </w:t>
      </w:r>
      <w:r w:rsidRPr="00BF4CD5">
        <w:rPr>
          <w:rFonts w:ascii="David" w:hAnsi="David"/>
          <w:rtl/>
        </w:rPr>
        <w:t xml:space="preserve">על גופו, אלא </w:t>
      </w:r>
      <w:r>
        <w:rPr>
          <w:rFonts w:ascii="David" w:hAnsi="David" w:hint="cs"/>
          <w:rtl/>
        </w:rPr>
        <w:t xml:space="preserve">אף </w:t>
      </w:r>
      <w:r w:rsidRPr="00BF4CD5">
        <w:rPr>
          <w:rFonts w:ascii="David" w:hAnsi="David"/>
          <w:rtl/>
        </w:rPr>
        <w:t>לנזקים הנפשיים ול</w:t>
      </w:r>
      <w:r>
        <w:rPr>
          <w:rFonts w:ascii="David" w:hAnsi="David" w:hint="cs"/>
          <w:rtl/>
        </w:rPr>
        <w:t>פגיעה ב</w:t>
      </w:r>
      <w:r w:rsidRPr="00BF4CD5">
        <w:rPr>
          <w:rFonts w:ascii="David" w:hAnsi="David"/>
          <w:rtl/>
        </w:rPr>
        <w:t xml:space="preserve">מעמדו </w:t>
      </w:r>
      <w:r>
        <w:rPr>
          <w:rFonts w:ascii="David" w:hAnsi="David" w:hint="cs"/>
          <w:rtl/>
        </w:rPr>
        <w:t>ובתדמיתו.</w:t>
      </w:r>
    </w:p>
    <w:p w14:paraId="5D171B3B" w14:textId="77777777" w:rsidR="00E07582" w:rsidRPr="00F1272F" w:rsidRDefault="00E07582" w:rsidP="00E07582">
      <w:pPr>
        <w:tabs>
          <w:tab w:val="left" w:pos="226"/>
        </w:tabs>
        <w:spacing w:line="260" w:lineRule="exact"/>
        <w:ind w:left="85"/>
        <w:contextualSpacing/>
        <w:jc w:val="both"/>
        <w:rPr>
          <w:rFonts w:ascii="David" w:hAnsi="David"/>
        </w:rPr>
      </w:pPr>
    </w:p>
    <w:p w14:paraId="5A7C8A50" w14:textId="77777777" w:rsidR="00E07582" w:rsidRPr="00BF4CD5" w:rsidRDefault="00F93271" w:rsidP="00E07582">
      <w:pPr>
        <w:numPr>
          <w:ilvl w:val="0"/>
          <w:numId w:val="1"/>
        </w:numPr>
        <w:tabs>
          <w:tab w:val="left" w:pos="226"/>
        </w:tabs>
        <w:spacing w:line="260" w:lineRule="exact"/>
        <w:ind w:left="85" w:firstLine="0"/>
        <w:contextualSpacing/>
        <w:jc w:val="both"/>
        <w:rPr>
          <w:rFonts w:ascii="David" w:hAnsi="David"/>
        </w:rPr>
      </w:pPr>
      <w:hyperlink r:id="rId127" w:history="1">
        <w:r w:rsidRPr="00F93271">
          <w:rPr>
            <w:rStyle w:val="Hyperlink"/>
            <w:rFonts w:ascii="David" w:hAnsi="David"/>
            <w:rtl/>
          </w:rPr>
          <w:t>סעיף 77(א)</w:t>
        </w:r>
      </w:hyperlink>
      <w:r w:rsidR="00EE787A">
        <w:rPr>
          <w:rFonts w:ascii="David" w:hAnsi="David"/>
          <w:rtl/>
        </w:rPr>
        <w:t xml:space="preserve"> </w:t>
      </w:r>
      <w:r w:rsidR="00E07582" w:rsidRPr="00BF4CD5">
        <w:rPr>
          <w:rFonts w:ascii="David" w:hAnsi="David"/>
          <w:rtl/>
        </w:rPr>
        <w:t>לחוק קובע כי: "הורשע אדם, רשאי בית המשפט לחייבו, בשל כל אחת מן העבירות שהורשע בהן, לשלם לאדם שניזוק על ידי העבירה סכום שלא יעלה על 258,000 שקלים חדשים לפיצוי הנזק או הסבל שנגרם לו". הוראת חוק זו נועדה לסייע לקורבנות העבירה לקבל "סעד ראשוני", וליתן ביטוי, גם אם חלקי ובלתי מלא לנזקים הממשיים שנגרמו. הערכת גובה הפיצוי תעשה על דרך האומדנה, וקרבן העבירה אינו נדרש להוכיח בצורה מדויקת, ועל יסוד ראיות, את נזקיו. הפיצוי מותיר בידי הנפגע אפשרות להליך אזרחי נגרר אותו יוכל לנהל תוך יתרון דיוני וראייתי על פי המנגנונים ודיני הראיות שנקבעו בעניין</w:t>
      </w:r>
      <w:r w:rsidR="00EE787A">
        <w:rPr>
          <w:rFonts w:ascii="David" w:hAnsi="David"/>
        </w:rPr>
        <w:t xml:space="preserve"> </w:t>
      </w:r>
      <w:r w:rsidR="00E07582" w:rsidRPr="00BF4CD5">
        <w:rPr>
          <w:rFonts w:ascii="David" w:hAnsi="David"/>
          <w:rtl/>
        </w:rPr>
        <w:t>(</w:t>
      </w:r>
      <w:hyperlink r:id="rId128" w:history="1">
        <w:r w:rsidR="00EE787A" w:rsidRPr="00EE787A">
          <w:rPr>
            <w:rFonts w:ascii="David" w:hAnsi="David"/>
            <w:color w:val="0000FF"/>
            <w:u w:val="single"/>
            <w:rtl/>
          </w:rPr>
          <w:t>דנ"פ 5625/16</w:t>
        </w:r>
      </w:hyperlink>
      <w:r w:rsidR="00EE787A">
        <w:rPr>
          <w:rFonts w:ascii="David" w:hAnsi="David"/>
          <w:rtl/>
        </w:rPr>
        <w:t xml:space="preserve"> </w:t>
      </w:r>
      <w:r w:rsidR="00E07582" w:rsidRPr="00BF4CD5">
        <w:rPr>
          <w:rFonts w:ascii="David" w:hAnsi="David"/>
          <w:b/>
          <w:bCs/>
          <w:rtl/>
        </w:rPr>
        <w:t>אסרף נ' טווק</w:t>
      </w:r>
      <w:r w:rsidR="00EE787A">
        <w:rPr>
          <w:rFonts w:ascii="David" w:hAnsi="David"/>
          <w:rtl/>
        </w:rPr>
        <w:t xml:space="preserve"> </w:t>
      </w:r>
      <w:r w:rsidR="00E07582" w:rsidRPr="00BF4CD5">
        <w:rPr>
          <w:rFonts w:ascii="David" w:hAnsi="David"/>
          <w:rtl/>
        </w:rPr>
        <w:t>(13.9.2017)).</w:t>
      </w:r>
    </w:p>
    <w:p w14:paraId="76D2FDC5" w14:textId="77777777" w:rsidR="00E07582" w:rsidRPr="00BF4CD5" w:rsidRDefault="00E07582" w:rsidP="00E07582">
      <w:pPr>
        <w:pStyle w:val="aa"/>
        <w:spacing w:line="260" w:lineRule="exact"/>
      </w:pPr>
    </w:p>
    <w:p w14:paraId="175E5F30" w14:textId="77777777" w:rsidR="00E07582" w:rsidRPr="00BF4CD5" w:rsidRDefault="00E07582" w:rsidP="00E07582">
      <w:pPr>
        <w:numPr>
          <w:ilvl w:val="0"/>
          <w:numId w:val="1"/>
        </w:numPr>
        <w:tabs>
          <w:tab w:val="left" w:pos="226"/>
          <w:tab w:val="left" w:pos="510"/>
        </w:tabs>
        <w:spacing w:line="260" w:lineRule="exact"/>
        <w:ind w:left="85" w:firstLine="0"/>
        <w:contextualSpacing/>
        <w:jc w:val="both"/>
        <w:rPr>
          <w:rFonts w:ascii="David" w:hAnsi="David"/>
          <w:rtl/>
        </w:rPr>
      </w:pPr>
      <w:r w:rsidRPr="00BF4CD5">
        <w:rPr>
          <w:rFonts w:ascii="David" w:hAnsi="David"/>
          <w:rtl/>
        </w:rPr>
        <w:t xml:space="preserve">ברור לחלוטין כי מצבו הכלכלי של הנאשם הוא בכי רע, ועל רקע עונש המאסר בו עליו לשאת, אינו צפוי להשתפר במהרה. </w:t>
      </w:r>
      <w:r w:rsidRPr="00BF4CD5">
        <w:rPr>
          <w:rFonts w:ascii="David" w:hAnsi="David" w:hint="cs"/>
          <w:rtl/>
        </w:rPr>
        <w:t xml:space="preserve">נתונים אלה יבואו לכדי ביטוי </w:t>
      </w:r>
      <w:r w:rsidRPr="00BF4CD5">
        <w:rPr>
          <w:rFonts w:ascii="David" w:hAnsi="David"/>
          <w:rtl/>
        </w:rPr>
        <w:t xml:space="preserve">בהימנעות מהטלת קנס כספי, לצד הטלת התחייבות צופת פני עתיד להימנע מביצוע עבירות, אך לא ניתן להתחשב בהם בהקשר הטלת הפיצוי או גובהו. </w:t>
      </w:r>
      <w:r>
        <w:rPr>
          <w:rFonts w:ascii="David" w:hAnsi="David" w:hint="cs"/>
          <w:rtl/>
        </w:rPr>
        <w:t>נ</w:t>
      </w:r>
      <w:r w:rsidRPr="00BF4CD5">
        <w:rPr>
          <w:rFonts w:ascii="David" w:hAnsi="David"/>
          <w:rtl/>
        </w:rPr>
        <w:t>קבע: "מחמת אופיו ותכליתו האזרחיים של הפיצוי, ובדומה לעניינים אחרים שבמשפט האזרחי, מוקד ההסתכלות איננו ביכולתו של הפוגע-העבריין. המוקד הוא בעניינו של נפגע העבירה, בהכרה בפגיעה בו, ובהטבתה" (</w:t>
      </w:r>
      <w:hyperlink r:id="rId129" w:history="1">
        <w:r w:rsidR="00EE787A" w:rsidRPr="00EE787A">
          <w:rPr>
            <w:rFonts w:ascii="David" w:hAnsi="David"/>
            <w:color w:val="0000FF"/>
            <w:u w:val="single"/>
            <w:rtl/>
          </w:rPr>
          <w:t>ע"פ 8449/17</w:t>
        </w:r>
      </w:hyperlink>
      <w:r w:rsidR="00EE787A">
        <w:rPr>
          <w:rFonts w:ascii="David" w:hAnsi="David"/>
          <w:rtl/>
        </w:rPr>
        <w:t xml:space="preserve"> </w:t>
      </w:r>
      <w:r w:rsidRPr="00BF4CD5">
        <w:rPr>
          <w:rFonts w:ascii="David" w:hAnsi="David"/>
          <w:b/>
          <w:bCs/>
          <w:rtl/>
        </w:rPr>
        <w:t>פלוני נ' מדינת ישראל</w:t>
      </w:r>
      <w:r w:rsidRPr="00BF4CD5">
        <w:rPr>
          <w:rFonts w:ascii="David" w:hAnsi="David"/>
          <w:rtl/>
        </w:rPr>
        <w:t>, פסקה 51</w:t>
      </w:r>
      <w:r w:rsidR="00EE787A">
        <w:rPr>
          <w:rFonts w:ascii="David" w:hAnsi="David"/>
          <w:rtl/>
        </w:rPr>
        <w:t xml:space="preserve"> </w:t>
      </w:r>
      <w:r w:rsidRPr="00BF4CD5">
        <w:rPr>
          <w:rFonts w:ascii="David" w:hAnsi="David"/>
          <w:rtl/>
        </w:rPr>
        <w:t>(16.6.2019)).</w:t>
      </w:r>
    </w:p>
    <w:p w14:paraId="1A766837" w14:textId="77777777" w:rsidR="00E07582" w:rsidRPr="00BF4CD5" w:rsidRDefault="00E07582" w:rsidP="00E07582">
      <w:pPr>
        <w:pStyle w:val="aa"/>
        <w:spacing w:line="260" w:lineRule="exact"/>
      </w:pPr>
    </w:p>
    <w:p w14:paraId="4B88CD29"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 xml:space="preserve">על פי קריטריונים אלה, יש לפסוק עבור המתלונן סכום משמעותי, גם אם ברור כי יכביד על הנאשם; אף סכום זה רחוק מרחק רב מלכסות את נזקי המתלונן, על כל מאפייניהם, אליהם נדרשנו לעיל. </w:t>
      </w:r>
    </w:p>
    <w:p w14:paraId="5A338D29" w14:textId="77777777" w:rsidR="00E07582" w:rsidRPr="00BF4CD5" w:rsidRDefault="00E07582" w:rsidP="00E07582">
      <w:pPr>
        <w:pStyle w:val="aa"/>
        <w:spacing w:line="260" w:lineRule="exact"/>
      </w:pPr>
    </w:p>
    <w:p w14:paraId="06BB53FC" w14:textId="77777777" w:rsidR="00E07582" w:rsidRPr="00BF4CD5" w:rsidRDefault="00E07582" w:rsidP="00E07582">
      <w:pPr>
        <w:tabs>
          <w:tab w:val="left" w:pos="226"/>
        </w:tabs>
        <w:spacing w:line="260" w:lineRule="exact"/>
        <w:ind w:left="85"/>
        <w:contextualSpacing/>
        <w:jc w:val="both"/>
        <w:rPr>
          <w:rFonts w:ascii="David" w:hAnsi="David"/>
          <w:u w:val="single"/>
          <w:rtl/>
        </w:rPr>
      </w:pPr>
      <w:r w:rsidRPr="00BF4CD5">
        <w:rPr>
          <w:rFonts w:ascii="David" w:hAnsi="David"/>
          <w:u w:val="single"/>
          <w:rtl/>
        </w:rPr>
        <w:t>חפיפת העונש למאסר המותנה שהוטל על הנאשם בתיק קודם</w:t>
      </w:r>
    </w:p>
    <w:p w14:paraId="5B91A836" w14:textId="77777777" w:rsidR="00E07582" w:rsidRPr="00BF4CD5" w:rsidRDefault="00EE787A" w:rsidP="00E07582">
      <w:pPr>
        <w:numPr>
          <w:ilvl w:val="0"/>
          <w:numId w:val="1"/>
        </w:numPr>
        <w:tabs>
          <w:tab w:val="left" w:pos="226"/>
        </w:tabs>
        <w:spacing w:line="260" w:lineRule="exact"/>
        <w:ind w:left="85" w:firstLine="0"/>
        <w:contextualSpacing/>
        <w:jc w:val="both"/>
        <w:rPr>
          <w:rFonts w:cs="Times New Roman"/>
          <w:color w:val="000000"/>
          <w:sz w:val="20"/>
          <w:szCs w:val="20"/>
        </w:rPr>
      </w:pPr>
      <w:r>
        <w:rPr>
          <w:rFonts w:ascii="David" w:hAnsi="David"/>
          <w:rtl/>
        </w:rPr>
        <w:t xml:space="preserve">  </w:t>
      </w:r>
      <w:hyperlink r:id="rId130" w:history="1">
        <w:r w:rsidR="00F93271" w:rsidRPr="00F93271">
          <w:rPr>
            <w:rStyle w:val="Hyperlink"/>
            <w:rFonts w:ascii="David" w:hAnsi="David"/>
            <w:rtl/>
          </w:rPr>
          <w:t>סעיף 58</w:t>
        </w:r>
      </w:hyperlink>
      <w:r>
        <w:rPr>
          <w:rFonts w:ascii="David" w:hAnsi="David"/>
          <w:rtl/>
        </w:rPr>
        <w:t xml:space="preserve"> </w:t>
      </w:r>
      <w:r w:rsidR="00E07582" w:rsidRPr="00BF4CD5">
        <w:rPr>
          <w:rFonts w:ascii="David" w:hAnsi="David"/>
          <w:rtl/>
        </w:rPr>
        <w:t>לחוק קובע כי: "מי שהוטל עליו עונש מאסר בשל עבירה נוספת והופעל נגדו עונש המאסר על תנאי, ישא, על אף האמור</w:t>
      </w:r>
      <w:r>
        <w:rPr>
          <w:rFonts w:ascii="David" w:hAnsi="David"/>
          <w:rtl/>
        </w:rPr>
        <w:t xml:space="preserve"> </w:t>
      </w:r>
      <w:r w:rsidR="00E07582" w:rsidRPr="00BF4CD5">
        <w:rPr>
          <w:rFonts w:ascii="David" w:hAnsi="David"/>
          <w:rtl/>
        </w:rPr>
        <w:t xml:space="preserve">בסעיף 45, את שתי תקופות המאסר בזו אחר זו, זולת אם בית המשפט שהרשיעו בשל העבירה הנוספת ציווה, מטעמים שיירשמו, ששתי התקופות כולן או מקצתן יהיו חופפות". הכלל הוא צבירות תקופת המאסר המותנה למאסר המושת בתיק בו יש להפעילו. </w:t>
      </w:r>
    </w:p>
    <w:p w14:paraId="7DEF0C42" w14:textId="77777777" w:rsidR="00E07582" w:rsidRPr="00BF4CD5" w:rsidRDefault="00E07582" w:rsidP="00E07582">
      <w:pPr>
        <w:tabs>
          <w:tab w:val="left" w:pos="226"/>
        </w:tabs>
        <w:spacing w:line="260" w:lineRule="exact"/>
        <w:ind w:left="85"/>
        <w:contextualSpacing/>
        <w:jc w:val="both"/>
        <w:rPr>
          <w:rFonts w:cs="Times New Roman"/>
          <w:color w:val="000000"/>
          <w:sz w:val="20"/>
          <w:szCs w:val="20"/>
        </w:rPr>
      </w:pPr>
    </w:p>
    <w:p w14:paraId="56B64EB7" w14:textId="77777777" w:rsidR="00E07582" w:rsidRPr="00E07582" w:rsidRDefault="00E07582" w:rsidP="00E07582">
      <w:pPr>
        <w:numPr>
          <w:ilvl w:val="0"/>
          <w:numId w:val="1"/>
        </w:numPr>
        <w:tabs>
          <w:tab w:val="left" w:pos="226"/>
        </w:tabs>
        <w:spacing w:line="260" w:lineRule="exact"/>
        <w:ind w:left="85" w:firstLine="0"/>
        <w:contextualSpacing/>
        <w:jc w:val="both"/>
        <w:rPr>
          <w:rFonts w:ascii="Calibri" w:hAnsi="Calibri" w:cs="Arial"/>
          <w:color w:val="000000"/>
          <w:sz w:val="27"/>
          <w:szCs w:val="27"/>
          <w:rtl/>
        </w:rPr>
      </w:pPr>
      <w:r w:rsidRPr="00BF4CD5">
        <w:rPr>
          <w:rFonts w:ascii="David" w:hAnsi="David"/>
          <w:rtl/>
        </w:rPr>
        <w:t>בעניין</w:t>
      </w:r>
      <w:r w:rsidR="00EE787A">
        <w:rPr>
          <w:rFonts w:ascii="David" w:hAnsi="David"/>
          <w:rtl/>
        </w:rPr>
        <w:t xml:space="preserve"> </w:t>
      </w:r>
      <w:r w:rsidRPr="00BF4CD5">
        <w:rPr>
          <w:rFonts w:ascii="David" w:hAnsi="David"/>
          <w:b/>
          <w:bCs/>
          <w:rtl/>
        </w:rPr>
        <w:t>מזראיב</w:t>
      </w:r>
      <w:r w:rsidR="00EE787A">
        <w:rPr>
          <w:rFonts w:ascii="David" w:hAnsi="David"/>
          <w:rtl/>
        </w:rPr>
        <w:t xml:space="preserve"> </w:t>
      </w:r>
      <w:r w:rsidRPr="00BF4CD5">
        <w:rPr>
          <w:rFonts w:ascii="David" w:hAnsi="David"/>
          <w:rtl/>
        </w:rPr>
        <w:t xml:space="preserve">נקבע כי: "ככל שגדלה מידת הזיקה בין העבירה הנוכחית לבין העבירה שבגינה הוטל עונש המאסר המותנה, כך תיטה הכף לטובת החלת ברירת המחדל של צבירת עונשים על פני החלתם בחופף...". ועוד: "בענייננו, לא נמצאו טעמים המצדיקים השתת העונשים באופן חופף, כחריג לכלל של הצטברות עונשים. אדרבה, נוכח עברו הפלילי של המערער והעובדה ששב לסורו בחלוף זמן מועט ביותר, חרף המאסרים המותנים אשר הוטלו עליו בגין ביצוע מעשים דומים בעבר אשר כשלו מלהרתיעו, נוטה הכף בבירור לכיוון ברירת המחדל של צבירת עונשים... </w:t>
      </w:r>
      <w:r>
        <w:rPr>
          <w:rFonts w:ascii="David" w:hAnsi="David" w:hint="cs"/>
          <w:rtl/>
        </w:rPr>
        <w:t>ז</w:t>
      </w:r>
      <w:r w:rsidRPr="00BF4CD5">
        <w:rPr>
          <w:rFonts w:ascii="David" w:hAnsi="David"/>
          <w:rtl/>
        </w:rPr>
        <w:t>את גם נוכח העובדה שעונש המאסר על תנאי שנגזר על המערער לא מילא, וזאת בלשון המעטה, את תכליתו ההרתעתית" (</w:t>
      </w:r>
      <w:hyperlink r:id="rId131" w:history="1">
        <w:r w:rsidR="00EE787A" w:rsidRPr="00EE787A">
          <w:rPr>
            <w:rFonts w:ascii="David" w:hAnsi="David"/>
            <w:color w:val="0000FF"/>
            <w:u w:val="single"/>
            <w:rtl/>
          </w:rPr>
          <w:t>ע"פ 2336/16</w:t>
        </w:r>
      </w:hyperlink>
      <w:r w:rsidR="00EE787A">
        <w:rPr>
          <w:rFonts w:ascii="David" w:hAnsi="David"/>
          <w:rtl/>
        </w:rPr>
        <w:t xml:space="preserve"> </w:t>
      </w:r>
      <w:r w:rsidRPr="00BF4CD5">
        <w:rPr>
          <w:rFonts w:ascii="David" w:hAnsi="David"/>
          <w:b/>
          <w:bCs/>
          <w:rtl/>
        </w:rPr>
        <w:t>‏מזראיב נ' מדינת ישראל</w:t>
      </w:r>
      <w:r w:rsidRPr="00BF4CD5">
        <w:rPr>
          <w:rFonts w:ascii="David" w:hAnsi="David"/>
          <w:rtl/>
        </w:rPr>
        <w:t>, פסקה 32 (14.12.2017)).</w:t>
      </w:r>
    </w:p>
    <w:p w14:paraId="2AF69D5F" w14:textId="77777777" w:rsidR="00E07582" w:rsidRPr="00BF4CD5" w:rsidRDefault="00E07582" w:rsidP="00E07582">
      <w:pPr>
        <w:tabs>
          <w:tab w:val="left" w:pos="226"/>
        </w:tabs>
        <w:spacing w:line="260" w:lineRule="exact"/>
        <w:ind w:left="85"/>
        <w:contextualSpacing/>
        <w:jc w:val="both"/>
        <w:rPr>
          <w:rFonts w:ascii="David" w:hAnsi="David"/>
          <w:rtl/>
        </w:rPr>
      </w:pPr>
    </w:p>
    <w:p w14:paraId="520005A6"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Pr>
      </w:pPr>
      <w:r w:rsidRPr="00BF4CD5">
        <w:rPr>
          <w:rFonts w:ascii="David" w:hAnsi="David"/>
          <w:rtl/>
        </w:rPr>
        <w:t xml:space="preserve">וביישום ההלכה לענייננו; על הנאשם נגזר, בסמוך מאוד לאירוע מושא כתב האישום, מאסר על תנאי לתקופה של שלושה חודשים, למשך שלוש שנים, "אם יעבור עבירה לפי פקודת הסמים או עבירת איומים או עבירת תקיפה מסוג כלשהו". מבלי לדון בסוגיית החלתו של המאסר המותנה על עבירות הפציעה, עבירת האיומים בה הורשע הנאשם, על יסוד הודאתו (והוכחה אף בעדות המתלונן) מפעילה תקופת תנאי זו. </w:t>
      </w:r>
    </w:p>
    <w:p w14:paraId="65E59DB9" w14:textId="77777777" w:rsidR="00E07582" w:rsidRPr="00BF4CD5" w:rsidRDefault="00E07582" w:rsidP="00E07582">
      <w:pPr>
        <w:pStyle w:val="aa"/>
        <w:spacing w:line="260" w:lineRule="exact"/>
        <w:rPr>
          <w:rtl/>
        </w:rPr>
      </w:pPr>
    </w:p>
    <w:p w14:paraId="34E0BC0B"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 xml:space="preserve">בתקופת התנאי </w:t>
      </w:r>
      <w:r>
        <w:rPr>
          <w:rFonts w:ascii="David" w:hAnsi="David"/>
          <w:rtl/>
        </w:rPr>
        <w:t>לא די היה על מנת להרתיע את הנאש</w:t>
      </w:r>
      <w:r>
        <w:rPr>
          <w:rFonts w:ascii="David" w:hAnsi="David" w:hint="cs"/>
          <w:rtl/>
        </w:rPr>
        <w:t>ם</w:t>
      </w:r>
      <w:r w:rsidRPr="00BF4CD5">
        <w:rPr>
          <w:rFonts w:ascii="David" w:hAnsi="David"/>
          <w:rtl/>
        </w:rPr>
        <w:t xml:space="preserve">; גם התנהלותו במהלך המשפט ויחסו לעבירה ולמתלונן, מצביעים על כך שעל פניו אין בנמצא טעמים לסטות מהכלל הנוגע לצבירת המאסר המותנה לעונש בענייננו. ועדיין, לפנים משורת הדין, נוכח </w:t>
      </w:r>
      <w:r>
        <w:rPr>
          <w:rFonts w:ascii="David" w:hAnsi="David" w:hint="cs"/>
          <w:rtl/>
        </w:rPr>
        <w:t xml:space="preserve">משך </w:t>
      </w:r>
      <w:r w:rsidRPr="00BF4CD5">
        <w:rPr>
          <w:rFonts w:ascii="David" w:hAnsi="David"/>
          <w:rtl/>
        </w:rPr>
        <w:t xml:space="preserve">תקופת המאסר </w:t>
      </w:r>
      <w:r w:rsidRPr="00BF4CD5">
        <w:rPr>
          <w:rFonts w:ascii="David" w:hAnsi="David" w:hint="cs"/>
          <w:rtl/>
        </w:rPr>
        <w:t xml:space="preserve">שאשית עליו, </w:t>
      </w:r>
      <w:r w:rsidRPr="00BF4CD5">
        <w:rPr>
          <w:rFonts w:ascii="David" w:hAnsi="David"/>
          <w:rtl/>
        </w:rPr>
        <w:t>ומצבו הנפשי והבריאותי</w:t>
      </w:r>
      <w:r w:rsidRPr="00BF4CD5">
        <w:rPr>
          <w:rFonts w:ascii="David" w:hAnsi="David" w:hint="cs"/>
          <w:rtl/>
        </w:rPr>
        <w:t>,</w:t>
      </w:r>
      <w:r w:rsidRPr="00BF4CD5">
        <w:rPr>
          <w:rFonts w:ascii="David" w:hAnsi="David"/>
          <w:rtl/>
        </w:rPr>
        <w:t xml:space="preserve"> חלק מתקופת התנאי ירוצה בחופף לעונש המאסר בתיק שבכותרת.</w:t>
      </w:r>
    </w:p>
    <w:p w14:paraId="2C9AB2D0" w14:textId="77777777" w:rsidR="00E07582" w:rsidRPr="00BF4CD5" w:rsidRDefault="00E07582" w:rsidP="00E07582">
      <w:pPr>
        <w:pStyle w:val="aa"/>
        <w:spacing w:line="260" w:lineRule="exact"/>
      </w:pPr>
    </w:p>
    <w:p w14:paraId="45CA8D9C" w14:textId="77777777" w:rsidR="00E07582" w:rsidRPr="00BF4CD5" w:rsidRDefault="00E07582" w:rsidP="00E07582">
      <w:pPr>
        <w:tabs>
          <w:tab w:val="left" w:pos="226"/>
        </w:tabs>
        <w:spacing w:afterLines="160" w:after="384" w:line="260" w:lineRule="exact"/>
        <w:ind w:left="85"/>
        <w:contextualSpacing/>
        <w:jc w:val="both"/>
        <w:rPr>
          <w:rFonts w:ascii="David" w:hAnsi="David"/>
          <w:b/>
          <w:bCs/>
          <w:u w:val="single"/>
          <w:rtl/>
        </w:rPr>
      </w:pPr>
      <w:r w:rsidRPr="00BF4CD5">
        <w:rPr>
          <w:rFonts w:ascii="David" w:hAnsi="David"/>
          <w:b/>
          <w:bCs/>
          <w:u w:val="single"/>
          <w:rtl/>
        </w:rPr>
        <w:t>סוף דבר</w:t>
      </w:r>
    </w:p>
    <w:p w14:paraId="06A76E6B"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אני גוזרת על הנאשם את העונשים הבאים:</w:t>
      </w:r>
    </w:p>
    <w:p w14:paraId="6043C30E" w14:textId="77777777" w:rsidR="00E07582" w:rsidRPr="00BF4CD5" w:rsidRDefault="00E07582" w:rsidP="00E07582">
      <w:pPr>
        <w:tabs>
          <w:tab w:val="left" w:pos="226"/>
        </w:tabs>
        <w:spacing w:line="260" w:lineRule="exact"/>
        <w:ind w:left="85"/>
        <w:contextualSpacing/>
        <w:jc w:val="both"/>
        <w:rPr>
          <w:rFonts w:ascii="David" w:hAnsi="David"/>
        </w:rPr>
      </w:pPr>
    </w:p>
    <w:p w14:paraId="229ED52B" w14:textId="77777777" w:rsidR="00E07582" w:rsidRPr="00BF4CD5" w:rsidRDefault="00E07582" w:rsidP="00E07582">
      <w:pPr>
        <w:pStyle w:val="aa"/>
        <w:numPr>
          <w:ilvl w:val="0"/>
          <w:numId w:val="2"/>
        </w:numPr>
        <w:tabs>
          <w:tab w:val="left" w:pos="226"/>
        </w:tabs>
        <w:spacing w:line="260" w:lineRule="exact"/>
        <w:ind w:left="85" w:firstLine="0"/>
        <w:jc w:val="both"/>
        <w:rPr>
          <w:rtl/>
        </w:rPr>
      </w:pPr>
      <w:r w:rsidRPr="00BF4CD5">
        <w:rPr>
          <w:rFonts w:hint="cs"/>
          <w:rtl/>
        </w:rPr>
        <w:t>מאסר בפועל לתקופה של 30 חודשים. מתקופה זו יש לנכות את הימים בהם היה נתון הנאשם במעצר ממש, בין כתלי הכלא.</w:t>
      </w:r>
    </w:p>
    <w:p w14:paraId="4264875F" w14:textId="77777777" w:rsidR="00E07582" w:rsidRPr="00BF4CD5" w:rsidRDefault="00E07582" w:rsidP="00E07582">
      <w:pPr>
        <w:pStyle w:val="aa"/>
        <w:tabs>
          <w:tab w:val="left" w:pos="226"/>
        </w:tabs>
        <w:spacing w:line="260" w:lineRule="exact"/>
        <w:ind w:left="85"/>
        <w:jc w:val="both"/>
      </w:pPr>
    </w:p>
    <w:p w14:paraId="25AA1C8F" w14:textId="77777777" w:rsidR="00E07582" w:rsidRPr="00BF4CD5" w:rsidRDefault="00E07582" w:rsidP="00E07582">
      <w:pPr>
        <w:pStyle w:val="aa"/>
        <w:numPr>
          <w:ilvl w:val="0"/>
          <w:numId w:val="2"/>
        </w:numPr>
        <w:tabs>
          <w:tab w:val="left" w:pos="226"/>
        </w:tabs>
        <w:spacing w:line="260" w:lineRule="exact"/>
        <w:ind w:left="85" w:firstLine="0"/>
        <w:jc w:val="both"/>
      </w:pPr>
      <w:r w:rsidRPr="00BF4CD5">
        <w:rPr>
          <w:rFonts w:hint="cs"/>
          <w:rtl/>
        </w:rPr>
        <w:t xml:space="preserve">עונש המאסר המותנה שהוטל על הנאשם בת"פ 41027-07-20 (שלום ת"א) יופעל כך שחודשיים ממנו יצטברו לעונש המאסר שבתיק שבכותרת וחודש יחפוף לו. </w:t>
      </w:r>
    </w:p>
    <w:p w14:paraId="0A1653A6" w14:textId="77777777" w:rsidR="00E07582" w:rsidRPr="00BF4CD5" w:rsidRDefault="00E07582" w:rsidP="00E07582">
      <w:pPr>
        <w:pStyle w:val="aa"/>
        <w:tabs>
          <w:tab w:val="left" w:pos="226"/>
        </w:tabs>
        <w:spacing w:line="260" w:lineRule="exact"/>
        <w:ind w:left="85"/>
        <w:jc w:val="both"/>
      </w:pPr>
    </w:p>
    <w:p w14:paraId="1593B58A" w14:textId="77777777" w:rsidR="00E07582" w:rsidRPr="00BF4CD5" w:rsidRDefault="00E07582" w:rsidP="00E07582">
      <w:pPr>
        <w:tabs>
          <w:tab w:val="left" w:pos="226"/>
        </w:tabs>
        <w:spacing w:line="260" w:lineRule="exact"/>
        <w:ind w:left="85"/>
        <w:contextualSpacing/>
        <w:jc w:val="both"/>
        <w:rPr>
          <w:rFonts w:ascii="David" w:hAnsi="David"/>
          <w:b/>
          <w:bCs/>
        </w:rPr>
      </w:pPr>
      <w:r w:rsidRPr="00BF4CD5">
        <w:rPr>
          <w:rFonts w:ascii="David" w:hAnsi="David"/>
          <w:b/>
          <w:bCs/>
          <w:rtl/>
        </w:rPr>
        <w:tab/>
      </w:r>
      <w:r w:rsidRPr="00BF4CD5">
        <w:rPr>
          <w:rFonts w:ascii="David" w:hAnsi="David"/>
          <w:b/>
          <w:bCs/>
          <w:rtl/>
        </w:rPr>
        <w:tab/>
        <w:t xml:space="preserve">סך הכל יישא הנאשם בעונש מאסר לתקופה של </w:t>
      </w:r>
      <w:r w:rsidRPr="00BF4CD5">
        <w:rPr>
          <w:rFonts w:ascii="David" w:hAnsi="David" w:hint="cs"/>
          <w:b/>
          <w:bCs/>
          <w:rtl/>
        </w:rPr>
        <w:t>32</w:t>
      </w:r>
      <w:r w:rsidRPr="00BF4CD5">
        <w:rPr>
          <w:rFonts w:ascii="David" w:hAnsi="David"/>
          <w:b/>
          <w:bCs/>
          <w:rtl/>
        </w:rPr>
        <w:t xml:space="preserve"> חודשים, בניכוי ימי מעצרו על פי רישומי שב"ס. </w:t>
      </w:r>
    </w:p>
    <w:p w14:paraId="5EA82561" w14:textId="77777777" w:rsidR="00E07582" w:rsidRPr="00BF4CD5" w:rsidRDefault="00E07582" w:rsidP="00E07582">
      <w:pPr>
        <w:pStyle w:val="aa"/>
        <w:tabs>
          <w:tab w:val="left" w:pos="226"/>
        </w:tabs>
        <w:spacing w:line="260" w:lineRule="exact"/>
        <w:ind w:left="85"/>
        <w:jc w:val="both"/>
        <w:rPr>
          <w:rtl/>
        </w:rPr>
      </w:pPr>
    </w:p>
    <w:p w14:paraId="73AEE78E" w14:textId="77777777" w:rsidR="00E07582" w:rsidRPr="00BF4CD5" w:rsidRDefault="00E07582" w:rsidP="00E07582">
      <w:pPr>
        <w:pStyle w:val="aa"/>
        <w:numPr>
          <w:ilvl w:val="0"/>
          <w:numId w:val="2"/>
        </w:numPr>
        <w:tabs>
          <w:tab w:val="left" w:pos="226"/>
        </w:tabs>
        <w:spacing w:line="260" w:lineRule="exact"/>
        <w:ind w:left="85" w:firstLine="0"/>
        <w:jc w:val="both"/>
      </w:pPr>
      <w:r w:rsidRPr="00BF4CD5">
        <w:rPr>
          <w:rFonts w:hint="cs"/>
          <w:rtl/>
        </w:rPr>
        <w:t xml:space="preserve">   </w:t>
      </w:r>
      <w:r>
        <w:rPr>
          <w:rtl/>
        </w:rPr>
        <w:tab/>
      </w:r>
      <w:r w:rsidRPr="00BF4CD5">
        <w:rPr>
          <w:rFonts w:hint="cs"/>
          <w:rtl/>
        </w:rPr>
        <w:t>6 חודשי מאסר על תנאי למשך שלוש שנים מיום שחרורו ממאסר, שלא יעבור כל עבירת אלימות או החזקת סכין או איומים או נ</w:t>
      </w:r>
      <w:r>
        <w:rPr>
          <w:rFonts w:hint="cs"/>
          <w:rtl/>
        </w:rPr>
        <w:t>י</w:t>
      </w:r>
      <w:r w:rsidRPr="00BF4CD5">
        <w:rPr>
          <w:rFonts w:hint="cs"/>
          <w:rtl/>
        </w:rPr>
        <w:t xml:space="preserve">סיון לבצע עבירות אלו. </w:t>
      </w:r>
    </w:p>
    <w:p w14:paraId="17F63351" w14:textId="77777777" w:rsidR="00E07582" w:rsidRPr="00BF4CD5" w:rsidRDefault="00E07582" w:rsidP="00E07582">
      <w:pPr>
        <w:tabs>
          <w:tab w:val="left" w:pos="226"/>
        </w:tabs>
        <w:spacing w:line="260" w:lineRule="exact"/>
        <w:ind w:left="85"/>
        <w:contextualSpacing/>
        <w:jc w:val="both"/>
        <w:rPr>
          <w:rFonts w:ascii="David" w:hAnsi="David"/>
        </w:rPr>
      </w:pPr>
    </w:p>
    <w:p w14:paraId="5B1B604C" w14:textId="77777777" w:rsidR="00E07582" w:rsidRPr="00BF4CD5" w:rsidRDefault="00E07582" w:rsidP="00E07582">
      <w:pPr>
        <w:pStyle w:val="aa"/>
        <w:numPr>
          <w:ilvl w:val="0"/>
          <w:numId w:val="2"/>
        </w:numPr>
        <w:tabs>
          <w:tab w:val="left" w:pos="226"/>
        </w:tabs>
        <w:spacing w:line="260" w:lineRule="exact"/>
        <w:ind w:left="85" w:firstLine="0"/>
        <w:jc w:val="both"/>
      </w:pPr>
      <w:r w:rsidRPr="00BF4CD5">
        <w:rPr>
          <w:rFonts w:hint="cs"/>
          <w:rtl/>
        </w:rPr>
        <w:t>חודש מאסר על תנאי למשך שלוש שנים מיום שחרורו ממאסר, שלא יעבר עבירת הכשלת שוטר במילוי תפקידו או נ</w:t>
      </w:r>
      <w:r>
        <w:rPr>
          <w:rFonts w:hint="cs"/>
          <w:rtl/>
        </w:rPr>
        <w:t>י</w:t>
      </w:r>
      <w:r w:rsidRPr="00BF4CD5">
        <w:rPr>
          <w:rFonts w:hint="cs"/>
          <w:rtl/>
        </w:rPr>
        <w:t>סיון לעברה.</w:t>
      </w:r>
    </w:p>
    <w:p w14:paraId="444A3474" w14:textId="77777777" w:rsidR="00E07582" w:rsidRPr="00BF4CD5" w:rsidRDefault="00E07582" w:rsidP="00E07582">
      <w:pPr>
        <w:pStyle w:val="aa"/>
        <w:spacing w:line="260" w:lineRule="exact"/>
      </w:pPr>
    </w:p>
    <w:p w14:paraId="6DCB0EBE" w14:textId="77777777" w:rsidR="00E07582" w:rsidRPr="00BF4CD5" w:rsidRDefault="00E07582" w:rsidP="00E07582">
      <w:pPr>
        <w:pStyle w:val="aa"/>
        <w:numPr>
          <w:ilvl w:val="0"/>
          <w:numId w:val="2"/>
        </w:numPr>
        <w:tabs>
          <w:tab w:val="left" w:pos="226"/>
        </w:tabs>
        <w:spacing w:line="260" w:lineRule="exact"/>
        <w:ind w:left="85" w:firstLine="0"/>
        <w:jc w:val="both"/>
        <w:rPr>
          <w:rtl/>
        </w:rPr>
      </w:pPr>
      <w:r w:rsidRPr="00BF4CD5">
        <w:rPr>
          <w:rFonts w:hint="cs"/>
          <w:rtl/>
        </w:rPr>
        <w:t xml:space="preserve">פיצוי למתלונן בסך 15,000 ₪. הפיצוי ישולם עד ליום 8.9.2024. </w:t>
      </w:r>
    </w:p>
    <w:p w14:paraId="22018F9A" w14:textId="77777777" w:rsidR="00E07582" w:rsidRPr="00BF4CD5" w:rsidRDefault="00E07582" w:rsidP="00E07582">
      <w:pPr>
        <w:pStyle w:val="aa"/>
        <w:spacing w:line="260" w:lineRule="exact"/>
      </w:pPr>
    </w:p>
    <w:p w14:paraId="30EED519" w14:textId="77777777" w:rsidR="00E07582" w:rsidRPr="00BF4CD5" w:rsidRDefault="00E07582" w:rsidP="00E07582">
      <w:pPr>
        <w:pStyle w:val="aa"/>
        <w:numPr>
          <w:ilvl w:val="0"/>
          <w:numId w:val="2"/>
        </w:numPr>
        <w:tabs>
          <w:tab w:val="left" w:pos="226"/>
        </w:tabs>
        <w:spacing w:line="260" w:lineRule="exact"/>
        <w:ind w:left="85" w:firstLine="0"/>
        <w:jc w:val="both"/>
        <w:rPr>
          <w:rtl/>
        </w:rPr>
      </w:pPr>
      <w:r>
        <w:rPr>
          <w:rFonts w:hint="cs"/>
          <w:rtl/>
        </w:rPr>
        <w:t xml:space="preserve">         התחייבות בסך 1,500 ₪ </w:t>
      </w:r>
      <w:r w:rsidRPr="00BF4CD5">
        <w:rPr>
          <w:rFonts w:hint="cs"/>
          <w:rtl/>
        </w:rPr>
        <w:t>להימנע מביצוע עבירות</w:t>
      </w:r>
      <w:r>
        <w:rPr>
          <w:rFonts w:hint="cs"/>
          <w:rtl/>
        </w:rPr>
        <w:t xml:space="preserve"> אלימות, איומים או החזקת סכין</w:t>
      </w:r>
      <w:r w:rsidRPr="00BF4CD5">
        <w:rPr>
          <w:rFonts w:hint="cs"/>
          <w:rtl/>
        </w:rPr>
        <w:t xml:space="preserve"> וזאת למשך שנתיים מהיום. לא יצהיר הנאשם על התחייבות כאמור, יאסר ל-10 ימים, תקופה שתצטבר לתקופת מאסרו</w:t>
      </w:r>
      <w:r w:rsidRPr="00BF4CD5">
        <w:t>.</w:t>
      </w:r>
    </w:p>
    <w:p w14:paraId="5571E4DD" w14:textId="77777777" w:rsidR="00E07582" w:rsidRPr="00BF4CD5" w:rsidRDefault="00E07582" w:rsidP="00E07582">
      <w:pPr>
        <w:pStyle w:val="aa"/>
        <w:spacing w:line="260" w:lineRule="exact"/>
      </w:pPr>
    </w:p>
    <w:p w14:paraId="0D65E8C0" w14:textId="77777777" w:rsidR="00E07582" w:rsidRPr="00BF4CD5" w:rsidRDefault="00E07582" w:rsidP="00E07582">
      <w:pPr>
        <w:numPr>
          <w:ilvl w:val="0"/>
          <w:numId w:val="1"/>
        </w:numPr>
        <w:tabs>
          <w:tab w:val="left" w:pos="226"/>
        </w:tabs>
        <w:spacing w:line="260" w:lineRule="exact"/>
        <w:ind w:left="85" w:firstLine="0"/>
        <w:contextualSpacing/>
        <w:jc w:val="both"/>
        <w:rPr>
          <w:rFonts w:ascii="David" w:hAnsi="David"/>
          <w:rtl/>
        </w:rPr>
      </w:pPr>
      <w:r w:rsidRPr="00BF4CD5">
        <w:rPr>
          <w:rFonts w:ascii="David" w:hAnsi="David"/>
          <w:rtl/>
        </w:rPr>
        <w:t>המוצגים, ככל שישנם בתיק זה, יטופלו בהתאם להחלטת קצין משטרה מוסמך</w:t>
      </w:r>
      <w:r w:rsidRPr="00BF4CD5">
        <w:rPr>
          <w:rFonts w:ascii="David" w:hAnsi="David"/>
        </w:rPr>
        <w:t>.</w:t>
      </w:r>
      <w:r w:rsidRPr="00BF4CD5">
        <w:rPr>
          <w:rFonts w:ascii="David" w:hAnsi="David"/>
          <w:rtl/>
        </w:rPr>
        <w:t xml:space="preserve"> עם זאת, את ת/1, הלופה, ששמשה את הנאשם ככלי תקיפה במהלך האירוע, אין להשיב לו. </w:t>
      </w:r>
    </w:p>
    <w:p w14:paraId="199EC7E6" w14:textId="77777777" w:rsidR="00E07582" w:rsidRPr="00BF4CD5" w:rsidRDefault="00E07582" w:rsidP="00E07582">
      <w:pPr>
        <w:tabs>
          <w:tab w:val="left" w:pos="226"/>
        </w:tabs>
        <w:spacing w:line="260" w:lineRule="exact"/>
        <w:ind w:left="85"/>
        <w:contextualSpacing/>
        <w:jc w:val="both"/>
        <w:rPr>
          <w:rFonts w:ascii="David" w:hAnsi="David"/>
        </w:rPr>
      </w:pPr>
    </w:p>
    <w:p w14:paraId="7B67743B" w14:textId="77777777" w:rsidR="00E07582" w:rsidRPr="00BF4CD5" w:rsidRDefault="00E07582" w:rsidP="00E07582">
      <w:pPr>
        <w:spacing w:line="260" w:lineRule="exact"/>
        <w:jc w:val="both"/>
        <w:rPr>
          <w:rFonts w:ascii="David" w:hAnsi="David"/>
        </w:rPr>
      </w:pPr>
      <w:r w:rsidRPr="00BF4CD5">
        <w:rPr>
          <w:rFonts w:ascii="David" w:hAnsi="David"/>
          <w:u w:val="single"/>
          <w:rtl/>
        </w:rPr>
        <w:t>זכות ערעור לבית-המשפט המחוזי בתל-אביב יפו תוך 45 יום מהיום</w:t>
      </w:r>
      <w:r w:rsidRPr="00BF4CD5">
        <w:rPr>
          <w:rFonts w:ascii="David" w:hAnsi="David"/>
          <w:rtl/>
        </w:rPr>
        <w:t xml:space="preserve">. </w:t>
      </w:r>
    </w:p>
    <w:p w14:paraId="4AE2E5AE" w14:textId="77777777" w:rsidR="00E07582" w:rsidRPr="00EE787A" w:rsidRDefault="00EE787A" w:rsidP="00E07582">
      <w:pPr>
        <w:spacing w:line="260" w:lineRule="exact"/>
        <w:jc w:val="both"/>
        <w:rPr>
          <w:rFonts w:ascii="David" w:hAnsi="David"/>
          <w:color w:val="FFFFFF"/>
          <w:sz w:val="2"/>
          <w:szCs w:val="2"/>
          <w:rtl/>
        </w:rPr>
      </w:pPr>
      <w:r w:rsidRPr="00EE787A">
        <w:rPr>
          <w:rFonts w:ascii="David" w:hAnsi="David"/>
          <w:color w:val="FFFFFF"/>
          <w:sz w:val="2"/>
          <w:szCs w:val="2"/>
          <w:rtl/>
        </w:rPr>
        <w:t>5129371</w:t>
      </w:r>
    </w:p>
    <w:p w14:paraId="7D9233ED" w14:textId="77777777" w:rsidR="00E07582" w:rsidRPr="00EE787A" w:rsidRDefault="00EE787A" w:rsidP="00E07582">
      <w:pPr>
        <w:tabs>
          <w:tab w:val="left" w:pos="2553"/>
        </w:tabs>
        <w:spacing w:line="260" w:lineRule="exact"/>
        <w:ind w:left="5040"/>
        <w:rPr>
          <w:rFonts w:ascii="David" w:hAnsi="David"/>
          <w:noProof/>
          <w:color w:val="FFFFFF"/>
          <w:sz w:val="2"/>
          <w:szCs w:val="2"/>
        </w:rPr>
      </w:pPr>
      <w:r w:rsidRPr="00EE787A">
        <w:rPr>
          <w:rFonts w:ascii="David" w:hAnsi="David"/>
          <w:color w:val="FFFFFF"/>
          <w:sz w:val="2"/>
          <w:szCs w:val="2"/>
          <w:rtl/>
        </w:rPr>
        <w:t>54678313</w:t>
      </w:r>
      <w:r w:rsidR="00E07582" w:rsidRPr="00EE787A">
        <w:rPr>
          <w:rFonts w:ascii="David" w:hAnsi="David"/>
          <w:color w:val="FFFFFF"/>
          <w:sz w:val="2"/>
          <w:szCs w:val="2"/>
          <w:rtl/>
        </w:rPr>
        <w:t xml:space="preserve">     </w:t>
      </w:r>
    </w:p>
    <w:p w14:paraId="6CDF04A1" w14:textId="77777777" w:rsidR="00E07582" w:rsidRPr="00BF4CD5" w:rsidRDefault="00EE787A" w:rsidP="00E07582">
      <w:pPr>
        <w:spacing w:line="260" w:lineRule="exact"/>
        <w:jc w:val="both"/>
        <w:rPr>
          <w:rFonts w:ascii="Arial" w:hAnsi="Arial"/>
          <w:sz w:val="26"/>
          <w:szCs w:val="26"/>
          <w:rtl/>
        </w:rPr>
      </w:pPr>
      <w:bookmarkStart w:id="9" w:name="Nitan"/>
      <w:r>
        <w:rPr>
          <w:rFonts w:ascii="Arial" w:hAnsi="Arial"/>
          <w:rtl/>
        </w:rPr>
        <w:t xml:space="preserve">ניתן היום,  י"ח תמוז תשפ"ד, 24 יולי 2024, במעמד הצדדים. </w:t>
      </w:r>
      <w:bookmarkEnd w:id="9"/>
    </w:p>
    <w:p w14:paraId="42C1864E" w14:textId="77777777" w:rsidR="00E07582" w:rsidRPr="00BF4CD5" w:rsidRDefault="00E07582" w:rsidP="00E07582">
      <w:pPr>
        <w:spacing w:line="260" w:lineRule="exact"/>
        <w:jc w:val="both"/>
        <w:rPr>
          <w:rFonts w:ascii="Arial" w:hAnsi="Arial"/>
          <w:sz w:val="26"/>
          <w:szCs w:val="26"/>
          <w:rtl/>
        </w:rPr>
      </w:pPr>
      <w:r w:rsidRPr="00BF4CD5">
        <w:rPr>
          <w:rFonts w:ascii="Arial" w:hAnsi="Arial"/>
          <w:sz w:val="26"/>
          <w:szCs w:val="26"/>
          <w:rtl/>
        </w:rPr>
        <w:tab/>
      </w:r>
      <w:r w:rsidRPr="00BF4CD5">
        <w:rPr>
          <w:rFonts w:ascii="Arial" w:hAnsi="Arial"/>
          <w:sz w:val="26"/>
          <w:szCs w:val="26"/>
          <w:rtl/>
        </w:rPr>
        <w:tab/>
      </w:r>
      <w:r w:rsidRPr="00BF4CD5">
        <w:rPr>
          <w:rFonts w:ascii="Arial" w:hAnsi="Arial"/>
          <w:sz w:val="26"/>
          <w:szCs w:val="26"/>
          <w:rtl/>
        </w:rPr>
        <w:tab/>
      </w:r>
      <w:r w:rsidRPr="00BF4CD5">
        <w:rPr>
          <w:rFonts w:ascii="Arial" w:hAnsi="Arial"/>
          <w:sz w:val="26"/>
          <w:szCs w:val="26"/>
          <w:rtl/>
        </w:rPr>
        <w:tab/>
      </w:r>
      <w:r w:rsidRPr="00BF4CD5">
        <w:rPr>
          <w:rFonts w:ascii="Arial" w:hAnsi="Arial"/>
          <w:sz w:val="26"/>
          <w:szCs w:val="26"/>
          <w:rtl/>
        </w:rPr>
        <w:tab/>
      </w:r>
      <w:r w:rsidRPr="00BF4CD5">
        <w:rPr>
          <w:rFonts w:ascii="Arial" w:hAnsi="Arial"/>
          <w:sz w:val="26"/>
          <w:szCs w:val="26"/>
          <w:rtl/>
        </w:rPr>
        <w:tab/>
      </w:r>
      <w:r w:rsidRPr="00BF4CD5">
        <w:rPr>
          <w:rFonts w:ascii="Arial" w:hAnsi="Arial"/>
          <w:sz w:val="26"/>
          <w:szCs w:val="26"/>
          <w:rtl/>
        </w:rPr>
        <w:tab/>
      </w:r>
      <w:r w:rsidRPr="00BF4CD5">
        <w:rPr>
          <w:rFonts w:ascii="Arial" w:hAnsi="Arial" w:hint="cs"/>
          <w:sz w:val="26"/>
          <w:szCs w:val="26"/>
          <w:rtl/>
        </w:rPr>
        <w:t xml:space="preserve">         </w:t>
      </w:r>
    </w:p>
    <w:p w14:paraId="154A34E2" w14:textId="77777777" w:rsidR="00E07582" w:rsidRPr="001414E4" w:rsidRDefault="00E07582" w:rsidP="00EE787A">
      <w:pPr>
        <w:spacing w:line="260" w:lineRule="exact"/>
        <w:jc w:val="center"/>
      </w:pPr>
      <w:r w:rsidRPr="00BF4CD5">
        <w:rPr>
          <w:rFonts w:ascii="Arial" w:hAnsi="Arial"/>
          <w:sz w:val="26"/>
          <w:szCs w:val="26"/>
          <w:rtl/>
        </w:rPr>
        <w:t xml:space="preserve">   </w:t>
      </w:r>
      <w:r w:rsidRPr="00BF4CD5">
        <w:rPr>
          <w:rFonts w:ascii="Arial" w:hAnsi="Arial"/>
          <w:sz w:val="26"/>
          <w:szCs w:val="26"/>
          <w:rtl/>
        </w:rPr>
        <w:tab/>
      </w:r>
      <w:r w:rsidRPr="00BF4CD5">
        <w:rPr>
          <w:rFonts w:ascii="Arial" w:hAnsi="Arial"/>
          <w:sz w:val="26"/>
          <w:szCs w:val="26"/>
          <w:rtl/>
        </w:rPr>
        <w:tab/>
      </w:r>
      <w:r w:rsidRPr="00BF4CD5">
        <w:rPr>
          <w:rFonts w:ascii="Arial" w:hAnsi="Arial"/>
          <w:sz w:val="26"/>
          <w:szCs w:val="26"/>
          <w:rtl/>
        </w:rPr>
        <w:tab/>
      </w:r>
      <w:r w:rsidRPr="00BF4CD5">
        <w:rPr>
          <w:rFonts w:ascii="Arial" w:hAnsi="Arial"/>
          <w:sz w:val="26"/>
          <w:szCs w:val="26"/>
          <w:rtl/>
        </w:rPr>
        <w:tab/>
      </w:r>
      <w:r w:rsidRPr="00BF4CD5">
        <w:rPr>
          <w:rFonts w:ascii="Arial" w:hAnsi="Arial"/>
          <w:sz w:val="26"/>
          <w:szCs w:val="26"/>
          <w:rtl/>
        </w:rPr>
        <w:tab/>
      </w:r>
    </w:p>
    <w:p w14:paraId="5ADB6DB5" w14:textId="77777777" w:rsidR="00E07582" w:rsidRPr="001414E4" w:rsidRDefault="00E07582" w:rsidP="00E07582">
      <w:pPr>
        <w:spacing w:line="260" w:lineRule="exact"/>
        <w:jc w:val="center"/>
        <w:rPr>
          <w:rFonts w:ascii="Arial" w:hAnsi="Arial"/>
          <w:sz w:val="26"/>
          <w:szCs w:val="26"/>
          <w:rtl/>
        </w:rPr>
      </w:pPr>
    </w:p>
    <w:p w14:paraId="2F0CAE05" w14:textId="77777777" w:rsidR="00FC40EB" w:rsidRPr="00EE787A" w:rsidRDefault="00FC40EB" w:rsidP="00EE787A">
      <w:pPr>
        <w:keepNext/>
        <w:rPr>
          <w:rFonts w:ascii="David" w:hAnsi="David"/>
          <w:color w:val="000000"/>
          <w:sz w:val="22"/>
          <w:szCs w:val="22"/>
          <w:rtl/>
        </w:rPr>
      </w:pPr>
    </w:p>
    <w:p w14:paraId="147CB38F" w14:textId="77777777" w:rsidR="00EE787A" w:rsidRPr="00EE787A" w:rsidRDefault="00EE787A" w:rsidP="00EE787A">
      <w:pPr>
        <w:keepNext/>
        <w:rPr>
          <w:rFonts w:ascii="David" w:hAnsi="David"/>
          <w:color w:val="000000"/>
          <w:sz w:val="22"/>
          <w:szCs w:val="22"/>
          <w:rtl/>
        </w:rPr>
      </w:pPr>
      <w:r w:rsidRPr="00EE787A">
        <w:rPr>
          <w:rFonts w:ascii="David" w:hAnsi="David"/>
          <w:color w:val="000000"/>
          <w:sz w:val="22"/>
          <w:szCs w:val="22"/>
          <w:rtl/>
        </w:rPr>
        <w:t>שלומית בן יצחק 54678313</w:t>
      </w:r>
    </w:p>
    <w:p w14:paraId="0F014234" w14:textId="77777777" w:rsidR="00EE787A" w:rsidRDefault="00EE787A" w:rsidP="00EE787A">
      <w:r w:rsidRPr="00EE787A">
        <w:rPr>
          <w:color w:val="000000"/>
          <w:rtl/>
        </w:rPr>
        <w:t>נוסח מסמך זה כפוף לשינויי ניסוח ועריכה</w:t>
      </w:r>
    </w:p>
    <w:p w14:paraId="3E5582C8" w14:textId="77777777" w:rsidR="00EE787A" w:rsidRDefault="00EE787A" w:rsidP="00EE787A">
      <w:pPr>
        <w:rPr>
          <w:rtl/>
        </w:rPr>
      </w:pPr>
    </w:p>
    <w:p w14:paraId="71870DD7" w14:textId="77777777" w:rsidR="00EE787A" w:rsidRDefault="00EE787A" w:rsidP="00EE787A">
      <w:pPr>
        <w:jc w:val="center"/>
        <w:rPr>
          <w:color w:val="0000FF"/>
          <w:u w:val="single"/>
        </w:rPr>
      </w:pPr>
      <w:hyperlink r:id="rId132" w:history="1">
        <w:r>
          <w:rPr>
            <w:color w:val="0000FF"/>
            <w:u w:val="single"/>
            <w:rtl/>
          </w:rPr>
          <w:t>בעניין עריכה ושינויים במסמכי פסיקה, חקיקה ועוד באתר נבו – הקש כאן</w:t>
        </w:r>
      </w:hyperlink>
    </w:p>
    <w:p w14:paraId="652AF37B" w14:textId="77777777" w:rsidR="00EE787A" w:rsidRPr="00EE787A" w:rsidRDefault="00EE787A" w:rsidP="00EE787A">
      <w:pPr>
        <w:jc w:val="center"/>
        <w:rPr>
          <w:color w:val="0000FF"/>
          <w:u w:val="single"/>
        </w:rPr>
      </w:pPr>
    </w:p>
    <w:sectPr w:rsidR="00EE787A" w:rsidRPr="00EE787A" w:rsidSect="00EE787A">
      <w:headerReference w:type="even" r:id="rId133"/>
      <w:headerReference w:type="default" r:id="rId134"/>
      <w:footerReference w:type="even" r:id="rId135"/>
      <w:footerReference w:type="default" r:id="rId1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98D84" w14:textId="77777777" w:rsidR="006333CD" w:rsidRDefault="006333CD" w:rsidP="00F95C0A">
      <w:r>
        <w:separator/>
      </w:r>
    </w:p>
  </w:endnote>
  <w:endnote w:type="continuationSeparator" w:id="0">
    <w:p w14:paraId="6FEAA122" w14:textId="77777777" w:rsidR="006333CD" w:rsidRDefault="006333CD" w:rsidP="00F95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13A97" w14:textId="77777777" w:rsidR="00F93271" w:rsidRDefault="00F93271" w:rsidP="00EE787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01ABCA" w14:textId="77777777" w:rsidR="00F93271" w:rsidRPr="00EE787A" w:rsidRDefault="00F93271" w:rsidP="00EE787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4D713" w14:textId="77777777" w:rsidR="00F93271" w:rsidRDefault="00F93271" w:rsidP="00EE787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5F72">
      <w:rPr>
        <w:rFonts w:ascii="FrankRuehl" w:hAnsi="FrankRuehl" w:cs="FrankRuehl"/>
        <w:noProof/>
        <w:rtl/>
      </w:rPr>
      <w:t>1</w:t>
    </w:r>
    <w:r>
      <w:rPr>
        <w:rFonts w:ascii="FrankRuehl" w:hAnsi="FrankRuehl" w:cs="FrankRuehl"/>
        <w:rtl/>
      </w:rPr>
      <w:fldChar w:fldCharType="end"/>
    </w:r>
  </w:p>
  <w:p w14:paraId="271BC2E1" w14:textId="77777777" w:rsidR="00F93271" w:rsidRPr="00EE787A" w:rsidRDefault="00F93271" w:rsidP="00EE787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FD54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E55BC" w14:textId="77777777" w:rsidR="006333CD" w:rsidRDefault="006333CD" w:rsidP="00F95C0A">
      <w:r>
        <w:separator/>
      </w:r>
    </w:p>
  </w:footnote>
  <w:footnote w:type="continuationSeparator" w:id="0">
    <w:p w14:paraId="79127EE4" w14:textId="77777777" w:rsidR="006333CD" w:rsidRDefault="006333CD" w:rsidP="00F95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82DC9" w14:textId="77777777" w:rsidR="00F93271" w:rsidRPr="00EE787A" w:rsidRDefault="00F93271" w:rsidP="00EE787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51140-08-23</w:t>
    </w:r>
    <w:r>
      <w:rPr>
        <w:rFonts w:ascii="David" w:hAnsi="David"/>
        <w:color w:val="000000"/>
        <w:sz w:val="22"/>
        <w:szCs w:val="22"/>
        <w:rtl/>
      </w:rPr>
      <w:tab/>
      <w:t xml:space="preserve"> מדינת ישראל נ' אהרן מלול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1C8C1" w14:textId="77777777" w:rsidR="00F93271" w:rsidRPr="00EE787A" w:rsidRDefault="00F93271" w:rsidP="00EE787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51140-08-23</w:t>
    </w:r>
    <w:r>
      <w:rPr>
        <w:rFonts w:ascii="David" w:hAnsi="David"/>
        <w:color w:val="000000"/>
        <w:sz w:val="22"/>
        <w:szCs w:val="22"/>
        <w:rtl/>
      </w:rPr>
      <w:tab/>
      <w:t xml:space="preserve"> מדינת ישראל נ' אהרן מלול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B234F"/>
    <w:multiLevelType w:val="hybridMultilevel"/>
    <w:tmpl w:val="65063552"/>
    <w:lvl w:ilvl="0" w:tplc="0A244792">
      <w:start w:val="1"/>
      <w:numFmt w:val="decimal"/>
      <w:lvlText w:val="%1."/>
      <w:lvlJc w:val="left"/>
      <w:pPr>
        <w:ind w:left="360" w:hanging="360"/>
      </w:pPr>
      <w:rPr>
        <w:rFonts w:ascii="David" w:hAnsi="David" w:cs="David" w:hint="default"/>
        <w:b w:val="0"/>
        <w:bCs w:val="0"/>
        <w:i w:val="0"/>
        <w:iCs w:val="0"/>
        <w:sz w:val="24"/>
        <w:szCs w:val="24"/>
      </w:rPr>
    </w:lvl>
    <w:lvl w:ilvl="1" w:tplc="04090019">
      <w:start w:val="1"/>
      <w:numFmt w:val="lowerLetter"/>
      <w:lvlText w:val="%2."/>
      <w:lvlJc w:val="left"/>
      <w:pPr>
        <w:ind w:left="1525" w:hanging="360"/>
      </w:pPr>
    </w:lvl>
    <w:lvl w:ilvl="2" w:tplc="0409001B">
      <w:start w:val="1"/>
      <w:numFmt w:val="lowerRoman"/>
      <w:lvlText w:val="%3."/>
      <w:lvlJc w:val="right"/>
      <w:pPr>
        <w:ind w:left="2245" w:hanging="180"/>
      </w:pPr>
    </w:lvl>
    <w:lvl w:ilvl="3" w:tplc="0409000F">
      <w:start w:val="1"/>
      <w:numFmt w:val="decimal"/>
      <w:lvlText w:val="%4."/>
      <w:lvlJc w:val="left"/>
      <w:pPr>
        <w:ind w:left="2965" w:hanging="360"/>
      </w:pPr>
    </w:lvl>
    <w:lvl w:ilvl="4" w:tplc="04090019">
      <w:start w:val="1"/>
      <w:numFmt w:val="lowerLetter"/>
      <w:lvlText w:val="%5."/>
      <w:lvlJc w:val="left"/>
      <w:pPr>
        <w:ind w:left="3685" w:hanging="360"/>
      </w:pPr>
    </w:lvl>
    <w:lvl w:ilvl="5" w:tplc="0409001B">
      <w:start w:val="1"/>
      <w:numFmt w:val="lowerRoman"/>
      <w:lvlText w:val="%6."/>
      <w:lvlJc w:val="right"/>
      <w:pPr>
        <w:ind w:left="4405" w:hanging="180"/>
      </w:pPr>
    </w:lvl>
    <w:lvl w:ilvl="6" w:tplc="0409000F">
      <w:start w:val="1"/>
      <w:numFmt w:val="decimal"/>
      <w:lvlText w:val="%7."/>
      <w:lvlJc w:val="left"/>
      <w:pPr>
        <w:ind w:left="5125" w:hanging="360"/>
      </w:pPr>
    </w:lvl>
    <w:lvl w:ilvl="7" w:tplc="04090019">
      <w:start w:val="1"/>
      <w:numFmt w:val="lowerLetter"/>
      <w:lvlText w:val="%8."/>
      <w:lvlJc w:val="left"/>
      <w:pPr>
        <w:ind w:left="5845" w:hanging="360"/>
      </w:pPr>
    </w:lvl>
    <w:lvl w:ilvl="8" w:tplc="0409001B">
      <w:start w:val="1"/>
      <w:numFmt w:val="lowerRoman"/>
      <w:lvlText w:val="%9."/>
      <w:lvlJc w:val="right"/>
      <w:pPr>
        <w:ind w:left="6565" w:hanging="180"/>
      </w:pPr>
    </w:lvl>
  </w:abstractNum>
  <w:abstractNum w:abstractNumId="1" w15:restartNumberingAfterBreak="0">
    <w:nsid w:val="7B942A46"/>
    <w:multiLevelType w:val="hybridMultilevel"/>
    <w:tmpl w:val="E1DA1AE6"/>
    <w:lvl w:ilvl="0" w:tplc="52085388">
      <w:start w:val="1"/>
      <w:numFmt w:val="hebrew1"/>
      <w:lvlText w:val="%1."/>
      <w:lvlJc w:val="left"/>
      <w:pPr>
        <w:ind w:left="805" w:hanging="360"/>
      </w:pPr>
      <w:rPr>
        <w:b w:val="0"/>
      </w:rPr>
    </w:lvl>
    <w:lvl w:ilvl="1" w:tplc="04090019">
      <w:start w:val="1"/>
      <w:numFmt w:val="lowerLetter"/>
      <w:lvlText w:val="%2."/>
      <w:lvlJc w:val="left"/>
      <w:pPr>
        <w:ind w:left="1525" w:hanging="360"/>
      </w:pPr>
    </w:lvl>
    <w:lvl w:ilvl="2" w:tplc="0409001B">
      <w:start w:val="1"/>
      <w:numFmt w:val="lowerRoman"/>
      <w:lvlText w:val="%3."/>
      <w:lvlJc w:val="right"/>
      <w:pPr>
        <w:ind w:left="2245" w:hanging="180"/>
      </w:pPr>
    </w:lvl>
    <w:lvl w:ilvl="3" w:tplc="0409000F">
      <w:start w:val="1"/>
      <w:numFmt w:val="decimal"/>
      <w:lvlText w:val="%4."/>
      <w:lvlJc w:val="left"/>
      <w:pPr>
        <w:ind w:left="2965" w:hanging="360"/>
      </w:pPr>
    </w:lvl>
    <w:lvl w:ilvl="4" w:tplc="04090019">
      <w:start w:val="1"/>
      <w:numFmt w:val="lowerLetter"/>
      <w:lvlText w:val="%5."/>
      <w:lvlJc w:val="left"/>
      <w:pPr>
        <w:ind w:left="3685" w:hanging="360"/>
      </w:pPr>
    </w:lvl>
    <w:lvl w:ilvl="5" w:tplc="0409001B">
      <w:start w:val="1"/>
      <w:numFmt w:val="lowerRoman"/>
      <w:lvlText w:val="%6."/>
      <w:lvlJc w:val="right"/>
      <w:pPr>
        <w:ind w:left="4405" w:hanging="180"/>
      </w:pPr>
    </w:lvl>
    <w:lvl w:ilvl="6" w:tplc="0409000F">
      <w:start w:val="1"/>
      <w:numFmt w:val="decimal"/>
      <w:lvlText w:val="%7."/>
      <w:lvlJc w:val="left"/>
      <w:pPr>
        <w:ind w:left="5125" w:hanging="360"/>
      </w:pPr>
    </w:lvl>
    <w:lvl w:ilvl="7" w:tplc="04090019">
      <w:start w:val="1"/>
      <w:numFmt w:val="lowerLetter"/>
      <w:lvlText w:val="%8."/>
      <w:lvlJc w:val="left"/>
      <w:pPr>
        <w:ind w:left="5845" w:hanging="360"/>
      </w:pPr>
    </w:lvl>
    <w:lvl w:ilvl="8" w:tplc="0409001B">
      <w:start w:val="1"/>
      <w:numFmt w:val="lowerRoman"/>
      <w:lvlText w:val="%9."/>
      <w:lvlJc w:val="right"/>
      <w:pPr>
        <w:ind w:left="6565" w:hanging="180"/>
      </w:pPr>
    </w:lvl>
  </w:abstractNum>
  <w:num w:numId="1" w16cid:durableId="11495178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8546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7582"/>
    <w:rsid w:val="0017039C"/>
    <w:rsid w:val="00174A6E"/>
    <w:rsid w:val="001C309D"/>
    <w:rsid w:val="005231F3"/>
    <w:rsid w:val="00556113"/>
    <w:rsid w:val="005E56E9"/>
    <w:rsid w:val="006333CD"/>
    <w:rsid w:val="006A1D5C"/>
    <w:rsid w:val="009A4E4C"/>
    <w:rsid w:val="00B15F72"/>
    <w:rsid w:val="00D3617D"/>
    <w:rsid w:val="00E0532A"/>
    <w:rsid w:val="00E07582"/>
    <w:rsid w:val="00E87B1D"/>
    <w:rsid w:val="00EE787A"/>
    <w:rsid w:val="00F93271"/>
    <w:rsid w:val="00F95C0A"/>
    <w:rsid w:val="00FC40EB"/>
    <w:rsid w:val="00FD13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69109F"/>
  <w15:chartTrackingRefBased/>
  <w15:docId w15:val="{E0CDE523-173D-4832-9D09-D583F655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758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07582"/>
    <w:pPr>
      <w:tabs>
        <w:tab w:val="center" w:pos="4153"/>
        <w:tab w:val="right" w:pos="8306"/>
      </w:tabs>
    </w:pPr>
  </w:style>
  <w:style w:type="character" w:customStyle="1" w:styleId="a4">
    <w:name w:val="כותרת עליונה תו"/>
    <w:link w:val="a3"/>
    <w:rsid w:val="00E07582"/>
    <w:rPr>
      <w:rFonts w:ascii="Times New Roman" w:eastAsia="Times New Roman" w:hAnsi="Times New Roman" w:cs="David"/>
      <w:sz w:val="24"/>
      <w:szCs w:val="24"/>
    </w:rPr>
  </w:style>
  <w:style w:type="paragraph" w:styleId="a5">
    <w:name w:val="footer"/>
    <w:basedOn w:val="a"/>
    <w:link w:val="a6"/>
    <w:rsid w:val="00E07582"/>
    <w:pPr>
      <w:tabs>
        <w:tab w:val="center" w:pos="4153"/>
        <w:tab w:val="right" w:pos="8306"/>
      </w:tabs>
    </w:pPr>
  </w:style>
  <w:style w:type="character" w:customStyle="1" w:styleId="a6">
    <w:name w:val="כותרת תחתונה תו"/>
    <w:link w:val="a5"/>
    <w:rsid w:val="00E07582"/>
    <w:rPr>
      <w:rFonts w:ascii="Times New Roman" w:eastAsia="Times New Roman" w:hAnsi="Times New Roman" w:cs="David"/>
      <w:sz w:val="24"/>
      <w:szCs w:val="24"/>
    </w:rPr>
  </w:style>
  <w:style w:type="table" w:styleId="a7">
    <w:name w:val="Table Grid"/>
    <w:basedOn w:val="a1"/>
    <w:rsid w:val="00E0758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07582"/>
  </w:style>
  <w:style w:type="character" w:customStyle="1" w:styleId="a9">
    <w:name w:val="פיסקת רשימה תו"/>
    <w:link w:val="aa"/>
    <w:locked/>
    <w:rsid w:val="00E07582"/>
    <w:rPr>
      <w:rFonts w:ascii="David" w:hAnsi="David" w:cs="David"/>
      <w:sz w:val="24"/>
      <w:szCs w:val="24"/>
    </w:rPr>
  </w:style>
  <w:style w:type="paragraph" w:styleId="aa">
    <w:name w:val="List Paragraph"/>
    <w:basedOn w:val="a"/>
    <w:link w:val="a9"/>
    <w:qFormat/>
    <w:rsid w:val="00E07582"/>
    <w:pPr>
      <w:ind w:left="720"/>
      <w:contextualSpacing/>
    </w:pPr>
    <w:rPr>
      <w:rFonts w:ascii="David" w:eastAsia="Calibri" w:hAnsi="David"/>
    </w:rPr>
  </w:style>
  <w:style w:type="character" w:styleId="Hyperlink">
    <w:name w:val="Hyperlink"/>
    <w:rsid w:val="00EE78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29290757" TargetMode="External"/><Relationship Id="rId21" Type="http://schemas.openxmlformats.org/officeDocument/2006/relationships/hyperlink" Target="http://www.nevo.co.il/law/70301/192" TargetMode="External"/><Relationship Id="rId42" Type="http://schemas.openxmlformats.org/officeDocument/2006/relationships/hyperlink" Target="http://www.nevo.co.il/law/74903/184" TargetMode="External"/><Relationship Id="rId63" Type="http://schemas.openxmlformats.org/officeDocument/2006/relationships/hyperlink" Target="http://www.nevo.co.il/law/74903" TargetMode="External"/><Relationship Id="rId84" Type="http://schemas.openxmlformats.org/officeDocument/2006/relationships/hyperlink" Target="http://www.nevo.co.il/law/70301/40a" TargetMode="External"/><Relationship Id="rId138" Type="http://schemas.openxmlformats.org/officeDocument/2006/relationships/theme" Target="theme/theme1.xml"/><Relationship Id="rId16" Type="http://schemas.openxmlformats.org/officeDocument/2006/relationships/hyperlink" Target="http://www.nevo.co.il/law/70301/40j.a" TargetMode="External"/><Relationship Id="rId107" Type="http://schemas.openxmlformats.org/officeDocument/2006/relationships/hyperlink" Target="http://www.nevo.co.il/case/27343411"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law/70301/192" TargetMode="External"/><Relationship Id="rId37" Type="http://schemas.openxmlformats.org/officeDocument/2006/relationships/hyperlink" Target="http://www.nevo.co.il/law/70301/25" TargetMode="External"/><Relationship Id="rId53" Type="http://schemas.openxmlformats.org/officeDocument/2006/relationships/hyperlink" Target="http://www.nevo.co.il/law/70301/275" TargetMode="External"/><Relationship Id="rId58" Type="http://schemas.openxmlformats.org/officeDocument/2006/relationships/hyperlink" Target="http://www.nevo.co.il/law/74903/184" TargetMode="External"/><Relationship Id="rId74" Type="http://schemas.openxmlformats.org/officeDocument/2006/relationships/hyperlink" Target="http://www.nevo.co.il/law/74903/184" TargetMode="External"/><Relationship Id="rId79" Type="http://schemas.openxmlformats.org/officeDocument/2006/relationships/hyperlink" Target="http://www.nevo.co.il/law/74903" TargetMode="External"/><Relationship Id="rId102" Type="http://schemas.openxmlformats.org/officeDocument/2006/relationships/hyperlink" Target="http://www.nevo.co.il/case/21051809" TargetMode="External"/><Relationship Id="rId123" Type="http://schemas.openxmlformats.org/officeDocument/2006/relationships/hyperlink" Target="http://www.nevo.co.il/case/25612982" TargetMode="External"/><Relationship Id="rId128" Type="http://schemas.openxmlformats.org/officeDocument/2006/relationships/hyperlink" Target="http://www.nevo.co.il/case/21477594" TargetMode="External"/><Relationship Id="rId5" Type="http://schemas.openxmlformats.org/officeDocument/2006/relationships/footnotes" Target="footnotes.xml"/><Relationship Id="rId90" Type="http://schemas.openxmlformats.org/officeDocument/2006/relationships/hyperlink" Target="http://www.nevo.co.il/law/74903/184" TargetMode="External"/><Relationship Id="rId95" Type="http://schemas.openxmlformats.org/officeDocument/2006/relationships/hyperlink" Target="http://www.nevo.co.il/law/74903/184" TargetMode="External"/><Relationship Id="rId22" Type="http://schemas.openxmlformats.org/officeDocument/2006/relationships/hyperlink" Target="http://www.nevo.co.il/law/70301/275" TargetMode="External"/><Relationship Id="rId27" Type="http://schemas.openxmlformats.org/officeDocument/2006/relationships/hyperlink" Target="http://www.nevo.co.il/law/70301/40ja.4" TargetMode="External"/><Relationship Id="rId43" Type="http://schemas.openxmlformats.org/officeDocument/2006/relationships/hyperlink" Target="http://www.nevo.co.il/law/74903" TargetMode="External"/><Relationship Id="rId48" Type="http://schemas.openxmlformats.org/officeDocument/2006/relationships/hyperlink" Target="http://www.nevo.co.il/law/70301/40j" TargetMode="External"/><Relationship Id="rId64" Type="http://schemas.openxmlformats.org/officeDocument/2006/relationships/hyperlink" Target="http://www.nevo.co.il/law/74903/184" TargetMode="External"/><Relationship Id="rId69" Type="http://schemas.openxmlformats.org/officeDocument/2006/relationships/hyperlink" Target="http://www.nevo.co.il/case/13045619" TargetMode="External"/><Relationship Id="rId113" Type="http://schemas.openxmlformats.org/officeDocument/2006/relationships/hyperlink" Target="http://www.nevo.co.il/case/24991487" TargetMode="External"/><Relationship Id="rId118" Type="http://schemas.openxmlformats.org/officeDocument/2006/relationships/hyperlink" Target="http://www.nevo.co.il/law/70301/40ja.4" TargetMode="External"/><Relationship Id="rId134" Type="http://schemas.openxmlformats.org/officeDocument/2006/relationships/header" Target="header2.xml"/><Relationship Id="rId80" Type="http://schemas.openxmlformats.org/officeDocument/2006/relationships/hyperlink" Target="http://www.nevo.co.il/case/7856804" TargetMode="External"/><Relationship Id="rId85" Type="http://schemas.openxmlformats.org/officeDocument/2006/relationships/hyperlink" Target="http://www.nevo.co.il/law/70301/40i.a" TargetMode="External"/><Relationship Id="rId12" Type="http://schemas.openxmlformats.org/officeDocument/2006/relationships/hyperlink" Target="http://www.nevo.co.il/law/70301/40f" TargetMode="External"/><Relationship Id="rId17" Type="http://schemas.openxmlformats.org/officeDocument/2006/relationships/hyperlink" Target="http://www.nevo.co.il/law/70301/40j.c"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275" TargetMode="External"/><Relationship Id="rId59" Type="http://schemas.openxmlformats.org/officeDocument/2006/relationships/hyperlink" Target="http://www.nevo.co.il/law/74903" TargetMode="External"/><Relationship Id="rId103" Type="http://schemas.openxmlformats.org/officeDocument/2006/relationships/hyperlink" Target="http://www.nevo.co.il/case/29630470" TargetMode="External"/><Relationship Id="rId108" Type="http://schemas.openxmlformats.org/officeDocument/2006/relationships/hyperlink" Target="http://www.nevo.co.il/case/26879200" TargetMode="External"/><Relationship Id="rId124" Type="http://schemas.openxmlformats.org/officeDocument/2006/relationships/hyperlink" Target="http://www.nevo.co.il/case/20832660" TargetMode="External"/><Relationship Id="rId129" Type="http://schemas.openxmlformats.org/officeDocument/2006/relationships/hyperlink" Target="http://www.nevo.co.il/case/23353997" TargetMode="External"/><Relationship Id="rId54" Type="http://schemas.openxmlformats.org/officeDocument/2006/relationships/hyperlink" Target="http://www.nevo.co.il/case/20787998" TargetMode="External"/><Relationship Id="rId70" Type="http://schemas.openxmlformats.org/officeDocument/2006/relationships/hyperlink" Target="http://www.nevo.co.il/case/17049553" TargetMode="External"/><Relationship Id="rId75" Type="http://schemas.openxmlformats.org/officeDocument/2006/relationships/hyperlink" Target="http://www.nevo.co.il/law/74903" TargetMode="External"/><Relationship Id="rId91" Type="http://schemas.openxmlformats.org/officeDocument/2006/relationships/hyperlink" Target="http://www.nevo.co.il/law/74903" TargetMode="External"/><Relationship Id="rId96" Type="http://schemas.openxmlformats.org/officeDocument/2006/relationships/hyperlink" Target="http://www.nevo.co.il/law/7490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35.a.1" TargetMode="External"/><Relationship Id="rId28" Type="http://schemas.openxmlformats.org/officeDocument/2006/relationships/hyperlink" Target="http://www.nevo.co.il/law/70301/40ja.5" TargetMode="External"/><Relationship Id="rId49" Type="http://schemas.openxmlformats.org/officeDocument/2006/relationships/hyperlink" Target="http://www.nevo.co.il/law/70301/40b" TargetMode="External"/><Relationship Id="rId114" Type="http://schemas.openxmlformats.org/officeDocument/2006/relationships/hyperlink" Target="http://www.nevo.co.il/case/27935791" TargetMode="External"/><Relationship Id="rId119" Type="http://schemas.openxmlformats.org/officeDocument/2006/relationships/hyperlink" Target="http://www.nevo.co.il/law/70301/40ja.5" TargetMode="External"/><Relationship Id="rId44" Type="http://schemas.openxmlformats.org/officeDocument/2006/relationships/hyperlink" Target="http://www.nevo.co.il/law/74903/184" TargetMode="External"/><Relationship Id="rId60" Type="http://schemas.openxmlformats.org/officeDocument/2006/relationships/hyperlink" Target="http://www.nevo.co.il/law/74903/184" TargetMode="External"/><Relationship Id="rId65" Type="http://schemas.openxmlformats.org/officeDocument/2006/relationships/hyperlink" Target="http://www.nevo.co.il/law/74903" TargetMode="External"/><Relationship Id="rId81" Type="http://schemas.openxmlformats.org/officeDocument/2006/relationships/hyperlink" Target="http://www.nevo.co.il/case/17954516" TargetMode="External"/><Relationship Id="rId86" Type="http://schemas.openxmlformats.org/officeDocument/2006/relationships/hyperlink" Target="http://www.nevo.co.il/law/70301/40j.a" TargetMode="External"/><Relationship Id="rId130" Type="http://schemas.openxmlformats.org/officeDocument/2006/relationships/hyperlink" Target="http://www.nevo.co.il/law/70301/58" TargetMode="External"/><Relationship Id="rId135" Type="http://schemas.openxmlformats.org/officeDocument/2006/relationships/footer" Target="footer1.xml"/><Relationship Id="rId13" Type="http://schemas.openxmlformats.org/officeDocument/2006/relationships/hyperlink" Target="http://www.nevo.co.il/law/70301/40i" TargetMode="External"/><Relationship Id="rId18" Type="http://schemas.openxmlformats.org/officeDocument/2006/relationships/hyperlink" Target="http://www.nevo.co.il/law/70301/58" TargetMode="External"/><Relationship Id="rId39" Type="http://schemas.openxmlformats.org/officeDocument/2006/relationships/hyperlink" Target="http://www.nevo.co.il/law/74903/184" TargetMode="External"/><Relationship Id="rId109" Type="http://schemas.openxmlformats.org/officeDocument/2006/relationships/hyperlink" Target="http://www.nevo.co.il/case/20798650" TargetMode="External"/><Relationship Id="rId34" Type="http://schemas.openxmlformats.org/officeDocument/2006/relationships/hyperlink" Target="http://www.nevo.co.il/law/70301/186.a" TargetMode="External"/><Relationship Id="rId50" Type="http://schemas.openxmlformats.org/officeDocument/2006/relationships/hyperlink" Target="http://www.nevo.co.il/law/70301/40c.a" TargetMode="External"/><Relationship Id="rId55" Type="http://schemas.openxmlformats.org/officeDocument/2006/relationships/hyperlink" Target="http://www.nevo.co.il/case/21681038" TargetMode="External"/><Relationship Id="rId76" Type="http://schemas.openxmlformats.org/officeDocument/2006/relationships/hyperlink" Target="http://www.nevo.co.il/law/74903/184" TargetMode="External"/><Relationship Id="rId97" Type="http://schemas.openxmlformats.org/officeDocument/2006/relationships/hyperlink" Target="http://www.nevo.co.il/case/7977312" TargetMode="External"/><Relationship Id="rId104" Type="http://schemas.openxmlformats.org/officeDocument/2006/relationships/hyperlink" Target="http://www.nevo.co.il/case/29839455" TargetMode="External"/><Relationship Id="rId120" Type="http://schemas.openxmlformats.org/officeDocument/2006/relationships/hyperlink" Target="http://www.nevo.co.il/law/70301/40f" TargetMode="External"/><Relationship Id="rId125" Type="http://schemas.openxmlformats.org/officeDocument/2006/relationships/hyperlink" Target="http://www.nevo.co.il/law/70301/40i" TargetMode="External"/><Relationship Id="rId7" Type="http://schemas.openxmlformats.org/officeDocument/2006/relationships/hyperlink" Target="http://www.nevo.co.il/law/70301" TargetMode="External"/><Relationship Id="rId71" Type="http://schemas.openxmlformats.org/officeDocument/2006/relationships/hyperlink" Target="http://www.nevo.co.il/safrut/book/25954" TargetMode="External"/><Relationship Id="rId92" Type="http://schemas.openxmlformats.org/officeDocument/2006/relationships/hyperlink" Target="http://www.nevo.co.il/law/70301/34ka" TargetMode="External"/><Relationship Id="rId2" Type="http://schemas.openxmlformats.org/officeDocument/2006/relationships/styles" Target="styles.xml"/><Relationship Id="rId29" Type="http://schemas.openxmlformats.org/officeDocument/2006/relationships/hyperlink" Target="http://www.nevo.co.il/law/74903" TargetMode="External"/><Relationship Id="rId24" Type="http://schemas.openxmlformats.org/officeDocument/2006/relationships/hyperlink" Target="http://www.nevo.co.il/law/70301/34ka" TargetMode="External"/><Relationship Id="rId40" Type="http://schemas.openxmlformats.org/officeDocument/2006/relationships/hyperlink" Target="http://www.nevo.co.il/law/74903" TargetMode="External"/><Relationship Id="rId45" Type="http://schemas.openxmlformats.org/officeDocument/2006/relationships/hyperlink" Target="http://www.nevo.co.il/law/74903" TargetMode="External"/><Relationship Id="rId66" Type="http://schemas.openxmlformats.org/officeDocument/2006/relationships/hyperlink" Target="http://www.nevo.co.il/law/74903/186.a" TargetMode="External"/><Relationship Id="rId87" Type="http://schemas.openxmlformats.org/officeDocument/2006/relationships/hyperlink" Target="http://www.nevo.co.il/law/74903/184" TargetMode="External"/><Relationship Id="rId110" Type="http://schemas.openxmlformats.org/officeDocument/2006/relationships/hyperlink" Target="http://www.nevo.co.il/case/7977340" TargetMode="External"/><Relationship Id="rId115" Type="http://schemas.openxmlformats.org/officeDocument/2006/relationships/hyperlink" Target="http://www.nevo.co.il/case/22532175" TargetMode="External"/><Relationship Id="rId131" Type="http://schemas.openxmlformats.org/officeDocument/2006/relationships/hyperlink" Target="http://www.nevo.co.il/case/21053257" TargetMode="External"/><Relationship Id="rId136" Type="http://schemas.openxmlformats.org/officeDocument/2006/relationships/footer" Target="footer2.xml"/><Relationship Id="rId61" Type="http://schemas.openxmlformats.org/officeDocument/2006/relationships/hyperlink" Target="http://www.nevo.co.il/law/74903" TargetMode="External"/><Relationship Id="rId82" Type="http://schemas.openxmlformats.org/officeDocument/2006/relationships/hyperlink" Target="http://www.nevo.co.il/law/74903/184" TargetMode="External"/><Relationship Id="rId19" Type="http://schemas.openxmlformats.org/officeDocument/2006/relationships/hyperlink" Target="http://www.nevo.co.il/law/70301/77.a" TargetMode="External"/><Relationship Id="rId14" Type="http://schemas.openxmlformats.org/officeDocument/2006/relationships/hyperlink" Target="http://www.nevo.co.il/law/70301/40i.a" TargetMode="External"/><Relationship Id="rId30" Type="http://schemas.openxmlformats.org/officeDocument/2006/relationships/hyperlink" Target="http://www.nevo.co.il/law/74903/184" TargetMode="External"/><Relationship Id="rId35" Type="http://schemas.openxmlformats.org/officeDocument/2006/relationships/hyperlink" Target="http://www.nevo.co.il/law/70301/335.a.1" TargetMode="External"/><Relationship Id="rId56" Type="http://schemas.openxmlformats.org/officeDocument/2006/relationships/hyperlink" Target="http://www.nevo.co.il/law/70301/40i.a" TargetMode="External"/><Relationship Id="rId77" Type="http://schemas.openxmlformats.org/officeDocument/2006/relationships/hyperlink" Target="http://www.nevo.co.il/law/74903" TargetMode="External"/><Relationship Id="rId100" Type="http://schemas.openxmlformats.org/officeDocument/2006/relationships/hyperlink" Target="http://www.nevo.co.il/case/28012868" TargetMode="External"/><Relationship Id="rId105" Type="http://schemas.openxmlformats.org/officeDocument/2006/relationships/hyperlink" Target="http://www.nevo.co.il/case/29089955" TargetMode="External"/><Relationship Id="rId126" Type="http://schemas.openxmlformats.org/officeDocument/2006/relationships/hyperlink" Target="http://www.nevo.co.il/law/70301/40ja"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13093721" TargetMode="External"/><Relationship Id="rId72" Type="http://schemas.openxmlformats.org/officeDocument/2006/relationships/hyperlink" Target="http://www.nevo.co.il/law/74903/184" TargetMode="External"/><Relationship Id="rId93" Type="http://schemas.openxmlformats.org/officeDocument/2006/relationships/hyperlink" Target="http://www.nevo.co.il/law/74903/184" TargetMode="External"/><Relationship Id="rId98" Type="http://schemas.openxmlformats.org/officeDocument/2006/relationships/hyperlink" Target="http://www.nevo.co.il/case/26670943" TargetMode="External"/><Relationship Id="rId121" Type="http://schemas.openxmlformats.org/officeDocument/2006/relationships/hyperlink" Target="http://www.nevo.co.il/case/26855102" TargetMode="External"/><Relationship Id="rId3" Type="http://schemas.openxmlformats.org/officeDocument/2006/relationships/settings" Target="settings.xml"/><Relationship Id="rId25" Type="http://schemas.openxmlformats.org/officeDocument/2006/relationships/hyperlink" Target="http://www.nevo.co.il/law/70301/40ja" TargetMode="External"/><Relationship Id="rId46" Type="http://schemas.openxmlformats.org/officeDocument/2006/relationships/hyperlink" Target="http://www.nevo.co.il/law/74903/184" TargetMode="External"/><Relationship Id="rId67" Type="http://schemas.openxmlformats.org/officeDocument/2006/relationships/hyperlink" Target="http://www.nevo.co.il/law/70301/40j" TargetMode="External"/><Relationship Id="rId116" Type="http://schemas.openxmlformats.org/officeDocument/2006/relationships/hyperlink" Target="http://www.nevo.co.il/law/70301/40ja" TargetMode="External"/><Relationship Id="rId137" Type="http://schemas.openxmlformats.org/officeDocument/2006/relationships/fontTable" Target="fontTable.xml"/><Relationship Id="rId20" Type="http://schemas.openxmlformats.org/officeDocument/2006/relationships/hyperlink" Target="http://www.nevo.co.il/law/70301/186.a" TargetMode="External"/><Relationship Id="rId41" Type="http://schemas.openxmlformats.org/officeDocument/2006/relationships/hyperlink" Target="http://www.nevo.co.il/law/74903" TargetMode="External"/><Relationship Id="rId62" Type="http://schemas.openxmlformats.org/officeDocument/2006/relationships/hyperlink" Target="http://www.nevo.co.il/law/74903/184" TargetMode="External"/><Relationship Id="rId83" Type="http://schemas.openxmlformats.org/officeDocument/2006/relationships/hyperlink" Target="http://www.nevo.co.il/law/74903" TargetMode="External"/><Relationship Id="rId88" Type="http://schemas.openxmlformats.org/officeDocument/2006/relationships/hyperlink" Target="http://www.nevo.co.il/law/74903" TargetMode="External"/><Relationship Id="rId111" Type="http://schemas.openxmlformats.org/officeDocument/2006/relationships/hyperlink" Target="http://www.nevo.co.il/case/5601486" TargetMode="External"/><Relationship Id="rId132" Type="http://schemas.openxmlformats.org/officeDocument/2006/relationships/hyperlink" Target="http://www.nevo.co.il/advertisements/nevo-100.doc" TargetMode="External"/><Relationship Id="rId15" Type="http://schemas.openxmlformats.org/officeDocument/2006/relationships/hyperlink" Target="http://www.nevo.co.il/law/70301/40j" TargetMode="External"/><Relationship Id="rId36" Type="http://schemas.openxmlformats.org/officeDocument/2006/relationships/hyperlink" Target="http://www.nevo.co.il/law/70301/335.a.1" TargetMode="External"/><Relationship Id="rId57" Type="http://schemas.openxmlformats.org/officeDocument/2006/relationships/hyperlink" Target="http://www.nevo.co.il/law/70301/40j.c" TargetMode="External"/><Relationship Id="rId106" Type="http://schemas.openxmlformats.org/officeDocument/2006/relationships/hyperlink" Target="http://www.nevo.co.il/case/27523525" TargetMode="External"/><Relationship Id="rId127" Type="http://schemas.openxmlformats.org/officeDocument/2006/relationships/hyperlink" Target="http://www.nevo.co.il/law/70301/77.a"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4903/186.a" TargetMode="External"/><Relationship Id="rId52" Type="http://schemas.openxmlformats.org/officeDocument/2006/relationships/hyperlink" Target="http://www.nevo.co.il/case/26333858" TargetMode="External"/><Relationship Id="rId73" Type="http://schemas.openxmlformats.org/officeDocument/2006/relationships/hyperlink" Target="http://www.nevo.co.il/law/74903" TargetMode="External"/><Relationship Id="rId78" Type="http://schemas.openxmlformats.org/officeDocument/2006/relationships/hyperlink" Target="http://www.nevo.co.il/law/74903/184" TargetMode="External"/><Relationship Id="rId94" Type="http://schemas.openxmlformats.org/officeDocument/2006/relationships/hyperlink" Target="http://www.nevo.co.il/law/74903" TargetMode="External"/><Relationship Id="rId99" Type="http://schemas.openxmlformats.org/officeDocument/2006/relationships/hyperlink" Target="http://www.nevo.co.il/case/5594517" TargetMode="External"/><Relationship Id="rId101" Type="http://schemas.openxmlformats.org/officeDocument/2006/relationships/hyperlink" Target="http://www.nevo.co.il/case/27009425" TargetMode="External"/><Relationship Id="rId122" Type="http://schemas.openxmlformats.org/officeDocument/2006/relationships/hyperlink" Target="http://www.nevo.co.il/law/70301/40ja.1" TargetMode="External"/><Relationship Id="rId4" Type="http://schemas.openxmlformats.org/officeDocument/2006/relationships/webSettings" Target="webSettings.xml"/><Relationship Id="rId9" Type="http://schemas.openxmlformats.org/officeDocument/2006/relationships/hyperlink" Target="http://www.nevo.co.il/law/70301/40a" TargetMode="External"/><Relationship Id="rId26" Type="http://schemas.openxmlformats.org/officeDocument/2006/relationships/hyperlink" Target="http://www.nevo.co.il/law/70301/40ja.1" TargetMode="External"/><Relationship Id="rId47" Type="http://schemas.openxmlformats.org/officeDocument/2006/relationships/hyperlink" Target="http://www.nevo.co.il/law/74903" TargetMode="External"/><Relationship Id="rId68" Type="http://schemas.openxmlformats.org/officeDocument/2006/relationships/hyperlink" Target="http://www.nevo.co.il/law/70301/40j.a" TargetMode="External"/><Relationship Id="rId89" Type="http://schemas.openxmlformats.org/officeDocument/2006/relationships/hyperlink" Target="http://www.nevo.co.il/case/5939254" TargetMode="External"/><Relationship Id="rId112" Type="http://schemas.openxmlformats.org/officeDocument/2006/relationships/hyperlink" Target="http://www.nevo.co.il/case/28857954" TargetMode="External"/><Relationship Id="rId133"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9367</Words>
  <Characters>46839</Characters>
  <Application>Microsoft Office Word</Application>
  <DocSecurity>0</DocSecurity>
  <Lines>390</Lines>
  <Paragraphs>112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56094</CharactersWithSpaces>
  <SharedDoc>false</SharedDoc>
  <HLinks>
    <vt:vector size="762" baseType="variant">
      <vt:variant>
        <vt:i4>393283</vt:i4>
      </vt:variant>
      <vt:variant>
        <vt:i4>378</vt:i4>
      </vt:variant>
      <vt:variant>
        <vt:i4>0</vt:i4>
      </vt:variant>
      <vt:variant>
        <vt:i4>5</vt:i4>
      </vt:variant>
      <vt:variant>
        <vt:lpwstr>http://www.nevo.co.il/advertisements/nevo-100.doc</vt:lpwstr>
      </vt:variant>
      <vt:variant>
        <vt:lpwstr/>
      </vt:variant>
      <vt:variant>
        <vt:i4>3407986</vt:i4>
      </vt:variant>
      <vt:variant>
        <vt:i4>375</vt:i4>
      </vt:variant>
      <vt:variant>
        <vt:i4>0</vt:i4>
      </vt:variant>
      <vt:variant>
        <vt:i4>5</vt:i4>
      </vt:variant>
      <vt:variant>
        <vt:lpwstr>http://www.nevo.co.il/case/21053257</vt:lpwstr>
      </vt:variant>
      <vt:variant>
        <vt:lpwstr/>
      </vt:variant>
      <vt:variant>
        <vt:i4>7143520</vt:i4>
      </vt:variant>
      <vt:variant>
        <vt:i4>372</vt:i4>
      </vt:variant>
      <vt:variant>
        <vt:i4>0</vt:i4>
      </vt:variant>
      <vt:variant>
        <vt:i4>5</vt:i4>
      </vt:variant>
      <vt:variant>
        <vt:lpwstr>http://www.nevo.co.il/law/70301/58</vt:lpwstr>
      </vt:variant>
      <vt:variant>
        <vt:lpwstr/>
      </vt:variant>
      <vt:variant>
        <vt:i4>3866747</vt:i4>
      </vt:variant>
      <vt:variant>
        <vt:i4>369</vt:i4>
      </vt:variant>
      <vt:variant>
        <vt:i4>0</vt:i4>
      </vt:variant>
      <vt:variant>
        <vt:i4>5</vt:i4>
      </vt:variant>
      <vt:variant>
        <vt:lpwstr>http://www.nevo.co.il/case/23353997</vt:lpwstr>
      </vt:variant>
      <vt:variant>
        <vt:lpwstr/>
      </vt:variant>
      <vt:variant>
        <vt:i4>3670135</vt:i4>
      </vt:variant>
      <vt:variant>
        <vt:i4>366</vt:i4>
      </vt:variant>
      <vt:variant>
        <vt:i4>0</vt:i4>
      </vt:variant>
      <vt:variant>
        <vt:i4>5</vt:i4>
      </vt:variant>
      <vt:variant>
        <vt:lpwstr>http://www.nevo.co.il/case/21477594</vt:lpwstr>
      </vt:variant>
      <vt:variant>
        <vt:lpwstr/>
      </vt:variant>
      <vt:variant>
        <vt:i4>196684</vt:i4>
      </vt:variant>
      <vt:variant>
        <vt:i4>363</vt:i4>
      </vt:variant>
      <vt:variant>
        <vt:i4>0</vt:i4>
      </vt:variant>
      <vt:variant>
        <vt:i4>5</vt:i4>
      </vt:variant>
      <vt:variant>
        <vt:lpwstr>http://www.nevo.co.il/law/70301/77.a</vt:lpwstr>
      </vt:variant>
      <vt:variant>
        <vt:lpwstr/>
      </vt:variant>
      <vt:variant>
        <vt:i4>262155</vt:i4>
      </vt:variant>
      <vt:variant>
        <vt:i4>360</vt:i4>
      </vt:variant>
      <vt:variant>
        <vt:i4>0</vt:i4>
      </vt:variant>
      <vt:variant>
        <vt:i4>5</vt:i4>
      </vt:variant>
      <vt:variant>
        <vt:lpwstr>http://www.nevo.co.il/law/70301/40ja</vt:lpwstr>
      </vt:variant>
      <vt:variant>
        <vt:lpwstr/>
      </vt:variant>
      <vt:variant>
        <vt:i4>6619233</vt:i4>
      </vt:variant>
      <vt:variant>
        <vt:i4>357</vt:i4>
      </vt:variant>
      <vt:variant>
        <vt:i4>0</vt:i4>
      </vt:variant>
      <vt:variant>
        <vt:i4>5</vt:i4>
      </vt:variant>
      <vt:variant>
        <vt:lpwstr>http://www.nevo.co.il/law/70301/40i</vt:lpwstr>
      </vt:variant>
      <vt:variant>
        <vt:lpwstr/>
      </vt:variant>
      <vt:variant>
        <vt:i4>4063345</vt:i4>
      </vt:variant>
      <vt:variant>
        <vt:i4>354</vt:i4>
      </vt:variant>
      <vt:variant>
        <vt:i4>0</vt:i4>
      </vt:variant>
      <vt:variant>
        <vt:i4>5</vt:i4>
      </vt:variant>
      <vt:variant>
        <vt:lpwstr>http://www.nevo.co.il/case/20832660</vt:lpwstr>
      </vt:variant>
      <vt:variant>
        <vt:lpwstr/>
      </vt:variant>
      <vt:variant>
        <vt:i4>4063353</vt:i4>
      </vt:variant>
      <vt:variant>
        <vt:i4>351</vt:i4>
      </vt:variant>
      <vt:variant>
        <vt:i4>0</vt:i4>
      </vt:variant>
      <vt:variant>
        <vt:i4>5</vt:i4>
      </vt:variant>
      <vt:variant>
        <vt:lpwstr>http://www.nevo.co.il/case/25612982</vt:lpwstr>
      </vt:variant>
      <vt:variant>
        <vt:lpwstr/>
      </vt:variant>
      <vt:variant>
        <vt:i4>3473445</vt:i4>
      </vt:variant>
      <vt:variant>
        <vt:i4>348</vt:i4>
      </vt:variant>
      <vt:variant>
        <vt:i4>0</vt:i4>
      </vt:variant>
      <vt:variant>
        <vt:i4>5</vt:i4>
      </vt:variant>
      <vt:variant>
        <vt:lpwstr>http://www.nevo.co.il/law/70301/40ja.1</vt:lpwstr>
      </vt:variant>
      <vt:variant>
        <vt:lpwstr/>
      </vt:variant>
      <vt:variant>
        <vt:i4>4128886</vt:i4>
      </vt:variant>
      <vt:variant>
        <vt:i4>345</vt:i4>
      </vt:variant>
      <vt:variant>
        <vt:i4>0</vt:i4>
      </vt:variant>
      <vt:variant>
        <vt:i4>5</vt:i4>
      </vt:variant>
      <vt:variant>
        <vt:lpwstr>http://www.nevo.co.il/case/26855102</vt:lpwstr>
      </vt:variant>
      <vt:variant>
        <vt:lpwstr/>
      </vt:variant>
      <vt:variant>
        <vt:i4>6619233</vt:i4>
      </vt:variant>
      <vt:variant>
        <vt:i4>342</vt:i4>
      </vt:variant>
      <vt:variant>
        <vt:i4>0</vt:i4>
      </vt:variant>
      <vt:variant>
        <vt:i4>5</vt:i4>
      </vt:variant>
      <vt:variant>
        <vt:lpwstr>http://www.nevo.co.il/law/70301/40f</vt:lpwstr>
      </vt:variant>
      <vt:variant>
        <vt:lpwstr/>
      </vt:variant>
      <vt:variant>
        <vt:i4>3211301</vt:i4>
      </vt:variant>
      <vt:variant>
        <vt:i4>339</vt:i4>
      </vt:variant>
      <vt:variant>
        <vt:i4>0</vt:i4>
      </vt:variant>
      <vt:variant>
        <vt:i4>5</vt:i4>
      </vt:variant>
      <vt:variant>
        <vt:lpwstr>http://www.nevo.co.il/law/70301/40ja.5</vt:lpwstr>
      </vt:variant>
      <vt:variant>
        <vt:lpwstr/>
      </vt:variant>
      <vt:variant>
        <vt:i4>3145765</vt:i4>
      </vt:variant>
      <vt:variant>
        <vt:i4>336</vt:i4>
      </vt:variant>
      <vt:variant>
        <vt:i4>0</vt:i4>
      </vt:variant>
      <vt:variant>
        <vt:i4>5</vt:i4>
      </vt:variant>
      <vt:variant>
        <vt:lpwstr>http://www.nevo.co.il/law/70301/40ja.4</vt:lpwstr>
      </vt:variant>
      <vt:variant>
        <vt:lpwstr/>
      </vt:variant>
      <vt:variant>
        <vt:i4>3473523</vt:i4>
      </vt:variant>
      <vt:variant>
        <vt:i4>333</vt:i4>
      </vt:variant>
      <vt:variant>
        <vt:i4>0</vt:i4>
      </vt:variant>
      <vt:variant>
        <vt:i4>5</vt:i4>
      </vt:variant>
      <vt:variant>
        <vt:lpwstr>http://www.nevo.co.il/case/29290757</vt:lpwstr>
      </vt:variant>
      <vt:variant>
        <vt:lpwstr/>
      </vt:variant>
      <vt:variant>
        <vt:i4>262155</vt:i4>
      </vt:variant>
      <vt:variant>
        <vt:i4>330</vt:i4>
      </vt:variant>
      <vt:variant>
        <vt:i4>0</vt:i4>
      </vt:variant>
      <vt:variant>
        <vt:i4>5</vt:i4>
      </vt:variant>
      <vt:variant>
        <vt:lpwstr>http://www.nevo.co.il/law/70301/40ja</vt:lpwstr>
      </vt:variant>
      <vt:variant>
        <vt:lpwstr/>
      </vt:variant>
      <vt:variant>
        <vt:i4>3276916</vt:i4>
      </vt:variant>
      <vt:variant>
        <vt:i4>327</vt:i4>
      </vt:variant>
      <vt:variant>
        <vt:i4>0</vt:i4>
      </vt:variant>
      <vt:variant>
        <vt:i4>5</vt:i4>
      </vt:variant>
      <vt:variant>
        <vt:lpwstr>http://www.nevo.co.il/case/22532175</vt:lpwstr>
      </vt:variant>
      <vt:variant>
        <vt:lpwstr/>
      </vt:variant>
      <vt:variant>
        <vt:i4>3604599</vt:i4>
      </vt:variant>
      <vt:variant>
        <vt:i4>324</vt:i4>
      </vt:variant>
      <vt:variant>
        <vt:i4>0</vt:i4>
      </vt:variant>
      <vt:variant>
        <vt:i4>5</vt:i4>
      </vt:variant>
      <vt:variant>
        <vt:lpwstr>http://www.nevo.co.il/case/27935791</vt:lpwstr>
      </vt:variant>
      <vt:variant>
        <vt:lpwstr/>
      </vt:variant>
      <vt:variant>
        <vt:i4>3276925</vt:i4>
      </vt:variant>
      <vt:variant>
        <vt:i4>321</vt:i4>
      </vt:variant>
      <vt:variant>
        <vt:i4>0</vt:i4>
      </vt:variant>
      <vt:variant>
        <vt:i4>5</vt:i4>
      </vt:variant>
      <vt:variant>
        <vt:lpwstr>http://www.nevo.co.il/case/24991487</vt:lpwstr>
      </vt:variant>
      <vt:variant>
        <vt:lpwstr/>
      </vt:variant>
      <vt:variant>
        <vt:i4>3670128</vt:i4>
      </vt:variant>
      <vt:variant>
        <vt:i4>318</vt:i4>
      </vt:variant>
      <vt:variant>
        <vt:i4>0</vt:i4>
      </vt:variant>
      <vt:variant>
        <vt:i4>5</vt:i4>
      </vt:variant>
      <vt:variant>
        <vt:lpwstr>http://www.nevo.co.il/case/28857954</vt:lpwstr>
      </vt:variant>
      <vt:variant>
        <vt:lpwstr/>
      </vt:variant>
      <vt:variant>
        <vt:i4>3604603</vt:i4>
      </vt:variant>
      <vt:variant>
        <vt:i4>315</vt:i4>
      </vt:variant>
      <vt:variant>
        <vt:i4>0</vt:i4>
      </vt:variant>
      <vt:variant>
        <vt:i4>5</vt:i4>
      </vt:variant>
      <vt:variant>
        <vt:lpwstr>http://www.nevo.co.il/case/5601486</vt:lpwstr>
      </vt:variant>
      <vt:variant>
        <vt:lpwstr/>
      </vt:variant>
      <vt:variant>
        <vt:i4>3342462</vt:i4>
      </vt:variant>
      <vt:variant>
        <vt:i4>312</vt:i4>
      </vt:variant>
      <vt:variant>
        <vt:i4>0</vt:i4>
      </vt:variant>
      <vt:variant>
        <vt:i4>5</vt:i4>
      </vt:variant>
      <vt:variant>
        <vt:lpwstr>http://www.nevo.co.il/case/7977340</vt:lpwstr>
      </vt:variant>
      <vt:variant>
        <vt:lpwstr/>
      </vt:variant>
      <vt:variant>
        <vt:i4>3670139</vt:i4>
      </vt:variant>
      <vt:variant>
        <vt:i4>309</vt:i4>
      </vt:variant>
      <vt:variant>
        <vt:i4>0</vt:i4>
      </vt:variant>
      <vt:variant>
        <vt:i4>5</vt:i4>
      </vt:variant>
      <vt:variant>
        <vt:lpwstr>http://www.nevo.co.il/case/20798650</vt:lpwstr>
      </vt:variant>
      <vt:variant>
        <vt:lpwstr/>
      </vt:variant>
      <vt:variant>
        <vt:i4>3342455</vt:i4>
      </vt:variant>
      <vt:variant>
        <vt:i4>306</vt:i4>
      </vt:variant>
      <vt:variant>
        <vt:i4>0</vt:i4>
      </vt:variant>
      <vt:variant>
        <vt:i4>5</vt:i4>
      </vt:variant>
      <vt:variant>
        <vt:lpwstr>http://www.nevo.co.il/case/26879200</vt:lpwstr>
      </vt:variant>
      <vt:variant>
        <vt:lpwstr/>
      </vt:variant>
      <vt:variant>
        <vt:i4>3342451</vt:i4>
      </vt:variant>
      <vt:variant>
        <vt:i4>303</vt:i4>
      </vt:variant>
      <vt:variant>
        <vt:i4>0</vt:i4>
      </vt:variant>
      <vt:variant>
        <vt:i4>5</vt:i4>
      </vt:variant>
      <vt:variant>
        <vt:lpwstr>http://www.nevo.co.il/case/27343411</vt:lpwstr>
      </vt:variant>
      <vt:variant>
        <vt:lpwstr/>
      </vt:variant>
      <vt:variant>
        <vt:i4>3539060</vt:i4>
      </vt:variant>
      <vt:variant>
        <vt:i4>300</vt:i4>
      </vt:variant>
      <vt:variant>
        <vt:i4>0</vt:i4>
      </vt:variant>
      <vt:variant>
        <vt:i4>5</vt:i4>
      </vt:variant>
      <vt:variant>
        <vt:lpwstr>http://www.nevo.co.il/case/27523525</vt:lpwstr>
      </vt:variant>
      <vt:variant>
        <vt:lpwstr/>
      </vt:variant>
      <vt:variant>
        <vt:i4>4063356</vt:i4>
      </vt:variant>
      <vt:variant>
        <vt:i4>297</vt:i4>
      </vt:variant>
      <vt:variant>
        <vt:i4>0</vt:i4>
      </vt:variant>
      <vt:variant>
        <vt:i4>5</vt:i4>
      </vt:variant>
      <vt:variant>
        <vt:lpwstr>http://www.nevo.co.il/case/29089955</vt:lpwstr>
      </vt:variant>
      <vt:variant>
        <vt:lpwstr/>
      </vt:variant>
      <vt:variant>
        <vt:i4>3539066</vt:i4>
      </vt:variant>
      <vt:variant>
        <vt:i4>294</vt:i4>
      </vt:variant>
      <vt:variant>
        <vt:i4>0</vt:i4>
      </vt:variant>
      <vt:variant>
        <vt:i4>5</vt:i4>
      </vt:variant>
      <vt:variant>
        <vt:lpwstr>http://www.nevo.co.il/case/29839455</vt:lpwstr>
      </vt:variant>
      <vt:variant>
        <vt:lpwstr/>
      </vt:variant>
      <vt:variant>
        <vt:i4>3342458</vt:i4>
      </vt:variant>
      <vt:variant>
        <vt:i4>291</vt:i4>
      </vt:variant>
      <vt:variant>
        <vt:i4>0</vt:i4>
      </vt:variant>
      <vt:variant>
        <vt:i4>5</vt:i4>
      </vt:variant>
      <vt:variant>
        <vt:lpwstr>http://www.nevo.co.il/case/29630470</vt:lpwstr>
      </vt:variant>
      <vt:variant>
        <vt:lpwstr/>
      </vt:variant>
      <vt:variant>
        <vt:i4>3342456</vt:i4>
      </vt:variant>
      <vt:variant>
        <vt:i4>288</vt:i4>
      </vt:variant>
      <vt:variant>
        <vt:i4>0</vt:i4>
      </vt:variant>
      <vt:variant>
        <vt:i4>5</vt:i4>
      </vt:variant>
      <vt:variant>
        <vt:lpwstr>http://www.nevo.co.il/case/21051809</vt:lpwstr>
      </vt:variant>
      <vt:variant>
        <vt:lpwstr/>
      </vt:variant>
      <vt:variant>
        <vt:i4>3735671</vt:i4>
      </vt:variant>
      <vt:variant>
        <vt:i4>285</vt:i4>
      </vt:variant>
      <vt:variant>
        <vt:i4>0</vt:i4>
      </vt:variant>
      <vt:variant>
        <vt:i4>5</vt:i4>
      </vt:variant>
      <vt:variant>
        <vt:lpwstr>http://www.nevo.co.il/case/27009425</vt:lpwstr>
      </vt:variant>
      <vt:variant>
        <vt:lpwstr/>
      </vt:variant>
      <vt:variant>
        <vt:i4>3539061</vt:i4>
      </vt:variant>
      <vt:variant>
        <vt:i4>282</vt:i4>
      </vt:variant>
      <vt:variant>
        <vt:i4>0</vt:i4>
      </vt:variant>
      <vt:variant>
        <vt:i4>5</vt:i4>
      </vt:variant>
      <vt:variant>
        <vt:lpwstr>http://www.nevo.co.il/case/28012868</vt:lpwstr>
      </vt:variant>
      <vt:variant>
        <vt:lpwstr/>
      </vt:variant>
      <vt:variant>
        <vt:i4>4063348</vt:i4>
      </vt:variant>
      <vt:variant>
        <vt:i4>279</vt:i4>
      </vt:variant>
      <vt:variant>
        <vt:i4>0</vt:i4>
      </vt:variant>
      <vt:variant>
        <vt:i4>5</vt:i4>
      </vt:variant>
      <vt:variant>
        <vt:lpwstr>http://www.nevo.co.il/case/5594517</vt:lpwstr>
      </vt:variant>
      <vt:variant>
        <vt:lpwstr/>
      </vt:variant>
      <vt:variant>
        <vt:i4>3145852</vt:i4>
      </vt:variant>
      <vt:variant>
        <vt:i4>276</vt:i4>
      </vt:variant>
      <vt:variant>
        <vt:i4>0</vt:i4>
      </vt:variant>
      <vt:variant>
        <vt:i4>5</vt:i4>
      </vt:variant>
      <vt:variant>
        <vt:lpwstr>http://www.nevo.co.il/case/26670943</vt:lpwstr>
      </vt:variant>
      <vt:variant>
        <vt:lpwstr/>
      </vt:variant>
      <vt:variant>
        <vt:i4>3211387</vt:i4>
      </vt:variant>
      <vt:variant>
        <vt:i4>273</vt:i4>
      </vt:variant>
      <vt:variant>
        <vt:i4>0</vt:i4>
      </vt:variant>
      <vt:variant>
        <vt:i4>5</vt:i4>
      </vt:variant>
      <vt:variant>
        <vt:lpwstr>http://www.nevo.co.il/case/7977312</vt:lpwstr>
      </vt:variant>
      <vt:variant>
        <vt:lpwstr/>
      </vt:variant>
      <vt:variant>
        <vt:i4>8257646</vt:i4>
      </vt:variant>
      <vt:variant>
        <vt:i4>270</vt:i4>
      </vt:variant>
      <vt:variant>
        <vt:i4>0</vt:i4>
      </vt:variant>
      <vt:variant>
        <vt:i4>5</vt:i4>
      </vt:variant>
      <vt:variant>
        <vt:lpwstr>http://www.nevo.co.il/law/74903</vt:lpwstr>
      </vt:variant>
      <vt:variant>
        <vt:lpwstr/>
      </vt:variant>
      <vt:variant>
        <vt:i4>6881388</vt:i4>
      </vt:variant>
      <vt:variant>
        <vt:i4>267</vt:i4>
      </vt:variant>
      <vt:variant>
        <vt:i4>0</vt:i4>
      </vt:variant>
      <vt:variant>
        <vt:i4>5</vt:i4>
      </vt:variant>
      <vt:variant>
        <vt:lpwstr>http://www.nevo.co.il/law/74903/184</vt:lpwstr>
      </vt:variant>
      <vt:variant>
        <vt:lpwstr/>
      </vt:variant>
      <vt:variant>
        <vt:i4>8257646</vt:i4>
      </vt:variant>
      <vt:variant>
        <vt:i4>264</vt:i4>
      </vt:variant>
      <vt:variant>
        <vt:i4>0</vt:i4>
      </vt:variant>
      <vt:variant>
        <vt:i4>5</vt:i4>
      </vt:variant>
      <vt:variant>
        <vt:lpwstr>http://www.nevo.co.il/law/74903</vt:lpwstr>
      </vt:variant>
      <vt:variant>
        <vt:lpwstr/>
      </vt:variant>
      <vt:variant>
        <vt:i4>6881388</vt:i4>
      </vt:variant>
      <vt:variant>
        <vt:i4>261</vt:i4>
      </vt:variant>
      <vt:variant>
        <vt:i4>0</vt:i4>
      </vt:variant>
      <vt:variant>
        <vt:i4>5</vt:i4>
      </vt:variant>
      <vt:variant>
        <vt:lpwstr>http://www.nevo.co.il/law/74903/184</vt:lpwstr>
      </vt:variant>
      <vt:variant>
        <vt:lpwstr/>
      </vt:variant>
      <vt:variant>
        <vt:i4>13</vt:i4>
      </vt:variant>
      <vt:variant>
        <vt:i4>258</vt:i4>
      </vt:variant>
      <vt:variant>
        <vt:i4>0</vt:i4>
      </vt:variant>
      <vt:variant>
        <vt:i4>5</vt:i4>
      </vt:variant>
      <vt:variant>
        <vt:lpwstr>http://www.nevo.co.il/law/70301/34ka</vt:lpwstr>
      </vt:variant>
      <vt:variant>
        <vt:lpwstr/>
      </vt:variant>
      <vt:variant>
        <vt:i4>8257646</vt:i4>
      </vt:variant>
      <vt:variant>
        <vt:i4>255</vt:i4>
      </vt:variant>
      <vt:variant>
        <vt:i4>0</vt:i4>
      </vt:variant>
      <vt:variant>
        <vt:i4>5</vt:i4>
      </vt:variant>
      <vt:variant>
        <vt:lpwstr>http://www.nevo.co.il/law/74903</vt:lpwstr>
      </vt:variant>
      <vt:variant>
        <vt:lpwstr/>
      </vt:variant>
      <vt:variant>
        <vt:i4>6881388</vt:i4>
      </vt:variant>
      <vt:variant>
        <vt:i4>252</vt:i4>
      </vt:variant>
      <vt:variant>
        <vt:i4>0</vt:i4>
      </vt:variant>
      <vt:variant>
        <vt:i4>5</vt:i4>
      </vt:variant>
      <vt:variant>
        <vt:lpwstr>http://www.nevo.co.il/law/74903/184</vt:lpwstr>
      </vt:variant>
      <vt:variant>
        <vt:lpwstr/>
      </vt:variant>
      <vt:variant>
        <vt:i4>3145841</vt:i4>
      </vt:variant>
      <vt:variant>
        <vt:i4>249</vt:i4>
      </vt:variant>
      <vt:variant>
        <vt:i4>0</vt:i4>
      </vt:variant>
      <vt:variant>
        <vt:i4>5</vt:i4>
      </vt:variant>
      <vt:variant>
        <vt:lpwstr>http://www.nevo.co.il/case/5939254</vt:lpwstr>
      </vt:variant>
      <vt:variant>
        <vt:lpwstr/>
      </vt:variant>
      <vt:variant>
        <vt:i4>8257646</vt:i4>
      </vt:variant>
      <vt:variant>
        <vt:i4>246</vt:i4>
      </vt:variant>
      <vt:variant>
        <vt:i4>0</vt:i4>
      </vt:variant>
      <vt:variant>
        <vt:i4>5</vt:i4>
      </vt:variant>
      <vt:variant>
        <vt:lpwstr>http://www.nevo.co.il/law/74903</vt:lpwstr>
      </vt:variant>
      <vt:variant>
        <vt:lpwstr/>
      </vt:variant>
      <vt:variant>
        <vt:i4>6881388</vt:i4>
      </vt:variant>
      <vt:variant>
        <vt:i4>243</vt:i4>
      </vt:variant>
      <vt:variant>
        <vt:i4>0</vt:i4>
      </vt:variant>
      <vt:variant>
        <vt:i4>5</vt:i4>
      </vt:variant>
      <vt:variant>
        <vt:lpwstr>http://www.nevo.co.il/law/74903/184</vt:lpwstr>
      </vt:variant>
      <vt:variant>
        <vt:lpwstr/>
      </vt:variant>
      <vt:variant>
        <vt:i4>4915211</vt:i4>
      </vt:variant>
      <vt:variant>
        <vt:i4>240</vt:i4>
      </vt:variant>
      <vt:variant>
        <vt:i4>0</vt:i4>
      </vt:variant>
      <vt:variant>
        <vt:i4>5</vt:i4>
      </vt:variant>
      <vt:variant>
        <vt:lpwstr>http://www.nevo.co.il/law/70301/40j.a</vt:lpwstr>
      </vt:variant>
      <vt:variant>
        <vt:lpwstr/>
      </vt:variant>
      <vt:variant>
        <vt:i4>4915208</vt:i4>
      </vt:variant>
      <vt:variant>
        <vt:i4>237</vt:i4>
      </vt:variant>
      <vt:variant>
        <vt:i4>0</vt:i4>
      </vt:variant>
      <vt:variant>
        <vt:i4>5</vt:i4>
      </vt:variant>
      <vt:variant>
        <vt:lpwstr>http://www.nevo.co.il/law/70301/40i.a</vt:lpwstr>
      </vt:variant>
      <vt:variant>
        <vt:lpwstr/>
      </vt:variant>
      <vt:variant>
        <vt:i4>6619233</vt:i4>
      </vt:variant>
      <vt:variant>
        <vt:i4>234</vt:i4>
      </vt:variant>
      <vt:variant>
        <vt:i4>0</vt:i4>
      </vt:variant>
      <vt:variant>
        <vt:i4>5</vt:i4>
      </vt:variant>
      <vt:variant>
        <vt:lpwstr>http://www.nevo.co.il/law/70301/40a</vt:lpwstr>
      </vt:variant>
      <vt:variant>
        <vt:lpwstr/>
      </vt:variant>
      <vt:variant>
        <vt:i4>8257646</vt:i4>
      </vt:variant>
      <vt:variant>
        <vt:i4>231</vt:i4>
      </vt:variant>
      <vt:variant>
        <vt:i4>0</vt:i4>
      </vt:variant>
      <vt:variant>
        <vt:i4>5</vt:i4>
      </vt:variant>
      <vt:variant>
        <vt:lpwstr>http://www.nevo.co.il/law/74903</vt:lpwstr>
      </vt:variant>
      <vt:variant>
        <vt:lpwstr/>
      </vt:variant>
      <vt:variant>
        <vt:i4>6881388</vt:i4>
      </vt:variant>
      <vt:variant>
        <vt:i4>228</vt:i4>
      </vt:variant>
      <vt:variant>
        <vt:i4>0</vt:i4>
      </vt:variant>
      <vt:variant>
        <vt:i4>5</vt:i4>
      </vt:variant>
      <vt:variant>
        <vt:lpwstr>http://www.nevo.co.il/law/74903/184</vt:lpwstr>
      </vt:variant>
      <vt:variant>
        <vt:lpwstr/>
      </vt:variant>
      <vt:variant>
        <vt:i4>3997811</vt:i4>
      </vt:variant>
      <vt:variant>
        <vt:i4>225</vt:i4>
      </vt:variant>
      <vt:variant>
        <vt:i4>0</vt:i4>
      </vt:variant>
      <vt:variant>
        <vt:i4>5</vt:i4>
      </vt:variant>
      <vt:variant>
        <vt:lpwstr>http://www.nevo.co.il/case/17954516</vt:lpwstr>
      </vt:variant>
      <vt:variant>
        <vt:lpwstr/>
      </vt:variant>
      <vt:variant>
        <vt:i4>4063354</vt:i4>
      </vt:variant>
      <vt:variant>
        <vt:i4>222</vt:i4>
      </vt:variant>
      <vt:variant>
        <vt:i4>0</vt:i4>
      </vt:variant>
      <vt:variant>
        <vt:i4>5</vt:i4>
      </vt:variant>
      <vt:variant>
        <vt:lpwstr>http://www.nevo.co.il/case/7856804</vt:lpwstr>
      </vt:variant>
      <vt:variant>
        <vt:lpwstr/>
      </vt:variant>
      <vt:variant>
        <vt:i4>8257646</vt:i4>
      </vt:variant>
      <vt:variant>
        <vt:i4>219</vt:i4>
      </vt:variant>
      <vt:variant>
        <vt:i4>0</vt:i4>
      </vt:variant>
      <vt:variant>
        <vt:i4>5</vt:i4>
      </vt:variant>
      <vt:variant>
        <vt:lpwstr>http://www.nevo.co.il/law/74903</vt:lpwstr>
      </vt:variant>
      <vt:variant>
        <vt:lpwstr/>
      </vt:variant>
      <vt:variant>
        <vt:i4>6881388</vt:i4>
      </vt:variant>
      <vt:variant>
        <vt:i4>216</vt:i4>
      </vt:variant>
      <vt:variant>
        <vt:i4>0</vt:i4>
      </vt:variant>
      <vt:variant>
        <vt:i4>5</vt:i4>
      </vt:variant>
      <vt:variant>
        <vt:lpwstr>http://www.nevo.co.il/law/74903/184</vt:lpwstr>
      </vt:variant>
      <vt:variant>
        <vt:lpwstr/>
      </vt:variant>
      <vt:variant>
        <vt:i4>8257646</vt:i4>
      </vt:variant>
      <vt:variant>
        <vt:i4>213</vt:i4>
      </vt:variant>
      <vt:variant>
        <vt:i4>0</vt:i4>
      </vt:variant>
      <vt:variant>
        <vt:i4>5</vt:i4>
      </vt:variant>
      <vt:variant>
        <vt:lpwstr>http://www.nevo.co.il/law/74903</vt:lpwstr>
      </vt:variant>
      <vt:variant>
        <vt:lpwstr/>
      </vt:variant>
      <vt:variant>
        <vt:i4>6881388</vt:i4>
      </vt:variant>
      <vt:variant>
        <vt:i4>210</vt:i4>
      </vt:variant>
      <vt:variant>
        <vt:i4>0</vt:i4>
      </vt:variant>
      <vt:variant>
        <vt:i4>5</vt:i4>
      </vt:variant>
      <vt:variant>
        <vt:lpwstr>http://www.nevo.co.il/law/74903/184</vt:lpwstr>
      </vt:variant>
      <vt:variant>
        <vt:lpwstr/>
      </vt:variant>
      <vt:variant>
        <vt:i4>8257646</vt:i4>
      </vt:variant>
      <vt:variant>
        <vt:i4>207</vt:i4>
      </vt:variant>
      <vt:variant>
        <vt:i4>0</vt:i4>
      </vt:variant>
      <vt:variant>
        <vt:i4>5</vt:i4>
      </vt:variant>
      <vt:variant>
        <vt:lpwstr>http://www.nevo.co.il/law/74903</vt:lpwstr>
      </vt:variant>
      <vt:variant>
        <vt:lpwstr/>
      </vt:variant>
      <vt:variant>
        <vt:i4>6881388</vt:i4>
      </vt:variant>
      <vt:variant>
        <vt:i4>204</vt:i4>
      </vt:variant>
      <vt:variant>
        <vt:i4>0</vt:i4>
      </vt:variant>
      <vt:variant>
        <vt:i4>5</vt:i4>
      </vt:variant>
      <vt:variant>
        <vt:lpwstr>http://www.nevo.co.il/law/74903/184</vt:lpwstr>
      </vt:variant>
      <vt:variant>
        <vt:lpwstr/>
      </vt:variant>
      <vt:variant>
        <vt:i4>8257646</vt:i4>
      </vt:variant>
      <vt:variant>
        <vt:i4>201</vt:i4>
      </vt:variant>
      <vt:variant>
        <vt:i4>0</vt:i4>
      </vt:variant>
      <vt:variant>
        <vt:i4>5</vt:i4>
      </vt:variant>
      <vt:variant>
        <vt:lpwstr>http://www.nevo.co.il/law/74903</vt:lpwstr>
      </vt:variant>
      <vt:variant>
        <vt:lpwstr/>
      </vt:variant>
      <vt:variant>
        <vt:i4>6881388</vt:i4>
      </vt:variant>
      <vt:variant>
        <vt:i4>198</vt:i4>
      </vt:variant>
      <vt:variant>
        <vt:i4>0</vt:i4>
      </vt:variant>
      <vt:variant>
        <vt:i4>5</vt:i4>
      </vt:variant>
      <vt:variant>
        <vt:lpwstr>http://www.nevo.co.il/law/74903/184</vt:lpwstr>
      </vt:variant>
      <vt:variant>
        <vt:lpwstr/>
      </vt:variant>
      <vt:variant>
        <vt:i4>7405627</vt:i4>
      </vt:variant>
      <vt:variant>
        <vt:i4>195</vt:i4>
      </vt:variant>
      <vt:variant>
        <vt:i4>0</vt:i4>
      </vt:variant>
      <vt:variant>
        <vt:i4>5</vt:i4>
      </vt:variant>
      <vt:variant>
        <vt:lpwstr>http://www.nevo.co.il/safrut/book/25954</vt:lpwstr>
      </vt:variant>
      <vt:variant>
        <vt:lpwstr/>
      </vt:variant>
      <vt:variant>
        <vt:i4>3997810</vt:i4>
      </vt:variant>
      <vt:variant>
        <vt:i4>192</vt:i4>
      </vt:variant>
      <vt:variant>
        <vt:i4>0</vt:i4>
      </vt:variant>
      <vt:variant>
        <vt:i4>5</vt:i4>
      </vt:variant>
      <vt:variant>
        <vt:lpwstr>http://www.nevo.co.il/case/17049553</vt:lpwstr>
      </vt:variant>
      <vt:variant>
        <vt:lpwstr/>
      </vt:variant>
      <vt:variant>
        <vt:i4>3473525</vt:i4>
      </vt:variant>
      <vt:variant>
        <vt:i4>189</vt:i4>
      </vt:variant>
      <vt:variant>
        <vt:i4>0</vt:i4>
      </vt:variant>
      <vt:variant>
        <vt:i4>5</vt:i4>
      </vt:variant>
      <vt:variant>
        <vt:lpwstr>http://www.nevo.co.il/case/13045619</vt:lpwstr>
      </vt:variant>
      <vt:variant>
        <vt:lpwstr/>
      </vt:variant>
      <vt:variant>
        <vt:i4>4915211</vt:i4>
      </vt:variant>
      <vt:variant>
        <vt:i4>186</vt:i4>
      </vt:variant>
      <vt:variant>
        <vt:i4>0</vt:i4>
      </vt:variant>
      <vt:variant>
        <vt:i4>5</vt:i4>
      </vt:variant>
      <vt:variant>
        <vt:lpwstr>http://www.nevo.co.il/law/70301/40j.a</vt:lpwstr>
      </vt:variant>
      <vt:variant>
        <vt:lpwstr/>
      </vt:variant>
      <vt:variant>
        <vt:i4>6619233</vt:i4>
      </vt:variant>
      <vt:variant>
        <vt:i4>183</vt:i4>
      </vt:variant>
      <vt:variant>
        <vt:i4>0</vt:i4>
      </vt:variant>
      <vt:variant>
        <vt:i4>5</vt:i4>
      </vt:variant>
      <vt:variant>
        <vt:lpwstr>http://www.nevo.co.il/law/70301/40j</vt:lpwstr>
      </vt:variant>
      <vt:variant>
        <vt:lpwstr/>
      </vt:variant>
      <vt:variant>
        <vt:i4>4653146</vt:i4>
      </vt:variant>
      <vt:variant>
        <vt:i4>180</vt:i4>
      </vt:variant>
      <vt:variant>
        <vt:i4>0</vt:i4>
      </vt:variant>
      <vt:variant>
        <vt:i4>5</vt:i4>
      </vt:variant>
      <vt:variant>
        <vt:lpwstr>http://www.nevo.co.il/law/74903/186.a</vt:lpwstr>
      </vt:variant>
      <vt:variant>
        <vt:lpwstr/>
      </vt:variant>
      <vt:variant>
        <vt:i4>8257646</vt:i4>
      </vt:variant>
      <vt:variant>
        <vt:i4>177</vt:i4>
      </vt:variant>
      <vt:variant>
        <vt:i4>0</vt:i4>
      </vt:variant>
      <vt:variant>
        <vt:i4>5</vt:i4>
      </vt:variant>
      <vt:variant>
        <vt:lpwstr>http://www.nevo.co.il/law/74903</vt:lpwstr>
      </vt:variant>
      <vt:variant>
        <vt:lpwstr/>
      </vt:variant>
      <vt:variant>
        <vt:i4>6881388</vt:i4>
      </vt:variant>
      <vt:variant>
        <vt:i4>174</vt:i4>
      </vt:variant>
      <vt:variant>
        <vt:i4>0</vt:i4>
      </vt:variant>
      <vt:variant>
        <vt:i4>5</vt:i4>
      </vt:variant>
      <vt:variant>
        <vt:lpwstr>http://www.nevo.co.il/law/74903/184</vt:lpwstr>
      </vt:variant>
      <vt:variant>
        <vt:lpwstr/>
      </vt:variant>
      <vt:variant>
        <vt:i4>8257646</vt:i4>
      </vt:variant>
      <vt:variant>
        <vt:i4>171</vt:i4>
      </vt:variant>
      <vt:variant>
        <vt:i4>0</vt:i4>
      </vt:variant>
      <vt:variant>
        <vt:i4>5</vt:i4>
      </vt:variant>
      <vt:variant>
        <vt:lpwstr>http://www.nevo.co.il/law/74903</vt:lpwstr>
      </vt:variant>
      <vt:variant>
        <vt:lpwstr/>
      </vt:variant>
      <vt:variant>
        <vt:i4>6881388</vt:i4>
      </vt:variant>
      <vt:variant>
        <vt:i4>168</vt:i4>
      </vt:variant>
      <vt:variant>
        <vt:i4>0</vt:i4>
      </vt:variant>
      <vt:variant>
        <vt:i4>5</vt:i4>
      </vt:variant>
      <vt:variant>
        <vt:lpwstr>http://www.nevo.co.il/law/74903/184</vt:lpwstr>
      </vt:variant>
      <vt:variant>
        <vt:lpwstr/>
      </vt:variant>
      <vt:variant>
        <vt:i4>8257646</vt:i4>
      </vt:variant>
      <vt:variant>
        <vt:i4>165</vt:i4>
      </vt:variant>
      <vt:variant>
        <vt:i4>0</vt:i4>
      </vt:variant>
      <vt:variant>
        <vt:i4>5</vt:i4>
      </vt:variant>
      <vt:variant>
        <vt:lpwstr>http://www.nevo.co.il/law/74903</vt:lpwstr>
      </vt:variant>
      <vt:variant>
        <vt:lpwstr/>
      </vt:variant>
      <vt:variant>
        <vt:i4>6881388</vt:i4>
      </vt:variant>
      <vt:variant>
        <vt:i4>162</vt:i4>
      </vt:variant>
      <vt:variant>
        <vt:i4>0</vt:i4>
      </vt:variant>
      <vt:variant>
        <vt:i4>5</vt:i4>
      </vt:variant>
      <vt:variant>
        <vt:lpwstr>http://www.nevo.co.il/law/74903/184</vt:lpwstr>
      </vt:variant>
      <vt:variant>
        <vt:lpwstr/>
      </vt:variant>
      <vt:variant>
        <vt:i4>8257646</vt:i4>
      </vt:variant>
      <vt:variant>
        <vt:i4>159</vt:i4>
      </vt:variant>
      <vt:variant>
        <vt:i4>0</vt:i4>
      </vt:variant>
      <vt:variant>
        <vt:i4>5</vt:i4>
      </vt:variant>
      <vt:variant>
        <vt:lpwstr>http://www.nevo.co.il/law/74903</vt:lpwstr>
      </vt:variant>
      <vt:variant>
        <vt:lpwstr/>
      </vt:variant>
      <vt:variant>
        <vt:i4>6881388</vt:i4>
      </vt:variant>
      <vt:variant>
        <vt:i4>156</vt:i4>
      </vt:variant>
      <vt:variant>
        <vt:i4>0</vt:i4>
      </vt:variant>
      <vt:variant>
        <vt:i4>5</vt:i4>
      </vt:variant>
      <vt:variant>
        <vt:lpwstr>http://www.nevo.co.il/law/74903/184</vt:lpwstr>
      </vt:variant>
      <vt:variant>
        <vt:lpwstr/>
      </vt:variant>
      <vt:variant>
        <vt:i4>4915211</vt:i4>
      </vt:variant>
      <vt:variant>
        <vt:i4>153</vt:i4>
      </vt:variant>
      <vt:variant>
        <vt:i4>0</vt:i4>
      </vt:variant>
      <vt:variant>
        <vt:i4>5</vt:i4>
      </vt:variant>
      <vt:variant>
        <vt:lpwstr>http://www.nevo.co.il/law/70301/40j.c</vt:lpwstr>
      </vt:variant>
      <vt:variant>
        <vt:lpwstr/>
      </vt:variant>
      <vt:variant>
        <vt:i4>4915208</vt:i4>
      </vt:variant>
      <vt:variant>
        <vt:i4>150</vt:i4>
      </vt:variant>
      <vt:variant>
        <vt:i4>0</vt:i4>
      </vt:variant>
      <vt:variant>
        <vt:i4>5</vt:i4>
      </vt:variant>
      <vt:variant>
        <vt:lpwstr>http://www.nevo.co.il/law/70301/40i.a</vt:lpwstr>
      </vt:variant>
      <vt:variant>
        <vt:lpwstr/>
      </vt:variant>
      <vt:variant>
        <vt:i4>3539069</vt:i4>
      </vt:variant>
      <vt:variant>
        <vt:i4>147</vt:i4>
      </vt:variant>
      <vt:variant>
        <vt:i4>0</vt:i4>
      </vt:variant>
      <vt:variant>
        <vt:i4>5</vt:i4>
      </vt:variant>
      <vt:variant>
        <vt:lpwstr>http://www.nevo.co.il/case/21681038</vt:lpwstr>
      </vt:variant>
      <vt:variant>
        <vt:lpwstr/>
      </vt:variant>
      <vt:variant>
        <vt:i4>3866741</vt:i4>
      </vt:variant>
      <vt:variant>
        <vt:i4>144</vt:i4>
      </vt:variant>
      <vt:variant>
        <vt:i4>0</vt:i4>
      </vt:variant>
      <vt:variant>
        <vt:i4>5</vt:i4>
      </vt:variant>
      <vt:variant>
        <vt:lpwstr>http://www.nevo.co.il/case/20787998</vt:lpwstr>
      </vt:variant>
      <vt:variant>
        <vt:lpwstr/>
      </vt:variant>
      <vt:variant>
        <vt:i4>6422631</vt:i4>
      </vt:variant>
      <vt:variant>
        <vt:i4>141</vt:i4>
      </vt:variant>
      <vt:variant>
        <vt:i4>0</vt:i4>
      </vt:variant>
      <vt:variant>
        <vt:i4>5</vt:i4>
      </vt:variant>
      <vt:variant>
        <vt:lpwstr>http://www.nevo.co.il/law/70301/275</vt:lpwstr>
      </vt:variant>
      <vt:variant>
        <vt:lpwstr/>
      </vt:variant>
      <vt:variant>
        <vt:i4>3604601</vt:i4>
      </vt:variant>
      <vt:variant>
        <vt:i4>138</vt:i4>
      </vt:variant>
      <vt:variant>
        <vt:i4>0</vt:i4>
      </vt:variant>
      <vt:variant>
        <vt:i4>5</vt:i4>
      </vt:variant>
      <vt:variant>
        <vt:lpwstr>http://www.nevo.co.il/case/26333858</vt:lpwstr>
      </vt:variant>
      <vt:variant>
        <vt:lpwstr/>
      </vt:variant>
      <vt:variant>
        <vt:i4>3145849</vt:i4>
      </vt:variant>
      <vt:variant>
        <vt:i4>135</vt:i4>
      </vt:variant>
      <vt:variant>
        <vt:i4>0</vt:i4>
      </vt:variant>
      <vt:variant>
        <vt:i4>5</vt:i4>
      </vt:variant>
      <vt:variant>
        <vt:lpwstr>http://www.nevo.co.il/case/13093721</vt:lpwstr>
      </vt:variant>
      <vt:variant>
        <vt:lpwstr/>
      </vt:variant>
      <vt:variant>
        <vt:i4>4915202</vt:i4>
      </vt:variant>
      <vt:variant>
        <vt:i4>132</vt:i4>
      </vt:variant>
      <vt:variant>
        <vt:i4>0</vt:i4>
      </vt:variant>
      <vt:variant>
        <vt:i4>5</vt:i4>
      </vt:variant>
      <vt:variant>
        <vt:lpwstr>http://www.nevo.co.il/law/70301/40c.a</vt:lpwstr>
      </vt:variant>
      <vt:variant>
        <vt:lpwstr/>
      </vt:variant>
      <vt:variant>
        <vt:i4>6619233</vt:i4>
      </vt:variant>
      <vt:variant>
        <vt:i4>129</vt:i4>
      </vt:variant>
      <vt:variant>
        <vt:i4>0</vt:i4>
      </vt:variant>
      <vt:variant>
        <vt:i4>5</vt:i4>
      </vt:variant>
      <vt:variant>
        <vt:lpwstr>http://www.nevo.co.il/law/70301/40b</vt:lpwstr>
      </vt:variant>
      <vt:variant>
        <vt:lpwstr/>
      </vt:variant>
      <vt:variant>
        <vt:i4>6619233</vt:i4>
      </vt:variant>
      <vt:variant>
        <vt:i4>126</vt:i4>
      </vt:variant>
      <vt:variant>
        <vt:i4>0</vt:i4>
      </vt:variant>
      <vt:variant>
        <vt:i4>5</vt:i4>
      </vt:variant>
      <vt:variant>
        <vt:lpwstr>http://www.nevo.co.il/law/70301/40j</vt:lpwstr>
      </vt:variant>
      <vt:variant>
        <vt:lpwstr/>
      </vt:variant>
      <vt:variant>
        <vt:i4>8257646</vt:i4>
      </vt:variant>
      <vt:variant>
        <vt:i4>123</vt:i4>
      </vt:variant>
      <vt:variant>
        <vt:i4>0</vt:i4>
      </vt:variant>
      <vt:variant>
        <vt:i4>5</vt:i4>
      </vt:variant>
      <vt:variant>
        <vt:lpwstr>http://www.nevo.co.il/law/74903</vt:lpwstr>
      </vt:variant>
      <vt:variant>
        <vt:lpwstr/>
      </vt:variant>
      <vt:variant>
        <vt:i4>6881388</vt:i4>
      </vt:variant>
      <vt:variant>
        <vt:i4>120</vt:i4>
      </vt:variant>
      <vt:variant>
        <vt:i4>0</vt:i4>
      </vt:variant>
      <vt:variant>
        <vt:i4>5</vt:i4>
      </vt:variant>
      <vt:variant>
        <vt:lpwstr>http://www.nevo.co.il/law/74903/184</vt:lpwstr>
      </vt:variant>
      <vt:variant>
        <vt:lpwstr/>
      </vt:variant>
      <vt:variant>
        <vt:i4>8257646</vt:i4>
      </vt:variant>
      <vt:variant>
        <vt:i4>117</vt:i4>
      </vt:variant>
      <vt:variant>
        <vt:i4>0</vt:i4>
      </vt:variant>
      <vt:variant>
        <vt:i4>5</vt:i4>
      </vt:variant>
      <vt:variant>
        <vt:lpwstr>http://www.nevo.co.il/law/74903</vt:lpwstr>
      </vt:variant>
      <vt:variant>
        <vt:lpwstr/>
      </vt:variant>
      <vt:variant>
        <vt:i4>6881388</vt:i4>
      </vt:variant>
      <vt:variant>
        <vt:i4>114</vt:i4>
      </vt:variant>
      <vt:variant>
        <vt:i4>0</vt:i4>
      </vt:variant>
      <vt:variant>
        <vt:i4>5</vt:i4>
      </vt:variant>
      <vt:variant>
        <vt:lpwstr>http://www.nevo.co.il/law/74903/184</vt:lpwstr>
      </vt:variant>
      <vt:variant>
        <vt:lpwstr/>
      </vt:variant>
      <vt:variant>
        <vt:i4>8257646</vt:i4>
      </vt:variant>
      <vt:variant>
        <vt:i4>111</vt:i4>
      </vt:variant>
      <vt:variant>
        <vt:i4>0</vt:i4>
      </vt:variant>
      <vt:variant>
        <vt:i4>5</vt:i4>
      </vt:variant>
      <vt:variant>
        <vt:lpwstr>http://www.nevo.co.il/law/74903</vt:lpwstr>
      </vt:variant>
      <vt:variant>
        <vt:lpwstr/>
      </vt:variant>
      <vt:variant>
        <vt:i4>6881388</vt:i4>
      </vt:variant>
      <vt:variant>
        <vt:i4>108</vt:i4>
      </vt:variant>
      <vt:variant>
        <vt:i4>0</vt:i4>
      </vt:variant>
      <vt:variant>
        <vt:i4>5</vt:i4>
      </vt:variant>
      <vt:variant>
        <vt:lpwstr>http://www.nevo.co.il/law/74903/184</vt:lpwstr>
      </vt:variant>
      <vt:variant>
        <vt:lpwstr/>
      </vt:variant>
      <vt:variant>
        <vt:i4>8257646</vt:i4>
      </vt:variant>
      <vt:variant>
        <vt:i4>105</vt:i4>
      </vt:variant>
      <vt:variant>
        <vt:i4>0</vt:i4>
      </vt:variant>
      <vt:variant>
        <vt:i4>5</vt:i4>
      </vt:variant>
      <vt:variant>
        <vt:lpwstr>http://www.nevo.co.il/law/74903</vt:lpwstr>
      </vt:variant>
      <vt:variant>
        <vt:lpwstr/>
      </vt:variant>
      <vt:variant>
        <vt:i4>8257646</vt:i4>
      </vt:variant>
      <vt:variant>
        <vt:i4>102</vt:i4>
      </vt:variant>
      <vt:variant>
        <vt:i4>0</vt:i4>
      </vt:variant>
      <vt:variant>
        <vt:i4>5</vt:i4>
      </vt:variant>
      <vt:variant>
        <vt:lpwstr>http://www.nevo.co.il/law/74903</vt:lpwstr>
      </vt:variant>
      <vt:variant>
        <vt:lpwstr/>
      </vt:variant>
      <vt:variant>
        <vt:i4>6881388</vt:i4>
      </vt:variant>
      <vt:variant>
        <vt:i4>99</vt:i4>
      </vt:variant>
      <vt:variant>
        <vt:i4>0</vt:i4>
      </vt:variant>
      <vt:variant>
        <vt:i4>5</vt:i4>
      </vt:variant>
      <vt:variant>
        <vt:lpwstr>http://www.nevo.co.il/law/74903/184</vt:lpwstr>
      </vt:variant>
      <vt:variant>
        <vt:lpwstr/>
      </vt:variant>
      <vt:variant>
        <vt:i4>6422631</vt:i4>
      </vt:variant>
      <vt:variant>
        <vt:i4>96</vt:i4>
      </vt:variant>
      <vt:variant>
        <vt:i4>0</vt:i4>
      </vt:variant>
      <vt:variant>
        <vt:i4>5</vt:i4>
      </vt:variant>
      <vt:variant>
        <vt:lpwstr>http://www.nevo.co.il/law/70301/275</vt:lpwstr>
      </vt:variant>
      <vt:variant>
        <vt:lpwstr/>
      </vt:variant>
      <vt:variant>
        <vt:i4>6291559</vt:i4>
      </vt:variant>
      <vt:variant>
        <vt:i4>93</vt:i4>
      </vt:variant>
      <vt:variant>
        <vt:i4>0</vt:i4>
      </vt:variant>
      <vt:variant>
        <vt:i4>5</vt:i4>
      </vt:variant>
      <vt:variant>
        <vt:lpwstr>http://www.nevo.co.il/law/70301/25</vt:lpwstr>
      </vt:variant>
      <vt:variant>
        <vt:lpwstr/>
      </vt:variant>
      <vt:variant>
        <vt:i4>6684722</vt:i4>
      </vt:variant>
      <vt:variant>
        <vt:i4>90</vt:i4>
      </vt:variant>
      <vt:variant>
        <vt:i4>0</vt:i4>
      </vt:variant>
      <vt:variant>
        <vt:i4>5</vt:i4>
      </vt:variant>
      <vt:variant>
        <vt:lpwstr>http://www.nevo.co.il/law/70301/335.a.1</vt:lpwstr>
      </vt:variant>
      <vt:variant>
        <vt:lpwstr/>
      </vt:variant>
      <vt:variant>
        <vt:i4>6684722</vt:i4>
      </vt:variant>
      <vt:variant>
        <vt:i4>87</vt:i4>
      </vt:variant>
      <vt:variant>
        <vt:i4>0</vt:i4>
      </vt:variant>
      <vt:variant>
        <vt:i4>5</vt:i4>
      </vt:variant>
      <vt:variant>
        <vt:lpwstr>http://www.nevo.co.il/law/70301/335.a.1</vt:lpwstr>
      </vt:variant>
      <vt:variant>
        <vt:lpwstr/>
      </vt:variant>
      <vt:variant>
        <vt:i4>4390994</vt:i4>
      </vt:variant>
      <vt:variant>
        <vt:i4>84</vt:i4>
      </vt:variant>
      <vt:variant>
        <vt:i4>0</vt:i4>
      </vt:variant>
      <vt:variant>
        <vt:i4>5</vt:i4>
      </vt:variant>
      <vt:variant>
        <vt:lpwstr>http://www.nevo.co.il/law/70301/186.a</vt:lpwstr>
      </vt:variant>
      <vt:variant>
        <vt:lpwstr/>
      </vt:variant>
      <vt:variant>
        <vt:i4>7995492</vt:i4>
      </vt:variant>
      <vt:variant>
        <vt:i4>81</vt:i4>
      </vt:variant>
      <vt:variant>
        <vt:i4>0</vt:i4>
      </vt:variant>
      <vt:variant>
        <vt:i4>5</vt:i4>
      </vt:variant>
      <vt:variant>
        <vt:lpwstr>http://www.nevo.co.il/law/70301</vt:lpwstr>
      </vt:variant>
      <vt:variant>
        <vt:lpwstr/>
      </vt:variant>
      <vt:variant>
        <vt:i4>7077988</vt:i4>
      </vt:variant>
      <vt:variant>
        <vt:i4>78</vt:i4>
      </vt:variant>
      <vt:variant>
        <vt:i4>0</vt:i4>
      </vt:variant>
      <vt:variant>
        <vt:i4>5</vt:i4>
      </vt:variant>
      <vt:variant>
        <vt:lpwstr>http://www.nevo.co.il/law/70301/192</vt:lpwstr>
      </vt:variant>
      <vt:variant>
        <vt:lpwstr/>
      </vt:variant>
      <vt:variant>
        <vt:i4>4653146</vt:i4>
      </vt:variant>
      <vt:variant>
        <vt:i4>75</vt:i4>
      </vt:variant>
      <vt:variant>
        <vt:i4>0</vt:i4>
      </vt:variant>
      <vt:variant>
        <vt:i4>5</vt:i4>
      </vt:variant>
      <vt:variant>
        <vt:lpwstr>http://www.nevo.co.il/law/74903/186.a</vt:lpwstr>
      </vt:variant>
      <vt:variant>
        <vt:lpwstr/>
      </vt:variant>
      <vt:variant>
        <vt:i4>6881388</vt:i4>
      </vt:variant>
      <vt:variant>
        <vt:i4>72</vt:i4>
      </vt:variant>
      <vt:variant>
        <vt:i4>0</vt:i4>
      </vt:variant>
      <vt:variant>
        <vt:i4>5</vt:i4>
      </vt:variant>
      <vt:variant>
        <vt:lpwstr>http://www.nevo.co.il/law/74903/184</vt:lpwstr>
      </vt:variant>
      <vt:variant>
        <vt:lpwstr/>
      </vt:variant>
      <vt:variant>
        <vt:i4>8257646</vt:i4>
      </vt:variant>
      <vt:variant>
        <vt:i4>69</vt:i4>
      </vt:variant>
      <vt:variant>
        <vt:i4>0</vt:i4>
      </vt:variant>
      <vt:variant>
        <vt:i4>5</vt:i4>
      </vt:variant>
      <vt:variant>
        <vt:lpwstr>http://www.nevo.co.il/law/74903</vt:lpwstr>
      </vt:variant>
      <vt:variant>
        <vt:lpwstr/>
      </vt:variant>
      <vt:variant>
        <vt:i4>3211301</vt:i4>
      </vt:variant>
      <vt:variant>
        <vt:i4>66</vt:i4>
      </vt:variant>
      <vt:variant>
        <vt:i4>0</vt:i4>
      </vt:variant>
      <vt:variant>
        <vt:i4>5</vt:i4>
      </vt:variant>
      <vt:variant>
        <vt:lpwstr>http://www.nevo.co.il/law/70301/40ja.5</vt:lpwstr>
      </vt:variant>
      <vt:variant>
        <vt:lpwstr/>
      </vt:variant>
      <vt:variant>
        <vt:i4>3145765</vt:i4>
      </vt:variant>
      <vt:variant>
        <vt:i4>63</vt:i4>
      </vt:variant>
      <vt:variant>
        <vt:i4>0</vt:i4>
      </vt:variant>
      <vt:variant>
        <vt:i4>5</vt:i4>
      </vt:variant>
      <vt:variant>
        <vt:lpwstr>http://www.nevo.co.il/law/70301/40ja.4</vt:lpwstr>
      </vt:variant>
      <vt:variant>
        <vt:lpwstr/>
      </vt:variant>
      <vt:variant>
        <vt:i4>3473445</vt:i4>
      </vt:variant>
      <vt:variant>
        <vt:i4>60</vt:i4>
      </vt:variant>
      <vt:variant>
        <vt:i4>0</vt:i4>
      </vt:variant>
      <vt:variant>
        <vt:i4>5</vt:i4>
      </vt:variant>
      <vt:variant>
        <vt:lpwstr>http://www.nevo.co.il/law/70301/40ja.1</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13</vt:i4>
      </vt:variant>
      <vt:variant>
        <vt:i4>54</vt:i4>
      </vt:variant>
      <vt:variant>
        <vt:i4>0</vt:i4>
      </vt:variant>
      <vt:variant>
        <vt:i4>5</vt:i4>
      </vt:variant>
      <vt:variant>
        <vt:lpwstr>http://www.nevo.co.il/law/70301/34ka</vt:lpwstr>
      </vt:variant>
      <vt:variant>
        <vt:lpwstr/>
      </vt:variant>
      <vt:variant>
        <vt:i4>6684722</vt:i4>
      </vt:variant>
      <vt:variant>
        <vt:i4>51</vt:i4>
      </vt:variant>
      <vt:variant>
        <vt:i4>0</vt:i4>
      </vt:variant>
      <vt:variant>
        <vt:i4>5</vt:i4>
      </vt:variant>
      <vt:variant>
        <vt:lpwstr>http://www.nevo.co.il/law/70301/335.a.1</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4390994</vt:i4>
      </vt:variant>
      <vt:variant>
        <vt:i4>42</vt:i4>
      </vt:variant>
      <vt:variant>
        <vt:i4>0</vt:i4>
      </vt:variant>
      <vt:variant>
        <vt:i4>5</vt:i4>
      </vt:variant>
      <vt:variant>
        <vt:lpwstr>http://www.nevo.co.il/law/70301/186.a</vt:lpwstr>
      </vt:variant>
      <vt:variant>
        <vt:lpwstr/>
      </vt:variant>
      <vt:variant>
        <vt:i4>196684</vt:i4>
      </vt:variant>
      <vt:variant>
        <vt:i4>39</vt:i4>
      </vt:variant>
      <vt:variant>
        <vt:i4>0</vt:i4>
      </vt:variant>
      <vt:variant>
        <vt:i4>5</vt:i4>
      </vt:variant>
      <vt:variant>
        <vt:lpwstr>http://www.nevo.co.il/law/70301/77.a</vt:lpwstr>
      </vt:variant>
      <vt:variant>
        <vt:lpwstr/>
      </vt:variant>
      <vt:variant>
        <vt:i4>7143520</vt:i4>
      </vt:variant>
      <vt:variant>
        <vt:i4>36</vt:i4>
      </vt:variant>
      <vt:variant>
        <vt:i4>0</vt:i4>
      </vt:variant>
      <vt:variant>
        <vt:i4>5</vt:i4>
      </vt:variant>
      <vt:variant>
        <vt:lpwstr>http://www.nevo.co.il/law/70301/58</vt:lpwstr>
      </vt:variant>
      <vt:variant>
        <vt:lpwstr/>
      </vt:variant>
      <vt:variant>
        <vt:i4>4915211</vt:i4>
      </vt:variant>
      <vt:variant>
        <vt:i4>33</vt:i4>
      </vt:variant>
      <vt:variant>
        <vt:i4>0</vt:i4>
      </vt:variant>
      <vt:variant>
        <vt:i4>5</vt:i4>
      </vt:variant>
      <vt:variant>
        <vt:lpwstr>http://www.nevo.co.il/law/70301/40j.c</vt:lpwstr>
      </vt:variant>
      <vt:variant>
        <vt:lpwstr/>
      </vt:variant>
      <vt:variant>
        <vt:i4>4915211</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http://www.nevo.co.il/law/70301/40j</vt:lpwstr>
      </vt:variant>
      <vt:variant>
        <vt:lpwstr/>
      </vt:variant>
      <vt:variant>
        <vt:i4>4915208</vt:i4>
      </vt:variant>
      <vt:variant>
        <vt:i4>24</vt:i4>
      </vt:variant>
      <vt:variant>
        <vt:i4>0</vt:i4>
      </vt:variant>
      <vt:variant>
        <vt:i4>5</vt:i4>
      </vt:variant>
      <vt:variant>
        <vt:lpwstr>http://www.nevo.co.il/law/70301/40i.a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6619233</vt:i4>
      </vt:variant>
      <vt:variant>
        <vt:i4>9</vt:i4>
      </vt:variant>
      <vt:variant>
        <vt:i4>0</vt:i4>
      </vt:variant>
      <vt:variant>
        <vt:i4>5</vt:i4>
      </vt:variant>
      <vt:variant>
        <vt:lpwstr>http://www.nevo.co.il/law/70301/40a</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7405627</vt:i4>
      </vt:variant>
      <vt:variant>
        <vt:i4>0</vt:i4>
      </vt:variant>
      <vt:variant>
        <vt:i4>0</vt:i4>
      </vt:variant>
      <vt:variant>
        <vt:i4>5</vt:i4>
      </vt:variant>
      <vt:variant>
        <vt:lpwstr>http://www.nevo.co.il/safrut/book/25954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2025-04-23T01:50:00Z</dcterms:created>
  <dcterms:modified xsi:type="dcterms:W3CDTF">2025-04-23T01:50:00Z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51140</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אהרן מלול</vt:lpwstr>
  </property>
  <property fmtid="{D5CDD505-2E9C-101B-9397-08002B2CF9AE}" pid="10" name="JUDGE">
    <vt:lpwstr>שלומית בן יצחק</vt:lpwstr>
  </property>
  <property fmtid="{D5CDD505-2E9C-101B-9397-08002B2CF9AE}" pid="11" name="CITY">
    <vt:lpwstr>ת"א</vt:lpwstr>
  </property>
  <property fmtid="{D5CDD505-2E9C-101B-9397-08002B2CF9AE}" pid="12" name="DATE">
    <vt:lpwstr>20240724</vt:lpwstr>
  </property>
  <property fmtid="{D5CDD505-2E9C-101B-9397-08002B2CF9AE}" pid="13" name="TYPE_N_DATE">
    <vt:lpwstr>38020240724</vt:lpwstr>
  </property>
  <property fmtid="{D5CDD505-2E9C-101B-9397-08002B2CF9AE}" pid="14" name="WORDNUMPAGES">
    <vt:lpwstr>18</vt:lpwstr>
  </property>
  <property fmtid="{D5CDD505-2E9C-101B-9397-08002B2CF9AE}" pid="15" name="TYPE_ABS_DATE">
    <vt:lpwstr>380020240724</vt:lpwstr>
  </property>
  <property fmtid="{D5CDD505-2E9C-101B-9397-08002B2CF9AE}" pid="16" name="ISABSTRACT">
    <vt:lpwstr>Y</vt:lpwstr>
  </property>
  <property fmtid="{D5CDD505-2E9C-101B-9397-08002B2CF9AE}" pid="17" name="CASESLISTTMP1">
    <vt:lpwstr>13093721;26333858;20787998;21681038;13045619;17049553;7856804;17954516;5939254;7977312;26670943;5594517;28012868;27009425;21051809;29630470;29839455;29089955;27523525;27343411;26879200;20798650;7977340;5601486;28857954;24991487;27935791;22532175</vt:lpwstr>
  </property>
  <property fmtid="{D5CDD505-2E9C-101B-9397-08002B2CF9AE}" pid="18" name="CASESLISTTMP2">
    <vt:lpwstr>29290757;26855102;25612982;20832660;21477594;23353997;21053257</vt:lpwstr>
  </property>
  <property fmtid="{D5CDD505-2E9C-101B-9397-08002B2CF9AE}" pid="19" name="BOOKLISTTMP1">
    <vt:lpwstr>25954</vt:lpwstr>
  </property>
  <property fmtid="{D5CDD505-2E9C-101B-9397-08002B2CF9AE}" pid="20" name="LAWLISTTMP1">
    <vt:lpwstr>70301/192;186.a;335.a.1:2;025;275:2;040j:2;040b;040c.a;040i.a:2;040j.c;040j.a:2;040a;34ka;40ja:2;40ja.4;40ja.5;040f;40ja.1;040i;077.a;058</vt:lpwstr>
  </property>
  <property fmtid="{D5CDD505-2E9C-101B-9397-08002B2CF9AE}" pid="21" name="LAWLISTTMP2">
    <vt:lpwstr>74903/184:17;186.a</vt:lpwstr>
  </property>
</Properties>
</file>