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315" w:type="dxa"/>
        <w:jc w:val="center"/>
        <w:tblLook w:val="0000" w:firstRow="0" w:lastRow="0" w:firstColumn="0" w:lastColumn="0" w:noHBand="0" w:noVBand="0"/>
      </w:tblPr>
      <w:tblGrid>
        <w:gridCol w:w="957"/>
        <w:gridCol w:w="4102"/>
        <w:gridCol w:w="993"/>
        <w:gridCol w:w="2669"/>
        <w:gridCol w:w="594"/>
      </w:tblGrid>
      <w:tr w:rsidR="00443A6A" w:rsidRPr="002E0F95" w14:paraId="5F312A8C" w14:textId="77777777" w:rsidTr="006408F9">
        <w:trPr>
          <w:gridAfter w:val="1"/>
          <w:wAfter w:w="594" w:type="dxa"/>
          <w:trHeight w:hRule="exact" w:val="418"/>
          <w:jc w:val="center"/>
        </w:trPr>
        <w:tc>
          <w:tcPr>
            <w:tcW w:w="8721" w:type="dxa"/>
            <w:gridSpan w:val="4"/>
          </w:tcPr>
          <w:p w14:paraId="3C6DE684" w14:textId="77777777" w:rsidR="00443A6A" w:rsidRPr="002E0F95" w:rsidRDefault="00443A6A" w:rsidP="006E5CAC">
            <w:pPr>
              <w:pStyle w:val="a3"/>
              <w:jc w:val="center"/>
              <w:rPr>
                <w:rFonts w:ascii="Tahoma" w:hAnsi="Tahoma" w:cs="Tahoma"/>
                <w:color w:val="000080"/>
                <w:rtl/>
              </w:rPr>
            </w:pPr>
            <w:r w:rsidRPr="002E0F95">
              <w:rPr>
                <w:rFonts w:ascii="Tahoma" w:hAnsi="Tahoma" w:cs="Tahoma"/>
                <w:b/>
                <w:bCs/>
                <w:color w:val="000080"/>
                <w:rtl/>
              </w:rPr>
              <w:t>בית משפט השלום בקריות</w:t>
            </w:r>
          </w:p>
        </w:tc>
      </w:tr>
      <w:tr w:rsidR="00443A6A" w:rsidRPr="002E0F95" w14:paraId="389EFC78" w14:textId="77777777" w:rsidTr="006408F9">
        <w:trPr>
          <w:gridAfter w:val="1"/>
          <w:wAfter w:w="594" w:type="dxa"/>
          <w:trHeight w:val="337"/>
          <w:jc w:val="center"/>
        </w:trPr>
        <w:tc>
          <w:tcPr>
            <w:tcW w:w="5059" w:type="dxa"/>
            <w:gridSpan w:val="2"/>
          </w:tcPr>
          <w:p w14:paraId="7C3A1978" w14:textId="77777777" w:rsidR="00443A6A" w:rsidRPr="002E0F95" w:rsidRDefault="00443A6A" w:rsidP="006E5CAC">
            <w:pPr>
              <w:rPr>
                <w:rFonts w:cs="FrankRuehl"/>
                <w:sz w:val="28"/>
                <w:szCs w:val="28"/>
                <w:rtl/>
              </w:rPr>
            </w:pPr>
            <w:r w:rsidRPr="002E0F95">
              <w:rPr>
                <w:rFonts w:cs="FrankRuehl"/>
                <w:sz w:val="28"/>
                <w:szCs w:val="28"/>
                <w:rtl/>
              </w:rPr>
              <w:t>ת"פ</w:t>
            </w:r>
            <w:r w:rsidRPr="002E0F95">
              <w:rPr>
                <w:rFonts w:cs="FrankRuehl" w:hint="cs"/>
                <w:sz w:val="28"/>
                <w:szCs w:val="28"/>
                <w:rtl/>
              </w:rPr>
              <w:t xml:space="preserve"> </w:t>
            </w:r>
            <w:r w:rsidRPr="002E0F95">
              <w:rPr>
                <w:rFonts w:cs="FrankRuehl"/>
                <w:sz w:val="28"/>
                <w:szCs w:val="28"/>
                <w:rtl/>
              </w:rPr>
              <w:t>49410-09-23</w:t>
            </w:r>
            <w:r w:rsidRPr="002E0F95">
              <w:rPr>
                <w:rFonts w:cs="FrankRuehl" w:hint="cs"/>
                <w:sz w:val="28"/>
                <w:szCs w:val="28"/>
                <w:rtl/>
              </w:rPr>
              <w:t xml:space="preserve"> </w:t>
            </w:r>
            <w:r w:rsidRPr="002E0F95">
              <w:rPr>
                <w:rFonts w:cs="FrankRuehl"/>
                <w:sz w:val="28"/>
                <w:szCs w:val="28"/>
                <w:rtl/>
              </w:rPr>
              <w:t>מדינת ישראל נ' ספונגין(עציר)</w:t>
            </w:r>
          </w:p>
          <w:p w14:paraId="5BEFFDEA" w14:textId="77777777" w:rsidR="00443A6A" w:rsidRPr="002E0F95" w:rsidRDefault="00443A6A" w:rsidP="006E5CAC">
            <w:pPr>
              <w:pStyle w:val="a3"/>
              <w:rPr>
                <w:rFonts w:cs="FrankRuehl"/>
                <w:sz w:val="28"/>
                <w:szCs w:val="28"/>
                <w:rtl/>
              </w:rPr>
            </w:pPr>
          </w:p>
        </w:tc>
        <w:tc>
          <w:tcPr>
            <w:tcW w:w="3662" w:type="dxa"/>
            <w:gridSpan w:val="2"/>
          </w:tcPr>
          <w:p w14:paraId="20ECD473" w14:textId="77777777" w:rsidR="00443A6A" w:rsidRPr="002E0F95" w:rsidRDefault="00443A6A" w:rsidP="006E5CAC">
            <w:pPr>
              <w:pStyle w:val="a3"/>
              <w:jc w:val="right"/>
              <w:rPr>
                <w:rFonts w:cs="FrankRuehl"/>
                <w:sz w:val="28"/>
                <w:szCs w:val="28"/>
                <w:rtl/>
              </w:rPr>
            </w:pPr>
          </w:p>
        </w:tc>
      </w:tr>
      <w:tr w:rsidR="00443A6A" w:rsidRPr="002E0F95" w14:paraId="3F904CCF" w14:textId="77777777" w:rsidTr="0064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46486661" w14:textId="77777777" w:rsidR="00443A6A" w:rsidRPr="002E0F95" w:rsidRDefault="00443A6A" w:rsidP="00443A6A">
            <w:pPr>
              <w:jc w:val="both"/>
              <w:rPr>
                <w:rFonts w:ascii="David" w:hAnsi="David"/>
                <w:b/>
                <w:bCs/>
              </w:rPr>
            </w:pPr>
            <w:r w:rsidRPr="002E0F95">
              <w:rPr>
                <w:rFonts w:hint="cs"/>
                <w:rtl/>
              </w:rPr>
              <w:t xml:space="preserve"> </w:t>
            </w:r>
            <w:r w:rsidRPr="002E0F95">
              <w:rPr>
                <w:rFonts w:ascii="David" w:hAnsi="David"/>
                <w:b/>
                <w:bCs/>
                <w:rtl/>
              </w:rPr>
              <w:t xml:space="preserve">בפני </w:t>
            </w:r>
          </w:p>
        </w:tc>
        <w:tc>
          <w:tcPr>
            <w:tcW w:w="8358" w:type="dxa"/>
            <w:gridSpan w:val="4"/>
            <w:tcBorders>
              <w:top w:val="nil"/>
              <w:left w:val="nil"/>
              <w:bottom w:val="nil"/>
              <w:right w:val="nil"/>
            </w:tcBorders>
            <w:shd w:val="clear" w:color="auto" w:fill="auto"/>
          </w:tcPr>
          <w:p w14:paraId="628C6875" w14:textId="77777777" w:rsidR="00443A6A" w:rsidRPr="002E0F95" w:rsidRDefault="00443A6A" w:rsidP="006E5CAC">
            <w:pPr>
              <w:rPr>
                <w:rFonts w:ascii="David" w:hAnsi="David"/>
                <w:b/>
                <w:bCs/>
              </w:rPr>
            </w:pPr>
            <w:r w:rsidRPr="002E0F95">
              <w:rPr>
                <w:rFonts w:ascii="Arial" w:hAnsi="Arial"/>
                <w:b/>
                <w:bCs/>
                <w:rtl/>
              </w:rPr>
              <w:t>כב' השופט יוסי טורס , סגן הנשיאה</w:t>
            </w:r>
          </w:p>
        </w:tc>
      </w:tr>
      <w:tr w:rsidR="00443A6A" w:rsidRPr="002E0F95" w14:paraId="26134648" w14:textId="77777777" w:rsidTr="0064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1DDF8827" w14:textId="77777777" w:rsidR="00443A6A" w:rsidRPr="002E0F95" w:rsidRDefault="00443A6A" w:rsidP="00443A6A">
            <w:pPr>
              <w:jc w:val="both"/>
              <w:rPr>
                <w:rFonts w:ascii="David" w:hAnsi="David"/>
                <w:b/>
                <w:bCs/>
                <w:rtl/>
              </w:rPr>
            </w:pPr>
            <w:bookmarkStart w:id="0" w:name="LastJudge"/>
            <w:bookmarkEnd w:id="0"/>
          </w:p>
          <w:p w14:paraId="237709AD" w14:textId="77777777" w:rsidR="00443A6A" w:rsidRPr="002E0F95" w:rsidRDefault="00443A6A" w:rsidP="00443A6A">
            <w:pPr>
              <w:jc w:val="both"/>
              <w:rPr>
                <w:rFonts w:ascii="David" w:hAnsi="David"/>
                <w:b/>
                <w:bCs/>
                <w:rtl/>
              </w:rPr>
            </w:pPr>
          </w:p>
        </w:tc>
        <w:tc>
          <w:tcPr>
            <w:tcW w:w="8358" w:type="dxa"/>
            <w:gridSpan w:val="4"/>
            <w:tcBorders>
              <w:top w:val="nil"/>
              <w:left w:val="nil"/>
              <w:bottom w:val="nil"/>
              <w:right w:val="nil"/>
            </w:tcBorders>
            <w:shd w:val="clear" w:color="auto" w:fill="auto"/>
          </w:tcPr>
          <w:p w14:paraId="28BAEC98" w14:textId="77777777" w:rsidR="00443A6A" w:rsidRPr="002E0F95" w:rsidRDefault="00443A6A" w:rsidP="006E5CAC">
            <w:pPr>
              <w:rPr>
                <w:rFonts w:ascii="Arial" w:hAnsi="Arial"/>
                <w:b/>
                <w:bCs/>
                <w:rtl/>
              </w:rPr>
            </w:pPr>
          </w:p>
        </w:tc>
      </w:tr>
      <w:tr w:rsidR="00443A6A" w:rsidRPr="002E0F95" w14:paraId="32F490C5" w14:textId="77777777" w:rsidTr="0064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4C7C0170" w14:textId="77777777" w:rsidR="00443A6A" w:rsidRPr="002E0F95" w:rsidRDefault="00443A6A" w:rsidP="00443A6A">
            <w:pPr>
              <w:jc w:val="both"/>
              <w:rPr>
                <w:rFonts w:ascii="David" w:hAnsi="David"/>
                <w:b/>
                <w:bCs/>
              </w:rPr>
            </w:pPr>
            <w:bookmarkStart w:id="1" w:name="FirstAppellant"/>
            <w:r w:rsidRPr="002E0F95">
              <w:rPr>
                <w:rFonts w:ascii="David" w:hAnsi="David"/>
                <w:b/>
                <w:bCs/>
                <w:rtl/>
              </w:rPr>
              <w:t>בעניין:</w:t>
            </w:r>
          </w:p>
        </w:tc>
        <w:tc>
          <w:tcPr>
            <w:tcW w:w="5095" w:type="dxa"/>
            <w:gridSpan w:val="2"/>
            <w:tcBorders>
              <w:top w:val="nil"/>
              <w:left w:val="nil"/>
              <w:bottom w:val="nil"/>
              <w:right w:val="nil"/>
            </w:tcBorders>
            <w:shd w:val="clear" w:color="auto" w:fill="auto"/>
          </w:tcPr>
          <w:p w14:paraId="4C4FF1E4" w14:textId="77777777" w:rsidR="00443A6A" w:rsidRPr="002E0F95" w:rsidRDefault="00443A6A" w:rsidP="006E5CAC">
            <w:pPr>
              <w:rPr>
                <w:rFonts w:ascii="David" w:hAnsi="David"/>
                <w:b/>
                <w:bCs/>
              </w:rPr>
            </w:pPr>
            <w:r w:rsidRPr="002E0F95">
              <w:rPr>
                <w:rFonts w:ascii="David" w:hAnsi="David"/>
                <w:b/>
                <w:bCs/>
                <w:rtl/>
              </w:rPr>
              <w:t>מדינת ישראל</w:t>
            </w:r>
          </w:p>
        </w:tc>
        <w:tc>
          <w:tcPr>
            <w:tcW w:w="3263" w:type="dxa"/>
            <w:gridSpan w:val="2"/>
            <w:tcBorders>
              <w:top w:val="nil"/>
              <w:left w:val="nil"/>
              <w:bottom w:val="nil"/>
              <w:right w:val="nil"/>
            </w:tcBorders>
            <w:shd w:val="clear" w:color="auto" w:fill="auto"/>
          </w:tcPr>
          <w:p w14:paraId="31FF8741" w14:textId="77777777" w:rsidR="00443A6A" w:rsidRPr="002E0F95" w:rsidRDefault="00443A6A" w:rsidP="00443A6A">
            <w:pPr>
              <w:jc w:val="both"/>
              <w:rPr>
                <w:rFonts w:ascii="David" w:hAnsi="David"/>
                <w:b/>
                <w:bCs/>
              </w:rPr>
            </w:pPr>
            <w:r w:rsidRPr="002E0F95">
              <w:rPr>
                <w:rFonts w:ascii="David" w:hAnsi="David"/>
                <w:b/>
                <w:bCs/>
                <w:rtl/>
              </w:rPr>
              <w:t>המאשימה</w:t>
            </w:r>
          </w:p>
        </w:tc>
      </w:tr>
      <w:bookmarkEnd w:id="1"/>
      <w:tr w:rsidR="00443A6A" w:rsidRPr="002E0F95" w14:paraId="3F211817" w14:textId="77777777" w:rsidTr="0064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6B62AC55" w14:textId="77777777" w:rsidR="00443A6A" w:rsidRPr="002E0F95" w:rsidRDefault="00443A6A" w:rsidP="00443A6A">
            <w:pPr>
              <w:jc w:val="both"/>
              <w:rPr>
                <w:rFonts w:ascii="David" w:hAnsi="David"/>
                <w:b/>
                <w:bCs/>
                <w:rtl/>
              </w:rPr>
            </w:pPr>
          </w:p>
        </w:tc>
        <w:tc>
          <w:tcPr>
            <w:tcW w:w="8358" w:type="dxa"/>
            <w:gridSpan w:val="4"/>
            <w:tcBorders>
              <w:top w:val="nil"/>
              <w:left w:val="nil"/>
              <w:bottom w:val="nil"/>
              <w:right w:val="nil"/>
            </w:tcBorders>
            <w:shd w:val="clear" w:color="auto" w:fill="auto"/>
          </w:tcPr>
          <w:p w14:paraId="437A1FC1" w14:textId="77777777" w:rsidR="00443A6A" w:rsidRPr="002E0F95" w:rsidRDefault="00443A6A" w:rsidP="006E5CAC">
            <w:pPr>
              <w:rPr>
                <w:rFonts w:ascii="David" w:hAnsi="David"/>
                <w:b/>
                <w:bCs/>
              </w:rPr>
            </w:pPr>
            <w:r w:rsidRPr="002E0F95">
              <w:rPr>
                <w:rFonts w:ascii="David" w:hAnsi="David" w:hint="cs"/>
                <w:b/>
                <w:bCs/>
                <w:rtl/>
              </w:rPr>
              <w:t xml:space="preserve">                                                   </w:t>
            </w:r>
            <w:r w:rsidRPr="002E0F95">
              <w:rPr>
                <w:rFonts w:ascii="David" w:hAnsi="David"/>
                <w:b/>
                <w:bCs/>
                <w:rtl/>
              </w:rPr>
              <w:t>נגד</w:t>
            </w:r>
          </w:p>
        </w:tc>
      </w:tr>
      <w:tr w:rsidR="00443A6A" w:rsidRPr="002E0F95" w14:paraId="65C3177A" w14:textId="77777777" w:rsidTr="0064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73A5F030" w14:textId="77777777" w:rsidR="00443A6A" w:rsidRPr="002E0F95" w:rsidRDefault="00443A6A" w:rsidP="006E5CAC">
            <w:pPr>
              <w:rPr>
                <w:rFonts w:ascii="David" w:hAnsi="David"/>
                <w:b/>
                <w:bCs/>
                <w:rtl/>
              </w:rPr>
            </w:pPr>
          </w:p>
        </w:tc>
        <w:tc>
          <w:tcPr>
            <w:tcW w:w="5095" w:type="dxa"/>
            <w:gridSpan w:val="2"/>
            <w:tcBorders>
              <w:top w:val="nil"/>
              <w:left w:val="nil"/>
              <w:bottom w:val="nil"/>
              <w:right w:val="nil"/>
            </w:tcBorders>
            <w:shd w:val="clear" w:color="auto" w:fill="auto"/>
          </w:tcPr>
          <w:p w14:paraId="3FFC465E" w14:textId="77777777" w:rsidR="00443A6A" w:rsidRPr="002E0F95" w:rsidRDefault="00443A6A" w:rsidP="006E5CAC">
            <w:pPr>
              <w:rPr>
                <w:rFonts w:ascii="David" w:hAnsi="David"/>
                <w:b/>
                <w:bCs/>
                <w:rtl/>
              </w:rPr>
            </w:pPr>
            <w:r w:rsidRPr="002E0F95">
              <w:rPr>
                <w:rFonts w:ascii="David" w:hAnsi="David"/>
                <w:b/>
                <w:bCs/>
                <w:rtl/>
              </w:rPr>
              <w:br/>
            </w:r>
            <w:r w:rsidRPr="002E0F95">
              <w:rPr>
                <w:rFonts w:ascii="David" w:hAnsi="David"/>
                <w:b/>
                <w:bCs/>
                <w:rtl/>
              </w:rPr>
              <w:br/>
              <w:t xml:space="preserve">שירלי גלית ספונגין </w:t>
            </w:r>
          </w:p>
        </w:tc>
        <w:tc>
          <w:tcPr>
            <w:tcW w:w="3263" w:type="dxa"/>
            <w:gridSpan w:val="2"/>
            <w:tcBorders>
              <w:top w:val="nil"/>
              <w:left w:val="nil"/>
              <w:bottom w:val="nil"/>
              <w:right w:val="nil"/>
            </w:tcBorders>
            <w:shd w:val="clear" w:color="auto" w:fill="auto"/>
          </w:tcPr>
          <w:p w14:paraId="4C245166" w14:textId="77777777" w:rsidR="00443A6A" w:rsidRPr="002E0F95" w:rsidRDefault="00443A6A" w:rsidP="006E5CAC">
            <w:pPr>
              <w:rPr>
                <w:rFonts w:ascii="David" w:hAnsi="David"/>
                <w:b/>
                <w:bCs/>
                <w:rtl/>
              </w:rPr>
            </w:pPr>
          </w:p>
          <w:p w14:paraId="28539A4F" w14:textId="77777777" w:rsidR="00443A6A" w:rsidRPr="002E0F95" w:rsidRDefault="00443A6A" w:rsidP="006E5CAC">
            <w:pPr>
              <w:rPr>
                <w:rFonts w:ascii="David" w:hAnsi="David"/>
                <w:b/>
                <w:bCs/>
                <w:rtl/>
              </w:rPr>
            </w:pPr>
          </w:p>
          <w:p w14:paraId="2A53A3E3" w14:textId="77777777" w:rsidR="00443A6A" w:rsidRPr="002E0F95" w:rsidRDefault="00443A6A" w:rsidP="006E5CAC">
            <w:pPr>
              <w:rPr>
                <w:rFonts w:ascii="David" w:hAnsi="David"/>
                <w:b/>
                <w:bCs/>
              </w:rPr>
            </w:pPr>
            <w:r w:rsidRPr="002E0F95">
              <w:rPr>
                <w:rFonts w:ascii="David" w:hAnsi="David"/>
                <w:b/>
                <w:bCs/>
                <w:rtl/>
              </w:rPr>
              <w:t>הנאש</w:t>
            </w:r>
            <w:r w:rsidRPr="002E0F95">
              <w:rPr>
                <w:rFonts w:ascii="David" w:hAnsi="David" w:hint="cs"/>
                <w:b/>
                <w:bCs/>
                <w:rtl/>
              </w:rPr>
              <w:t>מת</w:t>
            </w:r>
          </w:p>
        </w:tc>
      </w:tr>
    </w:tbl>
    <w:p w14:paraId="08687F43" w14:textId="77777777" w:rsidR="00443A6A" w:rsidRPr="002E0F95" w:rsidRDefault="00443A6A" w:rsidP="00443A6A">
      <w:pPr>
        <w:rPr>
          <w:sz w:val="26"/>
          <w:szCs w:val="26"/>
        </w:rPr>
      </w:pPr>
    </w:p>
    <w:p w14:paraId="2BE6DBF2" w14:textId="77777777" w:rsidR="002E0F95" w:rsidRPr="002E0F95" w:rsidRDefault="002E0F95" w:rsidP="002E0F95">
      <w:pPr>
        <w:spacing w:before="120" w:after="120" w:line="240" w:lineRule="exact"/>
        <w:ind w:left="283" w:hanging="283"/>
        <w:jc w:val="both"/>
        <w:rPr>
          <w:rFonts w:ascii="FrankRuehl" w:hAnsi="FrankRuehl" w:cs="FrankRuehl"/>
          <w:rtl/>
        </w:rPr>
      </w:pPr>
    </w:p>
    <w:p w14:paraId="5290AC01" w14:textId="77777777" w:rsidR="002E0F95" w:rsidRPr="002E0F95" w:rsidRDefault="002E0F95" w:rsidP="002E0F95">
      <w:pPr>
        <w:rPr>
          <w:rFonts w:ascii="David" w:hAnsi="David"/>
          <w:sz w:val="26"/>
          <w:szCs w:val="26"/>
          <w:rtl/>
        </w:rPr>
      </w:pPr>
    </w:p>
    <w:p w14:paraId="13237B15" w14:textId="77777777" w:rsidR="006408F9" w:rsidRPr="006408F9" w:rsidRDefault="006408F9" w:rsidP="006408F9">
      <w:pPr>
        <w:spacing w:before="120" w:after="120" w:line="240" w:lineRule="exact"/>
        <w:ind w:left="283" w:hanging="283"/>
        <w:jc w:val="both"/>
        <w:rPr>
          <w:rFonts w:ascii="FrankRuehl" w:hAnsi="FrankRuehl" w:cs="FrankRuehl"/>
          <w:rtl/>
        </w:rPr>
      </w:pPr>
      <w:bookmarkStart w:id="2" w:name="LawTable"/>
      <w:bookmarkEnd w:id="2"/>
    </w:p>
    <w:p w14:paraId="53358A80" w14:textId="77777777" w:rsidR="006408F9" w:rsidRPr="006408F9" w:rsidRDefault="006408F9" w:rsidP="006408F9">
      <w:pPr>
        <w:spacing w:before="120" w:after="120" w:line="240" w:lineRule="exact"/>
        <w:ind w:left="283" w:hanging="283"/>
        <w:jc w:val="both"/>
        <w:rPr>
          <w:rFonts w:ascii="FrankRuehl" w:hAnsi="FrankRuehl" w:cs="FrankRuehl"/>
          <w:rtl/>
        </w:rPr>
      </w:pPr>
      <w:r w:rsidRPr="006408F9">
        <w:rPr>
          <w:rFonts w:ascii="FrankRuehl" w:hAnsi="FrankRuehl" w:cs="FrankRuehl"/>
          <w:rtl/>
        </w:rPr>
        <w:t xml:space="preserve">חקיקה שאוזכרה: </w:t>
      </w:r>
    </w:p>
    <w:p w14:paraId="480F4158" w14:textId="77777777" w:rsidR="006408F9" w:rsidRPr="006408F9" w:rsidRDefault="006408F9" w:rsidP="006408F9">
      <w:pPr>
        <w:spacing w:before="120" w:after="120" w:line="240" w:lineRule="exact"/>
        <w:ind w:left="283" w:hanging="283"/>
        <w:jc w:val="both"/>
        <w:rPr>
          <w:rFonts w:ascii="FrankRuehl" w:hAnsi="FrankRuehl" w:cs="FrankRuehl"/>
          <w:color w:val="0000FF"/>
          <w:rtl/>
        </w:rPr>
      </w:pPr>
      <w:hyperlink r:id="rId7" w:history="1">
        <w:r w:rsidRPr="006408F9">
          <w:rPr>
            <w:rStyle w:val="Hyperlink"/>
            <w:rFonts w:ascii="FrankRuehl" w:hAnsi="FrankRuehl" w:cs="FrankRuehl"/>
            <w:u w:val="none"/>
            <w:rtl/>
          </w:rPr>
          <w:t>חוק העונשין, תשל"ז-1977</w:t>
        </w:r>
      </w:hyperlink>
      <w:r w:rsidRPr="006408F9">
        <w:rPr>
          <w:rFonts w:ascii="FrankRuehl" w:hAnsi="FrankRuehl" w:cs="FrankRuehl"/>
          <w:color w:val="0000FF"/>
          <w:rtl/>
        </w:rPr>
        <w:t xml:space="preserve">: סע'  </w:t>
      </w:r>
      <w:hyperlink r:id="rId8" w:history="1">
        <w:r w:rsidRPr="006408F9">
          <w:rPr>
            <w:rStyle w:val="Hyperlink"/>
            <w:rFonts w:ascii="FrankRuehl" w:hAnsi="FrankRuehl" w:cs="FrankRuehl"/>
            <w:u w:val="none"/>
          </w:rPr>
          <w:t>186</w:t>
        </w:r>
      </w:hyperlink>
      <w:r w:rsidRPr="006408F9">
        <w:rPr>
          <w:rFonts w:ascii="FrankRuehl" w:hAnsi="FrankRuehl" w:cs="FrankRuehl"/>
          <w:color w:val="0000FF"/>
          <w:rtl/>
        </w:rPr>
        <w:t xml:space="preserve">(א), </w:t>
      </w:r>
      <w:hyperlink r:id="rId9" w:history="1">
        <w:r w:rsidRPr="006408F9">
          <w:rPr>
            <w:rStyle w:val="Hyperlink"/>
            <w:rFonts w:ascii="FrankRuehl" w:hAnsi="FrankRuehl" w:cs="FrankRuehl"/>
            <w:u w:val="none"/>
          </w:rPr>
          <w:t>192</w:t>
        </w:r>
      </w:hyperlink>
      <w:r w:rsidRPr="006408F9">
        <w:rPr>
          <w:rFonts w:ascii="FrankRuehl" w:hAnsi="FrankRuehl" w:cs="FrankRuehl"/>
          <w:color w:val="0000FF"/>
          <w:rtl/>
        </w:rPr>
        <w:t xml:space="preserve">, </w:t>
      </w:r>
      <w:hyperlink r:id="rId10" w:history="1">
        <w:r w:rsidRPr="006408F9">
          <w:rPr>
            <w:rStyle w:val="Hyperlink"/>
            <w:rFonts w:ascii="FrankRuehl" w:hAnsi="FrankRuehl" w:cs="FrankRuehl"/>
            <w:u w:val="none"/>
          </w:rPr>
          <w:t>216</w:t>
        </w:r>
      </w:hyperlink>
      <w:r w:rsidRPr="006408F9">
        <w:rPr>
          <w:rFonts w:ascii="FrankRuehl" w:hAnsi="FrankRuehl" w:cs="FrankRuehl"/>
          <w:color w:val="0000FF"/>
          <w:rtl/>
        </w:rPr>
        <w:t xml:space="preserve">(א)(1), </w:t>
      </w:r>
      <w:hyperlink r:id="rId11" w:history="1">
        <w:r w:rsidRPr="006408F9">
          <w:rPr>
            <w:rStyle w:val="Hyperlink"/>
            <w:rFonts w:ascii="FrankRuehl" w:hAnsi="FrankRuehl" w:cs="FrankRuehl"/>
            <w:u w:val="none"/>
          </w:rPr>
          <w:t>287</w:t>
        </w:r>
      </w:hyperlink>
      <w:r w:rsidRPr="006408F9">
        <w:rPr>
          <w:rFonts w:ascii="FrankRuehl" w:hAnsi="FrankRuehl" w:cs="FrankRuehl"/>
          <w:color w:val="0000FF"/>
          <w:rtl/>
        </w:rPr>
        <w:t xml:space="preserve">(א), </w:t>
      </w:r>
      <w:hyperlink r:id="rId12" w:history="1">
        <w:r w:rsidRPr="006408F9">
          <w:rPr>
            <w:rStyle w:val="Hyperlink"/>
            <w:rFonts w:ascii="FrankRuehl" w:hAnsi="FrankRuehl" w:cs="FrankRuehl"/>
            <w:u w:val="none"/>
          </w:rPr>
          <w:t>368</w:t>
        </w:r>
        <w:r w:rsidRPr="006408F9">
          <w:rPr>
            <w:rStyle w:val="Hyperlink"/>
            <w:rFonts w:ascii="FrankRuehl" w:hAnsi="FrankRuehl" w:cs="FrankRuehl"/>
            <w:u w:val="none"/>
            <w:rtl/>
          </w:rPr>
          <w:t>ו</w:t>
        </w:r>
      </w:hyperlink>
      <w:r w:rsidRPr="006408F9">
        <w:rPr>
          <w:rFonts w:ascii="FrankRuehl" w:hAnsi="FrankRuehl" w:cs="FrankRuehl"/>
          <w:color w:val="0000FF"/>
          <w:rtl/>
        </w:rPr>
        <w:t xml:space="preserve">(א), </w:t>
      </w:r>
      <w:hyperlink r:id="rId13" w:history="1">
        <w:r w:rsidRPr="006408F9">
          <w:rPr>
            <w:rStyle w:val="Hyperlink"/>
            <w:rFonts w:ascii="FrankRuehl" w:hAnsi="FrankRuehl" w:cs="FrankRuehl"/>
            <w:u w:val="none"/>
          </w:rPr>
          <w:t>379</w:t>
        </w:r>
      </w:hyperlink>
      <w:r w:rsidRPr="006408F9">
        <w:rPr>
          <w:rFonts w:ascii="FrankRuehl" w:hAnsi="FrankRuehl" w:cs="FrankRuehl"/>
          <w:color w:val="0000FF"/>
          <w:rtl/>
        </w:rPr>
        <w:t xml:space="preserve">, </w:t>
      </w:r>
      <w:hyperlink r:id="rId14" w:history="1">
        <w:r w:rsidRPr="006408F9">
          <w:rPr>
            <w:rStyle w:val="Hyperlink"/>
            <w:rFonts w:ascii="FrankRuehl" w:hAnsi="FrankRuehl" w:cs="FrankRuehl"/>
            <w:u w:val="none"/>
          </w:rPr>
          <w:t>380</w:t>
        </w:r>
      </w:hyperlink>
      <w:r w:rsidRPr="006408F9">
        <w:rPr>
          <w:rFonts w:ascii="FrankRuehl" w:hAnsi="FrankRuehl" w:cs="FrankRuehl"/>
          <w:color w:val="0000FF"/>
          <w:rtl/>
        </w:rPr>
        <w:t xml:space="preserve">, </w:t>
      </w:r>
      <w:hyperlink r:id="rId15" w:history="1">
        <w:r w:rsidRPr="006408F9">
          <w:rPr>
            <w:rStyle w:val="Hyperlink"/>
            <w:rFonts w:ascii="FrankRuehl" w:hAnsi="FrankRuehl" w:cs="FrankRuehl"/>
            <w:u w:val="none"/>
          </w:rPr>
          <w:t>382</w:t>
        </w:r>
      </w:hyperlink>
      <w:r w:rsidRPr="006408F9">
        <w:rPr>
          <w:rFonts w:ascii="FrankRuehl" w:hAnsi="FrankRuehl" w:cs="FrankRuehl"/>
          <w:color w:val="0000FF"/>
          <w:rtl/>
        </w:rPr>
        <w:t xml:space="preserve">(ג)+, </w:t>
      </w:r>
      <w:hyperlink r:id="rId16" w:history="1">
        <w:r w:rsidRPr="006408F9">
          <w:rPr>
            <w:rStyle w:val="Hyperlink"/>
            <w:rFonts w:ascii="FrankRuehl" w:hAnsi="FrankRuehl" w:cs="FrankRuehl"/>
            <w:u w:val="none"/>
          </w:rPr>
          <w:t>413</w:t>
        </w:r>
        <w:r w:rsidRPr="006408F9">
          <w:rPr>
            <w:rStyle w:val="Hyperlink"/>
            <w:rFonts w:ascii="FrankRuehl" w:hAnsi="FrankRuehl" w:cs="FrankRuehl"/>
            <w:u w:val="none"/>
            <w:rtl/>
          </w:rPr>
          <w:t>ה</w:t>
        </w:r>
      </w:hyperlink>
      <w:r w:rsidRPr="006408F9">
        <w:rPr>
          <w:rFonts w:ascii="FrankRuehl" w:hAnsi="FrankRuehl" w:cs="FrankRuehl"/>
          <w:color w:val="0000FF"/>
          <w:rtl/>
        </w:rPr>
        <w:t xml:space="preserve">, </w:t>
      </w:r>
      <w:hyperlink r:id="rId17" w:history="1">
        <w:r w:rsidRPr="006408F9">
          <w:rPr>
            <w:rStyle w:val="Hyperlink"/>
            <w:rFonts w:ascii="FrankRuehl" w:hAnsi="FrankRuehl" w:cs="FrankRuehl"/>
            <w:u w:val="none"/>
          </w:rPr>
          <w:t>452</w:t>
        </w:r>
      </w:hyperlink>
    </w:p>
    <w:p w14:paraId="0C4A9594" w14:textId="77777777" w:rsidR="006408F9" w:rsidRPr="006408F9" w:rsidRDefault="006408F9" w:rsidP="006408F9">
      <w:pPr>
        <w:spacing w:before="120" w:after="120" w:line="240" w:lineRule="exact"/>
        <w:ind w:left="283" w:hanging="283"/>
        <w:jc w:val="both"/>
        <w:rPr>
          <w:rFonts w:ascii="FrankRuehl" w:hAnsi="FrankRuehl" w:cs="FrankRuehl"/>
          <w:color w:val="0000FF"/>
          <w:rtl/>
        </w:rPr>
      </w:pPr>
      <w:hyperlink r:id="rId18" w:history="1">
        <w:r w:rsidRPr="006408F9">
          <w:rPr>
            <w:rStyle w:val="Hyperlink"/>
            <w:rFonts w:ascii="FrankRuehl" w:hAnsi="FrankRuehl" w:cs="FrankRuehl"/>
            <w:u w:val="none"/>
            <w:rtl/>
          </w:rPr>
          <w:t>פקודת הסמים המסוכנים [נוסח חדש], תשל"ג-1973</w:t>
        </w:r>
      </w:hyperlink>
      <w:r w:rsidRPr="006408F9">
        <w:rPr>
          <w:rFonts w:ascii="FrankRuehl" w:hAnsi="FrankRuehl" w:cs="FrankRuehl"/>
          <w:color w:val="0000FF"/>
          <w:rtl/>
        </w:rPr>
        <w:t xml:space="preserve">: סע'  </w:t>
      </w:r>
      <w:hyperlink r:id="rId19" w:history="1">
        <w:r w:rsidRPr="006408F9">
          <w:rPr>
            <w:rStyle w:val="Hyperlink"/>
            <w:rFonts w:ascii="FrankRuehl" w:hAnsi="FrankRuehl" w:cs="FrankRuehl"/>
            <w:u w:val="none"/>
          </w:rPr>
          <w:t>7.</w:t>
        </w:r>
        <w:r w:rsidRPr="006408F9">
          <w:rPr>
            <w:rStyle w:val="Hyperlink"/>
            <w:rFonts w:ascii="FrankRuehl" w:hAnsi="FrankRuehl" w:cs="FrankRuehl"/>
            <w:u w:val="none"/>
            <w:rtl/>
          </w:rPr>
          <w:t>א</w:t>
        </w:r>
        <w:r w:rsidRPr="006408F9">
          <w:rPr>
            <w:rStyle w:val="Hyperlink"/>
            <w:rFonts w:ascii="FrankRuehl" w:hAnsi="FrankRuehl" w:cs="FrankRuehl"/>
            <w:u w:val="none"/>
          </w:rPr>
          <w:t>.</w:t>
        </w:r>
      </w:hyperlink>
      <w:r w:rsidRPr="006408F9">
        <w:rPr>
          <w:rFonts w:ascii="FrankRuehl" w:hAnsi="FrankRuehl" w:cs="FrankRuehl"/>
          <w:color w:val="0000FF"/>
          <w:rtl/>
        </w:rPr>
        <w:t xml:space="preserve">, </w:t>
      </w:r>
      <w:hyperlink r:id="rId20" w:history="1">
        <w:r w:rsidRPr="006408F9">
          <w:rPr>
            <w:rStyle w:val="Hyperlink"/>
            <w:rFonts w:ascii="FrankRuehl" w:hAnsi="FrankRuehl" w:cs="FrankRuehl"/>
            <w:u w:val="none"/>
          </w:rPr>
          <w:t>7.</w:t>
        </w:r>
        <w:r w:rsidRPr="006408F9">
          <w:rPr>
            <w:rStyle w:val="Hyperlink"/>
            <w:rFonts w:ascii="FrankRuehl" w:hAnsi="FrankRuehl" w:cs="FrankRuehl"/>
            <w:u w:val="none"/>
            <w:rtl/>
          </w:rPr>
          <w:t>ג</w:t>
        </w:r>
      </w:hyperlink>
    </w:p>
    <w:p w14:paraId="2459029E" w14:textId="77777777" w:rsidR="00443A6A" w:rsidRPr="006408F9" w:rsidRDefault="00443A6A" w:rsidP="006408F9">
      <w:pPr>
        <w:rPr>
          <w:rFonts w:ascii="David" w:hAnsi="David"/>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3A6A" w14:paraId="674247D3" w14:textId="77777777" w:rsidTr="00443A6A">
        <w:trPr>
          <w:trHeight w:val="355"/>
          <w:jc w:val="center"/>
        </w:trPr>
        <w:tc>
          <w:tcPr>
            <w:tcW w:w="8820" w:type="dxa"/>
            <w:tcBorders>
              <w:top w:val="nil"/>
              <w:left w:val="nil"/>
              <w:bottom w:val="nil"/>
              <w:right w:val="nil"/>
            </w:tcBorders>
            <w:shd w:val="clear" w:color="auto" w:fill="auto"/>
          </w:tcPr>
          <w:p w14:paraId="05C6358D" w14:textId="77777777" w:rsidR="002E0F95" w:rsidRPr="002E0F95" w:rsidRDefault="002E0F95" w:rsidP="002E0F95">
            <w:pPr>
              <w:jc w:val="center"/>
              <w:rPr>
                <w:rFonts w:ascii="David" w:hAnsi="David"/>
                <w:b/>
                <w:bCs/>
                <w:sz w:val="32"/>
                <w:szCs w:val="32"/>
                <w:u w:val="single"/>
                <w:rtl/>
              </w:rPr>
            </w:pPr>
            <w:bookmarkStart w:id="4" w:name="PsakDin" w:colFirst="0" w:colLast="0"/>
            <w:r w:rsidRPr="002E0F95">
              <w:rPr>
                <w:rFonts w:ascii="David" w:hAnsi="David"/>
                <w:b/>
                <w:bCs/>
                <w:sz w:val="32"/>
                <w:szCs w:val="32"/>
                <w:u w:val="single"/>
                <w:rtl/>
              </w:rPr>
              <w:t>גזר דין</w:t>
            </w:r>
          </w:p>
          <w:p w14:paraId="20012702" w14:textId="77777777" w:rsidR="00443A6A" w:rsidRPr="002E0F95" w:rsidRDefault="00443A6A" w:rsidP="002E0F95">
            <w:pPr>
              <w:jc w:val="center"/>
              <w:rPr>
                <w:rFonts w:ascii="David" w:hAnsi="David"/>
                <w:bCs/>
                <w:sz w:val="32"/>
                <w:szCs w:val="32"/>
                <w:u w:val="single"/>
                <w:rtl/>
              </w:rPr>
            </w:pPr>
          </w:p>
        </w:tc>
      </w:tr>
      <w:bookmarkEnd w:id="4"/>
    </w:tbl>
    <w:p w14:paraId="74CA4A28" w14:textId="77777777" w:rsidR="00443A6A" w:rsidRDefault="00443A6A" w:rsidP="00443A6A">
      <w:pPr>
        <w:rPr>
          <w:rFonts w:ascii="David" w:hAnsi="David"/>
          <w:sz w:val="26"/>
          <w:szCs w:val="26"/>
          <w:rtl/>
        </w:rPr>
      </w:pPr>
    </w:p>
    <w:p w14:paraId="0F8BDEF0" w14:textId="77777777" w:rsidR="00443A6A" w:rsidRPr="00A5521C" w:rsidRDefault="00443A6A" w:rsidP="00443A6A">
      <w:pPr>
        <w:spacing w:line="360" w:lineRule="auto"/>
        <w:jc w:val="both"/>
        <w:rPr>
          <w:rFonts w:ascii="David" w:hAnsi="David"/>
          <w:rtl/>
        </w:rPr>
      </w:pPr>
      <w:r w:rsidRPr="00A5521C">
        <w:rPr>
          <w:rFonts w:ascii="David" w:hAnsi="David" w:hint="cs"/>
          <w:b/>
          <w:bCs/>
          <w:u w:val="single"/>
          <w:rtl/>
        </w:rPr>
        <w:t>כתב</w:t>
      </w:r>
      <w:r>
        <w:rPr>
          <w:rFonts w:ascii="David" w:hAnsi="David" w:hint="cs"/>
          <w:b/>
          <w:bCs/>
          <w:u w:val="single"/>
          <w:rtl/>
        </w:rPr>
        <w:t>י</w:t>
      </w:r>
      <w:r w:rsidRPr="00A5521C">
        <w:rPr>
          <w:rFonts w:ascii="David" w:hAnsi="David" w:hint="cs"/>
          <w:b/>
          <w:bCs/>
          <w:u w:val="single"/>
          <w:rtl/>
        </w:rPr>
        <w:t xml:space="preserve"> האישום</w:t>
      </w:r>
      <w:r>
        <w:rPr>
          <w:rFonts w:ascii="David" w:hAnsi="David" w:hint="cs"/>
          <w:b/>
          <w:bCs/>
          <w:u w:val="single"/>
          <w:rtl/>
        </w:rPr>
        <w:t xml:space="preserve"> וההליכים</w:t>
      </w:r>
    </w:p>
    <w:p w14:paraId="03F46127" w14:textId="77777777" w:rsidR="00443A6A" w:rsidRPr="00A5521C" w:rsidRDefault="00443A6A" w:rsidP="00443A6A">
      <w:pPr>
        <w:spacing w:line="360" w:lineRule="auto"/>
        <w:jc w:val="both"/>
        <w:rPr>
          <w:rFonts w:ascii="David" w:hAnsi="David"/>
          <w:rtl/>
        </w:rPr>
      </w:pPr>
    </w:p>
    <w:p w14:paraId="513FBEFA" w14:textId="77777777" w:rsidR="00443A6A" w:rsidRDefault="00443A6A" w:rsidP="00443A6A">
      <w:pPr>
        <w:pStyle w:val="a9"/>
        <w:numPr>
          <w:ilvl w:val="0"/>
          <w:numId w:val="1"/>
        </w:numPr>
        <w:spacing w:line="360" w:lineRule="auto"/>
        <w:jc w:val="both"/>
        <w:rPr>
          <w:rFonts w:ascii="David" w:hAnsi="David"/>
        </w:rPr>
      </w:pPr>
      <w:bookmarkStart w:id="5" w:name="ABSTRACT_START"/>
      <w:bookmarkEnd w:id="5"/>
      <w:r>
        <w:rPr>
          <w:rFonts w:ascii="David" w:hAnsi="David" w:hint="cs"/>
          <w:rtl/>
        </w:rPr>
        <w:t>הנאשמת הורשעה במסגרת הסדר טיעון שלא כלל הסכמה עונשית בכתב אישום מתוקן הכולל ארבעה אישומים, כמפורט להלן:</w:t>
      </w:r>
      <w:r>
        <w:rPr>
          <w:rFonts w:ascii="David" w:hAnsi="David" w:hint="cs"/>
        </w:rPr>
        <w:t xml:space="preserve"> </w:t>
      </w:r>
    </w:p>
    <w:p w14:paraId="158E644D" w14:textId="77777777" w:rsidR="00443A6A" w:rsidRPr="009A523D" w:rsidRDefault="00443A6A" w:rsidP="00443A6A">
      <w:pPr>
        <w:pStyle w:val="a9"/>
        <w:ind w:left="0"/>
        <w:jc w:val="both"/>
        <w:rPr>
          <w:rFonts w:ascii="David" w:hAnsi="David"/>
          <w:rtl/>
        </w:rPr>
      </w:pPr>
    </w:p>
    <w:p w14:paraId="12AA8B88" w14:textId="77777777" w:rsidR="00443A6A" w:rsidRDefault="00443A6A" w:rsidP="00443A6A">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אישום ראשון: ביום 7.9.23 חתמה הנאשמת על כתב ערובה בפני קצין משטרה במסגרתו נאסר עליה, בין היתר, ליצור קשר עם אמה (להלן </w:t>
      </w:r>
      <w:r>
        <w:rPr>
          <w:rFonts w:ascii="David" w:hAnsi="David"/>
          <w:rtl/>
        </w:rPr>
        <w:t>–</w:t>
      </w:r>
      <w:r>
        <w:rPr>
          <w:rFonts w:ascii="David" w:hAnsi="David" w:hint="cs"/>
          <w:rtl/>
        </w:rPr>
        <w:t xml:space="preserve"> </w:t>
      </w:r>
      <w:r w:rsidRPr="00357264">
        <w:rPr>
          <w:rFonts w:ascii="Miriam" w:hAnsi="Miriam" w:cs="Miriam"/>
          <w:rtl/>
        </w:rPr>
        <w:t>המתלוננת או האם</w:t>
      </w:r>
      <w:r>
        <w:rPr>
          <w:rFonts w:ascii="David" w:hAnsi="David" w:hint="cs"/>
          <w:rtl/>
        </w:rPr>
        <w:t>)</w:t>
      </w:r>
      <w:r>
        <w:rPr>
          <w:rFonts w:ascii="David" w:hAnsi="David" w:hint="cs"/>
        </w:rPr>
        <w:t xml:space="preserve"> </w:t>
      </w:r>
      <w:r>
        <w:rPr>
          <w:rFonts w:ascii="David" w:hAnsi="David" w:hint="cs"/>
          <w:rtl/>
        </w:rPr>
        <w:t xml:space="preserve">וזאת עד ליום 7.10.23 (להלן </w:t>
      </w:r>
      <w:r>
        <w:rPr>
          <w:rFonts w:ascii="David" w:hAnsi="David"/>
          <w:rtl/>
        </w:rPr>
        <w:t>–</w:t>
      </w:r>
      <w:r>
        <w:rPr>
          <w:rFonts w:ascii="David" w:hAnsi="David" w:hint="cs"/>
          <w:rtl/>
        </w:rPr>
        <w:t xml:space="preserve"> </w:t>
      </w:r>
      <w:r w:rsidRPr="009E513C">
        <w:rPr>
          <w:rFonts w:ascii="Miriam" w:hAnsi="Miriam" w:cs="Miriam"/>
          <w:rtl/>
        </w:rPr>
        <w:t>ההוראה החוקית</w:t>
      </w:r>
      <w:r>
        <w:rPr>
          <w:rFonts w:ascii="David" w:hAnsi="David" w:hint="cs"/>
          <w:rtl/>
        </w:rPr>
        <w:t xml:space="preserve">). בין התאריכים 8.9.23-13.9.23 הפרה הנאשמת את ההוראה החוקית בכך שהתקשרה אל המתלוננת 19 פעמים בשעות שונות, שלחה חמש הודעות כתובות לטלפון הנייד שלה וביום 13.9.23 הגיעה למקום עבודתה על מנת לשוחח עמה. בגין מעשים אלו הורשעה הנאשמת בריבוי עבירות הפרת הוראה חוקית, לפי </w:t>
      </w:r>
      <w:hyperlink r:id="rId21"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287(א)</w:t>
        </w:r>
      </w:hyperlink>
      <w:r>
        <w:rPr>
          <w:rFonts w:ascii="David" w:hAnsi="David" w:hint="cs"/>
          <w:rtl/>
        </w:rPr>
        <w:t xml:space="preserve"> ל</w:t>
      </w:r>
      <w:hyperlink r:id="rId22" w:history="1">
        <w:r w:rsidR="002E0F95" w:rsidRPr="002E0F95">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9E513C">
        <w:rPr>
          <w:rFonts w:ascii="Miriam" w:hAnsi="Miriam" w:cs="Miriam"/>
          <w:rtl/>
        </w:rPr>
        <w:t>חוק העונשין</w:t>
      </w:r>
      <w:r>
        <w:rPr>
          <w:rFonts w:ascii="David" w:hAnsi="David" w:hint="cs"/>
          <w:rtl/>
        </w:rPr>
        <w:t xml:space="preserve">). </w:t>
      </w:r>
    </w:p>
    <w:p w14:paraId="33B7A4AB" w14:textId="77777777" w:rsidR="00443A6A" w:rsidRDefault="00443A6A" w:rsidP="00443A6A">
      <w:pPr>
        <w:pStyle w:val="a9"/>
        <w:ind w:left="0" w:firstLine="720"/>
        <w:jc w:val="both"/>
        <w:rPr>
          <w:rFonts w:ascii="David" w:hAnsi="David"/>
          <w:rtl/>
        </w:rPr>
      </w:pPr>
      <w:bookmarkStart w:id="6" w:name="ABSTRACT_END"/>
      <w:bookmarkEnd w:id="6"/>
    </w:p>
    <w:p w14:paraId="2734F9CE" w14:textId="77777777" w:rsidR="00443A6A" w:rsidRDefault="00443A6A" w:rsidP="00443A6A">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אישום שני: ביום 7.9.23 החזיקה הנאשמת בסם מסוכן מסוג הרואין במשקל 0.0482 גרם נטו, לצריכה עצמית. באותו היום, בהמתנה לחקירה בתחנת המשטרה, השתוללה, צעקה, קיללה את השוטרים, ירקה על הרצפה ודפקה עם רגליה על ספסל </w:t>
      </w:r>
      <w:r>
        <w:rPr>
          <w:rFonts w:ascii="David" w:hAnsi="David" w:hint="cs"/>
          <w:rtl/>
        </w:rPr>
        <w:lastRenderedPageBreak/>
        <w:t xml:space="preserve">ההמתנה. בגין מעשים אלו הורשעה הנאשמת בעבירות התנהגות פרועה במקום ציבורי, לפי </w:t>
      </w:r>
      <w:hyperlink r:id="rId23"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216(א)(1)</w:t>
        </w:r>
      </w:hyperlink>
      <w:r>
        <w:rPr>
          <w:rFonts w:ascii="David" w:hAnsi="David" w:hint="cs"/>
          <w:rtl/>
        </w:rPr>
        <w:t xml:space="preserve"> ל</w:t>
      </w:r>
      <w:hyperlink r:id="rId24" w:history="1">
        <w:r w:rsidR="002E0F95" w:rsidRPr="002E0F95">
          <w:rPr>
            <w:rFonts w:ascii="David" w:hAnsi="David"/>
            <w:color w:val="0000FF"/>
            <w:u w:val="single"/>
            <w:rtl/>
          </w:rPr>
          <w:t>חוק העונשין</w:t>
        </w:r>
      </w:hyperlink>
      <w:r>
        <w:rPr>
          <w:rFonts w:ascii="David" w:hAnsi="David" w:hint="cs"/>
          <w:rtl/>
        </w:rPr>
        <w:t xml:space="preserve">; והחזקת סם לצריכה עצמית, לפי </w:t>
      </w:r>
      <w:hyperlink r:id="rId25"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7(א)+7(ג)</w:t>
        </w:r>
      </w:hyperlink>
      <w:r>
        <w:rPr>
          <w:rFonts w:ascii="David" w:hAnsi="David" w:hint="cs"/>
          <w:rtl/>
        </w:rPr>
        <w:t xml:space="preserve"> סיפא ל</w:t>
      </w:r>
      <w:hyperlink r:id="rId26" w:history="1">
        <w:r w:rsidR="002E0F95" w:rsidRPr="002E0F95">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9E513C">
        <w:rPr>
          <w:rFonts w:ascii="Miriam" w:hAnsi="Miriam" w:cs="Miriam"/>
          <w:rtl/>
        </w:rPr>
        <w:t>פקודת הסמים</w:t>
      </w:r>
      <w:r>
        <w:rPr>
          <w:rFonts w:ascii="David" w:hAnsi="David" w:hint="cs"/>
          <w:rtl/>
        </w:rPr>
        <w:t xml:space="preserve">). </w:t>
      </w:r>
    </w:p>
    <w:p w14:paraId="36602AD4" w14:textId="77777777" w:rsidR="00443A6A" w:rsidRDefault="00443A6A" w:rsidP="00443A6A">
      <w:pPr>
        <w:pStyle w:val="a9"/>
        <w:ind w:left="0" w:firstLine="720"/>
        <w:jc w:val="both"/>
        <w:rPr>
          <w:rFonts w:ascii="David" w:hAnsi="David"/>
          <w:rtl/>
        </w:rPr>
      </w:pPr>
    </w:p>
    <w:p w14:paraId="2257DC70" w14:textId="77777777" w:rsidR="00443A6A" w:rsidRDefault="00443A6A" w:rsidP="00443A6A">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אישום שלישי: ביום 31.8.23 נכנסה המתלוננת למעלית בבניין מגוריה ואחריה נכנסה הנאשמת שצעקה וקיללה אותה. בכניסה לדירה הכתה הנאשמת את המתלוננת בבית החזה וסטרה ללחייה. למשמע זעקותיה של האם (המתלוננת)</w:t>
      </w:r>
      <w:r>
        <w:rPr>
          <w:rFonts w:ascii="David" w:hAnsi="David" w:hint="cs"/>
        </w:rPr>
        <w:t xml:space="preserve"> </w:t>
      </w:r>
      <w:r>
        <w:rPr>
          <w:rFonts w:ascii="David" w:hAnsi="David" w:hint="cs"/>
          <w:rtl/>
        </w:rPr>
        <w:t xml:space="preserve">ודפיקותיה בדלת הבית יצא בן זוגה של האם, יליד 1945 (להלן </w:t>
      </w:r>
      <w:r>
        <w:rPr>
          <w:rFonts w:ascii="David" w:hAnsi="David"/>
          <w:rtl/>
        </w:rPr>
        <w:t>–</w:t>
      </w:r>
      <w:r>
        <w:rPr>
          <w:rFonts w:ascii="David" w:hAnsi="David" w:hint="cs"/>
          <w:rtl/>
        </w:rPr>
        <w:t xml:space="preserve"> </w:t>
      </w:r>
      <w:r w:rsidRPr="009A523D">
        <w:rPr>
          <w:rFonts w:ascii="Miriam" w:hAnsi="Miriam" w:cs="Miriam"/>
          <w:rtl/>
        </w:rPr>
        <w:t>המתלונן</w:t>
      </w:r>
      <w:r>
        <w:rPr>
          <w:rFonts w:ascii="David" w:hAnsi="David" w:hint="cs"/>
          <w:rtl/>
        </w:rPr>
        <w:t xml:space="preserve">) כשהוא אוחז מגב עץ בידו, ודרש מהנאשמת לעזוב. או אז, חטפה הנאשמת את המגב מידו, שברה אותו והכתה את המתלונן באמצעות המגב השבור בבטנו, ידו ומפשעתו וגרמה לו להמטומות ביד ובבטן. לאחר מכן יצאה מהבניין, שרטה את רכבה של המתלוננת באמצעות המגב השבור והשליכה אבנים על הרכב. בגין מעשים אלו הורשעה הנאשמת בעבירת חבלה במזיד לרכב, לפי </w:t>
      </w:r>
      <w:hyperlink r:id="rId27"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413ה</w:t>
        </w:r>
      </w:hyperlink>
      <w:r>
        <w:rPr>
          <w:rFonts w:ascii="David" w:hAnsi="David" w:hint="cs"/>
          <w:rtl/>
        </w:rPr>
        <w:t xml:space="preserve"> ל</w:t>
      </w:r>
      <w:hyperlink r:id="rId28" w:history="1">
        <w:r w:rsidR="002E0F95" w:rsidRPr="002E0F95">
          <w:rPr>
            <w:rFonts w:ascii="David" w:hAnsi="David"/>
            <w:color w:val="0000FF"/>
            <w:u w:val="single"/>
            <w:rtl/>
          </w:rPr>
          <w:t>חוק העונשין</w:t>
        </w:r>
      </w:hyperlink>
      <w:r>
        <w:rPr>
          <w:rFonts w:ascii="David" w:hAnsi="David" w:hint="cs"/>
          <w:rtl/>
        </w:rPr>
        <w:t xml:space="preserve">; תקיפה סתם, לפי </w:t>
      </w:r>
      <w:hyperlink r:id="rId29"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379</w:t>
        </w:r>
      </w:hyperlink>
      <w:r>
        <w:rPr>
          <w:rFonts w:ascii="David" w:hAnsi="David" w:hint="cs"/>
          <w:rtl/>
        </w:rPr>
        <w:t xml:space="preserve"> לחוק העונשין; ותקיפת זקן הגורמת חבלה ממש, לפי </w:t>
      </w:r>
      <w:hyperlink r:id="rId30"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368ו(א)</w:t>
        </w:r>
      </w:hyperlink>
      <w:r>
        <w:rPr>
          <w:rFonts w:ascii="David" w:hAnsi="David" w:hint="cs"/>
          <w:rtl/>
        </w:rPr>
        <w:t xml:space="preserve"> לחוק העונשין.</w:t>
      </w:r>
    </w:p>
    <w:p w14:paraId="1FB06ADD" w14:textId="77777777" w:rsidR="00443A6A" w:rsidRDefault="00443A6A" w:rsidP="00443A6A">
      <w:pPr>
        <w:pStyle w:val="a9"/>
        <w:ind w:left="0" w:firstLine="720"/>
        <w:jc w:val="both"/>
        <w:rPr>
          <w:rFonts w:ascii="David" w:hAnsi="David"/>
          <w:rtl/>
        </w:rPr>
      </w:pPr>
    </w:p>
    <w:p w14:paraId="4E006046" w14:textId="77777777" w:rsidR="00443A6A" w:rsidRDefault="00443A6A" w:rsidP="00443A6A">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אישום רביעי: במועד הרלוונטי לאישום זה שימשה הגב' ג.ס בתפקיד מנהלת משרד הרווחה בקריית ים ושלוש נשים נוספים שימשו בתפקיד עובדות סוציאליות במשרד. ביום 1.8.23 ניתנה החלטה על ידי בית המשפט במסגרתה נקבע כי כל קשר בין הנאשמת לבנה הקטין (השוהה בפנימייה), ייעשה בתיאום גורמי הרווחה. ביום 31.8.23 הגיעה הנאשמת למשרדי הרווחה וביקשה לשוחח עם העובדות הסוציאליות על מנת שיאפשרו לה ללוות את בנה לפנימייה. לאחר שהסבירו לנאשמת שאין ביכולתן להיעתר לבקשתה, השתוללה הנאשמת במשרד, דפקה עם ידיה על השולחן וקיללה אותן. למקום הגיע מאבטח ודרש מהנאשמת לעזוב. בדרכה החוצה המשיכה לצעוק ולהשתולל, הכתה במכת אגרוף באחד משלטי הזכוכית במקום וגרמה לניפוצו. בגין מעשים אלו הורשעה הנאשמת בעבירת התנהגות פרועה במקום ציבורי, לפי </w:t>
      </w:r>
      <w:hyperlink r:id="rId31"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216(א)(1)</w:t>
        </w:r>
      </w:hyperlink>
      <w:r>
        <w:rPr>
          <w:rFonts w:ascii="David" w:hAnsi="David" w:hint="cs"/>
          <w:rtl/>
        </w:rPr>
        <w:t xml:space="preserve"> ל</w:t>
      </w:r>
      <w:hyperlink r:id="rId32" w:history="1">
        <w:r w:rsidR="002E0F95" w:rsidRPr="002E0F95">
          <w:rPr>
            <w:rFonts w:ascii="David" w:hAnsi="David"/>
            <w:color w:val="0000FF"/>
            <w:u w:val="single"/>
            <w:rtl/>
          </w:rPr>
          <w:t>חוק העונשין</w:t>
        </w:r>
      </w:hyperlink>
      <w:r>
        <w:rPr>
          <w:rFonts w:ascii="David" w:hAnsi="David" w:hint="cs"/>
          <w:rtl/>
        </w:rPr>
        <w:t xml:space="preserve">; והיזק לרכוש במזיד, לפי </w:t>
      </w:r>
      <w:hyperlink r:id="rId33"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452</w:t>
        </w:r>
      </w:hyperlink>
      <w:r>
        <w:rPr>
          <w:rFonts w:ascii="David" w:hAnsi="David" w:hint="cs"/>
          <w:rtl/>
        </w:rPr>
        <w:t xml:space="preserve"> לחוק העונשין. </w:t>
      </w:r>
    </w:p>
    <w:p w14:paraId="7F7A3BE9" w14:textId="77777777" w:rsidR="00443A6A" w:rsidRDefault="00443A6A" w:rsidP="00443A6A">
      <w:pPr>
        <w:pStyle w:val="a9"/>
        <w:ind w:left="0" w:firstLine="720"/>
        <w:jc w:val="both"/>
        <w:rPr>
          <w:rFonts w:ascii="David" w:hAnsi="David"/>
          <w:rtl/>
        </w:rPr>
      </w:pPr>
    </w:p>
    <w:p w14:paraId="0F595BB9" w14:textId="77777777" w:rsidR="00443A6A" w:rsidRDefault="00443A6A" w:rsidP="00443A6A">
      <w:pPr>
        <w:pStyle w:val="a9"/>
        <w:spacing w:line="360" w:lineRule="auto"/>
        <w:ind w:left="0" w:firstLine="720"/>
        <w:jc w:val="both"/>
        <w:rPr>
          <w:rFonts w:ascii="David" w:hAnsi="David"/>
          <w:rtl/>
        </w:rPr>
      </w:pPr>
      <w:r>
        <w:rPr>
          <w:rFonts w:ascii="David" w:hAnsi="David" w:hint="cs"/>
          <w:rtl/>
        </w:rPr>
        <w:t xml:space="preserve">(להלן </w:t>
      </w:r>
      <w:r>
        <w:rPr>
          <w:rFonts w:ascii="David" w:hAnsi="David"/>
          <w:rtl/>
        </w:rPr>
        <w:t>–</w:t>
      </w:r>
      <w:r>
        <w:rPr>
          <w:rFonts w:ascii="David" w:hAnsi="David" w:hint="cs"/>
          <w:rtl/>
        </w:rPr>
        <w:t xml:space="preserve"> </w:t>
      </w:r>
      <w:r w:rsidRPr="00A63DF7">
        <w:rPr>
          <w:rFonts w:ascii="Miriam" w:hAnsi="Miriam" w:cs="Miriam"/>
          <w:rtl/>
        </w:rPr>
        <w:t>התיק העיקרי</w:t>
      </w:r>
      <w:r>
        <w:rPr>
          <w:rFonts w:ascii="David" w:hAnsi="David" w:hint="cs"/>
          <w:rtl/>
        </w:rPr>
        <w:t xml:space="preserve">). </w:t>
      </w:r>
    </w:p>
    <w:p w14:paraId="72208845" w14:textId="77777777" w:rsidR="00443A6A" w:rsidRDefault="00443A6A" w:rsidP="00443A6A">
      <w:pPr>
        <w:pStyle w:val="a9"/>
        <w:ind w:left="0" w:firstLine="720"/>
        <w:jc w:val="both"/>
        <w:rPr>
          <w:rFonts w:ascii="David" w:hAnsi="David"/>
          <w:rtl/>
        </w:rPr>
      </w:pPr>
    </w:p>
    <w:p w14:paraId="6518A484"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הנאשמת צירפה שני תיקים נוספים:</w:t>
      </w:r>
    </w:p>
    <w:p w14:paraId="7D6C5A0E" w14:textId="77777777" w:rsidR="00443A6A" w:rsidRDefault="00443A6A" w:rsidP="00443A6A">
      <w:pPr>
        <w:pStyle w:val="a9"/>
        <w:ind w:left="0"/>
        <w:jc w:val="both"/>
        <w:rPr>
          <w:rFonts w:ascii="David" w:hAnsi="David"/>
          <w:rtl/>
        </w:rPr>
      </w:pPr>
    </w:p>
    <w:p w14:paraId="40C7BFD3" w14:textId="77777777" w:rsidR="00443A6A" w:rsidRPr="00A63DF7" w:rsidRDefault="00443A6A" w:rsidP="00443A6A">
      <w:pPr>
        <w:pStyle w:val="a9"/>
        <w:spacing w:line="360" w:lineRule="auto"/>
        <w:jc w:val="both"/>
        <w:rPr>
          <w:rFonts w:ascii="David" w:hAnsi="David"/>
          <w:rtl/>
        </w:rPr>
      </w:pPr>
      <w:r>
        <w:rPr>
          <w:rFonts w:ascii="David" w:hAnsi="David" w:hint="cs"/>
          <w:rtl/>
        </w:rPr>
        <w:t>(-)</w:t>
      </w:r>
      <w:r>
        <w:rPr>
          <w:rFonts w:ascii="David" w:hAnsi="David"/>
          <w:rtl/>
        </w:rPr>
        <w:tab/>
      </w:r>
      <w:hyperlink r:id="rId34" w:history="1">
        <w:r w:rsidR="002E0F95" w:rsidRPr="002E0F95">
          <w:rPr>
            <w:rFonts w:ascii="David" w:hAnsi="David"/>
            <w:color w:val="0000FF"/>
            <w:u w:val="single"/>
            <w:rtl/>
          </w:rPr>
          <w:t>ת"פ 52087-12-22</w:t>
        </w:r>
      </w:hyperlink>
      <w:r>
        <w:rPr>
          <w:rFonts w:ascii="David" w:hAnsi="David" w:hint="cs"/>
          <w:rtl/>
        </w:rPr>
        <w:t xml:space="preserve"> בו הורשעה בעבירת איומים, לפי </w:t>
      </w:r>
      <w:hyperlink r:id="rId35"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192</w:t>
        </w:r>
      </w:hyperlink>
      <w:r>
        <w:rPr>
          <w:rFonts w:ascii="David" w:hAnsi="David" w:hint="cs"/>
          <w:rtl/>
        </w:rPr>
        <w:t xml:space="preserve"> ל</w:t>
      </w:r>
      <w:hyperlink r:id="rId36" w:history="1">
        <w:r w:rsidR="002E0F95" w:rsidRPr="002E0F95">
          <w:rPr>
            <w:rFonts w:ascii="David" w:hAnsi="David"/>
            <w:color w:val="0000FF"/>
            <w:u w:val="single"/>
            <w:rtl/>
          </w:rPr>
          <w:t>חוק העונשין</w:t>
        </w:r>
      </w:hyperlink>
      <w:r>
        <w:rPr>
          <w:rFonts w:ascii="David" w:hAnsi="David" w:hint="cs"/>
          <w:rtl/>
        </w:rPr>
        <w:t xml:space="preserve">. על פי עובדות כתב האישום, במועד הרלוונטי התגורר בנה של הנאשמת, קטין כבן 7, עם אמה. ביום 8.8.22 שלחה הנאשמת אל אמה הודעה קולית, כמפורט להלן, בה איימה בפגיעה בה ובנכדיה: </w:t>
      </w:r>
      <w:r w:rsidRPr="00007177">
        <w:rPr>
          <w:rFonts w:ascii="Miriam" w:hAnsi="Miriam" w:cs="Miriam"/>
          <w:rtl/>
        </w:rPr>
        <w:t xml:space="preserve">"לכי תזדייני בלאט המשטרה בחוץ, זונה איפה הילד שלי, מה עוד פעם את נוסעת לאילת, בלאט עוד פעם משקרת לי, איפה הבן שלי, איפה את, יש לו ב8:45 בדיקות דם, יכלבה אני אזיין אותך, אני אשחט אותך ואם לא אותך את הנכדים שלך </w:t>
      </w:r>
      <w:r w:rsidRPr="00007177">
        <w:rPr>
          <w:rFonts w:ascii="Miriam" w:hAnsi="Miriam" w:cs="Miriam"/>
          <w:rtl/>
        </w:rPr>
        <w:lastRenderedPageBreak/>
        <w:t>אחד אחרי השני אם את תעלמו לי"</w:t>
      </w:r>
      <w:r>
        <w:rPr>
          <w:rFonts w:ascii="David" w:hAnsi="David" w:hint="cs"/>
          <w:rtl/>
        </w:rPr>
        <w:t xml:space="preserve"> (השגיאות במקור- י"ט). להלן </w:t>
      </w:r>
      <w:r>
        <w:rPr>
          <w:rFonts w:ascii="David" w:hAnsi="David"/>
          <w:rtl/>
        </w:rPr>
        <w:t>–</w:t>
      </w:r>
      <w:r>
        <w:rPr>
          <w:rFonts w:ascii="David" w:hAnsi="David" w:hint="cs"/>
          <w:rtl/>
        </w:rPr>
        <w:t xml:space="preserve"> </w:t>
      </w:r>
      <w:r w:rsidRPr="00007177">
        <w:rPr>
          <w:rFonts w:ascii="Miriam" w:hAnsi="Miriam" w:cs="Miriam"/>
          <w:rtl/>
        </w:rPr>
        <w:t>תיק הצירוף הראשון</w:t>
      </w:r>
      <w:r>
        <w:rPr>
          <w:rFonts w:ascii="David" w:hAnsi="David" w:hint="cs"/>
          <w:rtl/>
        </w:rPr>
        <w:t xml:space="preserve">. </w:t>
      </w:r>
    </w:p>
    <w:p w14:paraId="4A16DB7E" w14:textId="77777777" w:rsidR="00443A6A" w:rsidRPr="00007177" w:rsidRDefault="00443A6A" w:rsidP="00443A6A">
      <w:pPr>
        <w:spacing w:line="360" w:lineRule="auto"/>
        <w:jc w:val="both"/>
        <w:rPr>
          <w:rFonts w:ascii="David" w:hAnsi="David"/>
          <w:rtl/>
        </w:rPr>
      </w:pPr>
    </w:p>
    <w:p w14:paraId="69EF4271" w14:textId="77777777" w:rsidR="00443A6A" w:rsidRPr="00007177" w:rsidRDefault="00443A6A" w:rsidP="00443A6A">
      <w:pPr>
        <w:spacing w:line="360" w:lineRule="auto"/>
        <w:ind w:left="720"/>
        <w:jc w:val="both"/>
        <w:rPr>
          <w:rFonts w:ascii="David" w:hAnsi="David"/>
          <w:rtl/>
        </w:rPr>
      </w:pPr>
      <w:r w:rsidRPr="00007177">
        <w:rPr>
          <w:rFonts w:ascii="David" w:hAnsi="David" w:hint="cs"/>
          <w:rtl/>
        </w:rPr>
        <w:t>(-)</w:t>
      </w:r>
      <w:r w:rsidRPr="00007177">
        <w:rPr>
          <w:rFonts w:ascii="David" w:hAnsi="David"/>
          <w:rtl/>
        </w:rPr>
        <w:tab/>
      </w:r>
      <w:hyperlink r:id="rId37" w:history="1">
        <w:r w:rsidR="002E0F95" w:rsidRPr="002E0F95">
          <w:rPr>
            <w:rFonts w:ascii="David" w:hAnsi="David"/>
            <w:color w:val="0000FF"/>
            <w:u w:val="single"/>
            <w:rtl/>
          </w:rPr>
          <w:t>ת"פ 48979-11-24</w:t>
        </w:r>
      </w:hyperlink>
      <w:r w:rsidRPr="00007177">
        <w:rPr>
          <w:rFonts w:ascii="David" w:hAnsi="David" w:hint="cs"/>
          <w:rtl/>
        </w:rPr>
        <w:t xml:space="preserve"> </w:t>
      </w:r>
      <w:r>
        <w:rPr>
          <w:rFonts w:ascii="David" w:hAnsi="David" w:hint="cs"/>
          <w:rtl/>
        </w:rPr>
        <w:t xml:space="preserve">בו הורשעה הנאשמת בכתב אישום מתוקן בעבירת החזקת סכין שלא כדין, לפי </w:t>
      </w:r>
      <w:hyperlink r:id="rId38"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186(א)</w:t>
        </w:r>
      </w:hyperlink>
      <w:r>
        <w:rPr>
          <w:rFonts w:ascii="David" w:hAnsi="David" w:hint="cs"/>
          <w:rtl/>
        </w:rPr>
        <w:t xml:space="preserve"> ל</w:t>
      </w:r>
      <w:hyperlink r:id="rId39" w:history="1">
        <w:r w:rsidR="002E0F95" w:rsidRPr="002E0F95">
          <w:rPr>
            <w:rFonts w:ascii="David" w:hAnsi="David"/>
            <w:color w:val="0000FF"/>
            <w:u w:val="single"/>
            <w:rtl/>
          </w:rPr>
          <w:t>חוק העונשין</w:t>
        </w:r>
      </w:hyperlink>
      <w:r>
        <w:rPr>
          <w:rFonts w:ascii="David" w:hAnsi="David" w:hint="cs"/>
          <w:rtl/>
        </w:rPr>
        <w:t xml:space="preserve">; ותקיפה הגורמת חבלה ממש- בן זוג, לפי </w:t>
      </w:r>
      <w:hyperlink r:id="rId40"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382(ג)+</w:t>
        </w:r>
      </w:hyperlink>
      <w:r>
        <w:rPr>
          <w:rFonts w:ascii="David" w:hAnsi="David" w:hint="cs"/>
          <w:rtl/>
        </w:rPr>
        <w:t xml:space="preserve"> </w:t>
      </w:r>
      <w:hyperlink r:id="rId41" w:history="1">
        <w:r w:rsidR="006408F9" w:rsidRPr="006408F9">
          <w:rPr>
            <w:rStyle w:val="Hyperlink"/>
            <w:rFonts w:ascii="David" w:hAnsi="David" w:hint="eastAsia"/>
            <w:color w:val="0000FF"/>
            <w:rtl/>
          </w:rPr>
          <w:t>סעיף</w:t>
        </w:r>
        <w:r w:rsidR="006408F9" w:rsidRPr="006408F9">
          <w:rPr>
            <w:rStyle w:val="Hyperlink"/>
            <w:rFonts w:ascii="David" w:hAnsi="David"/>
            <w:color w:val="0000FF"/>
            <w:rtl/>
          </w:rPr>
          <w:t xml:space="preserve"> 380</w:t>
        </w:r>
      </w:hyperlink>
      <w:r>
        <w:rPr>
          <w:rFonts w:ascii="David" w:hAnsi="David" w:hint="cs"/>
          <w:rtl/>
        </w:rPr>
        <w:t xml:space="preserve"> לחוק העונשין. במועד הרלוונטי לכתב האישום היו הנאשמת והמתלונן פרודים מזה כשמונה שנים. ביום 9.11.24 התקשרה הנאשמת אל המתלונן ושלחה לו הודעות ומשלא ענה הגיעה לביתו בזמן ששהה בו עם בת זוגו. הנאשמת דפקה בדלת, לא השיבה לשאלתו באשר לזהותה וסגרה את עינית הדלת מבחוץ. המתלונן פתח את הדלת, שאל את הנאשמת אם היא באה להרוג אותו וזו צעקה לעברו בעודה אוחזת סכין מטבח שאורך להבה 11.5 ס"מ. הנאשמת הניפה את הסכין לכיוו</w:t>
      </w:r>
      <w:r>
        <w:rPr>
          <w:rFonts w:ascii="David" w:hAnsi="David" w:hint="eastAsia"/>
          <w:rtl/>
        </w:rPr>
        <w:t>ן</w:t>
      </w:r>
      <w:r>
        <w:rPr>
          <w:rFonts w:ascii="David" w:hAnsi="David" w:hint="cs"/>
          <w:rtl/>
        </w:rPr>
        <w:t xml:space="preserve"> החזה של המתלונן והוא זז ממקומו ונשרט מהסכין. המתלונן ובת זוגו ניסו לקחת את הסכין מידה ובעודה שוכבת על הרצפה התיישב עליה המתלונן והיכה מכת אגרוף לפניה, בעוד היא מחזיקה בסכין, עד שהצליחו השניים לתפוס את הסכין והזעיקו את המשטרה. למתלונן נגרמו שריטות אדומות בבטנו, שריטה מדממת ביד ושריטה בגב (להלן </w:t>
      </w:r>
      <w:r>
        <w:rPr>
          <w:rFonts w:ascii="David" w:hAnsi="David"/>
          <w:rtl/>
        </w:rPr>
        <w:t>–</w:t>
      </w:r>
      <w:r>
        <w:rPr>
          <w:rFonts w:ascii="David" w:hAnsi="David" w:hint="cs"/>
          <w:rtl/>
        </w:rPr>
        <w:t xml:space="preserve"> </w:t>
      </w:r>
      <w:r w:rsidRPr="009926D6">
        <w:rPr>
          <w:rFonts w:ascii="Miriam" w:hAnsi="Miriam" w:cs="Miriam"/>
          <w:rtl/>
        </w:rPr>
        <w:t>תיק הצירוף השני</w:t>
      </w:r>
      <w:r>
        <w:rPr>
          <w:rFonts w:ascii="David" w:hAnsi="David" w:hint="cs"/>
          <w:rtl/>
        </w:rPr>
        <w:t xml:space="preserve">). </w:t>
      </w:r>
    </w:p>
    <w:p w14:paraId="1AD4E8CE" w14:textId="77777777" w:rsidR="00443A6A" w:rsidRPr="00007177" w:rsidRDefault="00443A6A" w:rsidP="00443A6A">
      <w:pPr>
        <w:jc w:val="both"/>
        <w:rPr>
          <w:rFonts w:ascii="David" w:hAnsi="David"/>
          <w:rtl/>
        </w:rPr>
      </w:pPr>
    </w:p>
    <w:p w14:paraId="74F3F50F" w14:textId="77777777" w:rsidR="00443A6A" w:rsidRDefault="00443A6A" w:rsidP="00443A6A">
      <w:pPr>
        <w:spacing w:line="360" w:lineRule="auto"/>
        <w:jc w:val="both"/>
        <w:rPr>
          <w:rFonts w:ascii="David" w:hAnsi="David"/>
          <w:rtl/>
        </w:rPr>
      </w:pPr>
      <w:r>
        <w:rPr>
          <w:rFonts w:ascii="David" w:hAnsi="David" w:hint="cs"/>
          <w:b/>
          <w:bCs/>
          <w:u w:val="single"/>
          <w:rtl/>
        </w:rPr>
        <w:t>תסקירי שירות המבחן</w:t>
      </w:r>
    </w:p>
    <w:p w14:paraId="4E0D3291" w14:textId="77777777" w:rsidR="00443A6A" w:rsidRDefault="00443A6A" w:rsidP="00443A6A">
      <w:pPr>
        <w:jc w:val="both"/>
        <w:rPr>
          <w:rFonts w:ascii="David" w:hAnsi="David"/>
          <w:rtl/>
        </w:rPr>
      </w:pPr>
    </w:p>
    <w:p w14:paraId="6B59B0BA" w14:textId="77777777" w:rsidR="00443A6A" w:rsidRPr="006C15A7" w:rsidRDefault="00443A6A" w:rsidP="00443A6A">
      <w:pPr>
        <w:pStyle w:val="a9"/>
        <w:numPr>
          <w:ilvl w:val="0"/>
          <w:numId w:val="1"/>
        </w:numPr>
        <w:spacing w:line="360" w:lineRule="auto"/>
        <w:jc w:val="both"/>
        <w:rPr>
          <w:rFonts w:ascii="David" w:hAnsi="David"/>
        </w:rPr>
      </w:pPr>
      <w:r w:rsidRPr="006C15A7">
        <w:rPr>
          <w:rFonts w:ascii="David" w:hAnsi="David" w:hint="cs"/>
          <w:rtl/>
        </w:rPr>
        <w:t xml:space="preserve">במסגרת הליך המעצר </w:t>
      </w:r>
      <w:r>
        <w:rPr>
          <w:rFonts w:ascii="David" w:hAnsi="David" w:hint="cs"/>
          <w:rtl/>
        </w:rPr>
        <w:t xml:space="preserve">שולבה הנאשמת </w:t>
      </w:r>
      <w:r w:rsidRPr="006C15A7">
        <w:rPr>
          <w:rFonts w:ascii="David" w:hAnsi="David" w:hint="cs"/>
          <w:rtl/>
        </w:rPr>
        <w:t xml:space="preserve">בקהילת "דרך אריאלה". עם זאת, </w:t>
      </w:r>
      <w:r>
        <w:rPr>
          <w:rFonts w:ascii="David" w:hAnsi="David" w:hint="cs"/>
          <w:rtl/>
        </w:rPr>
        <w:t xml:space="preserve">לאחר כשישה חודשים </w:t>
      </w:r>
      <w:r w:rsidRPr="006C15A7">
        <w:rPr>
          <w:rFonts w:ascii="David" w:hAnsi="David" w:hint="cs"/>
          <w:rtl/>
        </w:rPr>
        <w:t>עזבה את הקהילה</w:t>
      </w:r>
      <w:r>
        <w:rPr>
          <w:rFonts w:ascii="David" w:hAnsi="David" w:hint="cs"/>
          <w:rtl/>
        </w:rPr>
        <w:t xml:space="preserve"> ושירות המבחן המשיך ללוות אותה</w:t>
      </w:r>
      <w:r w:rsidRPr="006C15A7">
        <w:rPr>
          <w:rFonts w:ascii="David" w:hAnsi="David" w:hint="cs"/>
          <w:rtl/>
        </w:rPr>
        <w:t>.</w:t>
      </w:r>
      <w:r>
        <w:rPr>
          <w:rFonts w:ascii="David" w:hAnsi="David" w:hint="cs"/>
          <w:rtl/>
        </w:rPr>
        <w:t xml:space="preserve"> ב</w:t>
      </w:r>
      <w:r w:rsidRPr="006C15A7">
        <w:rPr>
          <w:rFonts w:ascii="David" w:hAnsi="David" w:hint="cs"/>
          <w:rtl/>
        </w:rPr>
        <w:t xml:space="preserve">שני תסקירים שהוגשו פורטו בהרחבה נסיבות חייה ומטעמים של צנעת הפרט לא ארחיב בדברים. בתמצית ייאמר כי הנאשמת כבת 36, רווקה ואם לילד כבן 9 (שאינו נמצא בחזקתה) </w:t>
      </w:r>
      <w:r>
        <w:rPr>
          <w:rFonts w:ascii="David" w:hAnsi="David" w:hint="cs"/>
          <w:rtl/>
        </w:rPr>
        <w:t>ו</w:t>
      </w:r>
      <w:r w:rsidRPr="006C15A7">
        <w:rPr>
          <w:rFonts w:ascii="David" w:hAnsi="David" w:hint="cs"/>
          <w:rtl/>
        </w:rPr>
        <w:t xml:space="preserve">נתמכת בקצבת נכות על רקע נפשי. מגיל צעיר חברה לסביבה שולית, נחשפה לשימוש בסמים והתקשתה לתפקד כראוי. הנאשמת מוכרת למערכת בריאות הנפש, אובחנה בעבר כסובלת מהפרעת דחק פוסט-טראומטית והפרעת אישיות גבולית </w:t>
      </w:r>
      <w:r>
        <w:rPr>
          <w:rFonts w:ascii="David" w:hAnsi="David" w:hint="cs"/>
          <w:rtl/>
        </w:rPr>
        <w:t xml:space="preserve">ובעברה אשפוז </w:t>
      </w:r>
      <w:r w:rsidRPr="006C15A7">
        <w:rPr>
          <w:rFonts w:ascii="David" w:hAnsi="David" w:hint="cs"/>
          <w:rtl/>
        </w:rPr>
        <w:t>בכפייה. לאורך השנים הצליחה לשמור על תפקוד יחסי לצד שימוש בסמים, וגורמי הרווחה תארו הסלמה בהתנהגותה בשנה האחרונה כתוצאה משימוש מוגבר בסמים לצד חוסר איזון במצבה הנפשי. לאחר עזיבת הקהילה הטיפולית חזרה הנאשמת מיוזמתה לטיפול ביחידה להתמכרויות בעיר מגוריה ומסרה בתחילה בדיקות שתן נקיות משרידי סם</w:t>
      </w:r>
      <w:r>
        <w:rPr>
          <w:rFonts w:ascii="David" w:hAnsi="David" w:hint="cs"/>
          <w:rtl/>
        </w:rPr>
        <w:t>, אך</w:t>
      </w:r>
      <w:r w:rsidRPr="006C15A7">
        <w:rPr>
          <w:rFonts w:ascii="David" w:hAnsi="David" w:hint="cs"/>
          <w:rtl/>
        </w:rPr>
        <w:t xml:space="preserve"> בבדיקה האחרונה נמצאו שרידי קוקאין. קצינת המבחן התרשמה מאישה בעלת מאפייני אישיות מורכבים ויכולת מוגבלת לערוך התבוננות פנימית, לצד התמכרות לחומרים פסיכואקטיבי</w:t>
      </w:r>
      <w:r>
        <w:rPr>
          <w:rFonts w:ascii="David" w:hAnsi="David" w:hint="cs"/>
          <w:rtl/>
        </w:rPr>
        <w:t>י</w:t>
      </w:r>
      <w:r w:rsidRPr="006C15A7">
        <w:rPr>
          <w:rFonts w:ascii="David" w:hAnsi="David" w:hint="cs"/>
          <w:rtl/>
        </w:rPr>
        <w:t xml:space="preserve">ם. כן צוין </w:t>
      </w:r>
      <w:r>
        <w:rPr>
          <w:rFonts w:ascii="David" w:hAnsi="David" w:hint="cs"/>
          <w:rtl/>
        </w:rPr>
        <w:t>ש</w:t>
      </w:r>
      <w:r w:rsidRPr="006C15A7">
        <w:rPr>
          <w:rFonts w:ascii="David" w:hAnsi="David" w:hint="cs"/>
          <w:rtl/>
        </w:rPr>
        <w:t xml:space="preserve">כוחותיה דלים וקיים סיכון לא מבוטל להישנות עבירות דומות בעתיד. </w:t>
      </w:r>
      <w:r>
        <w:rPr>
          <w:rFonts w:ascii="David" w:hAnsi="David" w:hint="cs"/>
          <w:rtl/>
        </w:rPr>
        <w:t xml:space="preserve">שירות המבחן לא בא בהמלצה טיפולית </w:t>
      </w:r>
      <w:r w:rsidRPr="006C15A7">
        <w:rPr>
          <w:rFonts w:ascii="David" w:hAnsi="David" w:hint="cs"/>
          <w:rtl/>
        </w:rPr>
        <w:t>והומלץ על ענישה מוחשית ומציבת גבולות</w:t>
      </w:r>
      <w:r>
        <w:rPr>
          <w:rFonts w:ascii="David" w:hAnsi="David" w:hint="cs"/>
          <w:rtl/>
        </w:rPr>
        <w:t xml:space="preserve"> (הערה: התסקיר האחרון ניתן כאשר הנאשמת כבר הייתה במעצר בשל אירוע תיק הצירוף השני)</w:t>
      </w:r>
      <w:r w:rsidRPr="006C15A7">
        <w:rPr>
          <w:rFonts w:ascii="David" w:hAnsi="David" w:hint="cs"/>
          <w:rtl/>
        </w:rPr>
        <w:t xml:space="preserve">. </w:t>
      </w:r>
    </w:p>
    <w:p w14:paraId="6ADDB76B" w14:textId="77777777" w:rsidR="00443A6A" w:rsidRPr="00AD08BD" w:rsidRDefault="00443A6A" w:rsidP="00443A6A">
      <w:pPr>
        <w:pStyle w:val="a9"/>
        <w:rPr>
          <w:rFonts w:ascii="David" w:hAnsi="David"/>
          <w:rtl/>
        </w:rPr>
      </w:pPr>
    </w:p>
    <w:p w14:paraId="56D27AC8" w14:textId="77777777" w:rsidR="00443A6A" w:rsidRPr="00800ECC" w:rsidRDefault="00443A6A" w:rsidP="00443A6A">
      <w:pPr>
        <w:pStyle w:val="a9"/>
        <w:spacing w:line="360" w:lineRule="auto"/>
        <w:ind w:left="0"/>
        <w:jc w:val="both"/>
        <w:rPr>
          <w:rFonts w:ascii="David" w:hAnsi="David"/>
        </w:rPr>
      </w:pPr>
      <w:r>
        <w:rPr>
          <w:rFonts w:ascii="David" w:hAnsi="David" w:hint="cs"/>
          <w:b/>
          <w:bCs/>
          <w:u w:val="single"/>
          <w:rtl/>
        </w:rPr>
        <w:t>טיעוני הצדדים לעונש והראיות</w:t>
      </w:r>
    </w:p>
    <w:p w14:paraId="63BD2EAF" w14:textId="77777777" w:rsidR="00443A6A" w:rsidRPr="00800ECC" w:rsidRDefault="00443A6A" w:rsidP="00443A6A">
      <w:pPr>
        <w:pStyle w:val="a9"/>
        <w:rPr>
          <w:rFonts w:ascii="David" w:hAnsi="David"/>
          <w:rtl/>
        </w:rPr>
      </w:pPr>
    </w:p>
    <w:p w14:paraId="6BB4DC38"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 xml:space="preserve">אמה של הנאשמת, המתלוננת, העידה לעונש. האם ביקשה לסלוח לבתה ולתת לה הזדמנות נוספת. כן תארה שבני המשפחה מקבלים אותה חזרה וביקשה להקל בעונשה, עבורה ועבור בנה. </w:t>
      </w:r>
    </w:p>
    <w:p w14:paraId="147138B9" w14:textId="77777777" w:rsidR="00443A6A" w:rsidRDefault="00443A6A" w:rsidP="00443A6A">
      <w:pPr>
        <w:pStyle w:val="a9"/>
        <w:spacing w:line="360" w:lineRule="auto"/>
        <w:ind w:left="0"/>
        <w:jc w:val="both"/>
        <w:rPr>
          <w:rFonts w:ascii="David" w:hAnsi="David"/>
        </w:rPr>
      </w:pPr>
      <w:r>
        <w:rPr>
          <w:rFonts w:ascii="David" w:hAnsi="David" w:hint="cs"/>
          <w:rtl/>
        </w:rPr>
        <w:t xml:space="preserve">  </w:t>
      </w:r>
    </w:p>
    <w:p w14:paraId="5699C5BB"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 xml:space="preserve">ב"כ המאשימה הגישה טיעון כתוב והוסיפה טיעון על פה. בטיעוניה הודגשו הערכים המוגנים שנפגעו בכל אחד מהאישומים וכן חומרת המעשים, בדגש על הנזק שנגרם למתלוננים השונים, על המלצות שירות המבחן ועל העבר הפלילי. המאשימה עתרה לקביעת מתחמי ענישה נפרדים לכל אישום בתיק העיקרי וכן בתיקי הצירוף. כן עתרה לענישה נפרדת בכל אחד מהאירועים וזאת כמפורט להלן: באישום הראשון עתרה למתחם ענישה הנע בין 2-9 חודשי מאסר ולעונש מאסר למשך 3 חודשים; באישום השני עתרה למתחם ענישה הנע בין מאסר מותנה לבין 6 חודשי מאסר ולעונש מאסר למשך חודשיים; באישום השלישי עתרה למתחם ענישה הנע בין 12-24 חודשי מאסר ולעונש מאסר בן 14 חודשי מאסר; באישום הרביעי עתרה למתחם ענישה הנע בין מאסר מותנה ועד 15 חודשי מאסר ולעונש של 30 ימי מאסר. בתיק הצירוף הראשון עתרה המאשימה למתחם ענישה הנע בין מספר חודשי מאסר ועד 12 חודשי מאסר ולעונש של 3 חודשי מאסר. בתיק הצירוף השני עתרה למתחם ענישה הנע בין 12-24 חודשי מאסר ולעונש מאסר למשך 14 חודשים. הגם שהמאשימה עתרה לענישה נפרדת בכל אירוע ואירוע לא טענה היא דבר ביחס לשאלה אם ענישה זו תרוצה במצטבר או בחופף. </w:t>
      </w:r>
    </w:p>
    <w:p w14:paraId="64437D6F" w14:textId="77777777" w:rsidR="00443A6A" w:rsidRDefault="00443A6A" w:rsidP="00443A6A">
      <w:pPr>
        <w:pStyle w:val="a9"/>
        <w:ind w:left="0"/>
        <w:jc w:val="both"/>
        <w:rPr>
          <w:rFonts w:ascii="David" w:hAnsi="David"/>
        </w:rPr>
      </w:pPr>
    </w:p>
    <w:p w14:paraId="0C2FF7C0"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ב"כ הנאשם טען כי מתחמי הענישה באירועים השונים תחילתם במאסר מותנה או לכל היותר במספר חודשי מאסר שניתן לרצות בעבודות שירות. ביחס לתיק הצירוף השני הדגיש הסנגור כי נסיבותיו "מוזרות"</w:t>
      </w:r>
      <w:r>
        <w:rPr>
          <w:rFonts w:ascii="David" w:hAnsi="David" w:hint="cs"/>
        </w:rPr>
        <w:t xml:space="preserve"> </w:t>
      </w:r>
      <w:r>
        <w:rPr>
          <w:rFonts w:ascii="David" w:hAnsi="David" w:hint="cs"/>
          <w:rtl/>
        </w:rPr>
        <w:t xml:space="preserve">ובכל מקרה החבלה שנגרמה למתלונן לא הייתה חמורה ואילו הנאשמת נחבלה באופן קשה מהאלימות שהופעלה כלפיה. הסנגור הדגיש את נסיבות חייה המורכבות של הנאשמת, כפי שפורטו בתסקירי שירות המבחן, וביקש להביא בחשבון את ניסיונותיה לשקם את חייה חרף הקשיים וכן את הודאתה, מצבה הנפשי ותקופות המעצר עד כה. ברמה האופרטיבית עתרה ההגנה להסתפק בתקופת מאסר קצרה. </w:t>
      </w:r>
    </w:p>
    <w:p w14:paraId="27402DDC" w14:textId="77777777" w:rsidR="00443A6A" w:rsidRPr="00D34BCB" w:rsidRDefault="00443A6A" w:rsidP="00443A6A">
      <w:pPr>
        <w:pStyle w:val="a9"/>
        <w:rPr>
          <w:rFonts w:ascii="David" w:hAnsi="David"/>
          <w:rtl/>
        </w:rPr>
      </w:pPr>
    </w:p>
    <w:p w14:paraId="642C11BC" w14:textId="77777777" w:rsidR="00443A6A" w:rsidRPr="005020F2" w:rsidRDefault="00443A6A" w:rsidP="00443A6A">
      <w:pPr>
        <w:pStyle w:val="a9"/>
        <w:numPr>
          <w:ilvl w:val="0"/>
          <w:numId w:val="1"/>
        </w:numPr>
        <w:spacing w:line="360" w:lineRule="auto"/>
        <w:jc w:val="both"/>
        <w:rPr>
          <w:rFonts w:ascii="David" w:hAnsi="David"/>
          <w:rtl/>
        </w:rPr>
      </w:pPr>
      <w:r>
        <w:rPr>
          <w:rFonts w:ascii="David" w:hAnsi="David" w:hint="cs"/>
          <w:rtl/>
        </w:rPr>
        <w:t xml:space="preserve">הנאשמת בדבריה האחרונים תארה את הקשיים עמם התמודדה לאורך השנים ואת הקושי שהיא חווה במעצר. כן סיפרה על הגעגוע לבנה שנמצא במסגרת חוץ ביתית ועל רצונה לשקם את חייה ולנהל אורח חיים תקין וחיובי. </w:t>
      </w:r>
    </w:p>
    <w:p w14:paraId="09B137B6" w14:textId="77777777" w:rsidR="00443A6A" w:rsidRPr="00007177" w:rsidRDefault="00443A6A" w:rsidP="00443A6A">
      <w:pPr>
        <w:jc w:val="both"/>
        <w:rPr>
          <w:rFonts w:ascii="David" w:hAnsi="David"/>
          <w:rtl/>
        </w:rPr>
      </w:pPr>
    </w:p>
    <w:p w14:paraId="6EB2EF7F" w14:textId="77777777" w:rsidR="00443A6A" w:rsidRDefault="00443A6A" w:rsidP="00443A6A">
      <w:pPr>
        <w:spacing w:line="360" w:lineRule="auto"/>
        <w:jc w:val="both"/>
        <w:rPr>
          <w:rFonts w:ascii="David" w:hAnsi="David"/>
          <w:b/>
          <w:bCs/>
          <w:u w:val="single"/>
          <w:rtl/>
        </w:rPr>
      </w:pPr>
      <w:r>
        <w:rPr>
          <w:rFonts w:ascii="David" w:hAnsi="David" w:hint="cs"/>
          <w:b/>
          <w:bCs/>
          <w:u w:val="single"/>
          <w:rtl/>
        </w:rPr>
        <w:t>דיון והכרעה</w:t>
      </w:r>
    </w:p>
    <w:p w14:paraId="619AC5AF" w14:textId="77777777" w:rsidR="00443A6A" w:rsidRDefault="00443A6A" w:rsidP="00443A6A">
      <w:pPr>
        <w:spacing w:line="360" w:lineRule="auto"/>
        <w:jc w:val="both"/>
        <w:rPr>
          <w:rFonts w:ascii="David" w:hAnsi="David"/>
          <w:rtl/>
        </w:rPr>
      </w:pPr>
      <w:r>
        <w:rPr>
          <w:rFonts w:ascii="David" w:hAnsi="David" w:hint="cs"/>
          <w:b/>
          <w:bCs/>
          <w:u w:val="single"/>
          <w:rtl/>
        </w:rPr>
        <w:t>קביעת מתחמי הענישה</w:t>
      </w:r>
    </w:p>
    <w:p w14:paraId="099EAFCE" w14:textId="77777777" w:rsidR="00443A6A" w:rsidRDefault="00443A6A" w:rsidP="00443A6A">
      <w:pPr>
        <w:spacing w:line="360" w:lineRule="auto"/>
        <w:jc w:val="both"/>
        <w:rPr>
          <w:rFonts w:ascii="David" w:hAnsi="David"/>
          <w:rtl/>
        </w:rPr>
      </w:pPr>
    </w:p>
    <w:p w14:paraId="27CB3486"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הצדדים אינם חלוקים בנוגע למספר מתחמי הענישה שיש לקבוע במקרה זה ושניהם עתרו לקביעת מתחמי ענישה נפרדים לכל אישום בתיק העיקרי ולכל אחד מתיקי הצירוף. בהתאם למבחן הקשר ההדוק, אני מקבל טיעון זה. עם זאת אעיר שאישומים 1,3 בתיק העיקרי דומה שעניינם באותו אירוע ואולם לאור כך שלא ברור מכתב האישום אם השחרור בערובה נבע מהמעשים שבאישום מס' 3 (וסביר שכך הם פני הדברים) אקבע מתחמים נפרדים. כמו כן, בניגוד לעמדת המאשימה, בכוונתי להטיל עונש כולל אחד שכן ענישה נפרדת נתפסת בעיני כמלאכותית במקרה זה ואציין שוב שהמאשימה לא טענה כלל האם יש לצבור או לחפוף את העונשים הנפרדים להם טענה וטיעונה בנושא היה לא סדור.</w:t>
      </w:r>
    </w:p>
    <w:p w14:paraId="39AAC57B" w14:textId="77777777" w:rsidR="00443A6A" w:rsidRPr="0043008A" w:rsidRDefault="00443A6A" w:rsidP="00443A6A">
      <w:pPr>
        <w:pStyle w:val="a9"/>
        <w:ind w:left="0"/>
        <w:jc w:val="both"/>
        <w:rPr>
          <w:rFonts w:ascii="David" w:hAnsi="David"/>
        </w:rPr>
      </w:pPr>
    </w:p>
    <w:p w14:paraId="6766E07D" w14:textId="77777777" w:rsidR="00443A6A" w:rsidRPr="004E5549" w:rsidRDefault="00443A6A" w:rsidP="00443A6A">
      <w:pPr>
        <w:pStyle w:val="a9"/>
        <w:numPr>
          <w:ilvl w:val="0"/>
          <w:numId w:val="1"/>
        </w:numPr>
        <w:spacing w:line="360" w:lineRule="auto"/>
        <w:jc w:val="both"/>
        <w:rPr>
          <w:rFonts w:ascii="David" w:hAnsi="David"/>
        </w:rPr>
      </w:pPr>
      <w:r>
        <w:rPr>
          <w:rFonts w:ascii="David" w:hAnsi="David" w:hint="cs"/>
          <w:rtl/>
        </w:rPr>
        <w:t xml:space="preserve">בתיק העיקרי מדובר בארבעה אישומים המערבים מתלוננים שונים ופגיעה בערכים שונים. באישום הראשון נפגע הערך שעניינו שלטון החוק כמו גם מוסד השחרור הערובה. </w:t>
      </w:r>
      <w:r>
        <w:rPr>
          <w:rFonts w:ascii="David" w:hAnsi="David" w:hint="cs"/>
          <w:color w:val="000000"/>
          <w:rtl/>
        </w:rPr>
        <w:t xml:space="preserve">כידוע, </w:t>
      </w:r>
      <w:r w:rsidRPr="005678CE">
        <w:rPr>
          <w:rFonts w:ascii="David" w:hAnsi="David"/>
          <w:color w:val="000000"/>
          <w:rtl/>
        </w:rPr>
        <w:t xml:space="preserve">שחרור בערובה </w:t>
      </w:r>
      <w:r w:rsidRPr="005678CE">
        <w:rPr>
          <w:rFonts w:ascii="David" w:hAnsi="David"/>
          <w:rtl/>
        </w:rPr>
        <w:t>הוא הגבלה מידתית להשגת תכלית המעצר. לכן, ככל שתפגע האפקטיביות של מוסד זה, כך קיים חשש שהנטייה לעשות בו שימוש תפחת ובכך ייפגע הציבור.</w:t>
      </w:r>
      <w:r>
        <w:rPr>
          <w:rFonts w:ascii="David" w:hAnsi="David" w:hint="cs"/>
          <w:rtl/>
        </w:rPr>
        <w:t xml:space="preserve"> </w:t>
      </w:r>
      <w:r w:rsidRPr="005678CE">
        <w:rPr>
          <w:rFonts w:ascii="David" w:hAnsi="David" w:hint="cs"/>
          <w:rtl/>
        </w:rPr>
        <w:t>הערכים המוגנים שנפגעו ביחס לעבירות הקשורות לבני המשפחה הם שלוות נפשם של האם ובן זוגה, כמו גם שלום גופם וקניינם.</w:t>
      </w:r>
      <w:r>
        <w:rPr>
          <w:rFonts w:ascii="David" w:hAnsi="David" w:hint="cs"/>
          <w:rtl/>
        </w:rPr>
        <w:t xml:space="preserve"> </w:t>
      </w:r>
      <w:r w:rsidRPr="004E5549">
        <w:rPr>
          <w:rFonts w:ascii="David" w:hAnsi="David" w:hint="cs"/>
          <w:rtl/>
        </w:rPr>
        <w:t xml:space="preserve">באישום הרביעי מדובר בפגיעה ביכולתם של גורמי הטיפול במשרד הרווחה להעניק שירות חיוני לציבור וזאת ללא מורא. </w:t>
      </w:r>
    </w:p>
    <w:p w14:paraId="70BF0F52" w14:textId="77777777" w:rsidR="00443A6A" w:rsidRPr="004E5549" w:rsidRDefault="00443A6A" w:rsidP="00443A6A">
      <w:pPr>
        <w:pStyle w:val="a9"/>
        <w:rPr>
          <w:rFonts w:ascii="David" w:hAnsi="David"/>
          <w:rtl/>
        </w:rPr>
      </w:pPr>
    </w:p>
    <w:p w14:paraId="6CBBBCEA"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ביחס לנסיבות הקשורות לביצוע העבירות בתיק העיקרי אזי האלימות כלפי האם לא הייתה חמורה ולא גרמה לחבלות אם כי אין להקל בה ראש. ביחס לאלימות כלפי בן הזוג של האם (שהוא זקן כהגדרתו בחוק)</w:t>
      </w:r>
      <w:r>
        <w:rPr>
          <w:rFonts w:ascii="David" w:hAnsi="David" w:hint="cs"/>
        </w:rPr>
        <w:t xml:space="preserve"> </w:t>
      </w:r>
      <w:r>
        <w:rPr>
          <w:rFonts w:ascii="David" w:hAnsi="David" w:hint="cs"/>
          <w:rtl/>
        </w:rPr>
        <w:t>אזי זו הייתה לא קלה וכללה שימוש במקל ואף גרמה לחבלה. כן גרמה הנאשמת נזק לרכב המתלוננת אם כי שוויו לא פורט ויש אפוא להניח לטובתה שמדובר בנזק נמוך יחסית. ביחס להפרות תנאי הערובה אזי אלו התבטאו בשיחות טלפון לאם, בהודעות ובהגעה למקום עבודתה אם כי לא צוין אם השתיים נפגשו ובכל מקרה צוין שהיה זה לצורך שיחה עם האם ולא למטרה אחרת. באישום הרביעי הגיעה הנאשמת למשרדי הרווחה על מנת לקבל אישור ללוות את בנה לפנימייה והאירוע שהתרחש לאחר מכן נבע מאכזבתה מכך שבקשתה סורבה. הנאשמת דפקה על השולחן, קיללה את העובדת הסוציאלית וביציאה הכתה בשלט זכוכית וגרמה לניפוצו. שווי הנזק לא פורט אך מדובר בהתנהגות אלימה ומאיימת.</w:t>
      </w:r>
    </w:p>
    <w:p w14:paraId="794B4E39" w14:textId="77777777" w:rsidR="00443A6A" w:rsidRPr="00C24F6B" w:rsidRDefault="00443A6A" w:rsidP="00443A6A">
      <w:pPr>
        <w:pStyle w:val="a9"/>
        <w:rPr>
          <w:rFonts w:ascii="David" w:hAnsi="David"/>
          <w:rtl/>
        </w:rPr>
      </w:pPr>
    </w:p>
    <w:p w14:paraId="5904CC3A" w14:textId="77777777" w:rsidR="00443A6A" w:rsidRDefault="00443A6A" w:rsidP="00443A6A">
      <w:pPr>
        <w:pStyle w:val="a9"/>
        <w:numPr>
          <w:ilvl w:val="0"/>
          <w:numId w:val="1"/>
        </w:numPr>
        <w:spacing w:line="360" w:lineRule="auto"/>
        <w:jc w:val="both"/>
        <w:rPr>
          <w:rFonts w:ascii="David" w:hAnsi="David"/>
        </w:rPr>
      </w:pPr>
      <w:r w:rsidRPr="00C24F6B">
        <w:rPr>
          <w:rFonts w:ascii="David" w:hAnsi="David" w:hint="cs"/>
          <w:rtl/>
        </w:rPr>
        <w:t xml:space="preserve">ביחס לתיק הצירוף הראשון אזי מדובר בפגיעה בשלוות נפשה של האם אולם הבאתי בחשבון כי האיומים נשלחו בהודעה קולית ולא נאמרו פנים מול פנים. </w:t>
      </w:r>
      <w:r>
        <w:rPr>
          <w:rFonts w:ascii="David" w:hAnsi="David" w:hint="cs"/>
          <w:rtl/>
        </w:rPr>
        <w:t xml:space="preserve">כן הבאתי בחשבון כי האיום נאמר על רקע תסכולה של הנאשמת מכך שלא הייתה יכולה ליטול חלק בטיפול בבנה ועל רקע בדיקה רפואית לה היה מוזמן אותו יום. עם זאת, האיום היה בוטה וחמור. </w:t>
      </w:r>
    </w:p>
    <w:p w14:paraId="281BC016" w14:textId="77777777" w:rsidR="00443A6A" w:rsidRPr="00C24F6B" w:rsidRDefault="00443A6A" w:rsidP="00443A6A">
      <w:pPr>
        <w:pStyle w:val="a9"/>
        <w:rPr>
          <w:rFonts w:ascii="David" w:hAnsi="David"/>
          <w:rtl/>
        </w:rPr>
      </w:pPr>
    </w:p>
    <w:p w14:paraId="4BA4DEDD" w14:textId="77777777" w:rsidR="00443A6A" w:rsidRPr="00C24F6B" w:rsidRDefault="00443A6A" w:rsidP="00443A6A">
      <w:pPr>
        <w:pStyle w:val="a9"/>
        <w:numPr>
          <w:ilvl w:val="0"/>
          <w:numId w:val="1"/>
        </w:numPr>
        <w:spacing w:line="360" w:lineRule="auto"/>
        <w:jc w:val="both"/>
        <w:rPr>
          <w:rFonts w:ascii="David" w:hAnsi="David"/>
          <w:rtl/>
        </w:rPr>
      </w:pPr>
      <w:r w:rsidRPr="00C24F6B">
        <w:rPr>
          <w:rFonts w:ascii="David" w:hAnsi="David" w:hint="cs"/>
          <w:rtl/>
        </w:rPr>
        <w:t xml:space="preserve">ביחס לתיק הצירוף השני מדובר בעבירות שפגעו בשלום גופו, כבודו ושלוות נפשו של </w:t>
      </w:r>
      <w:r>
        <w:rPr>
          <w:rFonts w:ascii="David" w:hAnsi="David" w:hint="cs"/>
          <w:rtl/>
        </w:rPr>
        <w:t>המתלונן (</w:t>
      </w:r>
      <w:r w:rsidRPr="00C24F6B">
        <w:rPr>
          <w:rFonts w:ascii="David" w:hAnsi="David" w:hint="cs"/>
          <w:rtl/>
        </w:rPr>
        <w:t>בן הזוג לשעבר של הנאשמת</w:t>
      </w:r>
      <w:r>
        <w:rPr>
          <w:rFonts w:ascii="David" w:hAnsi="David" w:hint="cs"/>
          <w:rtl/>
        </w:rPr>
        <w:t>)</w:t>
      </w:r>
      <w:r w:rsidRPr="00C24F6B">
        <w:rPr>
          <w:rFonts w:ascii="David" w:hAnsi="David" w:hint="cs"/>
          <w:rtl/>
        </w:rPr>
        <w:t xml:space="preserve">, וכן בתחושת בטחונו בתוך ביתו- מבצרו. הנאשמת הגיעה לביתו כשהיא </w:t>
      </w:r>
      <w:r>
        <w:rPr>
          <w:rFonts w:ascii="David" w:hAnsi="David" w:hint="cs"/>
          <w:rtl/>
        </w:rPr>
        <w:t xml:space="preserve">מצוידת </w:t>
      </w:r>
      <w:r w:rsidRPr="00C24F6B">
        <w:rPr>
          <w:rFonts w:ascii="David" w:hAnsi="David" w:hint="cs"/>
          <w:rtl/>
        </w:rPr>
        <w:t xml:space="preserve">בסכין, דפקה על </w:t>
      </w:r>
      <w:r>
        <w:rPr>
          <w:rFonts w:ascii="David" w:hAnsi="David" w:hint="cs"/>
          <w:rtl/>
        </w:rPr>
        <w:t>ה</w:t>
      </w:r>
      <w:r w:rsidRPr="00C24F6B">
        <w:rPr>
          <w:rFonts w:ascii="David" w:hAnsi="David" w:hint="cs"/>
          <w:rtl/>
        </w:rPr>
        <w:t xml:space="preserve">דלת והסתירה </w:t>
      </w:r>
      <w:r>
        <w:rPr>
          <w:rFonts w:ascii="David" w:hAnsi="David" w:hint="cs"/>
          <w:rtl/>
        </w:rPr>
        <w:t>את זהותה</w:t>
      </w:r>
      <w:r w:rsidRPr="00C24F6B">
        <w:rPr>
          <w:rFonts w:ascii="David" w:hAnsi="David" w:hint="cs"/>
          <w:rtl/>
        </w:rPr>
        <w:t xml:space="preserve">. כשפתח את הדלת הניפה את הסכין לכיוון בית החזה שלו והוא נשרט בבטן ובגב. המתלונן ואישה עמה שהה בדירה החלו במאבק </w:t>
      </w:r>
      <w:r>
        <w:rPr>
          <w:rFonts w:ascii="David" w:hAnsi="David" w:hint="cs"/>
          <w:rtl/>
        </w:rPr>
        <w:t>עם</w:t>
      </w:r>
      <w:r w:rsidRPr="00C24F6B">
        <w:rPr>
          <w:rFonts w:ascii="David" w:hAnsi="David" w:hint="cs"/>
          <w:rtl/>
        </w:rPr>
        <w:t xml:space="preserve"> הנאשמת, וזאת בניסיון לקחת מידיה את הסכין</w:t>
      </w:r>
      <w:r>
        <w:rPr>
          <w:rFonts w:ascii="David" w:hAnsi="David" w:hint="cs"/>
          <w:rtl/>
        </w:rPr>
        <w:t xml:space="preserve"> ו</w:t>
      </w:r>
      <w:r w:rsidRPr="00C24F6B">
        <w:rPr>
          <w:rFonts w:ascii="David" w:hAnsi="David" w:hint="cs"/>
          <w:rtl/>
        </w:rPr>
        <w:t xml:space="preserve">כתוצאה </w:t>
      </w:r>
      <w:r>
        <w:rPr>
          <w:rFonts w:ascii="David" w:hAnsi="David" w:hint="cs"/>
          <w:rtl/>
        </w:rPr>
        <w:t>מכך היא נחבלה בפניה כעולה מהתמונות.</w:t>
      </w:r>
      <w:r>
        <w:rPr>
          <w:rFonts w:ascii="David" w:hAnsi="David" w:hint="cs"/>
        </w:rPr>
        <w:t xml:space="preserve"> </w:t>
      </w:r>
      <w:r>
        <w:rPr>
          <w:rFonts w:ascii="David" w:hAnsi="David" w:hint="cs"/>
          <w:rtl/>
        </w:rPr>
        <w:t xml:space="preserve">למתלונן לא נגרמה חבלה משמעותית (שריטה; ולא יוחסה עבירת פציעה הגורמת חבלה של ממש) אם כי אין להקל ראש בפוטנציאל הנזק שהיה ממשי. </w:t>
      </w:r>
    </w:p>
    <w:p w14:paraId="0F069A15" w14:textId="77777777" w:rsidR="00443A6A" w:rsidRDefault="00443A6A" w:rsidP="00443A6A">
      <w:pPr>
        <w:jc w:val="both"/>
        <w:rPr>
          <w:rFonts w:ascii="David" w:hAnsi="David"/>
          <w:rtl/>
        </w:rPr>
      </w:pPr>
    </w:p>
    <w:p w14:paraId="0B51CA49" w14:textId="77777777" w:rsidR="00443A6A" w:rsidRPr="004B280C" w:rsidRDefault="00443A6A" w:rsidP="00443A6A">
      <w:pPr>
        <w:pStyle w:val="a9"/>
        <w:numPr>
          <w:ilvl w:val="0"/>
          <w:numId w:val="1"/>
        </w:numPr>
        <w:spacing w:line="360" w:lineRule="auto"/>
        <w:jc w:val="both"/>
        <w:rPr>
          <w:rFonts w:ascii="David" w:hAnsi="David"/>
          <w:rtl/>
        </w:rPr>
      </w:pPr>
      <w:r w:rsidRPr="004B280C">
        <w:rPr>
          <w:rFonts w:ascii="David" w:hAnsi="David"/>
          <w:rtl/>
        </w:rPr>
        <w:t>נקודה</w:t>
      </w:r>
      <w:r>
        <w:rPr>
          <w:rFonts w:ascii="David" w:hAnsi="David"/>
          <w:rtl/>
        </w:rPr>
        <w:t xml:space="preserve"> נוספת הראויה להתייחסות היא מצב</w:t>
      </w:r>
      <w:r>
        <w:rPr>
          <w:rFonts w:ascii="David" w:hAnsi="David" w:hint="cs"/>
          <w:rtl/>
        </w:rPr>
        <w:t>ה</w:t>
      </w:r>
      <w:r>
        <w:rPr>
          <w:rFonts w:ascii="David" w:hAnsi="David"/>
          <w:rtl/>
        </w:rPr>
        <w:t xml:space="preserve"> הנפשי וההתמכרותי של הנאש</w:t>
      </w:r>
      <w:r>
        <w:rPr>
          <w:rFonts w:ascii="David" w:hAnsi="David" w:hint="cs"/>
          <w:rtl/>
        </w:rPr>
        <w:t>מת</w:t>
      </w:r>
      <w:r w:rsidRPr="004B280C">
        <w:rPr>
          <w:rFonts w:ascii="David" w:hAnsi="David"/>
          <w:rtl/>
        </w:rPr>
        <w:t xml:space="preserve">. אומנם לא התבקשה חוות דעת </w:t>
      </w:r>
      <w:r>
        <w:rPr>
          <w:rFonts w:ascii="David" w:hAnsi="David" w:hint="cs"/>
          <w:rtl/>
        </w:rPr>
        <w:t xml:space="preserve">ואף לא הוגשו מסמכים רפואיים אולם </w:t>
      </w:r>
      <w:r w:rsidRPr="004B280C">
        <w:rPr>
          <w:rFonts w:ascii="David" w:hAnsi="David"/>
          <w:rtl/>
        </w:rPr>
        <w:t xml:space="preserve">על בסיס הנתונים שהובאו </w:t>
      </w:r>
      <w:r>
        <w:rPr>
          <w:rFonts w:ascii="David" w:hAnsi="David" w:hint="cs"/>
          <w:rtl/>
        </w:rPr>
        <w:t>בתסקיר</w:t>
      </w:r>
      <w:r w:rsidRPr="004B280C">
        <w:rPr>
          <w:rFonts w:ascii="David" w:hAnsi="David"/>
          <w:rtl/>
        </w:rPr>
        <w:t xml:space="preserve"> ניתן להניח ברמת ההוכחה הנדרשת (מאזן הסתברויות)</w:t>
      </w:r>
      <w:r>
        <w:rPr>
          <w:rFonts w:ascii="David" w:hAnsi="David"/>
          <w:rtl/>
        </w:rPr>
        <w:t xml:space="preserve"> שהמעשים </w:t>
      </w:r>
      <w:r>
        <w:rPr>
          <w:rFonts w:ascii="David" w:hAnsi="David" w:hint="cs"/>
          <w:rtl/>
        </w:rPr>
        <w:t>הושפעו</w:t>
      </w:r>
      <w:r>
        <w:rPr>
          <w:rFonts w:ascii="David" w:hAnsi="David"/>
          <w:rtl/>
        </w:rPr>
        <w:t xml:space="preserve"> במידה מסוימת ממצב</w:t>
      </w:r>
      <w:r>
        <w:rPr>
          <w:rFonts w:ascii="David" w:hAnsi="David" w:hint="cs"/>
          <w:rtl/>
        </w:rPr>
        <w:t>ה</w:t>
      </w:r>
      <w:r>
        <w:rPr>
          <w:rFonts w:ascii="David" w:hAnsi="David"/>
          <w:rtl/>
        </w:rPr>
        <w:t xml:space="preserve"> הנפשי (בשילוב התמכרות</w:t>
      </w:r>
      <w:r>
        <w:rPr>
          <w:rFonts w:ascii="David" w:hAnsi="David" w:hint="cs"/>
          <w:rtl/>
        </w:rPr>
        <w:t>ה</w:t>
      </w:r>
      <w:r w:rsidRPr="004B280C">
        <w:rPr>
          <w:rFonts w:ascii="David" w:hAnsi="David"/>
          <w:rtl/>
        </w:rPr>
        <w:t xml:space="preserve"> </w:t>
      </w:r>
      <w:r>
        <w:rPr>
          <w:rFonts w:ascii="David" w:hAnsi="David"/>
          <w:rtl/>
        </w:rPr>
        <w:t>לסמים) ועל אף שאין מחלוקת כי ה</w:t>
      </w:r>
      <w:r>
        <w:rPr>
          <w:rFonts w:ascii="David" w:hAnsi="David" w:hint="cs"/>
          <w:rtl/>
        </w:rPr>
        <w:t>יא</w:t>
      </w:r>
      <w:r w:rsidRPr="004B280C">
        <w:rPr>
          <w:rFonts w:ascii="David" w:hAnsi="David"/>
          <w:rtl/>
        </w:rPr>
        <w:t xml:space="preserve"> כשיר</w:t>
      </w:r>
      <w:r>
        <w:rPr>
          <w:rFonts w:ascii="David" w:hAnsi="David" w:hint="cs"/>
          <w:rtl/>
        </w:rPr>
        <w:t>ה</w:t>
      </w:r>
      <w:r w:rsidRPr="004B280C">
        <w:rPr>
          <w:rFonts w:ascii="David" w:hAnsi="David"/>
          <w:rtl/>
        </w:rPr>
        <w:t xml:space="preserve"> לעמוד לדין, יש להביא נתון זה בחשבון במידה מסוימת. עם זאת, ראוי להדגיש כי עיקר ההתייחסות לנתון זה תהא בתוך המתחם ולא לעצם קביעתו.  </w:t>
      </w:r>
    </w:p>
    <w:p w14:paraId="5BC9FDE7" w14:textId="77777777" w:rsidR="00443A6A" w:rsidRDefault="00443A6A" w:rsidP="00443A6A">
      <w:pPr>
        <w:jc w:val="both"/>
        <w:rPr>
          <w:rFonts w:ascii="David" w:hAnsi="David"/>
          <w:rtl/>
        </w:rPr>
      </w:pPr>
    </w:p>
    <w:p w14:paraId="6F1E6746"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 xml:space="preserve">בבחינת מדיניות הענישה בעבירות השונות אפנה למקרים הבאים: </w:t>
      </w:r>
    </w:p>
    <w:p w14:paraId="7C6CD8E5" w14:textId="77777777" w:rsidR="00443A6A" w:rsidRPr="00296C0B" w:rsidRDefault="00443A6A" w:rsidP="00443A6A">
      <w:pPr>
        <w:pStyle w:val="a9"/>
        <w:rPr>
          <w:rFonts w:ascii="David" w:hAnsi="David"/>
          <w:rtl/>
        </w:rPr>
      </w:pPr>
    </w:p>
    <w:p w14:paraId="76C9BBC1" w14:textId="77777777" w:rsidR="00443A6A" w:rsidRDefault="00443A6A" w:rsidP="00443A6A">
      <w:pPr>
        <w:pStyle w:val="a9"/>
        <w:spacing w:line="360" w:lineRule="auto"/>
        <w:ind w:left="0" w:firstLine="720"/>
        <w:jc w:val="both"/>
        <w:rPr>
          <w:rFonts w:ascii="David" w:hAnsi="David"/>
          <w:rtl/>
        </w:rPr>
      </w:pPr>
      <w:r w:rsidRPr="00296C0B">
        <w:rPr>
          <w:rFonts w:ascii="David" w:hAnsi="David" w:hint="cs"/>
          <w:rtl/>
        </w:rPr>
        <w:t>ביחס לעבירות הפרת צווי הגנה, איומים ואלימות בתוך המשפחה אפנה ל</w:t>
      </w:r>
      <w:hyperlink r:id="rId42" w:history="1">
        <w:r w:rsidR="002E0F95" w:rsidRPr="002E0F95">
          <w:rPr>
            <w:rFonts w:ascii="David" w:hAnsi="David"/>
            <w:color w:val="0000FF"/>
            <w:u w:val="single"/>
            <w:rtl/>
          </w:rPr>
          <w:t>רע"פ 3210/19</w:t>
        </w:r>
      </w:hyperlink>
      <w:r w:rsidRPr="00296C0B">
        <w:rPr>
          <w:rFonts w:ascii="David" w:hAnsi="David"/>
          <w:rtl/>
        </w:rPr>
        <w:t xml:space="preserve"> </w:t>
      </w:r>
      <w:r w:rsidRPr="00296C0B">
        <w:rPr>
          <w:rFonts w:ascii="David" w:hAnsi="David"/>
          <w:b/>
          <w:bCs/>
          <w:rtl/>
        </w:rPr>
        <w:t>פלוני נ' מדינת ישראל</w:t>
      </w:r>
      <w:r w:rsidRPr="00296C0B">
        <w:rPr>
          <w:rFonts w:ascii="David" w:hAnsi="David"/>
          <w:rtl/>
        </w:rPr>
        <w:t xml:space="preserve"> (12.5.2019), בו נדחתה בקשת רשות ערעור של נאשם שהורשע בשלוש עבירות איומים כלפי אמו, הפרת הוראה חוקית והפרת צו בית משפט שנועד להגן על אדם ונידון ל-45 ימי מאסר לריצוי בדרך של עבודות שירות; </w:t>
      </w:r>
      <w:hyperlink r:id="rId43" w:history="1">
        <w:r w:rsidR="002E0F95" w:rsidRPr="002E0F95">
          <w:rPr>
            <w:rFonts w:ascii="David" w:hAnsi="David"/>
            <w:color w:val="0000FF"/>
            <w:u w:val="single"/>
            <w:rtl/>
          </w:rPr>
          <w:t>עפ"ג 47730-07-22</w:t>
        </w:r>
      </w:hyperlink>
      <w:r w:rsidRPr="00296C0B">
        <w:rPr>
          <w:rFonts w:ascii="David" w:hAnsi="David"/>
          <w:rtl/>
        </w:rPr>
        <w:t xml:space="preserve"> </w:t>
      </w:r>
      <w:r w:rsidRPr="00296C0B">
        <w:rPr>
          <w:rFonts w:ascii="David" w:hAnsi="David"/>
          <w:b/>
          <w:bCs/>
          <w:rtl/>
        </w:rPr>
        <w:t>פלוני נ' מדינת ישראל</w:t>
      </w:r>
      <w:r w:rsidRPr="00296C0B">
        <w:rPr>
          <w:rFonts w:ascii="David" w:hAnsi="David"/>
          <w:rtl/>
        </w:rPr>
        <w:t xml:space="preserve"> (12.1.2023), בו נידון עניינו של נאשם שהורשע בעבירות הפרת צו של בית משפט ואיומים בכך שהגיע לבית גרושתו בניגוד לצו הרחקה ולאחר מספר חודשים איים על בנו הקטין כי יפגע בבני המשפחה. הנאשם סרב לשתף פעולה עם הממונה על עבודות השירות ונגזרו עליו חמישה חודשי מאסר בפועל ועונשים נלווים. ערכאת הערעור ציינה כי העונש אינו חורג ממדיניות הענישה ואין הצדקה להתערב במתחם שנקבע (מאסר מותנה ועד 12 חודשי מאסר בפועל)</w:t>
      </w:r>
      <w:r w:rsidRPr="00296C0B">
        <w:rPr>
          <w:rFonts w:ascii="David" w:hAnsi="David" w:hint="cs"/>
          <w:rtl/>
        </w:rPr>
        <w:t xml:space="preserve">; </w:t>
      </w:r>
      <w:hyperlink r:id="rId44" w:history="1">
        <w:r w:rsidR="002E0F95" w:rsidRPr="002E0F95">
          <w:rPr>
            <w:rFonts w:ascii="David" w:hAnsi="David"/>
            <w:color w:val="0000FF"/>
            <w:u w:val="single"/>
            <w:rtl/>
          </w:rPr>
          <w:t>עפ"ג 59103-08-21</w:t>
        </w:r>
      </w:hyperlink>
      <w:r w:rsidRPr="00296C0B">
        <w:rPr>
          <w:rFonts w:ascii="David" w:hAnsi="David"/>
          <w:rtl/>
        </w:rPr>
        <w:t xml:space="preserve"> </w:t>
      </w:r>
      <w:r w:rsidRPr="00296C0B">
        <w:rPr>
          <w:rFonts w:ascii="David" w:hAnsi="David"/>
          <w:b/>
          <w:bCs/>
          <w:rtl/>
        </w:rPr>
        <w:t>מדינת ישראל נ' מחאג'נה</w:t>
      </w:r>
      <w:r w:rsidRPr="00296C0B">
        <w:rPr>
          <w:rFonts w:ascii="David" w:hAnsi="David"/>
          <w:rtl/>
        </w:rPr>
        <w:t xml:space="preserve"> (2.9.2021), בו התקבל ערעור המדינה והוחמר עונשו של נאשם שהורשע באיומים על אחותו ואביו, כשהוא אוחז בידו בסכין, ונגזרו עליו 5 חודשי מאסר בפועל, חלף 3 חודשי מאסר שגזר בית משפט השלום. ביחס למתחם הענישה קבעה ערכאת הערעור כי "</w:t>
      </w:r>
      <w:r w:rsidRPr="00296C0B">
        <w:rPr>
          <w:rFonts w:ascii="Miriam" w:hAnsi="Miriam" w:cs="Miriam"/>
          <w:rtl/>
        </w:rPr>
        <w:t>לא היה מקום לקבוע מתחם שהרף התחתון שלו הוא מאסר על תנאי. נתוני האירוע חייבו לטעמי קביעת מתחם שהרף התחתון שלו – בנתונים אלה – מספר חודשי מאסר</w:t>
      </w:r>
      <w:r w:rsidRPr="00296C0B">
        <w:rPr>
          <w:rFonts w:ascii="David" w:hAnsi="David"/>
          <w:rtl/>
        </w:rPr>
        <w:t>"</w:t>
      </w:r>
      <w:r w:rsidRPr="00296C0B">
        <w:rPr>
          <w:rFonts w:ascii="David" w:hAnsi="David" w:hint="cs"/>
          <w:rtl/>
        </w:rPr>
        <w:t xml:space="preserve">; </w:t>
      </w:r>
      <w:hyperlink r:id="rId45" w:history="1">
        <w:r w:rsidR="002E0F95" w:rsidRPr="002E0F95">
          <w:rPr>
            <w:rFonts w:ascii="David" w:hAnsi="David"/>
            <w:color w:val="0000FF"/>
            <w:u w:val="single"/>
            <w:rtl/>
          </w:rPr>
          <w:t>עפ"ג 56845-03-16</w:t>
        </w:r>
      </w:hyperlink>
      <w:r w:rsidRPr="00296C0B">
        <w:rPr>
          <w:rFonts w:ascii="David" w:hAnsi="David"/>
          <w:color w:val="000000"/>
          <w:rtl/>
        </w:rPr>
        <w:t xml:space="preserve"> </w:t>
      </w:r>
      <w:r w:rsidRPr="00296C0B">
        <w:rPr>
          <w:rFonts w:ascii="David" w:hAnsi="David"/>
          <w:b/>
          <w:bCs/>
          <w:color w:val="000000"/>
          <w:rtl/>
        </w:rPr>
        <w:t>פלוני נ' מדינת ישראל</w:t>
      </w:r>
      <w:r w:rsidRPr="00296C0B">
        <w:rPr>
          <w:rFonts w:ascii="David" w:hAnsi="David"/>
          <w:color w:val="000000"/>
          <w:rtl/>
        </w:rPr>
        <w:t xml:space="preserve"> (30.5.2016), בו הורשע נאשם בעבירות איומים, תקיפה סתם והיזק לרכוש שבוצעו כלפי אמו ובן זוגה, ונידון ל-7 חודשי מאסר בפועל וכן הופעל מאסר מותנה</w:t>
      </w:r>
      <w:r w:rsidRPr="00296C0B">
        <w:rPr>
          <w:rFonts w:ascii="David" w:hAnsi="David"/>
          <w:rtl/>
        </w:rPr>
        <w:t xml:space="preserve">; </w:t>
      </w:r>
      <w:hyperlink r:id="rId46" w:history="1">
        <w:r w:rsidR="002E0F95" w:rsidRPr="002E0F95">
          <w:rPr>
            <w:rFonts w:ascii="David" w:hAnsi="David"/>
            <w:color w:val="0000FF"/>
            <w:u w:val="single"/>
            <w:rtl/>
          </w:rPr>
          <w:t>ת"פ 53915-10-23</w:t>
        </w:r>
      </w:hyperlink>
      <w:r w:rsidRPr="00296C0B">
        <w:rPr>
          <w:rFonts w:ascii="David" w:hAnsi="David"/>
          <w:rtl/>
        </w:rPr>
        <w:t xml:space="preserve"> </w:t>
      </w:r>
      <w:r w:rsidRPr="00296C0B">
        <w:rPr>
          <w:rFonts w:ascii="David" w:hAnsi="David"/>
          <w:b/>
          <w:bCs/>
          <w:rtl/>
        </w:rPr>
        <w:t>מדינת ישראל נ' טארק מיעארי</w:t>
      </w:r>
      <w:r w:rsidRPr="00296C0B">
        <w:rPr>
          <w:rFonts w:ascii="David" w:hAnsi="David"/>
          <w:rtl/>
        </w:rPr>
        <w:t xml:space="preserve"> (3.1.2024), בו הורשע נאשם בעבירות איומים, תקיפה סתם, הפרת הוראה חוקית והפרעה לשוטר בכך שלאחר ויכוח עם אמו איים על אחיו, דחף את אמו, הפר צו שאסר עליו להתקרב למקום, התנגד למעצר וניסה להימלט מהשוטרים. נקבע כי מתחם הענישה נע בין עונש מאסר קצר שניתן לשאת בעבודות שירות ועד 15 חודשי מאסר בפועל ועל הנאשם הוטלו חמישה חודשי מאסר בפועל;</w:t>
      </w:r>
      <w:r w:rsidRPr="00296C0B">
        <w:rPr>
          <w:rFonts w:ascii="David" w:hAnsi="David" w:hint="cs"/>
          <w:color w:val="000000"/>
        </w:rPr>
        <w:t xml:space="preserve"> </w:t>
      </w:r>
      <w:hyperlink r:id="rId47" w:history="1">
        <w:r w:rsidR="002E0F95" w:rsidRPr="002E0F95">
          <w:rPr>
            <w:rFonts w:ascii="David" w:hAnsi="David"/>
            <w:color w:val="0000FF"/>
            <w:u w:val="single"/>
            <w:rtl/>
          </w:rPr>
          <w:t>ת"פ 2925-05-17</w:t>
        </w:r>
      </w:hyperlink>
      <w:r w:rsidRPr="00296C0B">
        <w:rPr>
          <w:rFonts w:ascii="David" w:hAnsi="David"/>
          <w:color w:val="000000"/>
          <w:rtl/>
        </w:rPr>
        <w:t xml:space="preserve"> </w:t>
      </w:r>
      <w:r w:rsidRPr="00296C0B">
        <w:rPr>
          <w:rFonts w:ascii="David" w:hAnsi="David"/>
          <w:b/>
          <w:bCs/>
          <w:color w:val="000000"/>
          <w:rtl/>
        </w:rPr>
        <w:t>מדינת ישראל נ' עמאשה</w:t>
      </w:r>
      <w:r w:rsidRPr="00296C0B">
        <w:rPr>
          <w:rFonts w:ascii="David" w:hAnsi="David"/>
          <w:color w:val="000000"/>
          <w:rtl/>
        </w:rPr>
        <w:t xml:space="preserve"> (19.7.2017), בו נידון נאשם שאיים על אביו ונגזרו עליו חודשיים מאסר לריצוי בדרך של עבודות שירות וענישה נלווית. במקרה זה ניתן משקל לעדות האב המתלונן שביקש להקל עם בנו וכן לנתונים אישיים ולצורך בטיפול</w:t>
      </w:r>
      <w:r>
        <w:rPr>
          <w:rtl/>
        </w:rPr>
        <w:t xml:space="preserve">; </w:t>
      </w:r>
      <w:hyperlink r:id="rId48" w:history="1">
        <w:r w:rsidR="002E0F95" w:rsidRPr="002E0F95">
          <w:rPr>
            <w:color w:val="0000FF"/>
            <w:u w:val="single"/>
            <w:rtl/>
          </w:rPr>
          <w:t>ת"פ 17480-03-20</w:t>
        </w:r>
      </w:hyperlink>
      <w:r>
        <w:rPr>
          <w:rtl/>
        </w:rPr>
        <w:t xml:space="preserve"> </w:t>
      </w:r>
      <w:r w:rsidRPr="00296C0B">
        <w:rPr>
          <w:b/>
          <w:bCs/>
          <w:rtl/>
        </w:rPr>
        <w:t>מדינת ישראל נ' דרעי</w:t>
      </w:r>
      <w:r>
        <w:rPr>
          <w:rtl/>
        </w:rPr>
        <w:t xml:space="preserve"> (13.9.2023), בו הורשע הנאשם בעבירות איומים כלפי זוגתו לשעבר ובן זוגה ונידון ל-45 ימי מאסר לריצוי בעבודות שירות ועונשים נלווים</w:t>
      </w:r>
      <w:r>
        <w:rPr>
          <w:rFonts w:hint="cs"/>
          <w:rtl/>
        </w:rPr>
        <w:t xml:space="preserve">; </w:t>
      </w:r>
      <w:r w:rsidRPr="00296C0B">
        <w:rPr>
          <w:rFonts w:ascii="David" w:hAnsi="David"/>
          <w:rtl/>
        </w:rPr>
        <w:t xml:space="preserve">ת"פ 36472-07-24 </w:t>
      </w:r>
      <w:r w:rsidRPr="00296C0B">
        <w:rPr>
          <w:rFonts w:ascii="David" w:hAnsi="David"/>
          <w:b/>
          <w:bCs/>
          <w:rtl/>
        </w:rPr>
        <w:t>מדינת ישראל נ' ירדן קורט</w:t>
      </w:r>
      <w:r w:rsidRPr="00296C0B">
        <w:rPr>
          <w:rFonts w:ascii="David" w:hAnsi="David"/>
          <w:rtl/>
        </w:rPr>
        <w:t xml:space="preserve"> (4.12.2024), בו נידון עניינו של נאשם שהורשע בעבירות תקיפה הגורמת חבלה, הפרת צו בית משפט, איומים, הפרעה לשוטר והפרת הוראה חוקית והוטלו עליו שישה חודשי מאסר בפועל. הנאשם הגיע לבית הוריו בניגוד לצו הגנה שאסר זאת, דרש מאמו כסף וכשסירבה הכה מכת אגרוף בבטנה ובידה וגרם לה לסימנים כחולים. כן איים על הוריו וניסה להימלט מפני שוטרים שהוזעקו למקום על ידי ההורים. במועד אחר שבר תריס בבית ההורים ונכנס פנימה</w:t>
      </w:r>
      <w:r w:rsidRPr="00296C0B">
        <w:rPr>
          <w:rFonts w:ascii="David" w:hAnsi="David" w:hint="cs"/>
          <w:rtl/>
        </w:rPr>
        <w:t xml:space="preserve">.  </w:t>
      </w:r>
    </w:p>
    <w:p w14:paraId="3434D0FA"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ביחס לעבירות שעניינן תקיפת זקן הגורמת חבלה אפנה ל</w:t>
      </w:r>
      <w:hyperlink r:id="rId49" w:history="1">
        <w:r w:rsidR="002E0F95" w:rsidRPr="002E0F95">
          <w:rPr>
            <w:rFonts w:ascii="David" w:hAnsi="David"/>
            <w:color w:val="0000FF"/>
            <w:u w:val="single"/>
            <w:rtl/>
          </w:rPr>
          <w:t>רע"פ 2678/20</w:t>
        </w:r>
      </w:hyperlink>
      <w:r>
        <w:rPr>
          <w:rFonts w:ascii="David" w:hAnsi="David"/>
          <w:rtl/>
        </w:rPr>
        <w:t xml:space="preserve"> </w:t>
      </w:r>
      <w:r>
        <w:rPr>
          <w:rFonts w:ascii="David" w:hAnsi="David"/>
          <w:b/>
          <w:bCs/>
          <w:rtl/>
        </w:rPr>
        <w:t>אסף רחמים נ' מדינת ישראל</w:t>
      </w:r>
      <w:r>
        <w:rPr>
          <w:rFonts w:ascii="David" w:hAnsi="David"/>
          <w:rtl/>
        </w:rPr>
        <w:t xml:space="preserve"> (27.4.2020), בו נידון הנאשם לעשרה חודשי מאסר לאחר שהורשע בעבירת תקיפה זקן. במקרה זה היכה הנאשם את שכנתו (אישה כבת שמונים) בפניה בגין ויכוח על שימוש בבריכת השחייה המשותפת. כתוצאה מכך נשברו משקפיה ונגרמו לה סימני חבלה; </w:t>
      </w:r>
      <w:hyperlink r:id="rId50" w:history="1">
        <w:r w:rsidR="002E0F95" w:rsidRPr="002E0F95">
          <w:rPr>
            <w:rFonts w:ascii="David" w:hAnsi="David"/>
            <w:color w:val="0000FF"/>
            <w:u w:val="single"/>
            <w:rtl/>
          </w:rPr>
          <w:t>רע"פ 8633/21</w:t>
        </w:r>
      </w:hyperlink>
      <w:r>
        <w:rPr>
          <w:rFonts w:ascii="David" w:hAnsi="David"/>
          <w:rtl/>
        </w:rPr>
        <w:t xml:space="preserve"> </w:t>
      </w:r>
      <w:r>
        <w:rPr>
          <w:rFonts w:ascii="David" w:hAnsi="David"/>
          <w:b/>
          <w:bCs/>
          <w:rtl/>
        </w:rPr>
        <w:t>דפנה לב נ' מדינת ישראל</w:t>
      </w:r>
      <w:r>
        <w:rPr>
          <w:rFonts w:ascii="David" w:hAnsi="David"/>
          <w:rtl/>
        </w:rPr>
        <w:t xml:space="preserve"> (29.12.2021), בו הורשעה הנאשמת בעבירת תקיפת זקן בכך שניגשה לרכבו של המתלונן, פתחה את דלתו והכתה אותו בשתי מכות אגרוף בפניו וזאת לאחר שזה "כמעט פגע" בה. כתוצאה מכך נשברו משקפיו של המתלונן ונגרמו לו המטומות וחתכים באף. על הנאשמת הוטלו 7 חודשי מאסר לריצוי בעבודות שירות ועונשים נלווים. בית המשפט העליון ציין כי </w:t>
      </w:r>
      <w:r w:rsidRPr="00AE2E02">
        <w:rPr>
          <w:rFonts w:ascii="Miriam" w:hAnsi="Miriam" w:cs="Miriam"/>
          <w:rtl/>
        </w:rPr>
        <w:t>"העונש שהוטל על המבקשת אינו חמור כלל ועיקר, ודומה כי צדק בית המשפט המחוזי בקביעתו כי הוא אף מקל עמה"</w:t>
      </w:r>
      <w:r>
        <w:rPr>
          <w:rFonts w:ascii="David" w:hAnsi="David"/>
          <w:rtl/>
        </w:rPr>
        <w:t xml:space="preserve">; </w:t>
      </w:r>
      <w:hyperlink r:id="rId51" w:history="1">
        <w:r w:rsidR="002E0F95" w:rsidRPr="002E0F95">
          <w:rPr>
            <w:rFonts w:ascii="David" w:hAnsi="David"/>
            <w:color w:val="0000FF"/>
            <w:u w:val="single"/>
            <w:rtl/>
          </w:rPr>
          <w:t>רע"פ 8164/21</w:t>
        </w:r>
      </w:hyperlink>
      <w:r>
        <w:rPr>
          <w:rFonts w:ascii="David" w:hAnsi="David"/>
          <w:rtl/>
        </w:rPr>
        <w:t xml:space="preserve"> </w:t>
      </w:r>
      <w:r>
        <w:rPr>
          <w:rFonts w:ascii="David" w:hAnsi="David"/>
          <w:b/>
          <w:bCs/>
          <w:rtl/>
        </w:rPr>
        <w:t>לאונרדו מנואל אובסטרונקי נ' מדינת ישראל</w:t>
      </w:r>
      <w:r>
        <w:rPr>
          <w:rFonts w:ascii="David" w:hAnsi="David"/>
          <w:rtl/>
        </w:rPr>
        <w:t xml:space="preserve"> (29.11.2021), בו נידון עניינו של נאשם שהורשע בעבירת תקיפת זקן  וחרף עברו הנקי והליך טיפול בו שולב בהצלחה, נידון ל-20 חודשי מאסר בפועל. במקרה זה, בשל סיבה שלא צוינה, הפיל הנאשם את המתלוננת וחבט בה מספר רב של חבטות אגרוף בפניה. עקב כך נגרמו לה חבלות בקרקפת ובפ</w:t>
      </w:r>
      <w:r>
        <w:rPr>
          <w:rFonts w:ascii="David" w:hAnsi="David" w:hint="cs"/>
          <w:rtl/>
        </w:rPr>
        <w:t xml:space="preserve">נים; </w:t>
      </w:r>
      <w:hyperlink r:id="rId52" w:history="1">
        <w:r w:rsidR="002E0F95" w:rsidRPr="002E0F95">
          <w:rPr>
            <w:rFonts w:ascii="David" w:hAnsi="David"/>
            <w:color w:val="0000FF"/>
            <w:u w:val="single"/>
            <w:rtl/>
          </w:rPr>
          <w:t>ת"פ 49638-04-22</w:t>
        </w:r>
      </w:hyperlink>
      <w:r w:rsidRPr="000C0702">
        <w:rPr>
          <w:rFonts w:ascii="David" w:hAnsi="David"/>
          <w:rtl/>
        </w:rPr>
        <w:t xml:space="preserve"> </w:t>
      </w:r>
      <w:r w:rsidRPr="000C0702">
        <w:rPr>
          <w:rFonts w:ascii="David" w:hAnsi="David"/>
          <w:b/>
          <w:bCs/>
          <w:rtl/>
        </w:rPr>
        <w:t>מדינת ישראל נ' אמיר אילת</w:t>
      </w:r>
      <w:r w:rsidRPr="000C0702">
        <w:rPr>
          <w:rFonts w:ascii="David" w:hAnsi="David"/>
          <w:rtl/>
        </w:rPr>
        <w:t xml:space="preserve"> (15.9.2024), בו נידון עניינו של נאשם שהורשע בעבירת תקיפת זקן הגורמת חבלה ואיומים בכך שתקף באמצעות אלה את המתלונן- יליד 1953 וגרם לחבלות ברגליו. הנאשם, נעדר עבר פלילי, נידון לתשעה חודשי מאסר לריצוי בדרך של עבוד</w:t>
      </w:r>
      <w:r>
        <w:rPr>
          <w:rFonts w:ascii="David" w:hAnsi="David"/>
          <w:rtl/>
        </w:rPr>
        <w:t>ות שירות, צו מבחן וענישה נלווי</w:t>
      </w:r>
      <w:r>
        <w:rPr>
          <w:rFonts w:ascii="David" w:hAnsi="David" w:hint="cs"/>
          <w:rtl/>
        </w:rPr>
        <w:t xml:space="preserve">ת. באותו מקרה נקבע מתחם ענישה הנע בין 9-24 חודשי מאסר בפועל. </w:t>
      </w:r>
    </w:p>
    <w:p w14:paraId="6941D604" w14:textId="77777777" w:rsidR="00443A6A" w:rsidRDefault="00443A6A" w:rsidP="00443A6A">
      <w:pPr>
        <w:pStyle w:val="a9"/>
        <w:ind w:left="0"/>
        <w:jc w:val="both"/>
        <w:rPr>
          <w:rFonts w:ascii="David" w:hAnsi="David"/>
        </w:rPr>
      </w:pPr>
    </w:p>
    <w:p w14:paraId="1DBC576F" w14:textId="77777777" w:rsidR="00443A6A" w:rsidRPr="00145AEF" w:rsidRDefault="00443A6A" w:rsidP="00443A6A">
      <w:pPr>
        <w:pStyle w:val="a9"/>
        <w:numPr>
          <w:ilvl w:val="0"/>
          <w:numId w:val="1"/>
        </w:numPr>
        <w:spacing w:line="360" w:lineRule="auto"/>
        <w:jc w:val="both"/>
        <w:rPr>
          <w:rFonts w:ascii="David" w:hAnsi="David"/>
        </w:rPr>
      </w:pPr>
      <w:r w:rsidRPr="003132FB">
        <w:rPr>
          <w:rFonts w:ascii="David" w:hAnsi="David"/>
          <w:rtl/>
        </w:rPr>
        <w:t xml:space="preserve">ביחס לעבירת </w:t>
      </w:r>
      <w:r>
        <w:rPr>
          <w:rFonts w:ascii="David" w:hAnsi="David" w:hint="cs"/>
          <w:rtl/>
        </w:rPr>
        <w:t>ה</w:t>
      </w:r>
      <w:r w:rsidRPr="003132FB">
        <w:rPr>
          <w:rFonts w:ascii="David" w:hAnsi="David" w:hint="cs"/>
          <w:rtl/>
        </w:rPr>
        <w:t>תקיפה</w:t>
      </w:r>
      <w:r>
        <w:rPr>
          <w:rFonts w:ascii="David" w:hAnsi="David" w:hint="cs"/>
          <w:rtl/>
        </w:rPr>
        <w:t xml:space="preserve">, </w:t>
      </w:r>
      <w:r w:rsidRPr="003132FB">
        <w:rPr>
          <w:rFonts w:ascii="David" w:hAnsi="David"/>
          <w:rtl/>
        </w:rPr>
        <w:t xml:space="preserve">החזקת </w:t>
      </w:r>
      <w:r>
        <w:rPr>
          <w:rFonts w:ascii="David" w:hAnsi="David" w:hint="cs"/>
          <w:rtl/>
        </w:rPr>
        <w:t>ה</w:t>
      </w:r>
      <w:r w:rsidRPr="003132FB">
        <w:rPr>
          <w:rFonts w:ascii="David" w:hAnsi="David"/>
          <w:rtl/>
        </w:rPr>
        <w:t>סכין</w:t>
      </w:r>
      <w:r w:rsidRPr="00145AEF">
        <w:rPr>
          <w:rFonts w:ascii="David" w:hAnsi="David" w:hint="cs"/>
          <w:rtl/>
        </w:rPr>
        <w:t xml:space="preserve"> וכן חבלה במזיד לרכב</w:t>
      </w:r>
      <w:r w:rsidRPr="00145AEF">
        <w:rPr>
          <w:rFonts w:ascii="David" w:hAnsi="David"/>
          <w:rtl/>
        </w:rPr>
        <w:t xml:space="preserve"> אפנה לפסקי הדין הבאים: </w:t>
      </w:r>
      <w:hyperlink r:id="rId53" w:history="1">
        <w:r w:rsidR="002E0F95" w:rsidRPr="002E0F95">
          <w:rPr>
            <w:rFonts w:ascii="David" w:hAnsi="David"/>
            <w:color w:val="0000FF"/>
            <w:u w:val="single"/>
            <w:rtl/>
          </w:rPr>
          <w:t>רע"פ 6817/22</w:t>
        </w:r>
      </w:hyperlink>
      <w:r w:rsidRPr="00145AEF">
        <w:rPr>
          <w:rFonts w:ascii="David" w:hAnsi="David"/>
          <w:rtl/>
        </w:rPr>
        <w:t xml:space="preserve"> </w:t>
      </w:r>
      <w:r w:rsidRPr="00145AEF">
        <w:rPr>
          <w:rFonts w:ascii="David" w:hAnsi="David"/>
          <w:b/>
          <w:bCs/>
          <w:rtl/>
        </w:rPr>
        <w:t>אשר פריג' נ' מדינת ישראל</w:t>
      </w:r>
      <w:r w:rsidRPr="00145AEF">
        <w:rPr>
          <w:rFonts w:ascii="David" w:hAnsi="David"/>
          <w:rtl/>
        </w:rPr>
        <w:t xml:space="preserve"> (18.10.2022), בו נידון עניינו של נאשם שהורשע בעבירות החזקת סכין ופציעה כשהעבריין מזויין ונידון ל-12 חודשי מאסר בפועל ועונשים נלווים. במקרה זה, בשל סכסוך, דקר הנאשם את המתלונן בכף ידו השמאלית וגרם לו לחבלות וחתכים שהצריכו תפירה. נקבע כי מתחם הענישה נע בין 10 ל-24 חודשי מאסר בפועל ובית המשפט העליון ציין כי </w:t>
      </w:r>
      <w:r w:rsidRPr="00145AEF">
        <w:rPr>
          <w:rFonts w:ascii="Miriam" w:hAnsi="Miriam" w:cs="Miriam"/>
          <w:rtl/>
        </w:rPr>
        <w:t>"מעשים אלו דורשים ענישה הולמת ומרתיעה המבהירה כי סכסוכים אינם באים לפתרונם בדרך של אלימות. סופה של התנהלות אלימה שכזו, בגין עניין של מה בכך, ראוי שיהא עונש משמעותי של מאסר בפועל"</w:t>
      </w:r>
      <w:r w:rsidRPr="00145AEF">
        <w:rPr>
          <w:rFonts w:ascii="David" w:hAnsi="David"/>
          <w:rtl/>
        </w:rPr>
        <w:t xml:space="preserve">; </w:t>
      </w:r>
      <w:hyperlink r:id="rId54" w:history="1">
        <w:r w:rsidR="002E0F95" w:rsidRPr="002E0F95">
          <w:rPr>
            <w:rFonts w:ascii="David" w:hAnsi="David"/>
            <w:color w:val="0000FF"/>
            <w:u w:val="single"/>
            <w:rtl/>
          </w:rPr>
          <w:t>רע"פ 4121/22</w:t>
        </w:r>
      </w:hyperlink>
      <w:r w:rsidRPr="00145AEF">
        <w:rPr>
          <w:rFonts w:ascii="David" w:hAnsi="David"/>
          <w:rtl/>
        </w:rPr>
        <w:t xml:space="preserve"> </w:t>
      </w:r>
      <w:r w:rsidRPr="00145AEF">
        <w:rPr>
          <w:rFonts w:ascii="David" w:hAnsi="David"/>
          <w:b/>
          <w:bCs/>
          <w:rtl/>
        </w:rPr>
        <w:t>אוסאמה סנדוקה נ' מדינת ישראל</w:t>
      </w:r>
      <w:r w:rsidRPr="00145AEF">
        <w:rPr>
          <w:rFonts w:ascii="David" w:hAnsi="David"/>
          <w:rtl/>
        </w:rPr>
        <w:t xml:space="preserve"> (21.6.2022), בו נידון נאשם שדקר את המתלונן פעמיים בירכו לשמונה חודשי מאסר לריצוי בעבודות שירות; </w:t>
      </w:r>
      <w:hyperlink r:id="rId55" w:history="1">
        <w:r w:rsidR="002E0F95" w:rsidRPr="002E0F95">
          <w:rPr>
            <w:rFonts w:ascii="David" w:hAnsi="David"/>
            <w:color w:val="0000FF"/>
            <w:u w:val="single"/>
            <w:rtl/>
          </w:rPr>
          <w:t>רע"פ 1529/20</w:t>
        </w:r>
      </w:hyperlink>
      <w:r w:rsidRPr="00145AEF">
        <w:rPr>
          <w:rFonts w:ascii="David" w:hAnsi="David"/>
          <w:rtl/>
        </w:rPr>
        <w:t xml:space="preserve"> </w:t>
      </w:r>
      <w:r w:rsidRPr="00145AEF">
        <w:rPr>
          <w:rFonts w:ascii="David" w:hAnsi="David"/>
          <w:b/>
          <w:bCs/>
          <w:rtl/>
        </w:rPr>
        <w:t>ענאן אל סייד נ' מדינת ישראל</w:t>
      </w:r>
      <w:r w:rsidRPr="00145AEF">
        <w:rPr>
          <w:rFonts w:ascii="David" w:hAnsi="David"/>
          <w:rtl/>
        </w:rPr>
        <w:t xml:space="preserve"> (15.3.2020), בו נקבע מתחם ענישה הנע בן 10-24 חודשי מאסר ביחס לאירוע במסגרתו הגיע הנאשם לחנות המתלונן לאחר שסבר שנקט באלימות כלפי אחיו. המתלונן סטר לו ודחף אותו והוא בתגובה שלף מכיסו סכין ודקר אותו באזור המפשעה ובידו. בסופו של יום נידון הנאשם ל-11 חודשי מאסר</w:t>
      </w:r>
      <w:r w:rsidRPr="00145AEF">
        <w:rPr>
          <w:rFonts w:ascii="David" w:hAnsi="David" w:hint="cs"/>
          <w:rtl/>
        </w:rPr>
        <w:t xml:space="preserve">; </w:t>
      </w:r>
      <w:hyperlink r:id="rId56" w:history="1">
        <w:r w:rsidR="002E0F95" w:rsidRPr="002E0F95">
          <w:rPr>
            <w:rFonts w:ascii="David" w:hAnsi="David"/>
            <w:color w:val="0000FF"/>
            <w:u w:val="single"/>
            <w:rtl/>
          </w:rPr>
          <w:t>עפ"ג 5778-03-22</w:t>
        </w:r>
      </w:hyperlink>
      <w:r>
        <w:rPr>
          <w:rFonts w:ascii="David" w:hAnsi="David"/>
          <w:rtl/>
        </w:rPr>
        <w:t xml:space="preserve"> </w:t>
      </w:r>
      <w:r>
        <w:rPr>
          <w:rFonts w:ascii="David" w:hAnsi="David"/>
          <w:b/>
          <w:bCs/>
          <w:rtl/>
        </w:rPr>
        <w:t>אנור חסאן נ' מדינת ישראל</w:t>
      </w:r>
      <w:r>
        <w:rPr>
          <w:rFonts w:ascii="David" w:hAnsi="David"/>
          <w:rtl/>
        </w:rPr>
        <w:t xml:space="preserve"> (16.6.2022), בו נידון עניינו של נאשם שהורשע בעבירת פציעה כשהעבריין מזויין ובעבירת איומים בכך שבמהלך ויכוח עם המתלונן הוציא סכין, הניפו לעבר פלג גופו העליון של המתלונן, אחז בכתפו וחתך את רגלו באמצעות סכין. הנאשם נידון ל-12 חודשי מאסר בפועל ועונשים נלווים וערערו נדחה</w:t>
      </w:r>
      <w:r w:rsidRPr="00145AEF">
        <w:rPr>
          <w:rFonts w:ascii="David" w:hAnsi="David"/>
          <w:rtl/>
        </w:rPr>
        <w:t xml:space="preserve">; </w:t>
      </w:r>
      <w:hyperlink r:id="rId57" w:history="1">
        <w:r w:rsidR="002E0F95" w:rsidRPr="002E0F95">
          <w:rPr>
            <w:rFonts w:ascii="David" w:hAnsi="David"/>
            <w:color w:val="0000FF"/>
            <w:u w:val="single"/>
            <w:rtl/>
          </w:rPr>
          <w:t>עפ"ג 29072-05-22</w:t>
        </w:r>
      </w:hyperlink>
      <w:r w:rsidRPr="00145AEF">
        <w:rPr>
          <w:rFonts w:ascii="David" w:hAnsi="David"/>
          <w:rtl/>
        </w:rPr>
        <w:t>‏ ‏</w:t>
      </w:r>
      <w:r w:rsidRPr="00145AEF">
        <w:rPr>
          <w:rFonts w:ascii="David" w:hAnsi="David"/>
          <w:b/>
          <w:bCs/>
          <w:rtl/>
        </w:rPr>
        <w:t>מדינת ישראל נ' שמעון אזולאי</w:t>
      </w:r>
      <w:r w:rsidRPr="00145AEF">
        <w:rPr>
          <w:rFonts w:ascii="David" w:hAnsi="David"/>
          <w:rtl/>
        </w:rPr>
        <w:t xml:space="preserve"> (30.11.2022), בו נידון נאשם לעונש מאסר בן 18 חודשים (וכן הפעלת מאסר מותנה) בשל כך שדקר את המתלונן בשל סכסוך נהגים</w:t>
      </w:r>
      <w:r w:rsidRPr="00145AEF">
        <w:rPr>
          <w:rFonts w:ascii="David" w:hAnsi="David" w:hint="cs"/>
          <w:rtl/>
        </w:rPr>
        <w:t xml:space="preserve">; </w:t>
      </w:r>
      <w:hyperlink r:id="rId58" w:history="1">
        <w:r w:rsidR="002E0F95" w:rsidRPr="002E0F95">
          <w:rPr>
            <w:rFonts w:ascii="David" w:hAnsi="David"/>
            <w:color w:val="0000FF"/>
            <w:u w:val="single"/>
            <w:rtl/>
          </w:rPr>
          <w:t>ת"פ 33796-06-24</w:t>
        </w:r>
      </w:hyperlink>
      <w:r w:rsidRPr="00145AEF">
        <w:rPr>
          <w:rFonts w:ascii="David" w:hAnsi="David"/>
          <w:rtl/>
        </w:rPr>
        <w:t xml:space="preserve"> </w:t>
      </w:r>
      <w:r w:rsidRPr="00145AEF">
        <w:rPr>
          <w:rFonts w:ascii="David" w:hAnsi="David"/>
          <w:b/>
          <w:bCs/>
          <w:rtl/>
        </w:rPr>
        <w:t>מדינת ישראל נ' אמין עמאש</w:t>
      </w:r>
      <w:r w:rsidRPr="00145AEF">
        <w:rPr>
          <w:rFonts w:ascii="David" w:hAnsi="David"/>
          <w:rtl/>
        </w:rPr>
        <w:t xml:space="preserve"> (26.11.2024), בו הורשע נאשם בעבירות חבלה במזיד ברכב </w:t>
      </w:r>
      <w:r w:rsidRPr="00145AEF">
        <w:rPr>
          <w:rFonts w:ascii="David" w:hAnsi="David" w:hint="cs"/>
          <w:rtl/>
        </w:rPr>
        <w:t>ו</w:t>
      </w:r>
      <w:r w:rsidRPr="00145AEF">
        <w:rPr>
          <w:rFonts w:ascii="David" w:hAnsi="David"/>
          <w:rtl/>
        </w:rPr>
        <w:t>החזקת סכין ואיומים בכך שהשליך אבן על רכבו של בן משפחה וניפץ את השמשה האחורית. למחרת איים על סבתו והשליך אבנים לעבר חלון בית המשפחה וגרם לניפוץ חלון הסלון וחדר השירותים. כשנעצר נמצאה ברכבו סכין. בית המשפט קבע מתחם ענישה הנע בין מספר חודשי מאסר שניתן לשאת בעבודות שירות ועד 14 חודשי מאסר</w:t>
      </w:r>
      <w:r w:rsidRPr="00145AEF">
        <w:rPr>
          <w:rFonts w:ascii="David" w:hAnsi="David" w:hint="cs"/>
          <w:rtl/>
        </w:rPr>
        <w:t xml:space="preserve">. </w:t>
      </w:r>
    </w:p>
    <w:p w14:paraId="5D72FA17" w14:textId="77777777" w:rsidR="00443A6A" w:rsidRPr="00145AEF" w:rsidRDefault="00443A6A" w:rsidP="00443A6A">
      <w:pPr>
        <w:pStyle w:val="a9"/>
        <w:ind w:left="0"/>
        <w:jc w:val="both"/>
        <w:rPr>
          <w:rFonts w:ascii="David" w:hAnsi="David"/>
        </w:rPr>
      </w:pPr>
    </w:p>
    <w:p w14:paraId="1EF12A1C"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לאור כל זאת, אני קובע מתחמי ענישה כדלקמן:</w:t>
      </w:r>
    </w:p>
    <w:p w14:paraId="24E94146" w14:textId="77777777" w:rsidR="00443A6A" w:rsidRPr="003C21AB" w:rsidRDefault="00443A6A" w:rsidP="00443A6A">
      <w:pPr>
        <w:pStyle w:val="a9"/>
        <w:rPr>
          <w:rFonts w:ascii="David" w:hAnsi="David"/>
          <w:rtl/>
        </w:rPr>
      </w:pPr>
    </w:p>
    <w:p w14:paraId="2379F0C0" w14:textId="77777777" w:rsidR="00443A6A" w:rsidRDefault="00443A6A" w:rsidP="00443A6A">
      <w:pPr>
        <w:pStyle w:val="a9"/>
        <w:spacing w:line="360" w:lineRule="auto"/>
        <w:jc w:val="both"/>
        <w:rPr>
          <w:rFonts w:ascii="David" w:hAnsi="David"/>
          <w:rtl/>
        </w:rPr>
      </w:pPr>
      <w:r w:rsidRPr="00AE2E02">
        <w:rPr>
          <w:rFonts w:ascii="David" w:hAnsi="David" w:hint="cs"/>
          <w:u w:val="single"/>
          <w:rtl/>
        </w:rPr>
        <w:t>בתיק העיקרי</w:t>
      </w:r>
      <w:r>
        <w:rPr>
          <w:rFonts w:ascii="David" w:hAnsi="David" w:hint="cs"/>
          <w:rtl/>
        </w:rPr>
        <w:t xml:space="preserve">: </w:t>
      </w:r>
    </w:p>
    <w:p w14:paraId="1815B2D2" w14:textId="77777777" w:rsidR="00443A6A" w:rsidRPr="00B64B5E" w:rsidRDefault="00443A6A" w:rsidP="00443A6A">
      <w:pPr>
        <w:pStyle w:val="a9"/>
        <w:spacing w:line="360" w:lineRule="auto"/>
        <w:jc w:val="both"/>
        <w:rPr>
          <w:rFonts w:ascii="David" w:hAnsi="David"/>
          <w:rtl/>
        </w:rPr>
      </w:pPr>
      <w:r w:rsidRPr="00B64B5E">
        <w:rPr>
          <w:rFonts w:ascii="David" w:hAnsi="David" w:hint="cs"/>
          <w:rtl/>
        </w:rPr>
        <w:t>אישום ראשון</w:t>
      </w:r>
      <w:r>
        <w:rPr>
          <w:rFonts w:ascii="David" w:hAnsi="David" w:hint="cs"/>
          <w:rtl/>
        </w:rPr>
        <w:t>:</w:t>
      </w:r>
      <w:r w:rsidRPr="00B64B5E">
        <w:rPr>
          <w:rFonts w:ascii="David" w:hAnsi="David" w:hint="cs"/>
          <w:rtl/>
        </w:rPr>
        <w:t xml:space="preserve">  </w:t>
      </w:r>
      <w:r w:rsidRPr="00B64B5E">
        <w:rPr>
          <w:rtl/>
        </w:rPr>
        <w:t xml:space="preserve">מאסר מותנה ועד </w:t>
      </w:r>
      <w:r>
        <w:rPr>
          <w:rFonts w:hint="cs"/>
          <w:rtl/>
        </w:rPr>
        <w:t>8</w:t>
      </w:r>
      <w:r w:rsidRPr="00B64B5E">
        <w:rPr>
          <w:rtl/>
        </w:rPr>
        <w:t xml:space="preserve"> חודשי מאסר בפועל</w:t>
      </w:r>
      <w:r>
        <w:rPr>
          <w:rFonts w:hint="cs"/>
          <w:rtl/>
        </w:rPr>
        <w:t xml:space="preserve"> </w:t>
      </w:r>
      <w:r w:rsidRPr="00B64B5E">
        <w:rPr>
          <w:rFonts w:ascii="David" w:hAnsi="David" w:hint="cs"/>
          <w:rtl/>
        </w:rPr>
        <w:t>שניתן לשאת בעבודות שירות</w:t>
      </w:r>
      <w:r w:rsidRPr="00B64B5E">
        <w:rPr>
          <w:rFonts w:ascii="David" w:hAnsi="David"/>
          <w:rtl/>
        </w:rPr>
        <w:t>.</w:t>
      </w:r>
    </w:p>
    <w:p w14:paraId="1379D731" w14:textId="77777777" w:rsidR="00443A6A" w:rsidRPr="00B64B5E" w:rsidRDefault="00443A6A" w:rsidP="00443A6A">
      <w:pPr>
        <w:pStyle w:val="a9"/>
        <w:spacing w:line="360" w:lineRule="auto"/>
        <w:jc w:val="both"/>
        <w:rPr>
          <w:rFonts w:ascii="David" w:hAnsi="David"/>
          <w:rtl/>
        </w:rPr>
      </w:pPr>
      <w:r w:rsidRPr="00B64B5E">
        <w:rPr>
          <w:rFonts w:ascii="David" w:hAnsi="David" w:hint="cs"/>
          <w:rtl/>
        </w:rPr>
        <w:t>אישום שני</w:t>
      </w:r>
      <w:r>
        <w:rPr>
          <w:rFonts w:ascii="David" w:hAnsi="David" w:hint="cs"/>
          <w:rtl/>
        </w:rPr>
        <w:t>:</w:t>
      </w:r>
      <w:r w:rsidRPr="00B64B5E">
        <w:rPr>
          <w:rFonts w:ascii="David" w:hAnsi="David" w:hint="cs"/>
          <w:rtl/>
        </w:rPr>
        <w:t xml:space="preserve"> מאסר מותנה ועד מספר חודשי מאסר שניתן לשאת בעבודות שירות. </w:t>
      </w:r>
    </w:p>
    <w:p w14:paraId="44412F6B" w14:textId="77777777" w:rsidR="00443A6A" w:rsidRPr="00B64B5E" w:rsidRDefault="00443A6A" w:rsidP="00443A6A">
      <w:pPr>
        <w:pStyle w:val="a9"/>
        <w:spacing w:line="360" w:lineRule="auto"/>
        <w:jc w:val="both"/>
        <w:rPr>
          <w:rFonts w:ascii="David" w:hAnsi="David"/>
          <w:rtl/>
        </w:rPr>
      </w:pPr>
      <w:r w:rsidRPr="00B64B5E">
        <w:rPr>
          <w:rFonts w:ascii="David" w:hAnsi="David" w:hint="cs"/>
          <w:rtl/>
        </w:rPr>
        <w:t>אישום שלישי</w:t>
      </w:r>
      <w:r>
        <w:rPr>
          <w:rFonts w:ascii="David" w:hAnsi="David" w:hint="cs"/>
          <w:rtl/>
        </w:rPr>
        <w:t>:</w:t>
      </w:r>
      <w:r w:rsidRPr="00B64B5E">
        <w:rPr>
          <w:rFonts w:ascii="David" w:hAnsi="David" w:hint="cs"/>
          <w:rtl/>
        </w:rPr>
        <w:t xml:space="preserve">  6-18 חודשי מאסר בפועל. </w:t>
      </w:r>
    </w:p>
    <w:p w14:paraId="13C4F3B1" w14:textId="77777777" w:rsidR="00443A6A" w:rsidRPr="00B64B5E" w:rsidRDefault="00443A6A" w:rsidP="00443A6A">
      <w:pPr>
        <w:pStyle w:val="a9"/>
        <w:spacing w:line="360" w:lineRule="auto"/>
        <w:jc w:val="both"/>
        <w:rPr>
          <w:rFonts w:ascii="David" w:hAnsi="David"/>
          <w:rtl/>
        </w:rPr>
      </w:pPr>
      <w:r w:rsidRPr="00B64B5E">
        <w:rPr>
          <w:rFonts w:ascii="David" w:hAnsi="David" w:hint="cs"/>
          <w:rtl/>
        </w:rPr>
        <w:t>אישום רביעי</w:t>
      </w:r>
      <w:r>
        <w:rPr>
          <w:rFonts w:ascii="David" w:hAnsi="David" w:hint="cs"/>
          <w:rtl/>
        </w:rPr>
        <w:t>:</w:t>
      </w:r>
      <w:r w:rsidRPr="00B64B5E">
        <w:rPr>
          <w:rFonts w:ascii="David" w:hAnsi="David" w:hint="cs"/>
          <w:rtl/>
        </w:rPr>
        <w:t xml:space="preserve">  מאסר מותנה ועד 10 חודשי מאסר בפועל. </w:t>
      </w:r>
    </w:p>
    <w:p w14:paraId="05C57C49" w14:textId="77777777" w:rsidR="00443A6A" w:rsidRDefault="00443A6A" w:rsidP="00443A6A">
      <w:pPr>
        <w:pStyle w:val="a9"/>
        <w:jc w:val="both"/>
        <w:rPr>
          <w:rFonts w:ascii="David" w:hAnsi="David"/>
          <w:rtl/>
        </w:rPr>
      </w:pPr>
    </w:p>
    <w:p w14:paraId="043DABBA" w14:textId="77777777" w:rsidR="00443A6A" w:rsidRPr="00911406" w:rsidRDefault="00443A6A" w:rsidP="00443A6A">
      <w:pPr>
        <w:pStyle w:val="a9"/>
        <w:spacing w:line="360" w:lineRule="auto"/>
        <w:jc w:val="both"/>
        <w:rPr>
          <w:rFonts w:ascii="David" w:hAnsi="David"/>
        </w:rPr>
      </w:pPr>
      <w:r>
        <w:rPr>
          <w:rFonts w:ascii="David" w:hAnsi="David" w:hint="cs"/>
          <w:rtl/>
        </w:rPr>
        <w:t xml:space="preserve">בתיק הצירוף הראשון: ממאסר מותנה ועד מספר חודשי מאסר שניתן לשאת בעבודות שירות ואילו בתיק הצירוף השני: 10-20 חודשי מאסר.  </w:t>
      </w:r>
    </w:p>
    <w:p w14:paraId="4CF1C2AE" w14:textId="77777777" w:rsidR="00443A6A" w:rsidRPr="007D578B" w:rsidRDefault="00443A6A" w:rsidP="00443A6A">
      <w:pPr>
        <w:jc w:val="both"/>
        <w:rPr>
          <w:rFonts w:ascii="David" w:hAnsi="David"/>
          <w:rtl/>
        </w:rPr>
      </w:pPr>
    </w:p>
    <w:p w14:paraId="71C66B51" w14:textId="77777777" w:rsidR="00443A6A" w:rsidRDefault="00443A6A" w:rsidP="00443A6A">
      <w:pPr>
        <w:spacing w:line="360" w:lineRule="auto"/>
        <w:jc w:val="both"/>
        <w:rPr>
          <w:rFonts w:ascii="David" w:hAnsi="David"/>
          <w:rtl/>
        </w:rPr>
      </w:pPr>
      <w:r>
        <w:rPr>
          <w:rFonts w:ascii="David" w:hAnsi="David" w:hint="cs"/>
          <w:b/>
          <w:bCs/>
          <w:u w:val="single"/>
          <w:rtl/>
        </w:rPr>
        <w:t>קביעת עונשה של הנאשמת</w:t>
      </w:r>
    </w:p>
    <w:p w14:paraId="64100805" w14:textId="77777777" w:rsidR="00443A6A" w:rsidRDefault="00443A6A" w:rsidP="00443A6A">
      <w:pPr>
        <w:jc w:val="both"/>
        <w:rPr>
          <w:rFonts w:ascii="David" w:hAnsi="David"/>
          <w:rtl/>
        </w:rPr>
      </w:pPr>
    </w:p>
    <w:p w14:paraId="5610A2EC" w14:textId="77777777" w:rsidR="00443A6A" w:rsidRDefault="00443A6A" w:rsidP="00443A6A">
      <w:pPr>
        <w:pStyle w:val="a9"/>
        <w:numPr>
          <w:ilvl w:val="0"/>
          <w:numId w:val="1"/>
        </w:numPr>
        <w:spacing w:line="360" w:lineRule="auto"/>
        <w:jc w:val="both"/>
        <w:rPr>
          <w:rFonts w:ascii="David" w:hAnsi="David"/>
        </w:rPr>
      </w:pPr>
      <w:r w:rsidRPr="002639EA">
        <w:rPr>
          <w:rFonts w:ascii="David" w:hAnsi="David"/>
          <w:rtl/>
        </w:rPr>
        <w:t>ההגנה לא חלקה על כך שלא קיימים בעניינ</w:t>
      </w:r>
      <w:r w:rsidRPr="002639EA">
        <w:rPr>
          <w:rFonts w:ascii="David" w:hAnsi="David" w:hint="cs"/>
          <w:rtl/>
        </w:rPr>
        <w:t>ה</w:t>
      </w:r>
      <w:r w:rsidRPr="002639EA">
        <w:rPr>
          <w:rFonts w:ascii="David" w:hAnsi="David"/>
          <w:rtl/>
        </w:rPr>
        <w:t xml:space="preserve"> של הנאש</w:t>
      </w:r>
      <w:r w:rsidRPr="002639EA">
        <w:rPr>
          <w:rFonts w:ascii="David" w:hAnsi="David" w:hint="cs"/>
          <w:rtl/>
        </w:rPr>
        <w:t>מת</w:t>
      </w:r>
      <w:r w:rsidRPr="002639EA">
        <w:rPr>
          <w:rFonts w:ascii="David" w:hAnsi="David"/>
          <w:rtl/>
        </w:rPr>
        <w:t xml:space="preserve"> סיכויי שיקום המצדיקים הקלה עונשית, לא כל שכן חריגה ממתחם הענישה, ועתרה לעונש המצוי </w:t>
      </w:r>
      <w:r w:rsidRPr="002639EA">
        <w:rPr>
          <w:rFonts w:ascii="David" w:hAnsi="David" w:hint="cs"/>
          <w:rtl/>
        </w:rPr>
        <w:t>ברף האמצעי תחתון של מתחמי הענישה</w:t>
      </w:r>
      <w:r w:rsidRPr="002639EA">
        <w:rPr>
          <w:rFonts w:ascii="David" w:hAnsi="David"/>
          <w:rtl/>
        </w:rPr>
        <w:t xml:space="preserve">. בכל מקרה, אציין כי אף שירות המבחן לא בא בהמלצה טיפולית. יש להצר על מצב זה ודומה שלאור </w:t>
      </w:r>
      <w:r w:rsidRPr="002639EA">
        <w:rPr>
          <w:rFonts w:ascii="David" w:hAnsi="David" w:hint="cs"/>
          <w:rtl/>
        </w:rPr>
        <w:t xml:space="preserve">מצבה </w:t>
      </w:r>
      <w:r>
        <w:rPr>
          <w:rFonts w:ascii="David" w:hAnsi="David" w:hint="cs"/>
          <w:rtl/>
        </w:rPr>
        <w:t xml:space="preserve">הנפשי וההתמכרותי </w:t>
      </w:r>
      <w:r w:rsidRPr="002639EA">
        <w:rPr>
          <w:rFonts w:ascii="David" w:hAnsi="David" w:hint="cs"/>
          <w:rtl/>
        </w:rPr>
        <w:t>של הנאשמת</w:t>
      </w:r>
      <w:r>
        <w:rPr>
          <w:rFonts w:ascii="David" w:hAnsi="David" w:hint="cs"/>
          <w:rtl/>
        </w:rPr>
        <w:t xml:space="preserve"> והעובדה שהיא אינה זוכה לגדל את בנה עקב כך, הייתה היא יוצאת נשכרת מהשלמת ההליך הטיפולי ויש לקוות שהיא תמצא כוחות להשלימו בעת ריצוי עונשה ולאחריו. </w:t>
      </w:r>
    </w:p>
    <w:p w14:paraId="57472248" w14:textId="77777777" w:rsidR="00443A6A" w:rsidRPr="002639EA" w:rsidRDefault="00443A6A" w:rsidP="00443A6A">
      <w:pPr>
        <w:pStyle w:val="a9"/>
        <w:ind w:left="0"/>
        <w:jc w:val="both"/>
        <w:rPr>
          <w:rFonts w:ascii="David" w:hAnsi="David"/>
        </w:rPr>
      </w:pPr>
    </w:p>
    <w:p w14:paraId="5EFB093C" w14:textId="77777777" w:rsidR="00443A6A" w:rsidRDefault="00443A6A" w:rsidP="00443A6A">
      <w:pPr>
        <w:pStyle w:val="a9"/>
        <w:numPr>
          <w:ilvl w:val="0"/>
          <w:numId w:val="1"/>
        </w:numPr>
        <w:spacing w:line="360" w:lineRule="auto"/>
        <w:jc w:val="both"/>
        <w:rPr>
          <w:rFonts w:ascii="David" w:hAnsi="David"/>
        </w:rPr>
      </w:pPr>
      <w:r>
        <w:rPr>
          <w:rFonts w:ascii="David" w:hAnsi="David"/>
          <w:rtl/>
        </w:rPr>
        <w:t>לצורך קביעת עונש</w:t>
      </w:r>
      <w:r>
        <w:rPr>
          <w:rFonts w:ascii="David" w:hAnsi="David" w:hint="cs"/>
          <w:rtl/>
        </w:rPr>
        <w:t>ה</w:t>
      </w:r>
      <w:r>
        <w:rPr>
          <w:rFonts w:ascii="David" w:hAnsi="David"/>
          <w:rtl/>
        </w:rPr>
        <w:t xml:space="preserve"> של הנאש</w:t>
      </w:r>
      <w:r>
        <w:rPr>
          <w:rFonts w:ascii="David" w:hAnsi="David" w:hint="cs"/>
          <w:rtl/>
        </w:rPr>
        <w:t>מת</w:t>
      </w:r>
      <w:r>
        <w:rPr>
          <w:rFonts w:ascii="David" w:hAnsi="David"/>
          <w:rtl/>
        </w:rPr>
        <w:t xml:space="preserve"> הבאתי בחשבון את גיל</w:t>
      </w:r>
      <w:r>
        <w:rPr>
          <w:rFonts w:ascii="David" w:hAnsi="David" w:hint="cs"/>
          <w:rtl/>
        </w:rPr>
        <w:t>ה</w:t>
      </w:r>
      <w:r>
        <w:rPr>
          <w:rFonts w:ascii="David" w:hAnsi="David"/>
          <w:rtl/>
        </w:rPr>
        <w:t xml:space="preserve"> (כ</w:t>
      </w:r>
      <w:r>
        <w:rPr>
          <w:rFonts w:ascii="David" w:hAnsi="David" w:hint="cs"/>
          <w:rtl/>
        </w:rPr>
        <w:t>בת 36</w:t>
      </w:r>
      <w:r w:rsidRPr="004252F5">
        <w:rPr>
          <w:rFonts w:ascii="David" w:hAnsi="David"/>
          <w:rtl/>
        </w:rPr>
        <w:t>) ואת העובדה שקיבל</w:t>
      </w:r>
      <w:r>
        <w:rPr>
          <w:rFonts w:ascii="David" w:hAnsi="David" w:hint="cs"/>
          <w:rtl/>
        </w:rPr>
        <w:t>ה</w:t>
      </w:r>
      <w:r>
        <w:rPr>
          <w:rFonts w:ascii="David" w:hAnsi="David"/>
          <w:rtl/>
        </w:rPr>
        <w:t xml:space="preserve"> אחריות מלאה למעשי</w:t>
      </w:r>
      <w:r>
        <w:rPr>
          <w:rFonts w:ascii="David" w:hAnsi="David" w:hint="cs"/>
          <w:rtl/>
        </w:rPr>
        <w:t>ה והודתה בכל כתבי האישום</w:t>
      </w:r>
      <w:r w:rsidRPr="004252F5">
        <w:rPr>
          <w:rFonts w:ascii="David" w:hAnsi="David"/>
          <w:rtl/>
        </w:rPr>
        <w:t xml:space="preserve"> ו</w:t>
      </w:r>
      <w:r>
        <w:rPr>
          <w:rFonts w:ascii="David" w:hAnsi="David" w:hint="cs"/>
          <w:rtl/>
        </w:rPr>
        <w:t xml:space="preserve">בכך אף </w:t>
      </w:r>
      <w:r>
        <w:rPr>
          <w:rFonts w:ascii="David" w:hAnsi="David"/>
          <w:rtl/>
        </w:rPr>
        <w:t>חס</w:t>
      </w:r>
      <w:r>
        <w:rPr>
          <w:rFonts w:ascii="David" w:hAnsi="David" w:hint="cs"/>
          <w:rtl/>
        </w:rPr>
        <w:t xml:space="preserve">כה </w:t>
      </w:r>
      <w:r w:rsidRPr="004252F5">
        <w:rPr>
          <w:rFonts w:ascii="David" w:hAnsi="David"/>
          <w:rtl/>
        </w:rPr>
        <w:t xml:space="preserve">את עדות </w:t>
      </w:r>
      <w:r>
        <w:rPr>
          <w:rFonts w:ascii="David" w:hAnsi="David" w:hint="cs"/>
          <w:rtl/>
        </w:rPr>
        <w:t>אימה,</w:t>
      </w:r>
      <w:r>
        <w:rPr>
          <w:rFonts w:ascii="David" w:hAnsi="David"/>
          <w:rtl/>
        </w:rPr>
        <w:t xml:space="preserve"> </w:t>
      </w:r>
      <w:r w:rsidRPr="004252F5">
        <w:rPr>
          <w:rFonts w:ascii="David" w:hAnsi="David"/>
          <w:rtl/>
        </w:rPr>
        <w:t>בני משפחה נוספים</w:t>
      </w:r>
      <w:r>
        <w:rPr>
          <w:rFonts w:ascii="David" w:hAnsi="David" w:hint="cs"/>
          <w:rtl/>
        </w:rPr>
        <w:t xml:space="preserve"> ועדים רבים</w:t>
      </w:r>
      <w:r w:rsidRPr="004252F5">
        <w:rPr>
          <w:rFonts w:ascii="David" w:hAnsi="David"/>
          <w:rtl/>
        </w:rPr>
        <w:t xml:space="preserve">. עוד הבאתי בחשבון את </w:t>
      </w:r>
      <w:r>
        <w:rPr>
          <w:rFonts w:ascii="David" w:hAnsi="David" w:hint="cs"/>
          <w:rtl/>
        </w:rPr>
        <w:t>עמדת האם</w:t>
      </w:r>
      <w:r w:rsidRPr="004252F5">
        <w:rPr>
          <w:rFonts w:ascii="David" w:hAnsi="David"/>
          <w:rtl/>
        </w:rPr>
        <w:t>, אם כי לעמדה זו יינתן משקל מוגבל על רקע האמור בתסקיר.</w:t>
      </w:r>
      <w:r>
        <w:rPr>
          <w:rFonts w:ascii="David" w:hAnsi="David" w:hint="cs"/>
          <w:rtl/>
        </w:rPr>
        <w:t xml:space="preserve"> כן הבאתי בחשבון את נסיבות חייה והקשיים עמם היא מתמודדת לאורך השנים, לרבות מצבה הנפשי והנתק מבנה. הבאתי עוד בחשבון את ניסיונה לעבור טיפול בו התמידה כשישה חודשים בתנאים לא קלים. מנגד הבאתי בחשבון את עברה הפלילי אם כי הוא אינו מכביד והעבירה האחרונה היא משנת 2010 ובתחום הרכוש. </w:t>
      </w:r>
    </w:p>
    <w:p w14:paraId="5F9E1DE8" w14:textId="77777777" w:rsidR="00443A6A" w:rsidRPr="000C1F60" w:rsidRDefault="00443A6A" w:rsidP="00443A6A">
      <w:pPr>
        <w:pStyle w:val="a9"/>
        <w:rPr>
          <w:rFonts w:ascii="David" w:hAnsi="David"/>
          <w:rtl/>
        </w:rPr>
      </w:pPr>
    </w:p>
    <w:p w14:paraId="4FEE48B0" w14:textId="77777777" w:rsidR="00443A6A" w:rsidRDefault="00443A6A" w:rsidP="00443A6A">
      <w:pPr>
        <w:pStyle w:val="a9"/>
        <w:numPr>
          <w:ilvl w:val="0"/>
          <w:numId w:val="1"/>
        </w:numPr>
        <w:spacing w:line="360" w:lineRule="auto"/>
        <w:jc w:val="both"/>
        <w:rPr>
          <w:rFonts w:ascii="David" w:hAnsi="David"/>
        </w:rPr>
      </w:pPr>
      <w:r>
        <w:rPr>
          <w:rFonts w:ascii="David" w:hAnsi="David" w:hint="cs"/>
          <w:rtl/>
        </w:rPr>
        <w:t xml:space="preserve">העונש ההולם את מכלול המעשים הוא מאסר בפועל. יש לקוות </w:t>
      </w:r>
      <w:r>
        <w:rPr>
          <w:rFonts w:ascii="David" w:hAnsi="David"/>
          <w:rtl/>
        </w:rPr>
        <w:t>שהנאש</w:t>
      </w:r>
      <w:r>
        <w:rPr>
          <w:rFonts w:ascii="David" w:hAnsi="David" w:hint="cs"/>
          <w:rtl/>
        </w:rPr>
        <w:t>מת</w:t>
      </w:r>
      <w:r>
        <w:rPr>
          <w:rFonts w:ascii="David" w:hAnsi="David"/>
          <w:rtl/>
        </w:rPr>
        <w:t xml:space="preserve"> </w:t>
      </w:r>
      <w:r>
        <w:rPr>
          <w:rFonts w:ascii="David" w:hAnsi="David" w:hint="cs"/>
          <w:rtl/>
        </w:rPr>
        <w:t>ת</w:t>
      </w:r>
      <w:r>
        <w:rPr>
          <w:rFonts w:ascii="David" w:hAnsi="David"/>
          <w:rtl/>
        </w:rPr>
        <w:t>שכיל להפיק לקחים מאירוע</w:t>
      </w:r>
      <w:r>
        <w:rPr>
          <w:rFonts w:ascii="David" w:hAnsi="David" w:hint="cs"/>
          <w:rtl/>
        </w:rPr>
        <w:t>ים</w:t>
      </w:r>
      <w:r>
        <w:rPr>
          <w:rFonts w:ascii="David" w:hAnsi="David"/>
          <w:rtl/>
        </w:rPr>
        <w:t xml:space="preserve"> </w:t>
      </w:r>
      <w:r>
        <w:rPr>
          <w:rFonts w:ascii="David" w:hAnsi="David" w:hint="cs"/>
          <w:rtl/>
        </w:rPr>
        <w:t xml:space="preserve">אלו, תאזור כוחות להיגמל מסמים </w:t>
      </w:r>
      <w:r>
        <w:rPr>
          <w:rFonts w:ascii="David" w:hAnsi="David"/>
          <w:rtl/>
        </w:rPr>
        <w:t>ו</w:t>
      </w:r>
      <w:r>
        <w:rPr>
          <w:rFonts w:ascii="David" w:hAnsi="David" w:hint="cs"/>
          <w:rtl/>
        </w:rPr>
        <w:t>ת</w:t>
      </w:r>
      <w:r>
        <w:rPr>
          <w:rFonts w:ascii="David" w:hAnsi="David"/>
          <w:rtl/>
        </w:rPr>
        <w:t>שנה את דרכי</w:t>
      </w:r>
      <w:r>
        <w:rPr>
          <w:rFonts w:ascii="David" w:hAnsi="David" w:hint="cs"/>
          <w:rtl/>
        </w:rPr>
        <w:t xml:space="preserve">ה, למענה ולמען בנה.  </w:t>
      </w:r>
    </w:p>
    <w:p w14:paraId="03676800" w14:textId="77777777" w:rsidR="00443A6A" w:rsidRPr="001808F8" w:rsidRDefault="00443A6A" w:rsidP="00443A6A">
      <w:pPr>
        <w:pStyle w:val="a9"/>
        <w:rPr>
          <w:rFonts w:ascii="David" w:hAnsi="David"/>
          <w:rtl/>
        </w:rPr>
      </w:pPr>
    </w:p>
    <w:p w14:paraId="310D763B" w14:textId="77777777" w:rsidR="00443A6A" w:rsidRDefault="00443A6A" w:rsidP="00443A6A">
      <w:pPr>
        <w:pStyle w:val="a9"/>
        <w:numPr>
          <w:ilvl w:val="0"/>
          <w:numId w:val="1"/>
        </w:numPr>
        <w:spacing w:line="360" w:lineRule="auto"/>
        <w:jc w:val="both"/>
        <w:rPr>
          <w:rFonts w:ascii="David" w:hAnsi="David"/>
        </w:rPr>
      </w:pPr>
      <w:r>
        <w:rPr>
          <w:rFonts w:ascii="David" w:hAnsi="David"/>
          <w:rtl/>
        </w:rPr>
        <w:t>סיכומו של דבר, לאחר שבחנתי את מכלול השיקולים, אני גוזר על הנאש</w:t>
      </w:r>
      <w:r>
        <w:rPr>
          <w:rFonts w:ascii="David" w:hAnsi="David" w:hint="cs"/>
          <w:rtl/>
        </w:rPr>
        <w:t>מת</w:t>
      </w:r>
      <w:r>
        <w:rPr>
          <w:rFonts w:ascii="David" w:hAnsi="David"/>
          <w:rtl/>
        </w:rPr>
        <w:t xml:space="preserve"> את העונשים הבאים:</w:t>
      </w:r>
    </w:p>
    <w:p w14:paraId="6C7D920B" w14:textId="77777777" w:rsidR="00443A6A" w:rsidRDefault="00443A6A" w:rsidP="00443A6A">
      <w:pPr>
        <w:pStyle w:val="a9"/>
        <w:spacing w:line="360" w:lineRule="auto"/>
        <w:ind w:left="0"/>
        <w:jc w:val="both"/>
        <w:rPr>
          <w:rFonts w:ascii="David" w:hAnsi="David"/>
          <w:rtl/>
        </w:rPr>
      </w:pPr>
    </w:p>
    <w:p w14:paraId="28589D51" w14:textId="77777777" w:rsidR="00443A6A" w:rsidRDefault="00443A6A" w:rsidP="00443A6A">
      <w:pPr>
        <w:pStyle w:val="a9"/>
        <w:numPr>
          <w:ilvl w:val="0"/>
          <w:numId w:val="2"/>
        </w:numPr>
        <w:spacing w:line="360" w:lineRule="auto"/>
        <w:jc w:val="both"/>
        <w:rPr>
          <w:rFonts w:ascii="David" w:hAnsi="David"/>
        </w:rPr>
      </w:pPr>
      <w:r>
        <w:rPr>
          <w:rFonts w:ascii="David" w:hAnsi="David" w:hint="cs"/>
          <w:b/>
          <w:bCs/>
          <w:rtl/>
        </w:rPr>
        <w:t>16</w:t>
      </w:r>
      <w:r w:rsidRPr="00ED4022">
        <w:rPr>
          <w:rFonts w:ascii="David" w:hAnsi="David" w:hint="cs"/>
          <w:b/>
          <w:bCs/>
          <w:rtl/>
        </w:rPr>
        <w:t xml:space="preserve"> חודשי מאסר בפועל,</w:t>
      </w:r>
      <w:r>
        <w:rPr>
          <w:rFonts w:ascii="David" w:hAnsi="David" w:hint="cs"/>
          <w:rtl/>
        </w:rPr>
        <w:t xml:space="preserve"> בניכוי תקופות המעצר הבאות: 13.9.23 </w:t>
      </w:r>
      <w:r>
        <w:rPr>
          <w:rFonts w:ascii="David" w:hAnsi="David"/>
          <w:rtl/>
        </w:rPr>
        <w:t>–</w:t>
      </w:r>
      <w:r>
        <w:rPr>
          <w:rFonts w:ascii="David" w:hAnsi="David" w:hint="cs"/>
          <w:rtl/>
        </w:rPr>
        <w:t xml:space="preserve"> 4.12.23, ומיום 9.11.24 ועד היום. </w:t>
      </w:r>
    </w:p>
    <w:p w14:paraId="6A9806DD" w14:textId="77777777" w:rsidR="00443A6A" w:rsidRDefault="00443A6A" w:rsidP="00443A6A">
      <w:pPr>
        <w:pStyle w:val="a9"/>
        <w:numPr>
          <w:ilvl w:val="0"/>
          <w:numId w:val="2"/>
        </w:numPr>
        <w:spacing w:line="360" w:lineRule="auto"/>
        <w:jc w:val="both"/>
        <w:rPr>
          <w:rFonts w:ascii="David" w:hAnsi="David"/>
        </w:rPr>
      </w:pPr>
      <w:r>
        <w:rPr>
          <w:rFonts w:ascii="David" w:hAnsi="David"/>
          <w:rtl/>
        </w:rPr>
        <w:t xml:space="preserve">מאסר על תנאי למשך </w:t>
      </w:r>
      <w:r>
        <w:rPr>
          <w:rFonts w:ascii="David" w:hAnsi="David" w:hint="cs"/>
          <w:rtl/>
        </w:rPr>
        <w:t>6</w:t>
      </w:r>
      <w:r>
        <w:rPr>
          <w:rFonts w:ascii="David" w:hAnsi="David"/>
          <w:rtl/>
        </w:rPr>
        <w:t xml:space="preserve"> חודשים והתנאי הוא שלא </w:t>
      </w:r>
      <w:r>
        <w:rPr>
          <w:rFonts w:ascii="David" w:hAnsi="David" w:hint="cs"/>
          <w:rtl/>
        </w:rPr>
        <w:t>תעבור</w:t>
      </w:r>
      <w:r>
        <w:rPr>
          <w:rFonts w:ascii="David" w:hAnsi="David"/>
          <w:rtl/>
        </w:rPr>
        <w:t xml:space="preserve"> במשך שנתיים </w:t>
      </w:r>
      <w:r>
        <w:rPr>
          <w:rFonts w:ascii="David" w:hAnsi="David" w:hint="cs"/>
          <w:rtl/>
        </w:rPr>
        <w:t xml:space="preserve">כל עבירת אלימות פיזית כלפי גופו של אדם. </w:t>
      </w:r>
    </w:p>
    <w:p w14:paraId="654C2F57" w14:textId="77777777" w:rsidR="00443A6A" w:rsidRDefault="00443A6A" w:rsidP="00443A6A">
      <w:pPr>
        <w:pStyle w:val="a9"/>
        <w:numPr>
          <w:ilvl w:val="0"/>
          <w:numId w:val="2"/>
        </w:numPr>
        <w:spacing w:line="360" w:lineRule="auto"/>
        <w:jc w:val="both"/>
        <w:rPr>
          <w:rFonts w:ascii="David" w:hAnsi="David"/>
        </w:rPr>
      </w:pPr>
      <w:r>
        <w:rPr>
          <w:rFonts w:ascii="David" w:hAnsi="David" w:hint="cs"/>
          <w:rtl/>
        </w:rPr>
        <w:t>מאסר על תנאי למשך חודשיים והתנאי הוא שלא תעבור במשך שנתיים אחת או יותר מהעבירות הבאות:</w:t>
      </w:r>
      <w:r>
        <w:rPr>
          <w:rFonts w:ascii="David" w:hAnsi="David" w:hint="cs"/>
        </w:rPr>
        <w:t xml:space="preserve"> </w:t>
      </w:r>
      <w:r>
        <w:rPr>
          <w:rFonts w:ascii="David" w:hAnsi="David" w:hint="cs"/>
          <w:rtl/>
        </w:rPr>
        <w:t xml:space="preserve">איומים; הפרת הוראה חוקית; היזק בזדון; החזקת סכין שלא למטרה כשרה. </w:t>
      </w:r>
    </w:p>
    <w:p w14:paraId="36C0FB64" w14:textId="77777777" w:rsidR="00443A6A" w:rsidRPr="001808F8" w:rsidRDefault="00443A6A" w:rsidP="00443A6A">
      <w:pPr>
        <w:pStyle w:val="a9"/>
        <w:numPr>
          <w:ilvl w:val="0"/>
          <w:numId w:val="2"/>
        </w:numPr>
        <w:spacing w:line="360" w:lineRule="auto"/>
        <w:jc w:val="both"/>
        <w:rPr>
          <w:rFonts w:ascii="David" w:hAnsi="David"/>
          <w:rtl/>
        </w:rPr>
      </w:pPr>
      <w:r>
        <w:rPr>
          <w:rFonts w:ascii="David" w:hAnsi="David" w:hint="cs"/>
          <w:rtl/>
        </w:rPr>
        <w:t xml:space="preserve">פיצוי למתלונן בתיק הצירוף השני, ע"ת מס' 1, בסך 3,000 ₪. </w:t>
      </w:r>
      <w:r w:rsidRPr="00B72F5D">
        <w:rPr>
          <w:rFonts w:ascii="David" w:hAnsi="David"/>
          <w:rtl/>
        </w:rPr>
        <w:t>הפיצוי ישולם בחמישה תשלומים שווים ורצופים החל מיום 1.</w:t>
      </w:r>
      <w:r>
        <w:rPr>
          <w:rFonts w:ascii="David" w:hAnsi="David" w:hint="cs"/>
          <w:rtl/>
        </w:rPr>
        <w:t>9</w:t>
      </w:r>
      <w:r w:rsidRPr="00B72F5D">
        <w:rPr>
          <w:rFonts w:ascii="David" w:hAnsi="David"/>
          <w:rtl/>
        </w:rPr>
        <w:t>.25 ובכל 1 לחודש שלאחר מכן. מובהר ש</w:t>
      </w:r>
      <w:r>
        <w:rPr>
          <w:rFonts w:ascii="David" w:hAnsi="David"/>
          <w:rtl/>
        </w:rPr>
        <w:t>אין בכך למצות את מלוא נזקי</w:t>
      </w:r>
      <w:r>
        <w:rPr>
          <w:rFonts w:ascii="David" w:hAnsi="David" w:hint="cs"/>
          <w:rtl/>
        </w:rPr>
        <w:t>ו</w:t>
      </w:r>
      <w:r>
        <w:rPr>
          <w:rFonts w:ascii="David" w:hAnsi="David"/>
          <w:rtl/>
        </w:rPr>
        <w:t xml:space="preserve"> וה</w:t>
      </w:r>
      <w:r>
        <w:rPr>
          <w:rFonts w:ascii="David" w:hAnsi="David" w:hint="cs"/>
          <w:rtl/>
        </w:rPr>
        <w:t>וא</w:t>
      </w:r>
      <w:r>
        <w:rPr>
          <w:rFonts w:ascii="David" w:hAnsi="David"/>
          <w:rtl/>
        </w:rPr>
        <w:t xml:space="preserve"> רשאי</w:t>
      </w:r>
      <w:r w:rsidRPr="00B72F5D">
        <w:rPr>
          <w:rFonts w:ascii="David" w:hAnsi="David"/>
          <w:rtl/>
        </w:rPr>
        <w:t xml:space="preserve"> להגיש בנושא תביעה אזרחית. המאשימה תמציא בתוך</w:t>
      </w:r>
      <w:r>
        <w:rPr>
          <w:rFonts w:ascii="David" w:hAnsi="David"/>
          <w:rtl/>
        </w:rPr>
        <w:t xml:space="preserve"> 30 יום למזכירות את פרטי חשבו</w:t>
      </w:r>
      <w:r>
        <w:rPr>
          <w:rFonts w:ascii="David" w:hAnsi="David" w:hint="cs"/>
          <w:rtl/>
        </w:rPr>
        <w:t>ן</w:t>
      </w:r>
      <w:r>
        <w:rPr>
          <w:rFonts w:ascii="David" w:hAnsi="David"/>
          <w:rtl/>
        </w:rPr>
        <w:t xml:space="preserve"> הבנק של המתלונ</w:t>
      </w:r>
      <w:r>
        <w:rPr>
          <w:rFonts w:ascii="David" w:hAnsi="David" w:hint="cs"/>
          <w:rtl/>
        </w:rPr>
        <w:t>ן</w:t>
      </w:r>
      <w:r>
        <w:rPr>
          <w:rFonts w:ascii="David" w:hAnsi="David"/>
          <w:rtl/>
        </w:rPr>
        <w:t xml:space="preserve"> ותביא לידיעת</w:t>
      </w:r>
      <w:r>
        <w:rPr>
          <w:rFonts w:ascii="David" w:hAnsi="David" w:hint="cs"/>
          <w:rtl/>
        </w:rPr>
        <w:t>ו</w:t>
      </w:r>
      <w:r w:rsidRPr="00B72F5D">
        <w:rPr>
          <w:rFonts w:ascii="David" w:hAnsi="David"/>
          <w:rtl/>
        </w:rPr>
        <w:t xml:space="preserve"> </w:t>
      </w:r>
      <w:r>
        <w:rPr>
          <w:rFonts w:ascii="David" w:hAnsi="David" w:hint="cs"/>
          <w:rtl/>
        </w:rPr>
        <w:t xml:space="preserve">את </w:t>
      </w:r>
      <w:r w:rsidRPr="00B72F5D">
        <w:rPr>
          <w:rFonts w:ascii="David" w:hAnsi="David"/>
          <w:rtl/>
        </w:rPr>
        <w:t>תוכנו של גזר הדין.</w:t>
      </w:r>
    </w:p>
    <w:p w14:paraId="2478FC8D" w14:textId="77777777" w:rsidR="00443A6A" w:rsidRPr="00F81572" w:rsidRDefault="00443A6A" w:rsidP="00443A6A">
      <w:pPr>
        <w:ind w:firstLine="720"/>
        <w:jc w:val="both"/>
        <w:rPr>
          <w:rFonts w:ascii="David" w:hAnsi="David"/>
          <w:rtl/>
        </w:rPr>
      </w:pPr>
      <w:r>
        <w:rPr>
          <w:rFonts w:ascii="David" w:hAnsi="David" w:hint="cs"/>
          <w:rtl/>
        </w:rPr>
        <w:t xml:space="preserve">  </w:t>
      </w:r>
    </w:p>
    <w:p w14:paraId="507D832A" w14:textId="77777777" w:rsidR="00443A6A" w:rsidRPr="00B72F5D" w:rsidRDefault="00443A6A" w:rsidP="00443A6A">
      <w:pPr>
        <w:spacing w:line="360" w:lineRule="auto"/>
        <w:jc w:val="both"/>
        <w:rPr>
          <w:rFonts w:ascii="David" w:hAnsi="David"/>
          <w:b/>
          <w:bCs/>
          <w:u w:val="single"/>
          <w:rtl/>
        </w:rPr>
      </w:pPr>
      <w:r>
        <w:rPr>
          <w:rFonts w:ascii="David" w:hAnsi="David" w:hint="cs"/>
          <w:b/>
          <w:bCs/>
          <w:u w:val="single"/>
          <w:rtl/>
        </w:rPr>
        <w:t>מוצגים:</w:t>
      </w:r>
    </w:p>
    <w:p w14:paraId="7A1DC935" w14:textId="77777777" w:rsidR="00443A6A" w:rsidRPr="000257EE" w:rsidRDefault="00443A6A" w:rsidP="00443A6A">
      <w:pPr>
        <w:spacing w:line="360" w:lineRule="auto"/>
        <w:jc w:val="both"/>
        <w:rPr>
          <w:rFonts w:ascii="David" w:hAnsi="David"/>
          <w:b/>
          <w:bCs/>
          <w:rtl/>
        </w:rPr>
      </w:pPr>
      <w:r w:rsidRPr="000257EE">
        <w:rPr>
          <w:rFonts w:ascii="David" w:hAnsi="David" w:hint="cs"/>
          <w:b/>
          <w:bCs/>
          <w:rtl/>
        </w:rPr>
        <w:t>סכין, סמים ומספרי</w:t>
      </w:r>
      <w:r>
        <w:rPr>
          <w:rFonts w:ascii="David" w:hAnsi="David" w:hint="cs"/>
          <w:b/>
          <w:bCs/>
          <w:rtl/>
        </w:rPr>
        <w:t>י</w:t>
      </w:r>
      <w:r w:rsidRPr="000257EE">
        <w:rPr>
          <w:rFonts w:ascii="David" w:hAnsi="David" w:hint="cs"/>
          <w:b/>
          <w:bCs/>
          <w:rtl/>
        </w:rPr>
        <w:t>ם - להשמדה.</w:t>
      </w:r>
    </w:p>
    <w:p w14:paraId="63BCE61F" w14:textId="77777777" w:rsidR="00443A6A" w:rsidRPr="00ED4022" w:rsidRDefault="00443A6A" w:rsidP="00443A6A">
      <w:pPr>
        <w:spacing w:line="360" w:lineRule="auto"/>
        <w:jc w:val="both"/>
        <w:rPr>
          <w:rFonts w:ascii="David" w:hAnsi="David"/>
          <w:b/>
          <w:bCs/>
          <w:rtl/>
        </w:rPr>
      </w:pPr>
      <w:r w:rsidRPr="00ED4022">
        <w:rPr>
          <w:rFonts w:ascii="David" w:hAnsi="David" w:hint="cs"/>
          <w:b/>
          <w:bCs/>
          <w:rtl/>
        </w:rPr>
        <w:t>מכשיר נייד מסוג סמסונג</w:t>
      </w:r>
      <w:r>
        <w:rPr>
          <w:rFonts w:ascii="David" w:hAnsi="David" w:hint="cs"/>
          <w:b/>
          <w:bCs/>
          <w:rtl/>
        </w:rPr>
        <w:t xml:space="preserve"> - להשיב כאמור בפרוטוקול.</w:t>
      </w:r>
    </w:p>
    <w:p w14:paraId="60D51471" w14:textId="77777777" w:rsidR="00443A6A" w:rsidRPr="002E0F95" w:rsidRDefault="002E0F95" w:rsidP="00443A6A">
      <w:pPr>
        <w:jc w:val="both"/>
        <w:rPr>
          <w:rFonts w:ascii="David" w:hAnsi="David"/>
          <w:color w:val="FFFFFF"/>
          <w:sz w:val="2"/>
          <w:szCs w:val="2"/>
          <w:rtl/>
        </w:rPr>
      </w:pPr>
      <w:r w:rsidRPr="002E0F95">
        <w:rPr>
          <w:rFonts w:ascii="David" w:hAnsi="David"/>
          <w:color w:val="FFFFFF"/>
          <w:sz w:val="2"/>
          <w:szCs w:val="2"/>
          <w:rtl/>
        </w:rPr>
        <w:t>5129371</w:t>
      </w:r>
    </w:p>
    <w:p w14:paraId="697E2371" w14:textId="77777777" w:rsidR="00443A6A" w:rsidRDefault="002E0F95" w:rsidP="00443A6A">
      <w:pPr>
        <w:spacing w:line="360" w:lineRule="auto"/>
        <w:jc w:val="both"/>
        <w:rPr>
          <w:rFonts w:ascii="David" w:hAnsi="David"/>
          <w:b/>
          <w:bCs/>
          <w:u w:val="single"/>
        </w:rPr>
      </w:pPr>
      <w:r w:rsidRPr="002E0F95">
        <w:rPr>
          <w:rFonts w:ascii="David" w:hAnsi="David"/>
          <w:b/>
          <w:bCs/>
          <w:color w:val="FFFFFF"/>
          <w:sz w:val="2"/>
          <w:szCs w:val="2"/>
          <w:u w:val="single"/>
          <w:rtl/>
        </w:rPr>
        <w:t>54678313</w:t>
      </w:r>
      <w:r w:rsidR="00443A6A">
        <w:rPr>
          <w:rFonts w:ascii="David" w:hAnsi="David"/>
          <w:b/>
          <w:bCs/>
          <w:u w:val="single"/>
          <w:rtl/>
        </w:rPr>
        <w:t>הודעה זכות ערעור לבית המשפט המחוזי בתוך 45 ימים.</w:t>
      </w:r>
    </w:p>
    <w:p w14:paraId="27229193" w14:textId="77777777" w:rsidR="00443A6A" w:rsidRPr="00A5521C" w:rsidRDefault="00443A6A" w:rsidP="00443A6A">
      <w:pPr>
        <w:spacing w:line="360" w:lineRule="auto"/>
        <w:jc w:val="both"/>
        <w:rPr>
          <w:rFonts w:ascii="David" w:hAnsi="David"/>
          <w:sz w:val="22"/>
          <w:szCs w:val="22"/>
          <w:rtl/>
        </w:rPr>
      </w:pPr>
    </w:p>
    <w:p w14:paraId="743780FA" w14:textId="77777777" w:rsidR="00443A6A" w:rsidRPr="00A5521C" w:rsidRDefault="002E0F95" w:rsidP="00443A6A">
      <w:pPr>
        <w:rPr>
          <w:rFonts w:ascii="David" w:hAnsi="David"/>
          <w:rtl/>
        </w:rPr>
      </w:pPr>
      <w:bookmarkStart w:id="7" w:name="Nitan"/>
      <w:r>
        <w:rPr>
          <w:rFonts w:ascii="David" w:hAnsi="David"/>
          <w:rtl/>
        </w:rPr>
        <w:t xml:space="preserve">ניתן היום,  ה' אדר תשפ"ה, 05 מרץ 2025, במעמד הצדדים. </w:t>
      </w:r>
      <w:bookmarkEnd w:id="7"/>
    </w:p>
    <w:p w14:paraId="105BE917" w14:textId="77777777" w:rsidR="002E0F95" w:rsidRDefault="002E0F95" w:rsidP="002E0F95">
      <w:pPr>
        <w:rPr>
          <w:rtl/>
        </w:rPr>
      </w:pPr>
    </w:p>
    <w:p w14:paraId="3109CAFB" w14:textId="77777777" w:rsidR="002E0F95" w:rsidRDefault="002E0F95" w:rsidP="002E0F95">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5FBCDECA" w14:textId="77777777" w:rsidR="006408F9" w:rsidRPr="006408F9" w:rsidRDefault="006408F9" w:rsidP="006408F9">
      <w:pPr>
        <w:keepNext/>
        <w:rPr>
          <w:rFonts w:ascii="David" w:hAnsi="David"/>
          <w:color w:val="000000"/>
          <w:sz w:val="22"/>
          <w:szCs w:val="22"/>
          <w:rtl/>
        </w:rPr>
      </w:pPr>
    </w:p>
    <w:p w14:paraId="6BBBE2E4" w14:textId="77777777" w:rsidR="006408F9" w:rsidRPr="006408F9" w:rsidRDefault="006408F9" w:rsidP="006408F9">
      <w:pPr>
        <w:keepNext/>
        <w:rPr>
          <w:rFonts w:ascii="David" w:hAnsi="David"/>
          <w:color w:val="000000"/>
          <w:sz w:val="22"/>
          <w:szCs w:val="22"/>
          <w:rtl/>
        </w:rPr>
      </w:pPr>
      <w:r w:rsidRPr="006408F9">
        <w:rPr>
          <w:rFonts w:ascii="David" w:hAnsi="David"/>
          <w:color w:val="000000"/>
          <w:sz w:val="22"/>
          <w:szCs w:val="22"/>
          <w:rtl/>
        </w:rPr>
        <w:t>יוסי טורס 54678313-/</w:t>
      </w:r>
    </w:p>
    <w:p w14:paraId="21FC3A2B" w14:textId="77777777" w:rsidR="002E0F95" w:rsidRPr="002E0F95" w:rsidRDefault="006408F9" w:rsidP="006408F9">
      <w:pPr>
        <w:rPr>
          <w:color w:val="0000FF"/>
          <w:u w:val="single"/>
        </w:rPr>
      </w:pPr>
      <w:r w:rsidRPr="006408F9">
        <w:rPr>
          <w:color w:val="000000"/>
          <w:u w:val="single"/>
          <w:rtl/>
        </w:rPr>
        <w:t>נוסח מסמך זה כפוף לשינויי ניסוח ועריכה</w:t>
      </w:r>
    </w:p>
    <w:sectPr w:rsidR="002E0F95" w:rsidRPr="002E0F95" w:rsidSect="006408F9">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65F55" w14:textId="77777777" w:rsidR="001F2EE4" w:rsidRDefault="001F2EE4" w:rsidP="003E4038">
      <w:r>
        <w:separator/>
      </w:r>
    </w:p>
  </w:endnote>
  <w:endnote w:type="continuationSeparator" w:id="0">
    <w:p w14:paraId="6FDAF722" w14:textId="77777777" w:rsidR="001F2EE4" w:rsidRDefault="001F2EE4" w:rsidP="003E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A9B03" w14:textId="77777777" w:rsidR="006408F9" w:rsidRDefault="006408F9" w:rsidP="006408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D99BCD2" w14:textId="77777777" w:rsidR="006E5CAC" w:rsidRPr="006408F9" w:rsidRDefault="006408F9" w:rsidP="006408F9">
    <w:pPr>
      <w:pStyle w:val="a5"/>
      <w:pBdr>
        <w:top w:val="single" w:sz="4" w:space="1" w:color="auto"/>
        <w:between w:val="single" w:sz="4" w:space="0" w:color="auto"/>
      </w:pBdr>
      <w:spacing w:after="60"/>
      <w:jc w:val="center"/>
      <w:rPr>
        <w:rFonts w:ascii="FrankRuehl" w:hAnsi="FrankRuehl" w:cs="FrankRuehl"/>
        <w:color w:val="000000"/>
      </w:rPr>
    </w:pPr>
    <w:r w:rsidRPr="006408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046D0" w14:textId="77777777" w:rsidR="006408F9" w:rsidRDefault="006408F9" w:rsidP="006408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7198">
      <w:rPr>
        <w:rFonts w:ascii="FrankRuehl" w:hAnsi="FrankRuehl" w:cs="FrankRuehl"/>
        <w:noProof/>
        <w:rtl/>
      </w:rPr>
      <w:t>1</w:t>
    </w:r>
    <w:r>
      <w:rPr>
        <w:rFonts w:ascii="FrankRuehl" w:hAnsi="FrankRuehl" w:cs="FrankRuehl"/>
        <w:rtl/>
      </w:rPr>
      <w:fldChar w:fldCharType="end"/>
    </w:r>
  </w:p>
  <w:p w14:paraId="2109A023" w14:textId="77777777" w:rsidR="006E5CAC" w:rsidRPr="006408F9" w:rsidRDefault="006408F9" w:rsidP="006408F9">
    <w:pPr>
      <w:pStyle w:val="a5"/>
      <w:pBdr>
        <w:top w:val="single" w:sz="4" w:space="1" w:color="auto"/>
        <w:between w:val="single" w:sz="4" w:space="0" w:color="auto"/>
      </w:pBdr>
      <w:spacing w:after="60"/>
      <w:jc w:val="center"/>
      <w:rPr>
        <w:rFonts w:ascii="FrankRuehl" w:hAnsi="FrankRuehl" w:cs="FrankRuehl"/>
        <w:color w:val="000000"/>
      </w:rPr>
    </w:pPr>
    <w:r w:rsidRPr="006408F9">
      <w:rPr>
        <w:rFonts w:ascii="FrankRuehl" w:hAnsi="FrankRuehl" w:cs="FrankRuehl"/>
        <w:color w:val="000000"/>
      </w:rPr>
      <w:pict w14:anchorId="0060F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96DBF" w14:textId="77777777" w:rsidR="001F2EE4" w:rsidRDefault="001F2EE4" w:rsidP="003E4038">
      <w:r>
        <w:separator/>
      </w:r>
    </w:p>
  </w:footnote>
  <w:footnote w:type="continuationSeparator" w:id="0">
    <w:p w14:paraId="098D8635" w14:textId="77777777" w:rsidR="001F2EE4" w:rsidRDefault="001F2EE4" w:rsidP="003E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5F643" w14:textId="77777777" w:rsidR="002E0F95" w:rsidRPr="006408F9" w:rsidRDefault="006408F9" w:rsidP="006408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49410-09-23</w:t>
    </w:r>
    <w:r>
      <w:rPr>
        <w:rFonts w:ascii="David" w:hAnsi="David"/>
        <w:color w:val="000000"/>
        <w:sz w:val="22"/>
        <w:szCs w:val="22"/>
        <w:rtl/>
      </w:rPr>
      <w:tab/>
      <w:t xml:space="preserve"> מדינת ישראל נ' שירלי גלית ספונגין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12EE3" w14:textId="77777777" w:rsidR="002E0F95" w:rsidRPr="006408F9" w:rsidRDefault="006408F9" w:rsidP="006408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49410-09-23</w:t>
    </w:r>
    <w:r>
      <w:rPr>
        <w:rFonts w:ascii="David" w:hAnsi="David"/>
        <w:color w:val="000000"/>
        <w:sz w:val="22"/>
        <w:szCs w:val="22"/>
        <w:rtl/>
      </w:rPr>
      <w:tab/>
      <w:t xml:space="preserve"> מדינת ישראל נ' שירלי גלית ספונגין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565"/>
    <w:multiLevelType w:val="hybridMultilevel"/>
    <w:tmpl w:val="320ED1E0"/>
    <w:lvl w:ilvl="0" w:tplc="38521C8A">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91AF1"/>
    <w:multiLevelType w:val="hybridMultilevel"/>
    <w:tmpl w:val="26FA9508"/>
    <w:lvl w:ilvl="0" w:tplc="C9AC81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523006">
    <w:abstractNumId w:val="0"/>
  </w:num>
  <w:num w:numId="2" w16cid:durableId="105750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3A6A"/>
    <w:rsid w:val="00127198"/>
    <w:rsid w:val="001F2EE4"/>
    <w:rsid w:val="002E0F95"/>
    <w:rsid w:val="003E4038"/>
    <w:rsid w:val="00443A6A"/>
    <w:rsid w:val="006408F9"/>
    <w:rsid w:val="006E5CAC"/>
    <w:rsid w:val="008A5041"/>
    <w:rsid w:val="00D00CD4"/>
    <w:rsid w:val="00E95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577682"/>
  <w15:chartTrackingRefBased/>
  <w15:docId w15:val="{7DB4202B-B8D5-4026-BF0D-DC263174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3A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3A6A"/>
    <w:pPr>
      <w:tabs>
        <w:tab w:val="center" w:pos="4153"/>
        <w:tab w:val="right" w:pos="8306"/>
      </w:tabs>
    </w:pPr>
  </w:style>
  <w:style w:type="character" w:customStyle="1" w:styleId="a4">
    <w:name w:val="כותרת עליונה תו"/>
    <w:link w:val="a3"/>
    <w:rsid w:val="00443A6A"/>
    <w:rPr>
      <w:rFonts w:ascii="Times New Roman" w:eastAsia="Times New Roman" w:hAnsi="Times New Roman" w:cs="David"/>
      <w:sz w:val="24"/>
      <w:szCs w:val="24"/>
    </w:rPr>
  </w:style>
  <w:style w:type="paragraph" w:styleId="a5">
    <w:name w:val="footer"/>
    <w:basedOn w:val="a"/>
    <w:link w:val="a6"/>
    <w:rsid w:val="00443A6A"/>
    <w:pPr>
      <w:tabs>
        <w:tab w:val="center" w:pos="4153"/>
        <w:tab w:val="right" w:pos="8306"/>
      </w:tabs>
    </w:pPr>
  </w:style>
  <w:style w:type="character" w:customStyle="1" w:styleId="a6">
    <w:name w:val="כותרת תחתונה תו"/>
    <w:link w:val="a5"/>
    <w:rsid w:val="00443A6A"/>
    <w:rPr>
      <w:rFonts w:ascii="Times New Roman" w:eastAsia="Times New Roman" w:hAnsi="Times New Roman" w:cs="David"/>
      <w:sz w:val="24"/>
      <w:szCs w:val="24"/>
    </w:rPr>
  </w:style>
  <w:style w:type="table" w:styleId="a7">
    <w:name w:val="Table Grid"/>
    <w:basedOn w:val="a1"/>
    <w:rsid w:val="00443A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3A6A"/>
  </w:style>
  <w:style w:type="paragraph" w:styleId="a9">
    <w:name w:val="List Paragraph"/>
    <w:basedOn w:val="a"/>
    <w:link w:val="aa"/>
    <w:qFormat/>
    <w:rsid w:val="00443A6A"/>
    <w:pPr>
      <w:ind w:left="720"/>
      <w:contextualSpacing/>
    </w:pPr>
  </w:style>
  <w:style w:type="character" w:customStyle="1" w:styleId="aa">
    <w:name w:val="פיסקת רשימה תו"/>
    <w:link w:val="a9"/>
    <w:locked/>
    <w:rsid w:val="00443A6A"/>
    <w:rPr>
      <w:rFonts w:ascii="Times New Roman" w:eastAsia="Times New Roman" w:hAnsi="Times New Roman" w:cs="David"/>
      <w:sz w:val="24"/>
      <w:szCs w:val="24"/>
    </w:rPr>
  </w:style>
  <w:style w:type="character" w:styleId="Hyperlink">
    <w:name w:val="Hyperlink"/>
    <w:rsid w:val="002E0F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287.a" TargetMode="External"/><Relationship Id="rId34" Type="http://schemas.openxmlformats.org/officeDocument/2006/relationships/hyperlink" Target="http://www.nevo.co.il/case/29245447" TargetMode="External"/><Relationship Id="rId42" Type="http://schemas.openxmlformats.org/officeDocument/2006/relationships/hyperlink" Target="http://www.nevo.co.il/case/25685399" TargetMode="External"/><Relationship Id="rId47" Type="http://schemas.openxmlformats.org/officeDocument/2006/relationships/hyperlink" Target="http://www.nevo.co.il/case/22582471" TargetMode="External"/><Relationship Id="rId50" Type="http://schemas.openxmlformats.org/officeDocument/2006/relationships/hyperlink" Target="http://www.nevo.co.il/case/28180172" TargetMode="External"/><Relationship Id="rId55" Type="http://schemas.openxmlformats.org/officeDocument/2006/relationships/hyperlink" Target="http://www.nevo.co.il/case/26496237"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e" TargetMode="External"/><Relationship Id="rId29" Type="http://schemas.openxmlformats.org/officeDocument/2006/relationships/hyperlink" Target="http://www.nevo.co.il/law/70301/379" TargetMode="External"/><Relationship Id="rId11" Type="http://schemas.openxmlformats.org/officeDocument/2006/relationships/hyperlink" Target="http://www.nevo.co.il/law/70301/287.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33278342" TargetMode="External"/><Relationship Id="rId40" Type="http://schemas.openxmlformats.org/officeDocument/2006/relationships/hyperlink" Target="http://www.nevo.co.il/law/70301/382.c" TargetMode="External"/><Relationship Id="rId45" Type="http://schemas.openxmlformats.org/officeDocument/2006/relationships/hyperlink" Target="http://www.nevo.co.il/case/21058538" TargetMode="External"/><Relationship Id="rId53" Type="http://schemas.openxmlformats.org/officeDocument/2006/relationships/hyperlink" Target="http://www.nevo.co.il/case/29089955" TargetMode="External"/><Relationship Id="rId58" Type="http://schemas.openxmlformats.org/officeDocument/2006/relationships/hyperlink" Target="http://www.nevo.co.il/case/3076036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a."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13e" TargetMode="External"/><Relationship Id="rId30" Type="http://schemas.openxmlformats.org/officeDocument/2006/relationships/hyperlink" Target="http://www.nevo.co.il/law/70301/368f.a" TargetMode="External"/><Relationship Id="rId35" Type="http://schemas.openxmlformats.org/officeDocument/2006/relationships/hyperlink" Target="http://www.nevo.co.il/law/70301/192" TargetMode="External"/><Relationship Id="rId43" Type="http://schemas.openxmlformats.org/officeDocument/2006/relationships/hyperlink" Target="http://www.nevo.co.il/case/28796555" TargetMode="External"/><Relationship Id="rId48" Type="http://schemas.openxmlformats.org/officeDocument/2006/relationships/hyperlink" Target="http://www.nevo.co.il/case/26523809" TargetMode="External"/><Relationship Id="rId56" Type="http://schemas.openxmlformats.org/officeDocument/2006/relationships/hyperlink" Target="http://www.nevo.co.il/case/28369315" TargetMode="External"/><Relationship Id="rId64" Type="http://schemas.openxmlformats.org/officeDocument/2006/relationships/fontTable" Target="fontTable.xml"/><Relationship Id="rId8" Type="http://schemas.openxmlformats.org/officeDocument/2006/relationships/hyperlink" Target="http://www.nevo.co.il/law/70301/186.a" TargetMode="External"/><Relationship Id="rId51" Type="http://schemas.openxmlformats.org/officeDocument/2006/relationships/hyperlink" Target="http://www.nevo.co.il/case/28142521" TargetMode="External"/><Relationship Id="rId3" Type="http://schemas.openxmlformats.org/officeDocument/2006/relationships/settings" Target="settings.xml"/><Relationship Id="rId12" Type="http://schemas.openxmlformats.org/officeDocument/2006/relationships/hyperlink" Target="http://www.nevo.co.il/law/70301/368f.a"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452" TargetMode="External"/><Relationship Id="rId38" Type="http://schemas.openxmlformats.org/officeDocument/2006/relationships/hyperlink" Target="http://www.nevo.co.il/law/70301/186.a" TargetMode="External"/><Relationship Id="rId46" Type="http://schemas.openxmlformats.org/officeDocument/2006/relationships/hyperlink" Target="http://www.nevo.co.il/case/30130558"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380" TargetMode="External"/><Relationship Id="rId54" Type="http://schemas.openxmlformats.org/officeDocument/2006/relationships/hyperlink" Target="http://www.nevo.co.il/case/28701800"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2.c" TargetMode="External"/><Relationship Id="rId23" Type="http://schemas.openxmlformats.org/officeDocument/2006/relationships/hyperlink" Target="http://www.nevo.co.il/law/70301/216.a.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618735" TargetMode="External"/><Relationship Id="rId57" Type="http://schemas.openxmlformats.org/officeDocument/2006/relationships/hyperlink" Target="http://www.nevo.co.il/case/28604139" TargetMode="External"/><Relationship Id="rId10" Type="http://schemas.openxmlformats.org/officeDocument/2006/relationships/hyperlink" Target="http://www.nevo.co.il/law/70301/216.a.1" TargetMode="External"/><Relationship Id="rId31" Type="http://schemas.openxmlformats.org/officeDocument/2006/relationships/hyperlink" Target="http://www.nevo.co.il/law/70301/216.a.1" TargetMode="External"/><Relationship Id="rId44" Type="http://schemas.openxmlformats.org/officeDocument/2006/relationships/hyperlink" Target="http://www.nevo.co.il/case/27896138" TargetMode="External"/><Relationship Id="rId52" Type="http://schemas.openxmlformats.org/officeDocument/2006/relationships/hyperlink" Target="http://www.nevo.co.il/case/28559822"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3672</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21990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3276913</vt:i4>
      </vt:variant>
      <vt:variant>
        <vt:i4>153</vt:i4>
      </vt:variant>
      <vt:variant>
        <vt:i4>0</vt:i4>
      </vt:variant>
      <vt:variant>
        <vt:i4>5</vt:i4>
      </vt:variant>
      <vt:variant>
        <vt:lpwstr>http://www.nevo.co.il/case/30760361</vt:lpwstr>
      </vt:variant>
      <vt:variant>
        <vt:lpwstr/>
      </vt:variant>
      <vt:variant>
        <vt:i4>3342461</vt:i4>
      </vt:variant>
      <vt:variant>
        <vt:i4>150</vt:i4>
      </vt:variant>
      <vt:variant>
        <vt:i4>0</vt:i4>
      </vt:variant>
      <vt:variant>
        <vt:i4>5</vt:i4>
      </vt:variant>
      <vt:variant>
        <vt:lpwstr>http://www.nevo.co.il/case/28604139</vt:lpwstr>
      </vt:variant>
      <vt:variant>
        <vt:lpwstr/>
      </vt:variant>
      <vt:variant>
        <vt:i4>3735673</vt:i4>
      </vt:variant>
      <vt:variant>
        <vt:i4>147</vt:i4>
      </vt:variant>
      <vt:variant>
        <vt:i4>0</vt:i4>
      </vt:variant>
      <vt:variant>
        <vt:i4>5</vt:i4>
      </vt:variant>
      <vt:variant>
        <vt:lpwstr>http://www.nevo.co.il/case/28369315</vt:lpwstr>
      </vt:variant>
      <vt:variant>
        <vt:lpwstr/>
      </vt:variant>
      <vt:variant>
        <vt:i4>3342457</vt:i4>
      </vt:variant>
      <vt:variant>
        <vt:i4>144</vt:i4>
      </vt:variant>
      <vt:variant>
        <vt:i4>0</vt:i4>
      </vt:variant>
      <vt:variant>
        <vt:i4>5</vt:i4>
      </vt:variant>
      <vt:variant>
        <vt:lpwstr>http://www.nevo.co.il/case/26496237</vt:lpwstr>
      </vt:variant>
      <vt:variant>
        <vt:lpwstr/>
      </vt:variant>
      <vt:variant>
        <vt:i4>3407988</vt:i4>
      </vt:variant>
      <vt:variant>
        <vt:i4>141</vt:i4>
      </vt:variant>
      <vt:variant>
        <vt:i4>0</vt:i4>
      </vt:variant>
      <vt:variant>
        <vt:i4>5</vt:i4>
      </vt:variant>
      <vt:variant>
        <vt:lpwstr>http://www.nevo.co.il/case/28701800</vt:lpwstr>
      </vt:variant>
      <vt:variant>
        <vt:lpwstr/>
      </vt:variant>
      <vt:variant>
        <vt:i4>4063356</vt:i4>
      </vt:variant>
      <vt:variant>
        <vt:i4>138</vt:i4>
      </vt:variant>
      <vt:variant>
        <vt:i4>0</vt:i4>
      </vt:variant>
      <vt:variant>
        <vt:i4>5</vt:i4>
      </vt:variant>
      <vt:variant>
        <vt:lpwstr>http://www.nevo.co.il/case/29089955</vt:lpwstr>
      </vt:variant>
      <vt:variant>
        <vt:lpwstr/>
      </vt:variant>
      <vt:variant>
        <vt:i4>3932273</vt:i4>
      </vt:variant>
      <vt:variant>
        <vt:i4>135</vt:i4>
      </vt:variant>
      <vt:variant>
        <vt:i4>0</vt:i4>
      </vt:variant>
      <vt:variant>
        <vt:i4>5</vt:i4>
      </vt:variant>
      <vt:variant>
        <vt:lpwstr>http://www.nevo.co.il/case/28559822</vt:lpwstr>
      </vt:variant>
      <vt:variant>
        <vt:lpwstr/>
      </vt:variant>
      <vt:variant>
        <vt:i4>3342461</vt:i4>
      </vt:variant>
      <vt:variant>
        <vt:i4>132</vt:i4>
      </vt:variant>
      <vt:variant>
        <vt:i4>0</vt:i4>
      </vt:variant>
      <vt:variant>
        <vt:i4>5</vt:i4>
      </vt:variant>
      <vt:variant>
        <vt:lpwstr>http://www.nevo.co.il/case/28142521</vt:lpwstr>
      </vt:variant>
      <vt:variant>
        <vt:lpwstr/>
      </vt:variant>
      <vt:variant>
        <vt:i4>3407989</vt:i4>
      </vt:variant>
      <vt:variant>
        <vt:i4>129</vt:i4>
      </vt:variant>
      <vt:variant>
        <vt:i4>0</vt:i4>
      </vt:variant>
      <vt:variant>
        <vt:i4>5</vt:i4>
      </vt:variant>
      <vt:variant>
        <vt:lpwstr>http://www.nevo.co.il/case/28180172</vt:lpwstr>
      </vt:variant>
      <vt:variant>
        <vt:lpwstr/>
      </vt:variant>
      <vt:variant>
        <vt:i4>4128884</vt:i4>
      </vt:variant>
      <vt:variant>
        <vt:i4>126</vt:i4>
      </vt:variant>
      <vt:variant>
        <vt:i4>0</vt:i4>
      </vt:variant>
      <vt:variant>
        <vt:i4>5</vt:i4>
      </vt:variant>
      <vt:variant>
        <vt:lpwstr>http://www.nevo.co.il/case/26618735</vt:lpwstr>
      </vt:variant>
      <vt:variant>
        <vt:lpwstr/>
      </vt:variant>
      <vt:variant>
        <vt:i4>3407992</vt:i4>
      </vt:variant>
      <vt:variant>
        <vt:i4>123</vt:i4>
      </vt:variant>
      <vt:variant>
        <vt:i4>0</vt:i4>
      </vt:variant>
      <vt:variant>
        <vt:i4>5</vt:i4>
      </vt:variant>
      <vt:variant>
        <vt:lpwstr>http://www.nevo.co.il/case/26523809</vt:lpwstr>
      </vt:variant>
      <vt:variant>
        <vt:lpwstr/>
      </vt:variant>
      <vt:variant>
        <vt:i4>3276922</vt:i4>
      </vt:variant>
      <vt:variant>
        <vt:i4>120</vt:i4>
      </vt:variant>
      <vt:variant>
        <vt:i4>0</vt:i4>
      </vt:variant>
      <vt:variant>
        <vt:i4>5</vt:i4>
      </vt:variant>
      <vt:variant>
        <vt:lpwstr>http://www.nevo.co.il/case/22582471</vt:lpwstr>
      </vt:variant>
      <vt:variant>
        <vt:lpwstr/>
      </vt:variant>
      <vt:variant>
        <vt:i4>3604594</vt:i4>
      </vt:variant>
      <vt:variant>
        <vt:i4>117</vt:i4>
      </vt:variant>
      <vt:variant>
        <vt:i4>0</vt:i4>
      </vt:variant>
      <vt:variant>
        <vt:i4>5</vt:i4>
      </vt:variant>
      <vt:variant>
        <vt:lpwstr>http://www.nevo.co.il/case/30130558</vt:lpwstr>
      </vt:variant>
      <vt:variant>
        <vt:lpwstr/>
      </vt:variant>
      <vt:variant>
        <vt:i4>3735669</vt:i4>
      </vt:variant>
      <vt:variant>
        <vt:i4>114</vt:i4>
      </vt:variant>
      <vt:variant>
        <vt:i4>0</vt:i4>
      </vt:variant>
      <vt:variant>
        <vt:i4>5</vt:i4>
      </vt:variant>
      <vt:variant>
        <vt:lpwstr>http://www.nevo.co.il/case/21058538</vt:lpwstr>
      </vt:variant>
      <vt:variant>
        <vt:lpwstr/>
      </vt:variant>
      <vt:variant>
        <vt:i4>4128891</vt:i4>
      </vt:variant>
      <vt:variant>
        <vt:i4>111</vt:i4>
      </vt:variant>
      <vt:variant>
        <vt:i4>0</vt:i4>
      </vt:variant>
      <vt:variant>
        <vt:i4>5</vt:i4>
      </vt:variant>
      <vt:variant>
        <vt:lpwstr>http://www.nevo.co.il/case/27896138</vt:lpwstr>
      </vt:variant>
      <vt:variant>
        <vt:lpwstr/>
      </vt:variant>
      <vt:variant>
        <vt:i4>3539056</vt:i4>
      </vt:variant>
      <vt:variant>
        <vt:i4>108</vt:i4>
      </vt:variant>
      <vt:variant>
        <vt:i4>0</vt:i4>
      </vt:variant>
      <vt:variant>
        <vt:i4>5</vt:i4>
      </vt:variant>
      <vt:variant>
        <vt:lpwstr>http://www.nevo.co.il/case/28796555</vt:lpwstr>
      </vt:variant>
      <vt:variant>
        <vt:lpwstr/>
      </vt:variant>
      <vt:variant>
        <vt:i4>3670138</vt:i4>
      </vt:variant>
      <vt:variant>
        <vt:i4>105</vt:i4>
      </vt:variant>
      <vt:variant>
        <vt:i4>0</vt:i4>
      </vt:variant>
      <vt:variant>
        <vt:i4>5</vt:i4>
      </vt:variant>
      <vt:variant>
        <vt:lpwstr>http://www.nevo.co.il/case/25685399</vt:lpwstr>
      </vt:variant>
      <vt:variant>
        <vt:lpwstr/>
      </vt:variant>
      <vt:variant>
        <vt:i4>7143526</vt:i4>
      </vt:variant>
      <vt:variant>
        <vt:i4>102</vt:i4>
      </vt:variant>
      <vt:variant>
        <vt:i4>0</vt:i4>
      </vt:variant>
      <vt:variant>
        <vt:i4>5</vt:i4>
      </vt:variant>
      <vt:variant>
        <vt:lpwstr>http://www.nevo.co.il/law/70301/380</vt:lpwstr>
      </vt:variant>
      <vt:variant>
        <vt:lpwstr/>
      </vt:variant>
      <vt:variant>
        <vt:i4>4390996</vt:i4>
      </vt:variant>
      <vt:variant>
        <vt:i4>99</vt:i4>
      </vt:variant>
      <vt:variant>
        <vt:i4>0</vt:i4>
      </vt:variant>
      <vt:variant>
        <vt:i4>5</vt:i4>
      </vt:variant>
      <vt:variant>
        <vt:lpwstr>http://www.nevo.co.il/law/70301/382.c</vt:lpwstr>
      </vt:variant>
      <vt:variant>
        <vt:lpwstr/>
      </vt:variant>
      <vt:variant>
        <vt:i4>7995492</vt:i4>
      </vt:variant>
      <vt:variant>
        <vt:i4>96</vt:i4>
      </vt:variant>
      <vt:variant>
        <vt:i4>0</vt:i4>
      </vt:variant>
      <vt:variant>
        <vt:i4>5</vt:i4>
      </vt:variant>
      <vt:variant>
        <vt:lpwstr>http://www.nevo.co.il/law/70301</vt:lpwstr>
      </vt:variant>
      <vt:variant>
        <vt:lpwstr/>
      </vt:variant>
      <vt:variant>
        <vt:i4>4390994</vt:i4>
      </vt:variant>
      <vt:variant>
        <vt:i4>93</vt:i4>
      </vt:variant>
      <vt:variant>
        <vt:i4>0</vt:i4>
      </vt:variant>
      <vt:variant>
        <vt:i4>5</vt:i4>
      </vt:variant>
      <vt:variant>
        <vt:lpwstr>http://www.nevo.co.il/law/70301/186.a</vt:lpwstr>
      </vt:variant>
      <vt:variant>
        <vt:lpwstr/>
      </vt:variant>
      <vt:variant>
        <vt:i4>3997811</vt:i4>
      </vt:variant>
      <vt:variant>
        <vt:i4>90</vt:i4>
      </vt:variant>
      <vt:variant>
        <vt:i4>0</vt:i4>
      </vt:variant>
      <vt:variant>
        <vt:i4>5</vt:i4>
      </vt:variant>
      <vt:variant>
        <vt:lpwstr>http://www.nevo.co.il/case/33278342</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7077988</vt:i4>
      </vt:variant>
      <vt:variant>
        <vt:i4>84</vt:i4>
      </vt:variant>
      <vt:variant>
        <vt:i4>0</vt:i4>
      </vt:variant>
      <vt:variant>
        <vt:i4>5</vt:i4>
      </vt:variant>
      <vt:variant>
        <vt:lpwstr>http://www.nevo.co.il/law/70301/192</vt:lpwstr>
      </vt:variant>
      <vt:variant>
        <vt:lpwstr/>
      </vt:variant>
      <vt:variant>
        <vt:i4>3211389</vt:i4>
      </vt:variant>
      <vt:variant>
        <vt:i4>81</vt:i4>
      </vt:variant>
      <vt:variant>
        <vt:i4>0</vt:i4>
      </vt:variant>
      <vt:variant>
        <vt:i4>5</vt:i4>
      </vt:variant>
      <vt:variant>
        <vt:lpwstr>http://www.nevo.co.il/case/29245447</vt:lpwstr>
      </vt:variant>
      <vt:variant>
        <vt:lpwstr/>
      </vt:variant>
      <vt:variant>
        <vt:i4>6291553</vt:i4>
      </vt:variant>
      <vt:variant>
        <vt:i4>78</vt:i4>
      </vt:variant>
      <vt:variant>
        <vt:i4>0</vt:i4>
      </vt:variant>
      <vt:variant>
        <vt:i4>5</vt:i4>
      </vt:variant>
      <vt:variant>
        <vt:lpwstr>http://www.nevo.co.il/law/70301/452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6553648</vt:i4>
      </vt:variant>
      <vt:variant>
        <vt:i4>72</vt:i4>
      </vt:variant>
      <vt:variant>
        <vt:i4>0</vt:i4>
      </vt:variant>
      <vt:variant>
        <vt:i4>5</vt:i4>
      </vt:variant>
      <vt:variant>
        <vt:lpwstr>http://www.nevo.co.il/law/70301/216.a.1</vt:lpwstr>
      </vt:variant>
      <vt:variant>
        <vt:lpwstr/>
      </vt:variant>
      <vt:variant>
        <vt:i4>6553712</vt:i4>
      </vt:variant>
      <vt:variant>
        <vt:i4>69</vt:i4>
      </vt:variant>
      <vt:variant>
        <vt:i4>0</vt:i4>
      </vt:variant>
      <vt:variant>
        <vt:i4>5</vt:i4>
      </vt:variant>
      <vt:variant>
        <vt:lpwstr>http://www.nevo.co.il/law/70301/368f.a</vt:lpwstr>
      </vt:variant>
      <vt:variant>
        <vt:lpwstr/>
      </vt:variant>
      <vt:variant>
        <vt:i4>6422630</vt:i4>
      </vt:variant>
      <vt:variant>
        <vt:i4>66</vt:i4>
      </vt:variant>
      <vt:variant>
        <vt:i4>0</vt:i4>
      </vt:variant>
      <vt:variant>
        <vt:i4>5</vt:i4>
      </vt:variant>
      <vt:variant>
        <vt:lpwstr>http://www.nevo.co.il/law/70301/379</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65618</vt:i4>
      </vt:variant>
      <vt:variant>
        <vt:i4>60</vt:i4>
      </vt:variant>
      <vt:variant>
        <vt:i4>0</vt:i4>
      </vt:variant>
      <vt:variant>
        <vt:i4>5</vt:i4>
      </vt:variant>
      <vt:variant>
        <vt:lpwstr>http://www.nevo.co.il/law/70301/413e</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6553648</vt:i4>
      </vt:variant>
      <vt:variant>
        <vt:i4>48</vt:i4>
      </vt:variant>
      <vt:variant>
        <vt:i4>0</vt:i4>
      </vt:variant>
      <vt:variant>
        <vt:i4>5</vt:i4>
      </vt:variant>
      <vt:variant>
        <vt:lpwstr>http://www.nevo.co.il/law/70301/216.a.1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4390996</vt:i4>
      </vt:variant>
      <vt:variant>
        <vt:i4>24</vt:i4>
      </vt:variant>
      <vt:variant>
        <vt:i4>0</vt:i4>
      </vt:variant>
      <vt:variant>
        <vt:i4>5</vt:i4>
      </vt:variant>
      <vt:variant>
        <vt:lpwstr>http://www.nevo.co.il/law/70301/382.c</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6553712</vt:i4>
      </vt:variant>
      <vt:variant>
        <vt:i4>15</vt:i4>
      </vt:variant>
      <vt:variant>
        <vt:i4>0</vt:i4>
      </vt:variant>
      <vt:variant>
        <vt:i4>5</vt:i4>
      </vt:variant>
      <vt:variant>
        <vt:lpwstr>http://www.nevo.co.il/law/70301/368f.a</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6553648</vt:i4>
      </vt:variant>
      <vt:variant>
        <vt:i4>9</vt:i4>
      </vt:variant>
      <vt:variant>
        <vt:i4>0</vt:i4>
      </vt:variant>
      <vt:variant>
        <vt:i4>5</vt:i4>
      </vt:variant>
      <vt:variant>
        <vt:lpwstr>http://www.nevo.co.il/law/70301/216.a.1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2025-04-23T01:50:00Z</dcterms:created>
  <dcterms:modified xsi:type="dcterms:W3CDTF">2025-04-23T01:50:00Z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49410</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שירלי גלית ספונגין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20250305</vt:lpwstr>
  </property>
  <property fmtid="{D5CDD505-2E9C-101B-9397-08002B2CF9AE}" pid="13" name="TYPE_N_DATE">
    <vt:lpwstr>38020250305</vt:lpwstr>
  </property>
  <property fmtid="{D5CDD505-2E9C-101B-9397-08002B2CF9AE}" pid="14" name="CASESLISTTMP1">
    <vt:lpwstr>29245447;33278342;25685399;28796555;27896138;21058538;30130558;22582471;26523809;26618735;28180172;28142521;28559822;29089955;28701800;26496237;28369315;28604139;30760361</vt:lpwstr>
  </property>
  <property fmtid="{D5CDD505-2E9C-101B-9397-08002B2CF9AE}" pid="15" name="CASENOTES1">
    <vt:lpwstr>ProcID=209&amp;PartA=36472&amp;PartB=07&amp;PartC=24</vt:lpwstr>
  </property>
  <property fmtid="{D5CDD505-2E9C-101B-9397-08002B2CF9AE}" pid="16" name="WORDNUMPAGES">
    <vt:lpwstr>9</vt:lpwstr>
  </property>
  <property fmtid="{D5CDD505-2E9C-101B-9397-08002B2CF9AE}" pid="17" name="TYPE_ABS_DATE">
    <vt:lpwstr>380020250305</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70301/287.a;216.a.1:2;413e;379;368f.a;452;192;186.a;382.c;380</vt:lpwstr>
  </property>
  <property fmtid="{D5CDD505-2E9C-101B-9397-08002B2CF9AE}" pid="37" name="LAWLISTTMP2">
    <vt:lpwstr>4216/007.a;007.c</vt:lpwstr>
  </property>
  <property fmtid="{D5CDD505-2E9C-101B-9397-08002B2CF9AE}" pid="38" name="ISABSTRACT">
    <vt:lpwstr>Y</vt:lpwstr>
  </property>
</Properties>
</file>