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A0B1F" w:rsidRPr="000316AE" w14:paraId="6FAA7E24" w14:textId="77777777" w:rsidTr="00AC76AD">
        <w:trPr>
          <w:trHeight w:hRule="exact" w:val="418"/>
          <w:jc w:val="center"/>
        </w:trPr>
        <w:tc>
          <w:tcPr>
            <w:tcW w:w="8721" w:type="dxa"/>
            <w:gridSpan w:val="2"/>
          </w:tcPr>
          <w:p w14:paraId="255958A5" w14:textId="77777777" w:rsidR="009A0B1F" w:rsidRPr="000316AE" w:rsidRDefault="009A0B1F" w:rsidP="001F4757">
            <w:pPr>
              <w:pStyle w:val="a3"/>
              <w:jc w:val="center"/>
              <w:rPr>
                <w:rFonts w:ascii="Tahoma" w:hAnsi="Tahoma" w:cs="Tahoma"/>
                <w:color w:val="000080"/>
                <w:rtl/>
              </w:rPr>
            </w:pPr>
            <w:bookmarkStart w:id="0" w:name="LastJudge"/>
            <w:r w:rsidRPr="000316AE">
              <w:rPr>
                <w:rFonts w:ascii="Tahoma" w:hAnsi="Tahoma" w:cs="Tahoma"/>
                <w:b/>
                <w:bCs/>
                <w:color w:val="000080"/>
                <w:rtl/>
              </w:rPr>
              <w:t>בית משפט השלום בתל אביב -יפו</w:t>
            </w:r>
          </w:p>
        </w:tc>
      </w:tr>
      <w:tr w:rsidR="009A0B1F" w:rsidRPr="000316AE" w14:paraId="4F77A7B1" w14:textId="77777777" w:rsidTr="00AC76AD">
        <w:trPr>
          <w:trHeight w:val="337"/>
          <w:jc w:val="center"/>
        </w:trPr>
        <w:tc>
          <w:tcPr>
            <w:tcW w:w="5054" w:type="dxa"/>
          </w:tcPr>
          <w:p w14:paraId="7AB620DD" w14:textId="77777777" w:rsidR="009A0B1F" w:rsidRPr="000316AE" w:rsidRDefault="009A0B1F" w:rsidP="001F4757">
            <w:pPr>
              <w:rPr>
                <w:rFonts w:cs="FrankRuehl"/>
                <w:sz w:val="28"/>
                <w:szCs w:val="28"/>
                <w:rtl/>
              </w:rPr>
            </w:pPr>
            <w:r w:rsidRPr="000316AE">
              <w:rPr>
                <w:rFonts w:cs="FrankRuehl"/>
                <w:sz w:val="28"/>
                <w:szCs w:val="28"/>
                <w:rtl/>
              </w:rPr>
              <w:t>ת"פ</w:t>
            </w:r>
            <w:r w:rsidRPr="000316AE">
              <w:rPr>
                <w:rFonts w:cs="FrankRuehl" w:hint="cs"/>
                <w:sz w:val="28"/>
                <w:szCs w:val="28"/>
                <w:rtl/>
              </w:rPr>
              <w:t xml:space="preserve"> </w:t>
            </w:r>
            <w:r w:rsidRPr="000316AE">
              <w:rPr>
                <w:rFonts w:cs="FrankRuehl"/>
                <w:sz w:val="28"/>
                <w:szCs w:val="28"/>
                <w:rtl/>
              </w:rPr>
              <w:t>50203-09-23</w:t>
            </w:r>
            <w:r w:rsidRPr="000316AE">
              <w:rPr>
                <w:rFonts w:cs="FrankRuehl" w:hint="cs"/>
                <w:sz w:val="28"/>
                <w:szCs w:val="28"/>
                <w:rtl/>
              </w:rPr>
              <w:t xml:space="preserve"> </w:t>
            </w:r>
            <w:r w:rsidRPr="000316AE">
              <w:rPr>
                <w:rFonts w:cs="FrankRuehl"/>
                <w:b/>
                <w:bCs/>
                <w:sz w:val="28"/>
                <w:szCs w:val="28"/>
                <w:rtl/>
              </w:rPr>
              <w:t>מדינת ישראל נ' עזרא</w:t>
            </w:r>
          </w:p>
          <w:p w14:paraId="3817ACCE" w14:textId="77777777" w:rsidR="009A0B1F" w:rsidRPr="000316AE" w:rsidRDefault="009A0B1F" w:rsidP="001F4757">
            <w:pPr>
              <w:pStyle w:val="a3"/>
              <w:rPr>
                <w:rFonts w:cs="FrankRuehl"/>
                <w:sz w:val="28"/>
                <w:szCs w:val="28"/>
                <w:rtl/>
              </w:rPr>
            </w:pPr>
          </w:p>
        </w:tc>
        <w:tc>
          <w:tcPr>
            <w:tcW w:w="3667" w:type="dxa"/>
          </w:tcPr>
          <w:p w14:paraId="7F4D31AD" w14:textId="77777777" w:rsidR="009A0B1F" w:rsidRPr="000316AE" w:rsidRDefault="009A0B1F" w:rsidP="001F4757">
            <w:pPr>
              <w:pStyle w:val="a3"/>
              <w:jc w:val="right"/>
              <w:rPr>
                <w:rFonts w:cs="FrankRuehl"/>
                <w:sz w:val="28"/>
                <w:szCs w:val="28"/>
                <w:rtl/>
              </w:rPr>
            </w:pPr>
          </w:p>
        </w:tc>
      </w:tr>
    </w:tbl>
    <w:p w14:paraId="3C69163B" w14:textId="77777777" w:rsidR="009A0B1F" w:rsidRPr="000316AE" w:rsidRDefault="009A0B1F" w:rsidP="00AC76AD">
      <w:pPr>
        <w:pStyle w:val="a3"/>
      </w:pPr>
      <w:r w:rsidRPr="000316A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A0B1F" w:rsidRPr="000316AE" w14:paraId="610E65B3" w14:textId="77777777" w:rsidTr="009A0B1F">
        <w:trPr>
          <w:trHeight w:val="295"/>
          <w:jc w:val="center"/>
        </w:trPr>
        <w:tc>
          <w:tcPr>
            <w:tcW w:w="923" w:type="dxa"/>
            <w:tcBorders>
              <w:top w:val="nil"/>
              <w:left w:val="nil"/>
              <w:bottom w:val="nil"/>
              <w:right w:val="nil"/>
            </w:tcBorders>
            <w:shd w:val="clear" w:color="auto" w:fill="auto"/>
          </w:tcPr>
          <w:p w14:paraId="2686A29D" w14:textId="77777777" w:rsidR="009A0B1F" w:rsidRPr="000316AE" w:rsidRDefault="009A0B1F" w:rsidP="009A0B1F">
            <w:pPr>
              <w:spacing w:line="360" w:lineRule="auto"/>
              <w:jc w:val="both"/>
              <w:rPr>
                <w:rFonts w:ascii="David" w:hAnsi="David"/>
                <w:b/>
                <w:bCs/>
                <w:sz w:val="26"/>
                <w:szCs w:val="26"/>
              </w:rPr>
            </w:pPr>
            <w:r w:rsidRPr="000316A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61917F6" w14:textId="77777777" w:rsidR="009A0B1F" w:rsidRPr="000316AE" w:rsidRDefault="009A0B1F" w:rsidP="009A0B1F">
            <w:pPr>
              <w:spacing w:line="360" w:lineRule="auto"/>
              <w:rPr>
                <w:rFonts w:ascii="David" w:hAnsi="David"/>
                <w:b/>
                <w:bCs/>
                <w:sz w:val="26"/>
                <w:szCs w:val="26"/>
                <w:rtl/>
              </w:rPr>
            </w:pPr>
            <w:r w:rsidRPr="000316AE">
              <w:rPr>
                <w:rFonts w:ascii="David" w:hAnsi="David" w:hint="cs"/>
                <w:b/>
                <w:bCs/>
                <w:sz w:val="26"/>
                <w:szCs w:val="26"/>
                <w:rtl/>
              </w:rPr>
              <w:t>כבוד השופט הבכיר, שאול אבינור</w:t>
            </w:r>
          </w:p>
          <w:p w14:paraId="5BB8F150" w14:textId="77777777" w:rsidR="009A0B1F" w:rsidRPr="000316AE" w:rsidRDefault="009A0B1F" w:rsidP="009A0B1F">
            <w:pPr>
              <w:spacing w:line="360" w:lineRule="auto"/>
              <w:rPr>
                <w:rFonts w:ascii="David" w:hAnsi="David"/>
                <w:sz w:val="26"/>
                <w:szCs w:val="26"/>
              </w:rPr>
            </w:pPr>
          </w:p>
        </w:tc>
      </w:tr>
      <w:tr w:rsidR="009A0B1F" w:rsidRPr="000316AE" w14:paraId="2AA97D99" w14:textId="77777777" w:rsidTr="009A0B1F">
        <w:trPr>
          <w:trHeight w:val="355"/>
          <w:jc w:val="center"/>
        </w:trPr>
        <w:tc>
          <w:tcPr>
            <w:tcW w:w="923" w:type="dxa"/>
            <w:tcBorders>
              <w:top w:val="nil"/>
              <w:left w:val="nil"/>
              <w:bottom w:val="nil"/>
              <w:right w:val="nil"/>
            </w:tcBorders>
            <w:shd w:val="clear" w:color="auto" w:fill="auto"/>
          </w:tcPr>
          <w:p w14:paraId="0060637D" w14:textId="77777777" w:rsidR="009A0B1F" w:rsidRPr="000316AE" w:rsidRDefault="009A0B1F" w:rsidP="009A0B1F">
            <w:pPr>
              <w:spacing w:line="360" w:lineRule="auto"/>
              <w:jc w:val="both"/>
              <w:rPr>
                <w:rFonts w:ascii="David" w:hAnsi="David"/>
                <w:sz w:val="26"/>
                <w:szCs w:val="26"/>
              </w:rPr>
            </w:pPr>
            <w:bookmarkStart w:id="1" w:name="FirstAppellant"/>
            <w:bookmarkStart w:id="2" w:name="FirstLawyer"/>
            <w:r w:rsidRPr="000316AE">
              <w:rPr>
                <w:rFonts w:ascii="David" w:hAnsi="David"/>
                <w:sz w:val="26"/>
                <w:szCs w:val="26"/>
                <w:rtl/>
              </w:rPr>
              <w:t>בעניין:</w:t>
            </w:r>
          </w:p>
        </w:tc>
        <w:tc>
          <w:tcPr>
            <w:tcW w:w="3219" w:type="dxa"/>
            <w:tcBorders>
              <w:top w:val="nil"/>
              <w:left w:val="nil"/>
              <w:bottom w:val="nil"/>
              <w:right w:val="nil"/>
            </w:tcBorders>
            <w:shd w:val="clear" w:color="auto" w:fill="auto"/>
          </w:tcPr>
          <w:p w14:paraId="0CD575A0" w14:textId="77777777" w:rsidR="009A0B1F" w:rsidRPr="000316AE" w:rsidRDefault="009A0B1F" w:rsidP="009A0B1F">
            <w:pPr>
              <w:suppressLineNumbers/>
              <w:spacing w:line="360" w:lineRule="auto"/>
            </w:pPr>
            <w:r w:rsidRPr="000316AE">
              <w:rPr>
                <w:rFonts w:ascii="Arial" w:hAnsi="Arial" w:hint="cs"/>
                <w:b/>
                <w:bCs/>
                <w:sz w:val="26"/>
                <w:szCs w:val="26"/>
                <w:rtl/>
              </w:rPr>
              <w:t>המאשימה:</w:t>
            </w:r>
          </w:p>
          <w:p w14:paraId="740E2BFA" w14:textId="77777777" w:rsidR="009A0B1F" w:rsidRPr="000316AE" w:rsidRDefault="009A0B1F" w:rsidP="009A0B1F">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5EBA0E85" w14:textId="77777777" w:rsidR="009A0B1F" w:rsidRPr="000316AE" w:rsidRDefault="009A0B1F" w:rsidP="009A0B1F">
            <w:pPr>
              <w:suppressLineNumbers/>
              <w:spacing w:line="360" w:lineRule="auto"/>
              <w:rPr>
                <w:rFonts w:ascii="Arial" w:hAnsi="Arial"/>
                <w:rtl/>
              </w:rPr>
            </w:pPr>
            <w:r w:rsidRPr="000316AE">
              <w:rPr>
                <w:rFonts w:ascii="Arial" w:hAnsi="Arial"/>
                <w:b/>
                <w:bCs/>
                <w:sz w:val="26"/>
                <w:szCs w:val="26"/>
                <w:rtl/>
              </w:rPr>
              <w:t>מדינת ישראל</w:t>
            </w:r>
            <w:r w:rsidRPr="000316AE">
              <w:rPr>
                <w:rFonts w:ascii="Arial" w:hAnsi="Arial" w:hint="cs"/>
                <w:b/>
                <w:bCs/>
                <w:sz w:val="26"/>
                <w:szCs w:val="26"/>
                <w:rtl/>
              </w:rPr>
              <w:t xml:space="preserve"> </w:t>
            </w:r>
          </w:p>
          <w:p w14:paraId="22CBE6D9" w14:textId="77777777" w:rsidR="009A0B1F" w:rsidRPr="000316AE" w:rsidRDefault="009A0B1F" w:rsidP="009A0B1F">
            <w:pPr>
              <w:suppressLineNumbers/>
              <w:spacing w:line="360" w:lineRule="auto"/>
            </w:pPr>
            <w:r w:rsidRPr="000316AE">
              <w:rPr>
                <w:rFonts w:ascii="Arial" w:hAnsi="Arial"/>
                <w:rtl/>
              </w:rPr>
              <w:t>ע"י</w:t>
            </w:r>
            <w:r w:rsidRPr="000316AE">
              <w:rPr>
                <w:rFonts w:ascii="Arial" w:hAnsi="Arial"/>
                <w:b/>
                <w:bCs/>
                <w:sz w:val="26"/>
                <w:szCs w:val="26"/>
                <w:rtl/>
              </w:rPr>
              <w:t xml:space="preserve"> </w:t>
            </w:r>
            <w:r w:rsidRPr="000316AE">
              <w:rPr>
                <w:rFonts w:ascii="Arial" w:hAnsi="Arial"/>
                <w:rtl/>
              </w:rPr>
              <w:t>ב"כ עו"ד</w:t>
            </w:r>
            <w:r w:rsidRPr="000316AE">
              <w:rPr>
                <w:rFonts w:ascii="Arial" w:hAnsi="Arial" w:hint="cs"/>
                <w:rtl/>
              </w:rPr>
              <w:t xml:space="preserve"> </w:t>
            </w:r>
            <w:r w:rsidRPr="000316AE">
              <w:rPr>
                <w:rFonts w:hint="cs"/>
                <w:rtl/>
              </w:rPr>
              <w:t>אבישי דויטש</w:t>
            </w:r>
          </w:p>
          <w:p w14:paraId="0363E735" w14:textId="77777777" w:rsidR="009A0B1F" w:rsidRPr="000316AE" w:rsidRDefault="009A0B1F" w:rsidP="009A0B1F">
            <w:pPr>
              <w:spacing w:line="360" w:lineRule="auto"/>
              <w:rPr>
                <w:rFonts w:ascii="David" w:hAnsi="David"/>
                <w:sz w:val="26"/>
                <w:szCs w:val="26"/>
              </w:rPr>
            </w:pPr>
          </w:p>
        </w:tc>
      </w:tr>
      <w:bookmarkEnd w:id="1"/>
      <w:bookmarkEnd w:id="2"/>
      <w:tr w:rsidR="009A0B1F" w:rsidRPr="000316AE" w14:paraId="71B35C20" w14:textId="77777777" w:rsidTr="009A0B1F">
        <w:trPr>
          <w:trHeight w:val="355"/>
          <w:jc w:val="center"/>
        </w:trPr>
        <w:tc>
          <w:tcPr>
            <w:tcW w:w="923" w:type="dxa"/>
            <w:tcBorders>
              <w:top w:val="nil"/>
              <w:left w:val="nil"/>
              <w:bottom w:val="nil"/>
              <w:right w:val="nil"/>
            </w:tcBorders>
            <w:shd w:val="clear" w:color="auto" w:fill="auto"/>
          </w:tcPr>
          <w:p w14:paraId="434429E7" w14:textId="77777777" w:rsidR="009A0B1F" w:rsidRPr="000316AE" w:rsidRDefault="009A0B1F" w:rsidP="009A0B1F">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29085C29" w14:textId="77777777" w:rsidR="009A0B1F" w:rsidRPr="000316AE" w:rsidRDefault="009A0B1F" w:rsidP="009A0B1F">
            <w:pPr>
              <w:spacing w:line="360" w:lineRule="auto"/>
              <w:jc w:val="center"/>
              <w:rPr>
                <w:rFonts w:ascii="David" w:hAnsi="David"/>
                <w:b/>
                <w:bCs/>
                <w:sz w:val="26"/>
                <w:szCs w:val="26"/>
                <w:rtl/>
              </w:rPr>
            </w:pPr>
          </w:p>
          <w:p w14:paraId="40C4512F" w14:textId="77777777" w:rsidR="009A0B1F" w:rsidRPr="000316AE" w:rsidRDefault="009A0B1F" w:rsidP="009A0B1F">
            <w:pPr>
              <w:spacing w:line="360" w:lineRule="auto"/>
              <w:jc w:val="center"/>
              <w:rPr>
                <w:rFonts w:ascii="David" w:hAnsi="David"/>
                <w:b/>
                <w:bCs/>
                <w:sz w:val="26"/>
                <w:szCs w:val="26"/>
                <w:rtl/>
              </w:rPr>
            </w:pPr>
            <w:r w:rsidRPr="000316AE">
              <w:rPr>
                <w:rFonts w:ascii="David" w:hAnsi="David"/>
                <w:b/>
                <w:bCs/>
                <w:sz w:val="26"/>
                <w:szCs w:val="26"/>
                <w:rtl/>
              </w:rPr>
              <w:t>נגד</w:t>
            </w:r>
          </w:p>
          <w:p w14:paraId="466B4C12" w14:textId="77777777" w:rsidR="009A0B1F" w:rsidRPr="000316AE" w:rsidRDefault="009A0B1F" w:rsidP="009A0B1F">
            <w:pPr>
              <w:spacing w:line="360" w:lineRule="auto"/>
              <w:jc w:val="both"/>
              <w:rPr>
                <w:rFonts w:ascii="David" w:hAnsi="David"/>
                <w:sz w:val="26"/>
                <w:szCs w:val="26"/>
                <w:rtl/>
              </w:rPr>
            </w:pPr>
          </w:p>
          <w:p w14:paraId="1D5219C5" w14:textId="77777777" w:rsidR="009A0B1F" w:rsidRPr="000316AE" w:rsidRDefault="009A0B1F" w:rsidP="009A0B1F">
            <w:pPr>
              <w:spacing w:line="360" w:lineRule="auto"/>
              <w:jc w:val="both"/>
              <w:rPr>
                <w:rFonts w:ascii="David" w:hAnsi="David"/>
                <w:sz w:val="26"/>
                <w:szCs w:val="26"/>
              </w:rPr>
            </w:pPr>
          </w:p>
        </w:tc>
      </w:tr>
      <w:tr w:rsidR="009A0B1F" w:rsidRPr="000316AE" w14:paraId="55D70C01" w14:textId="77777777" w:rsidTr="009A0B1F">
        <w:trPr>
          <w:trHeight w:val="355"/>
          <w:jc w:val="center"/>
        </w:trPr>
        <w:tc>
          <w:tcPr>
            <w:tcW w:w="923" w:type="dxa"/>
            <w:tcBorders>
              <w:top w:val="nil"/>
              <w:left w:val="nil"/>
              <w:bottom w:val="nil"/>
              <w:right w:val="nil"/>
            </w:tcBorders>
            <w:shd w:val="clear" w:color="auto" w:fill="auto"/>
          </w:tcPr>
          <w:p w14:paraId="08E2355C" w14:textId="77777777" w:rsidR="009A0B1F" w:rsidRPr="000316AE" w:rsidRDefault="009A0B1F" w:rsidP="009A0B1F">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6925B61A" w14:textId="77777777" w:rsidR="009A0B1F" w:rsidRPr="000316AE" w:rsidRDefault="009A0B1F" w:rsidP="009A0B1F">
            <w:pPr>
              <w:spacing w:line="360" w:lineRule="auto"/>
              <w:rPr>
                <w:rFonts w:ascii="Arial" w:hAnsi="Arial"/>
                <w:b/>
                <w:bCs/>
                <w:sz w:val="26"/>
                <w:szCs w:val="26"/>
                <w:rtl/>
              </w:rPr>
            </w:pPr>
            <w:r w:rsidRPr="000316AE">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66C7FFAD" w14:textId="77777777" w:rsidR="009A0B1F" w:rsidRPr="000316AE" w:rsidRDefault="009A0B1F" w:rsidP="009A0B1F">
            <w:pPr>
              <w:suppressLineNumbers/>
              <w:spacing w:line="360" w:lineRule="auto"/>
              <w:rPr>
                <w:rFonts w:ascii="Arial" w:hAnsi="Arial"/>
                <w:b/>
                <w:bCs/>
                <w:sz w:val="26"/>
                <w:szCs w:val="26"/>
                <w:rtl/>
              </w:rPr>
            </w:pPr>
            <w:r w:rsidRPr="000316AE">
              <w:rPr>
                <w:rFonts w:ascii="Arial" w:hAnsi="Arial"/>
                <w:b/>
                <w:bCs/>
                <w:sz w:val="26"/>
                <w:szCs w:val="26"/>
                <w:rtl/>
              </w:rPr>
              <w:t>עזרא כדורי</w:t>
            </w:r>
            <w:r w:rsidRPr="000316AE">
              <w:rPr>
                <w:rFonts w:ascii="Arial" w:hAnsi="Arial" w:hint="cs"/>
                <w:b/>
                <w:bCs/>
                <w:sz w:val="26"/>
                <w:szCs w:val="26"/>
                <w:rtl/>
              </w:rPr>
              <w:t xml:space="preserve"> </w:t>
            </w:r>
          </w:p>
          <w:p w14:paraId="21A86FD5" w14:textId="77777777" w:rsidR="009A0B1F" w:rsidRPr="000316AE" w:rsidRDefault="009A0B1F" w:rsidP="009A0B1F">
            <w:pPr>
              <w:suppressLineNumbers/>
              <w:spacing w:line="360" w:lineRule="auto"/>
            </w:pPr>
            <w:r w:rsidRPr="000316AE">
              <w:rPr>
                <w:rFonts w:ascii="Arial" w:hAnsi="Arial"/>
                <w:rtl/>
              </w:rPr>
              <w:t>ע"י</w:t>
            </w:r>
            <w:r w:rsidRPr="000316AE">
              <w:rPr>
                <w:rFonts w:ascii="Arial" w:hAnsi="Arial"/>
                <w:b/>
                <w:bCs/>
                <w:sz w:val="26"/>
                <w:szCs w:val="26"/>
                <w:rtl/>
              </w:rPr>
              <w:t xml:space="preserve"> </w:t>
            </w:r>
            <w:r w:rsidRPr="000316AE">
              <w:rPr>
                <w:rFonts w:ascii="Arial" w:hAnsi="Arial"/>
                <w:rtl/>
              </w:rPr>
              <w:t>ב"כ עו"ד</w:t>
            </w:r>
            <w:r w:rsidRPr="000316AE">
              <w:rPr>
                <w:rFonts w:hint="cs"/>
                <w:rtl/>
              </w:rPr>
              <w:t xml:space="preserve"> אלון קריטי</w:t>
            </w:r>
          </w:p>
        </w:tc>
      </w:tr>
    </w:tbl>
    <w:p w14:paraId="35F46319" w14:textId="77777777" w:rsidR="000316AE" w:rsidRPr="000316AE" w:rsidRDefault="000316AE" w:rsidP="000316AE">
      <w:pPr>
        <w:spacing w:before="120" w:after="120" w:line="240" w:lineRule="exact"/>
        <w:ind w:left="283" w:hanging="283"/>
        <w:jc w:val="both"/>
        <w:rPr>
          <w:rFonts w:ascii="FrankRuehl" w:hAnsi="FrankRuehl" w:cs="FrankRuehl"/>
          <w:rtl/>
        </w:rPr>
      </w:pPr>
    </w:p>
    <w:p w14:paraId="7B8A7CA9" w14:textId="77777777" w:rsidR="000316AE" w:rsidRPr="000316AE" w:rsidRDefault="000316AE" w:rsidP="000316AE">
      <w:pPr>
        <w:spacing w:line="360" w:lineRule="auto"/>
        <w:rPr>
          <w:sz w:val="26"/>
          <w:szCs w:val="26"/>
          <w:rtl/>
        </w:rPr>
      </w:pPr>
    </w:p>
    <w:p w14:paraId="0ADD63A6" w14:textId="77777777" w:rsidR="00AC76AD" w:rsidRPr="00AC76AD" w:rsidRDefault="00AC76AD" w:rsidP="00AC76AD">
      <w:pPr>
        <w:spacing w:before="120" w:after="120" w:line="240" w:lineRule="exact"/>
        <w:ind w:left="283" w:hanging="283"/>
        <w:jc w:val="both"/>
        <w:rPr>
          <w:rFonts w:ascii="FrankRuehl" w:hAnsi="FrankRuehl" w:cs="FrankRuehl"/>
          <w:rtl/>
        </w:rPr>
      </w:pPr>
    </w:p>
    <w:p w14:paraId="6A447B58" w14:textId="77777777" w:rsidR="005141AE" w:rsidRPr="005141AE" w:rsidRDefault="005141AE" w:rsidP="005141AE">
      <w:pPr>
        <w:spacing w:before="120" w:after="120" w:line="240" w:lineRule="exact"/>
        <w:ind w:left="283" w:hanging="283"/>
        <w:jc w:val="both"/>
        <w:rPr>
          <w:rFonts w:ascii="FrankRuehl" w:hAnsi="FrankRuehl" w:cs="FrankRuehl"/>
          <w:rtl/>
        </w:rPr>
      </w:pPr>
    </w:p>
    <w:p w14:paraId="603CC6F8" w14:textId="77777777" w:rsidR="006204CA" w:rsidRDefault="006204CA" w:rsidP="006204CA">
      <w:pPr>
        <w:spacing w:line="360" w:lineRule="auto"/>
        <w:rPr>
          <w:sz w:val="26"/>
          <w:szCs w:val="26"/>
          <w:rtl/>
        </w:rPr>
      </w:pPr>
      <w:bookmarkStart w:id="3" w:name="LawTable"/>
      <w:bookmarkEnd w:id="3"/>
    </w:p>
    <w:p w14:paraId="16A9F66E" w14:textId="77777777" w:rsidR="006204CA" w:rsidRPr="006204CA" w:rsidRDefault="006204CA" w:rsidP="006204CA">
      <w:pPr>
        <w:spacing w:before="120" w:after="120" w:line="240" w:lineRule="exact"/>
        <w:ind w:left="283" w:hanging="283"/>
        <w:jc w:val="both"/>
        <w:rPr>
          <w:rFonts w:ascii="FrankRuehl" w:hAnsi="FrankRuehl" w:cs="FrankRuehl"/>
          <w:rtl/>
        </w:rPr>
      </w:pPr>
    </w:p>
    <w:p w14:paraId="115FA7BD" w14:textId="77777777" w:rsidR="006204CA" w:rsidRPr="006204CA" w:rsidRDefault="006204CA" w:rsidP="006204CA">
      <w:pPr>
        <w:spacing w:before="120" w:after="120" w:line="240" w:lineRule="exact"/>
        <w:ind w:left="283" w:hanging="283"/>
        <w:jc w:val="both"/>
        <w:rPr>
          <w:rFonts w:ascii="FrankRuehl" w:hAnsi="FrankRuehl" w:cs="FrankRuehl"/>
          <w:rtl/>
        </w:rPr>
      </w:pPr>
    </w:p>
    <w:p w14:paraId="1DB2C5F8" w14:textId="77777777" w:rsidR="006204CA" w:rsidRPr="006204CA" w:rsidRDefault="006204CA" w:rsidP="006204CA">
      <w:pPr>
        <w:spacing w:before="120" w:after="120" w:line="240" w:lineRule="exact"/>
        <w:ind w:left="283" w:hanging="283"/>
        <w:jc w:val="both"/>
        <w:rPr>
          <w:rFonts w:ascii="FrankRuehl" w:hAnsi="FrankRuehl" w:cs="FrankRuehl"/>
          <w:rtl/>
        </w:rPr>
      </w:pPr>
      <w:r w:rsidRPr="006204CA">
        <w:rPr>
          <w:rFonts w:ascii="FrankRuehl" w:hAnsi="FrankRuehl" w:cs="FrankRuehl"/>
          <w:rtl/>
        </w:rPr>
        <w:t xml:space="preserve">חקיקה שאוזכרה: </w:t>
      </w:r>
    </w:p>
    <w:p w14:paraId="6E61796E" w14:textId="77777777" w:rsidR="006204CA" w:rsidRPr="006204CA" w:rsidRDefault="006204CA" w:rsidP="006204CA">
      <w:pPr>
        <w:spacing w:before="120" w:after="120" w:line="240" w:lineRule="exact"/>
        <w:ind w:left="283" w:hanging="283"/>
        <w:jc w:val="both"/>
        <w:rPr>
          <w:rFonts w:ascii="FrankRuehl" w:hAnsi="FrankRuehl" w:cs="FrankRuehl"/>
          <w:rtl/>
        </w:rPr>
      </w:pPr>
      <w:hyperlink r:id="rId7" w:history="1">
        <w:r w:rsidRPr="006204CA">
          <w:rPr>
            <w:rFonts w:ascii="FrankRuehl" w:hAnsi="FrankRuehl" w:cs="FrankRuehl"/>
            <w:color w:val="0000FF"/>
            <w:rtl/>
          </w:rPr>
          <w:t>חוק העונשין, תשל"ז-1977</w:t>
        </w:r>
      </w:hyperlink>
      <w:r w:rsidRPr="006204CA">
        <w:rPr>
          <w:rFonts w:ascii="FrankRuehl" w:hAnsi="FrankRuehl" w:cs="FrankRuehl"/>
          <w:rtl/>
        </w:rPr>
        <w:t xml:space="preserve">: סע'  </w:t>
      </w:r>
      <w:hyperlink r:id="rId8" w:history="1">
        <w:r w:rsidRPr="006204CA">
          <w:rPr>
            <w:rFonts w:ascii="FrankRuehl" w:hAnsi="FrankRuehl" w:cs="FrankRuehl"/>
            <w:color w:val="0000FF"/>
            <w:rtl/>
          </w:rPr>
          <w:t>31</w:t>
        </w:r>
      </w:hyperlink>
      <w:r w:rsidRPr="006204CA">
        <w:rPr>
          <w:rFonts w:ascii="FrankRuehl" w:hAnsi="FrankRuehl" w:cs="FrankRuehl"/>
          <w:rtl/>
        </w:rPr>
        <w:t xml:space="preserve">, </w:t>
      </w:r>
      <w:hyperlink r:id="rId9" w:history="1">
        <w:r w:rsidRPr="006204CA">
          <w:rPr>
            <w:rFonts w:ascii="FrankRuehl" w:hAnsi="FrankRuehl" w:cs="FrankRuehl"/>
            <w:color w:val="0000FF"/>
            <w:rtl/>
          </w:rPr>
          <w:t>32</w:t>
        </w:r>
      </w:hyperlink>
      <w:r w:rsidRPr="006204CA">
        <w:rPr>
          <w:rFonts w:ascii="FrankRuehl" w:hAnsi="FrankRuehl" w:cs="FrankRuehl"/>
          <w:rtl/>
        </w:rPr>
        <w:t xml:space="preserve">, </w:t>
      </w:r>
      <w:hyperlink r:id="rId10" w:history="1">
        <w:r w:rsidRPr="006204CA">
          <w:rPr>
            <w:rFonts w:ascii="FrankRuehl" w:hAnsi="FrankRuehl" w:cs="FrankRuehl"/>
            <w:color w:val="0000FF"/>
            <w:rtl/>
          </w:rPr>
          <w:t>40ט</w:t>
        </w:r>
      </w:hyperlink>
      <w:r w:rsidRPr="006204CA">
        <w:rPr>
          <w:rFonts w:ascii="FrankRuehl" w:hAnsi="FrankRuehl" w:cs="FrankRuehl"/>
          <w:rtl/>
        </w:rPr>
        <w:t xml:space="preserve">, </w:t>
      </w:r>
      <w:hyperlink r:id="rId11" w:history="1">
        <w:r w:rsidRPr="006204CA">
          <w:rPr>
            <w:rFonts w:ascii="FrankRuehl" w:hAnsi="FrankRuehl" w:cs="FrankRuehl"/>
            <w:color w:val="0000FF"/>
            <w:rtl/>
          </w:rPr>
          <w:t>51ב(א))</w:t>
        </w:r>
      </w:hyperlink>
      <w:r w:rsidRPr="006204CA">
        <w:rPr>
          <w:rFonts w:ascii="FrankRuehl" w:hAnsi="FrankRuehl" w:cs="FrankRuehl"/>
          <w:rtl/>
        </w:rPr>
        <w:t xml:space="preserve">, </w:t>
      </w:r>
      <w:hyperlink r:id="rId12" w:history="1">
        <w:r w:rsidRPr="006204CA">
          <w:rPr>
            <w:rFonts w:ascii="FrankRuehl" w:hAnsi="FrankRuehl" w:cs="FrankRuehl"/>
            <w:color w:val="0000FF"/>
            <w:rtl/>
          </w:rPr>
          <w:t>51ב(ב4)</w:t>
        </w:r>
      </w:hyperlink>
      <w:r w:rsidRPr="006204CA">
        <w:rPr>
          <w:rFonts w:ascii="FrankRuehl" w:hAnsi="FrankRuehl" w:cs="FrankRuehl"/>
          <w:rtl/>
        </w:rPr>
        <w:t xml:space="preserve">, </w:t>
      </w:r>
      <w:hyperlink r:id="rId13" w:history="1">
        <w:r w:rsidRPr="006204CA">
          <w:rPr>
            <w:rFonts w:ascii="FrankRuehl" w:hAnsi="FrankRuehl" w:cs="FrankRuehl"/>
            <w:color w:val="0000FF"/>
            <w:rtl/>
          </w:rPr>
          <w:t>335(א)(1)</w:t>
        </w:r>
      </w:hyperlink>
      <w:r w:rsidRPr="006204CA">
        <w:rPr>
          <w:rFonts w:ascii="FrankRuehl" w:hAnsi="FrankRuehl" w:cs="FrankRuehl"/>
          <w:rtl/>
        </w:rPr>
        <w:t xml:space="preserve">, </w:t>
      </w:r>
      <w:hyperlink r:id="rId14" w:history="1">
        <w:r w:rsidRPr="006204CA">
          <w:rPr>
            <w:rFonts w:ascii="FrankRuehl" w:hAnsi="FrankRuehl" w:cs="FrankRuehl"/>
            <w:color w:val="0000FF"/>
            <w:rtl/>
          </w:rPr>
          <w:t>40יא</w:t>
        </w:r>
      </w:hyperlink>
    </w:p>
    <w:p w14:paraId="2C7C75F6" w14:textId="77777777" w:rsidR="006204CA" w:rsidRPr="006204CA" w:rsidRDefault="006204CA" w:rsidP="006204CA">
      <w:pPr>
        <w:spacing w:before="120" w:after="120" w:line="240" w:lineRule="exact"/>
        <w:ind w:left="283" w:hanging="283"/>
        <w:jc w:val="both"/>
        <w:rPr>
          <w:rFonts w:ascii="FrankRuehl" w:hAnsi="FrankRuehl" w:cs="FrankRuehl"/>
          <w:rtl/>
        </w:rPr>
      </w:pPr>
      <w:hyperlink r:id="rId15" w:history="1">
        <w:r w:rsidRPr="006204CA">
          <w:rPr>
            <w:rFonts w:ascii="FrankRuehl" w:hAnsi="FrankRuehl" w:cs="FrankRuehl"/>
            <w:color w:val="0000FF"/>
            <w:rtl/>
          </w:rPr>
          <w:t>פקודת סדר הדין הפלילי (מעצר וחיפוש) [נוסח חדש], תשכ"ט-1969</w:t>
        </w:r>
      </w:hyperlink>
      <w:r w:rsidRPr="006204CA">
        <w:rPr>
          <w:rFonts w:ascii="FrankRuehl" w:hAnsi="FrankRuehl" w:cs="FrankRuehl"/>
          <w:rtl/>
        </w:rPr>
        <w:t xml:space="preserve">: סע'  </w:t>
      </w:r>
      <w:hyperlink r:id="rId16" w:history="1">
        <w:r w:rsidRPr="006204CA">
          <w:rPr>
            <w:rFonts w:ascii="FrankRuehl" w:hAnsi="FrankRuehl" w:cs="FrankRuehl"/>
            <w:color w:val="0000FF"/>
            <w:rtl/>
          </w:rPr>
          <w:t>39</w:t>
        </w:r>
      </w:hyperlink>
    </w:p>
    <w:p w14:paraId="3DC621BA" w14:textId="77777777" w:rsidR="006204CA" w:rsidRPr="006204CA" w:rsidRDefault="006204CA" w:rsidP="006204CA">
      <w:pPr>
        <w:spacing w:before="120" w:after="120" w:line="240" w:lineRule="exact"/>
        <w:ind w:left="283" w:hanging="283"/>
        <w:jc w:val="both"/>
        <w:rPr>
          <w:rFonts w:ascii="FrankRuehl" w:hAnsi="FrankRuehl" w:cs="FrankRuehl"/>
          <w:rtl/>
        </w:rPr>
      </w:pPr>
      <w:hyperlink r:id="rId17" w:history="1">
        <w:r w:rsidRPr="006204CA">
          <w:rPr>
            <w:rFonts w:ascii="FrankRuehl" w:hAnsi="FrankRuehl" w:cs="FrankRuehl"/>
            <w:color w:val="0000FF"/>
            <w:rtl/>
          </w:rPr>
          <w:t>פקודת הסמים המסוכנים [נוסח חדש], תשל"ג-1973</w:t>
        </w:r>
      </w:hyperlink>
    </w:p>
    <w:p w14:paraId="7508C1B8" w14:textId="77777777" w:rsidR="006204CA" w:rsidRPr="006204CA" w:rsidRDefault="006204CA" w:rsidP="006204CA">
      <w:pPr>
        <w:spacing w:line="360" w:lineRule="auto"/>
        <w:rPr>
          <w:sz w:val="26"/>
          <w:szCs w:val="26"/>
          <w:rtl/>
        </w:rPr>
      </w:pPr>
      <w:bookmarkStart w:id="4" w:name="LawTable_End"/>
      <w:bookmarkEnd w:id="4"/>
    </w:p>
    <w:p w14:paraId="6BFCB849" w14:textId="77777777" w:rsidR="009A0B1F" w:rsidRPr="005141AE" w:rsidRDefault="009A0B1F" w:rsidP="005141AE">
      <w:pPr>
        <w:spacing w:line="360" w:lineRule="auto"/>
        <w:rPr>
          <w:sz w:val="26"/>
          <w:szCs w:val="26"/>
        </w:rPr>
      </w:pPr>
    </w:p>
    <w:p w14:paraId="5936BFE1" w14:textId="77777777" w:rsidR="00AC76AD" w:rsidRPr="000316AE" w:rsidRDefault="00AC76AD" w:rsidP="000316AE">
      <w:pPr>
        <w:spacing w:after="120" w:line="360" w:lineRule="auto"/>
        <w:jc w:val="center"/>
        <w:rPr>
          <w:rFonts w:ascii="David" w:hAnsi="David"/>
          <w:b/>
          <w:bCs/>
          <w:sz w:val="36"/>
          <w:szCs w:val="36"/>
          <w:u w:val="single"/>
          <w:rtl/>
        </w:rPr>
      </w:pPr>
      <w:bookmarkStart w:id="5" w:name="PsakDin" w:colFirst="0" w:colLast="0"/>
      <w:bookmarkEnd w:id="0"/>
      <w:r w:rsidRPr="000316AE">
        <w:rPr>
          <w:rFonts w:ascii="David" w:hAnsi="David"/>
          <w:b/>
          <w:bCs/>
          <w:sz w:val="36"/>
          <w:szCs w:val="36"/>
          <w:u w:val="single"/>
          <w:rtl/>
        </w:rPr>
        <w:t>גזר דין</w:t>
      </w:r>
    </w:p>
    <w:p w14:paraId="246C0237" w14:textId="77777777" w:rsidR="00AC76AD" w:rsidRPr="000316AE" w:rsidRDefault="00AC76AD" w:rsidP="000316AE">
      <w:pPr>
        <w:spacing w:after="120" w:line="360" w:lineRule="auto"/>
        <w:jc w:val="center"/>
        <w:rPr>
          <w:rFonts w:ascii="David" w:hAnsi="David"/>
          <w:bCs/>
          <w:sz w:val="36"/>
          <w:szCs w:val="36"/>
          <w:u w:val="single"/>
          <w:rtl/>
        </w:rPr>
      </w:pPr>
    </w:p>
    <w:bookmarkEnd w:id="5"/>
    <w:p w14:paraId="5E9DCBE6" w14:textId="77777777" w:rsidR="009A0B1F" w:rsidRDefault="009A0B1F" w:rsidP="009A0B1F">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w:t>
      </w:r>
    </w:p>
    <w:p w14:paraId="66A4212D" w14:textId="77777777" w:rsidR="009A0B1F" w:rsidRDefault="009A0B1F" w:rsidP="009A0B1F">
      <w:pPr>
        <w:numPr>
          <w:ilvl w:val="0"/>
          <w:numId w:val="2"/>
        </w:numPr>
        <w:spacing w:after="120" w:line="360" w:lineRule="auto"/>
        <w:ind w:left="360"/>
        <w:jc w:val="both"/>
        <w:rPr>
          <w:rFonts w:ascii="Tahoma" w:hAnsi="Tahoma"/>
          <w:rtl/>
        </w:rPr>
      </w:pPr>
      <w:bookmarkStart w:id="6" w:name="ABSTRACT_START"/>
      <w:bookmarkEnd w:id="6"/>
      <w:r>
        <w:rPr>
          <w:rFonts w:ascii="Tahoma" w:hAnsi="Tahoma"/>
          <w:rtl/>
        </w:rPr>
        <w:lastRenderedPageBreak/>
        <w:t xml:space="preserve">הנאשם הורשע – על יסוד הודאתו בעובדות כתב האישום המתוקן, שניתנה במסגרת הסדר טיעון דיוני – בביצוע עבירה של </w:t>
      </w:r>
      <w:r>
        <w:rPr>
          <w:rFonts w:ascii="Tahoma" w:hAnsi="Tahoma"/>
          <w:b/>
          <w:bCs/>
          <w:rtl/>
        </w:rPr>
        <w:t>סיוע לפציעה כשהעבריין מזוין בצוותא</w:t>
      </w:r>
      <w:r>
        <w:rPr>
          <w:rFonts w:ascii="Tahoma" w:hAnsi="Tahoma"/>
          <w:rtl/>
        </w:rPr>
        <w:t xml:space="preserve">, לפי הוראות </w:t>
      </w:r>
      <w:hyperlink r:id="rId18" w:history="1">
        <w:r w:rsidR="00AC76AD" w:rsidRPr="00AC76AD">
          <w:rPr>
            <w:rStyle w:val="Hyperlink"/>
            <w:rFonts w:ascii="Tahoma" w:hAnsi="Tahoma"/>
            <w:rtl/>
          </w:rPr>
          <w:t>סעיף 335(א)(1)</w:t>
        </w:r>
      </w:hyperlink>
      <w:r>
        <w:rPr>
          <w:rFonts w:ascii="Tahoma" w:hAnsi="Tahoma"/>
          <w:rtl/>
        </w:rPr>
        <w:t xml:space="preserve"> יחד עם סעיף </w:t>
      </w:r>
      <w:hyperlink r:id="rId19" w:history="1">
        <w:r w:rsidR="00AC76AD" w:rsidRPr="00AC76AD">
          <w:rPr>
            <w:rStyle w:val="Hyperlink"/>
            <w:rFonts w:ascii="Tahoma" w:hAnsi="Tahoma"/>
            <w:rtl/>
          </w:rPr>
          <w:t>31</w:t>
        </w:r>
      </w:hyperlink>
      <w:r>
        <w:rPr>
          <w:rFonts w:ascii="Tahoma" w:hAnsi="Tahoma"/>
          <w:rtl/>
        </w:rPr>
        <w:t xml:space="preserve"> ל</w:t>
      </w:r>
      <w:hyperlink r:id="rId20" w:history="1">
        <w:r w:rsidR="000316AE" w:rsidRPr="000316AE">
          <w:rPr>
            <w:rFonts w:ascii="Tahoma" w:hAnsi="Tahoma"/>
            <w:color w:val="0000FF"/>
            <w:u w:val="single"/>
            <w:rtl/>
          </w:rPr>
          <w:t>חוק העונשין</w:t>
        </w:r>
      </w:hyperlink>
      <w:r>
        <w:rPr>
          <w:rFonts w:ascii="Tahoma" w:hAnsi="Tahoma"/>
          <w:rtl/>
        </w:rPr>
        <w:t>, תשל"ז-1977 (להלן – חוק העונשין).</w:t>
      </w:r>
    </w:p>
    <w:p w14:paraId="4199A765" w14:textId="77777777" w:rsidR="009A0B1F" w:rsidRDefault="009A0B1F" w:rsidP="009A0B1F">
      <w:pPr>
        <w:numPr>
          <w:ilvl w:val="0"/>
          <w:numId w:val="2"/>
        </w:numPr>
        <w:spacing w:after="120" w:line="360" w:lineRule="auto"/>
        <w:ind w:left="360"/>
        <w:jc w:val="both"/>
        <w:rPr>
          <w:rFonts w:ascii="Tahoma" w:hAnsi="Tahoma"/>
        </w:rPr>
      </w:pPr>
      <w:bookmarkStart w:id="7" w:name="ABSTRACT_END"/>
      <w:bookmarkEnd w:id="7"/>
      <w:r>
        <w:rPr>
          <w:rFonts w:ascii="Tahoma" w:hAnsi="Tahoma"/>
          <w:rtl/>
        </w:rPr>
        <w:t>עובדות כתב האישום המתוקן מגוללות אירוע חמור ורב פרטים, שעיקרו כלהלן:</w:t>
      </w:r>
    </w:p>
    <w:p w14:paraId="3EB7A4AF" w14:textId="77777777" w:rsidR="009A0B1F" w:rsidRDefault="009A0B1F" w:rsidP="009A0B1F">
      <w:pPr>
        <w:pStyle w:val="a9"/>
        <w:numPr>
          <w:ilvl w:val="0"/>
          <w:numId w:val="3"/>
        </w:numPr>
        <w:spacing w:after="120" w:line="360" w:lineRule="auto"/>
        <w:ind w:left="720"/>
        <w:jc w:val="both"/>
        <w:rPr>
          <w:rFonts w:ascii="Tahoma" w:hAnsi="Tahoma"/>
        </w:rPr>
      </w:pPr>
      <w:r>
        <w:rPr>
          <w:rFonts w:ascii="Tahoma" w:hAnsi="Tahoma"/>
          <w:rtl/>
        </w:rPr>
        <w:t>ביום 31.08.2023 בשעה 00:20 לערך נסע המתלונן באור יהודה, ברכב מסוג סקודה של פלוני יוסף ששון. יוסף נהג ברכב, המתלונן ישב במושב האחורי וברכב היו שני נוסעים נוספים.</w:t>
      </w:r>
    </w:p>
    <w:p w14:paraId="2635A2FF" w14:textId="77777777" w:rsidR="009A0B1F" w:rsidRDefault="009A0B1F" w:rsidP="009A0B1F">
      <w:pPr>
        <w:pStyle w:val="a9"/>
        <w:numPr>
          <w:ilvl w:val="0"/>
          <w:numId w:val="3"/>
        </w:numPr>
        <w:spacing w:after="120" w:line="360" w:lineRule="auto"/>
        <w:ind w:left="720"/>
        <w:jc w:val="both"/>
        <w:rPr>
          <w:rFonts w:ascii="Tahoma" w:hAnsi="Tahoma"/>
        </w:rPr>
      </w:pPr>
      <w:r>
        <w:rPr>
          <w:rFonts w:ascii="Tahoma" w:hAnsi="Tahoma"/>
          <w:rtl/>
        </w:rPr>
        <w:t>בשלב כלשהו של הנסיעה, כשהרכב עמד במקום מסוים, הגיע הנאשם למקום כשהוא נוהג ברכב מסוג אלפא רומיאו, כשעמו שניים נוספים שזהותם אינה ידועה למאשימה (להלן – האחרים).</w:t>
      </w:r>
    </w:p>
    <w:p w14:paraId="72BAC6CF" w14:textId="77777777" w:rsidR="009A0B1F" w:rsidRDefault="009A0B1F" w:rsidP="009A0B1F">
      <w:pPr>
        <w:pStyle w:val="a9"/>
        <w:numPr>
          <w:ilvl w:val="0"/>
          <w:numId w:val="3"/>
        </w:numPr>
        <w:spacing w:after="120" w:line="360" w:lineRule="auto"/>
        <w:ind w:left="720"/>
        <w:jc w:val="both"/>
        <w:rPr>
          <w:rFonts w:ascii="Tahoma" w:hAnsi="Tahoma"/>
        </w:rPr>
      </w:pPr>
      <w:r>
        <w:rPr>
          <w:rFonts w:ascii="Tahoma" w:hAnsi="Tahoma"/>
          <w:rtl/>
        </w:rPr>
        <w:t>הנאשם עצר את רכב האלפא רומיאו לפני רכב הסקודה</w:t>
      </w:r>
      <w:r>
        <w:rPr>
          <w:rFonts w:ascii="Tahoma" w:hAnsi="Tahoma" w:hint="cs"/>
          <w:rtl/>
        </w:rPr>
        <w:t xml:space="preserve">. </w:t>
      </w:r>
      <w:r>
        <w:rPr>
          <w:rFonts w:ascii="Tahoma" w:hAnsi="Tahoma"/>
          <w:rtl/>
        </w:rPr>
        <w:t xml:space="preserve">הנאשם והאחרים </w:t>
      </w:r>
      <w:r>
        <w:rPr>
          <w:rFonts w:ascii="Tahoma" w:hAnsi="Tahoma" w:hint="cs"/>
          <w:rtl/>
        </w:rPr>
        <w:t xml:space="preserve">יצאו </w:t>
      </w:r>
      <w:r>
        <w:rPr>
          <w:rFonts w:ascii="Tahoma" w:hAnsi="Tahoma"/>
          <w:rtl/>
        </w:rPr>
        <w:t>מרכב האלפא רומיאו והתקדמו לעבר רכב הסקודה. אחד מהאחרים פנה לעבר דלת הנהג של רכב הסקודה, הוציא את מפתחות הרכב מהסוויץ', והנאשם הצביע על המתלונן ואמר "זה הוא".</w:t>
      </w:r>
    </w:p>
    <w:p w14:paraId="0269D98E" w14:textId="77777777" w:rsidR="009A0B1F" w:rsidRDefault="009A0B1F" w:rsidP="009A0B1F">
      <w:pPr>
        <w:pStyle w:val="a9"/>
        <w:numPr>
          <w:ilvl w:val="0"/>
          <w:numId w:val="3"/>
        </w:numPr>
        <w:spacing w:after="120" w:line="360" w:lineRule="auto"/>
        <w:ind w:left="720"/>
        <w:jc w:val="both"/>
        <w:rPr>
          <w:rFonts w:ascii="Tahoma" w:hAnsi="Tahoma"/>
        </w:rPr>
      </w:pPr>
      <w:r>
        <w:rPr>
          <w:rFonts w:ascii="Tahoma" w:hAnsi="Tahoma"/>
          <w:rtl/>
        </w:rPr>
        <w:t>אותו אחר פתח את הדלת הימנית-אחורית של הסקודה, על אף התנגדות המתלונן, ותקף את המתלונן במכת אגרוף בפניו. עוד באותן הנסיבות מי מהאחרים דקר את המתלונן בכל חלקי גופו, והנאשם סייע לכך בעצם נוכחותו במקום.</w:t>
      </w:r>
    </w:p>
    <w:p w14:paraId="31CBD4DC" w14:textId="77777777" w:rsidR="009A0B1F" w:rsidRDefault="009A0B1F" w:rsidP="009A0B1F">
      <w:pPr>
        <w:pStyle w:val="a9"/>
        <w:numPr>
          <w:ilvl w:val="0"/>
          <w:numId w:val="3"/>
        </w:numPr>
        <w:spacing w:after="120" w:line="360" w:lineRule="auto"/>
        <w:ind w:left="720"/>
        <w:jc w:val="both"/>
        <w:rPr>
          <w:rFonts w:ascii="Tahoma" w:hAnsi="Tahoma"/>
        </w:rPr>
      </w:pPr>
      <w:r>
        <w:rPr>
          <w:rFonts w:ascii="Tahoma" w:hAnsi="Tahoma"/>
          <w:rtl/>
        </w:rPr>
        <w:t>הנאשם והאחרים עזבו את המקום באמצעות רכב האלפא רומיאו והותירו את המתלונן במקום</w:t>
      </w:r>
      <w:r>
        <w:rPr>
          <w:rFonts w:ascii="Tahoma" w:hAnsi="Tahoma" w:hint="cs"/>
          <w:rtl/>
        </w:rPr>
        <w:t>,</w:t>
      </w:r>
      <w:r>
        <w:rPr>
          <w:rFonts w:ascii="Tahoma" w:hAnsi="Tahoma"/>
          <w:rtl/>
        </w:rPr>
        <w:t xml:space="preserve"> כ</w:t>
      </w:r>
      <w:r>
        <w:rPr>
          <w:rFonts w:ascii="Tahoma" w:hAnsi="Tahoma" w:hint="cs"/>
          <w:rtl/>
        </w:rPr>
        <w:t>ש</w:t>
      </w:r>
      <w:r>
        <w:rPr>
          <w:rFonts w:ascii="Tahoma" w:hAnsi="Tahoma"/>
          <w:rtl/>
        </w:rPr>
        <w:t>הוא פצוע ומדמם.</w:t>
      </w:r>
    </w:p>
    <w:p w14:paraId="73B1BF35"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הדיונים המקדמיים, לרבות במתכונת של גישור, התנהלו לפני מותב קודם. ואולם, הצדדים לא הגיעו לכלל הסכמות והתיק הועבר </w:t>
      </w:r>
      <w:r>
        <w:rPr>
          <w:rFonts w:ascii="Tahoma" w:hAnsi="Tahoma" w:hint="cs"/>
          <w:rtl/>
        </w:rPr>
        <w:t xml:space="preserve">לפניי </w:t>
      </w:r>
      <w:r>
        <w:rPr>
          <w:rFonts w:ascii="Tahoma" w:hAnsi="Tahoma"/>
          <w:rtl/>
        </w:rPr>
        <w:t xml:space="preserve">לשמיעת הראיות. לאחר דיון הוכחות </w:t>
      </w:r>
      <w:r>
        <w:rPr>
          <w:rFonts w:ascii="Tahoma" w:hAnsi="Tahoma" w:hint="cs"/>
          <w:rtl/>
        </w:rPr>
        <w:t xml:space="preserve">אחד </w:t>
      </w:r>
      <w:r>
        <w:rPr>
          <w:rFonts w:ascii="Tahoma" w:hAnsi="Tahoma"/>
          <w:rtl/>
        </w:rPr>
        <w:t xml:space="preserve">– שבמהלכו נשמעו מספר עדים </w:t>
      </w:r>
      <w:r>
        <w:rPr>
          <w:rFonts w:ascii="Tahoma" w:hAnsi="Tahoma" w:hint="cs"/>
          <w:rtl/>
        </w:rPr>
        <w:t xml:space="preserve">והוגשו מוצגים </w:t>
      </w:r>
      <w:r>
        <w:rPr>
          <w:rFonts w:ascii="Tahoma" w:hAnsi="Tahoma"/>
          <w:rtl/>
        </w:rPr>
        <w:t>– ביקשו הצדדים לשוב להליך הגישור (ר' בבקשה מס' 3)</w:t>
      </w:r>
      <w:r>
        <w:rPr>
          <w:rFonts w:ascii="Tahoma" w:hAnsi="Tahoma" w:hint="cs"/>
          <w:rtl/>
        </w:rPr>
        <w:t>;</w:t>
      </w:r>
      <w:r>
        <w:rPr>
          <w:rFonts w:ascii="Tahoma" w:hAnsi="Tahoma"/>
          <w:rtl/>
        </w:rPr>
        <w:t xml:space="preserve"> אשר הפעם הבשיל לכלל הסדר טיעון דיוני (ללא הסכמות לעניין הטיעונים לעונש).</w:t>
      </w:r>
    </w:p>
    <w:p w14:paraId="05014972"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במסגרת הסדר הטיעון </w:t>
      </w:r>
      <w:r>
        <w:rPr>
          <w:rFonts w:ascii="Tahoma" w:hAnsi="Tahoma" w:hint="cs"/>
          <w:rtl/>
        </w:rPr>
        <w:t xml:space="preserve">הדיוני </w:t>
      </w:r>
      <w:r>
        <w:rPr>
          <w:rFonts w:ascii="Tahoma" w:hAnsi="Tahoma"/>
          <w:rtl/>
        </w:rPr>
        <w:t>הוגש כתב האישום המתוקן, שתמצית עובדותיו תוארה לעיל. יוטעם, כי בכתב האישום המתוקן נערכו תיקונים מהותיים הן בעובדות הנטענות והן בהוראות החיקוק (לרבות תוך השמטת עבירות), כך שבסופו של דבר הואשם הנאשם רק בסיוע לפציעת המתלונן בכך שנכח במקום.</w:t>
      </w:r>
    </w:p>
    <w:p w14:paraId="1D6B5130"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הנאשם הודה בעובדות כתב האישום המתוקן והורשע, על יסוד הודאה זו, בביצוע העבירה בה הואשם בכתב האישום המתוקן</w:t>
      </w:r>
      <w:r>
        <w:rPr>
          <w:rFonts w:ascii="Tahoma" w:hAnsi="Tahoma" w:hint="cs"/>
          <w:rtl/>
        </w:rPr>
        <w:t>,</w:t>
      </w:r>
      <w:r>
        <w:rPr>
          <w:rFonts w:ascii="Tahoma" w:hAnsi="Tahoma"/>
          <w:rtl/>
        </w:rPr>
        <w:t xml:space="preserve"> כאמור בפסקה 1 דלעיל (ר' בפרוטוקול, עמ' 27).</w:t>
      </w:r>
      <w:r>
        <w:rPr>
          <w:rFonts w:ascii="Tahoma" w:hAnsi="Tahoma" w:hint="cs"/>
          <w:rtl/>
        </w:rPr>
        <w:t xml:space="preserve"> יוער כי, בנסיבות אלה, מוצגי התביעה שהוגשו במסגרת דיון ההוכחות הושבו למשמורת המאשימה.</w:t>
      </w:r>
    </w:p>
    <w:p w14:paraId="39166FCF" w14:textId="77777777" w:rsidR="009A0B1F" w:rsidRPr="00B94976" w:rsidRDefault="009A0B1F" w:rsidP="009A0B1F">
      <w:pPr>
        <w:spacing w:after="120" w:line="360" w:lineRule="auto"/>
        <w:jc w:val="both"/>
        <w:rPr>
          <w:rFonts w:ascii="Tahoma" w:hAnsi="Tahoma"/>
          <w:b/>
          <w:bCs/>
          <w:u w:val="single"/>
        </w:rPr>
      </w:pPr>
    </w:p>
    <w:p w14:paraId="2CCC3C15" w14:textId="77777777" w:rsidR="009A0B1F" w:rsidRDefault="009A0B1F" w:rsidP="009A0B1F">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לקביעת העונש:</w:t>
      </w:r>
    </w:p>
    <w:p w14:paraId="3229A9FA" w14:textId="77777777" w:rsidR="009A0B1F" w:rsidRDefault="009A0B1F" w:rsidP="009A0B1F">
      <w:pPr>
        <w:numPr>
          <w:ilvl w:val="0"/>
          <w:numId w:val="2"/>
        </w:numPr>
        <w:spacing w:after="120" w:line="360" w:lineRule="auto"/>
        <w:ind w:left="360"/>
        <w:jc w:val="both"/>
        <w:rPr>
          <w:rFonts w:ascii="Tahoma" w:hAnsi="Tahoma"/>
          <w:rtl/>
        </w:rPr>
      </w:pPr>
      <w:r>
        <w:rPr>
          <w:rFonts w:ascii="Tahoma" w:hAnsi="Tahoma"/>
          <w:rtl/>
        </w:rPr>
        <w:lastRenderedPageBreak/>
        <w:t>ב"כ המאשימה הגיש, כראיות לקביעת העונש, את המוצגים הבאים: תעודות רפואיות של המתלונן מיום האירוע (31.08.2023, סומנו ע/1), המפרטות את סימני החבלות שנגרמו ל</w:t>
      </w:r>
      <w:r>
        <w:rPr>
          <w:rFonts w:ascii="Tahoma" w:hAnsi="Tahoma" w:hint="cs"/>
          <w:rtl/>
        </w:rPr>
        <w:t>מתלונן</w:t>
      </w:r>
      <w:r>
        <w:rPr>
          <w:rFonts w:ascii="Tahoma" w:hAnsi="Tahoma"/>
          <w:rtl/>
        </w:rPr>
        <w:t xml:space="preserve">, לרבות חתכים כתולדה מדקירות; תמונות המתלונן </w:t>
      </w:r>
      <w:r>
        <w:rPr>
          <w:rFonts w:ascii="Tahoma" w:hAnsi="Tahoma" w:hint="cs"/>
          <w:rtl/>
        </w:rPr>
        <w:t xml:space="preserve">הפצוע </w:t>
      </w:r>
      <w:r>
        <w:rPr>
          <w:rFonts w:ascii="Tahoma" w:hAnsi="Tahoma"/>
          <w:rtl/>
        </w:rPr>
        <w:t>(ע/2); ותמונות סכין שנתפס ברכב האלפא רומיאו (ע/3).</w:t>
      </w:r>
    </w:p>
    <w:p w14:paraId="036AA614"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ב"כ המאשימה הדגיש בטיעוניו את חומרת האירוע מושא כתב האישום המתוקן, בו שני אלמונים דקרו בדרכים את המתלונן. אשר לחלקו של הנאשם באירוע הטעים התובע הן את העובדה שהנאשם הצביע לפני האחרים על המתלונן (</w:t>
      </w:r>
      <w:r>
        <w:rPr>
          <w:rFonts w:ascii="Tahoma" w:hAnsi="Tahoma" w:hint="cs"/>
          <w:rtl/>
        </w:rPr>
        <w:t xml:space="preserve">באומרו </w:t>
      </w:r>
      <w:r>
        <w:rPr>
          <w:rFonts w:ascii="Tahoma" w:hAnsi="Tahoma"/>
          <w:rtl/>
        </w:rPr>
        <w:t>"זה הוא") והן את העובדה שהנאשם נכח במשך כל התקיפה החמורה של המתלונן – לרבות באמצעות סכין – ובכך סייע לתקיפה. עוד הדגיש התובע את חומרת הפגיעות במתלונן ואת העובדה שהנאשם והאחרים הותירו אותו במקום כשהוא פצוע ומדמם.</w:t>
      </w:r>
    </w:p>
    <w:p w14:paraId="2D7200F8"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אשר לערכים החברתיים, שנפגעו כתולדה מביצוע העבירה על ידי הנאשם, הדגיש ב"כ המאשימה את הפגיעה בערך ההגנה על שמירת שלמות הגוף ושלומו, בפרט בהתחשב בכך שהעבירה בוצעה בדרך ובאישון ליל. לעניין מדיניות הענישה הנהוגה הפנה ב"כ המאשימה למקרים בהם דובר בביצוע עיקרי של העבירה (של פציעה כשהעבריין מזוין בצוותא), תוך שביקש לגזור מהם את מתחם העונש ההולם </w:t>
      </w:r>
      <w:r>
        <w:rPr>
          <w:rFonts w:ascii="Tahoma" w:hAnsi="Tahoma" w:hint="cs"/>
          <w:rtl/>
        </w:rPr>
        <w:t xml:space="preserve">בענייננו </w:t>
      </w:r>
      <w:r>
        <w:rPr>
          <w:rFonts w:ascii="Tahoma" w:hAnsi="Tahoma"/>
          <w:rtl/>
        </w:rPr>
        <w:t xml:space="preserve">– בשים לב להוראות </w:t>
      </w:r>
      <w:hyperlink r:id="rId21" w:history="1">
        <w:r w:rsidR="00AC76AD" w:rsidRPr="00AC76AD">
          <w:rPr>
            <w:rStyle w:val="Hyperlink"/>
            <w:rFonts w:ascii="Tahoma" w:hAnsi="Tahoma"/>
            <w:rtl/>
          </w:rPr>
          <w:t>סעיף 32</w:t>
        </w:r>
      </w:hyperlink>
      <w:r>
        <w:rPr>
          <w:rFonts w:ascii="Tahoma" w:hAnsi="Tahoma"/>
          <w:rtl/>
        </w:rPr>
        <w:t xml:space="preserve"> ל</w:t>
      </w:r>
      <w:hyperlink r:id="rId22" w:history="1">
        <w:r w:rsidR="000316AE" w:rsidRPr="000316AE">
          <w:rPr>
            <w:rFonts w:ascii="Tahoma" w:hAnsi="Tahoma"/>
            <w:color w:val="0000FF"/>
            <w:u w:val="single"/>
            <w:rtl/>
          </w:rPr>
          <w:t>חוק העונשין</w:t>
        </w:r>
      </w:hyperlink>
      <w:r>
        <w:rPr>
          <w:rFonts w:ascii="Tahoma" w:hAnsi="Tahoma"/>
          <w:rtl/>
        </w:rPr>
        <w:t>.</w:t>
      </w:r>
    </w:p>
    <w:p w14:paraId="099BEA50"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בין השאר הפנה ב"כ המאשימה ל</w:t>
      </w:r>
      <w:hyperlink r:id="rId23" w:history="1">
        <w:r w:rsidR="000316AE" w:rsidRPr="000316AE">
          <w:rPr>
            <w:rFonts w:ascii="Tahoma" w:hAnsi="Tahoma"/>
            <w:color w:val="0000FF"/>
            <w:u w:val="single"/>
            <w:rtl/>
          </w:rPr>
          <w:t>ת"פ (שלום ת"א) 62711-10-20</w:t>
        </w:r>
      </w:hyperlink>
      <w:r w:rsidR="000316AE">
        <w:rPr>
          <w:rFonts w:ascii="Tahoma" w:hAnsi="Tahoma"/>
          <w:rtl/>
        </w:rPr>
        <w:t xml:space="preserve"> </w:t>
      </w:r>
      <w:r>
        <w:rPr>
          <w:rFonts w:ascii="Tahoma" w:hAnsi="Tahoma"/>
          <w:b/>
          <w:bCs/>
          <w:rtl/>
        </w:rPr>
        <w:t>מדינת ישראל נ' פיס</w:t>
      </w:r>
      <w:r w:rsidR="000316AE">
        <w:rPr>
          <w:rFonts w:ascii="Tahoma" w:hAnsi="Tahoma"/>
          <w:rtl/>
        </w:rPr>
        <w:t xml:space="preserve"> </w:t>
      </w:r>
      <w:r>
        <w:rPr>
          <w:rFonts w:ascii="Tahoma" w:hAnsi="Tahoma"/>
          <w:rtl/>
        </w:rPr>
        <w:t>(16.03.2023) שם נקבע – לאחר סקירת פסיקה רבה – מתחם עונש הולם שבין 14 חודשי מאסר בפועל ועד 30 חודשי מאסר, הגם שיש להעיר ששם נגרמו לקורבן נזקים קשים יותר מבענייננו. עוד הפנה התובע ל</w:t>
      </w:r>
      <w:hyperlink r:id="rId24" w:history="1">
        <w:r w:rsidR="000316AE" w:rsidRPr="000316AE">
          <w:rPr>
            <w:rFonts w:ascii="Tahoma" w:hAnsi="Tahoma"/>
            <w:color w:val="0000FF"/>
            <w:u w:val="single"/>
            <w:rtl/>
          </w:rPr>
          <w:t>רע"פ 6817/22</w:t>
        </w:r>
      </w:hyperlink>
      <w:r w:rsidR="000316AE">
        <w:rPr>
          <w:rFonts w:ascii="Tahoma" w:hAnsi="Tahoma"/>
          <w:rtl/>
        </w:rPr>
        <w:t xml:space="preserve"> </w:t>
      </w:r>
      <w:r>
        <w:rPr>
          <w:rFonts w:ascii="Tahoma" w:hAnsi="Tahoma"/>
          <w:b/>
          <w:bCs/>
          <w:rtl/>
        </w:rPr>
        <w:t>פריג' נ' מדינת ישראל</w:t>
      </w:r>
      <w:r w:rsidR="000316AE">
        <w:rPr>
          <w:rFonts w:ascii="Tahoma" w:hAnsi="Tahoma"/>
          <w:rtl/>
        </w:rPr>
        <w:t xml:space="preserve"> </w:t>
      </w:r>
      <w:r>
        <w:rPr>
          <w:rFonts w:ascii="Tahoma" w:hAnsi="Tahoma"/>
          <w:rtl/>
        </w:rPr>
        <w:t>(18.10.2022), שם דובר באירוע של דקירה על רקע סכסוך חניה מתמשך, ונקבע מתחם עונש הולם שבין 10 חודשי מאסר בפועל לבין 24 חודשי מאסר בפועל; וכן ל</w:t>
      </w:r>
      <w:hyperlink r:id="rId25" w:history="1">
        <w:r w:rsidR="000316AE" w:rsidRPr="000316AE">
          <w:rPr>
            <w:rFonts w:ascii="Tahoma" w:hAnsi="Tahoma"/>
            <w:color w:val="0000FF"/>
            <w:u w:val="single"/>
            <w:rtl/>
          </w:rPr>
          <w:t>ת"פ (שלום ת"א) 54578-08-21</w:t>
        </w:r>
      </w:hyperlink>
      <w:r w:rsidR="000316AE">
        <w:rPr>
          <w:rFonts w:ascii="Tahoma" w:hAnsi="Tahoma"/>
          <w:rtl/>
        </w:rPr>
        <w:t xml:space="preserve"> </w:t>
      </w:r>
      <w:r>
        <w:rPr>
          <w:rFonts w:ascii="Tahoma" w:hAnsi="Tahoma"/>
          <w:b/>
          <w:bCs/>
          <w:rtl/>
        </w:rPr>
        <w:t xml:space="preserve">מדינת ישראל נ' </w:t>
      </w:r>
      <w:r w:rsidRPr="009A0B1F">
        <w:rPr>
          <w:rFonts w:cs="Times New Roman"/>
          <w:b/>
          <w:bCs/>
        </w:rPr>
        <w:t>Berhane</w:t>
      </w:r>
      <w:r>
        <w:rPr>
          <w:rFonts w:ascii="Tahoma" w:hAnsi="Tahoma"/>
          <w:rtl/>
        </w:rPr>
        <w:t xml:space="preserve"> </w:t>
      </w:r>
      <w:r>
        <w:rPr>
          <w:rFonts w:ascii="Tahoma" w:hAnsi="Tahoma" w:hint="cs"/>
          <w:rtl/>
        </w:rPr>
        <w:t>(22.01.2024), שם נקבע – לאחר סקירת פסיקה – מתחם העונש ההולם שבין 10 חודשי מאסר בפועל ועד 28 חודשי מאסר בפועל לצד ענישה נלווית לאירוע של פציעה בנסיבות מחמירות, בו נדקר הקורבן בבטנו ונזקק לניתוח חירום בהרדמה מלאה. מפסיקה זו ונוספת ביקש ב"כ המאשימה לגזור לענייננו – שבו כאמור מדובר בסיוע לביצוע העבירה – מתחם עונש הולם שבין 9 חודשי מאסר בפועל לבין 18 חודשי מאסר בפועל.</w:t>
      </w:r>
    </w:p>
    <w:p w14:paraId="3D78A5BA"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אשר לגזירת עונשו של הנאשם בתוך מתחם העונש ההולם הדגיש ב"כ המאשימה את עברו הפלילי המכביד של הנאשם. כעולה מתדפיס המידע הפלילי של הנאשם, שאותו הגיש </w:t>
      </w:r>
      <w:r>
        <w:rPr>
          <w:rFonts w:ascii="Tahoma" w:hAnsi="Tahoma" w:hint="cs"/>
          <w:rtl/>
        </w:rPr>
        <w:t xml:space="preserve">התובע </w:t>
      </w:r>
      <w:r>
        <w:rPr>
          <w:rFonts w:ascii="Tahoma" w:hAnsi="Tahoma"/>
          <w:rtl/>
        </w:rPr>
        <w:t>(</w:t>
      </w:r>
      <w:r>
        <w:rPr>
          <w:rFonts w:ascii="Tahoma" w:hAnsi="Tahoma" w:hint="cs"/>
          <w:rtl/>
        </w:rPr>
        <w:t xml:space="preserve">סומן </w:t>
      </w:r>
      <w:r>
        <w:rPr>
          <w:rFonts w:ascii="Tahoma" w:hAnsi="Tahoma"/>
          <w:rtl/>
        </w:rPr>
        <w:t>ע/4), לנאשם – יליד שנת 1980, בן 43 שנים כיום – 21 רישומים קודמים החל מימי נעוריו (מבית המשפט לנוער) ועד ל</w:t>
      </w:r>
      <w:r>
        <w:rPr>
          <w:rFonts w:ascii="Tahoma" w:hAnsi="Tahoma" w:hint="cs"/>
          <w:rtl/>
        </w:rPr>
        <w:t>שנת 2021</w:t>
      </w:r>
      <w:r>
        <w:rPr>
          <w:rFonts w:ascii="Tahoma" w:hAnsi="Tahoma"/>
          <w:rtl/>
        </w:rPr>
        <w:t xml:space="preserve">. מדובר ברישומים בגין </w:t>
      </w:r>
      <w:r>
        <w:rPr>
          <w:rFonts w:ascii="Tahoma" w:hAnsi="Tahoma" w:hint="cs"/>
          <w:rtl/>
        </w:rPr>
        <w:t xml:space="preserve">ביצוע </w:t>
      </w:r>
      <w:r>
        <w:rPr>
          <w:rFonts w:ascii="Tahoma" w:hAnsi="Tahoma"/>
          <w:rtl/>
        </w:rPr>
        <w:t>מגוון עבירות, לרבות עבירות אלימות ועבירות נגד שוטרים. בנסיבות אלה עתר התובע לגזירת עונשו של הנאשם בשליש האמצעי של מתחם העונש לו עתר. עוד עתר התובע להשתת ענישה נלווית שתכלול מאסר מותנה, קנס כספי משמעותי, פיצוי משמעותי למתלונן, התחייבות להימנע מעבירה וכן חילוט רכב האלפא רומיאו (כאמור בהודעה שבסיפא לכתב האישום המתוקן).</w:t>
      </w:r>
    </w:p>
    <w:p w14:paraId="587A9FEB"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ב"כ הנאשם, מצידו, מתח ביקורת על מתחם העונש ההולם לו טען התובע, תוך אבחון הפסיקה שהגיש כנוגעת למקרים חמורים בהרבה מענייננו; הגם ש</w:t>
      </w:r>
      <w:r>
        <w:rPr>
          <w:rFonts w:ascii="Tahoma" w:hAnsi="Tahoma" w:hint="cs"/>
          <w:rtl/>
        </w:rPr>
        <w:t xml:space="preserve">הסניגור </w:t>
      </w:r>
      <w:r>
        <w:rPr>
          <w:rFonts w:ascii="Tahoma" w:hAnsi="Tahoma"/>
          <w:rtl/>
        </w:rPr>
        <w:t>לא הגיש פסיקה אחרת. אשר לנסיבות ביצוע העבירה על ידי הנאשם הדגיש הסניגור את העובדה שבכתב האישום המתוקן אין כל טענה שהנאשם אמר לאחרים לתקוף את המתלונן</w:t>
      </w:r>
      <w:r>
        <w:rPr>
          <w:rFonts w:ascii="Tahoma" w:hAnsi="Tahoma" w:hint="cs"/>
          <w:rtl/>
        </w:rPr>
        <w:t>,</w:t>
      </w:r>
      <w:r>
        <w:rPr>
          <w:rFonts w:ascii="Tahoma" w:hAnsi="Tahoma"/>
          <w:rtl/>
        </w:rPr>
        <w:t xml:space="preserve"> או שידע מראש כי הם מתכוונים לתקוף אותו; כאשר כל שמיוחס לו הוא סיוע בעצם הנוכחות. יתר על כן, </w:t>
      </w:r>
      <w:r>
        <w:rPr>
          <w:rFonts w:ascii="Tahoma" w:hAnsi="Tahoma" w:hint="cs"/>
          <w:rtl/>
        </w:rPr>
        <w:t>לרקע</w:t>
      </w:r>
      <w:r>
        <w:rPr>
          <w:rFonts w:ascii="Tahoma" w:hAnsi="Tahoma"/>
          <w:rtl/>
        </w:rPr>
        <w:t xml:space="preserve"> התיקונים שנערכו בכתב האישום המקורי, שבמסגרתם בין השאר הושמט האישום בעבירה של החזקת סכין, לא היה מקום שהתובע יגיש את תמונות הסכין שנתפס (ע/3), </w:t>
      </w:r>
      <w:r>
        <w:rPr>
          <w:rFonts w:ascii="Tahoma" w:hAnsi="Tahoma" w:hint="cs"/>
          <w:rtl/>
        </w:rPr>
        <w:t xml:space="preserve">מה גם </w:t>
      </w:r>
      <w:r>
        <w:rPr>
          <w:rFonts w:ascii="Tahoma" w:hAnsi="Tahoma"/>
          <w:rtl/>
        </w:rPr>
        <w:t>שלא ידוע מה הקשר שלו לאירוע מושא כתב האישום המתוקן.</w:t>
      </w:r>
    </w:p>
    <w:p w14:paraId="7355E1EB"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הסניגור </w:t>
      </w:r>
      <w:r>
        <w:rPr>
          <w:rFonts w:ascii="Tahoma" w:hAnsi="Tahoma" w:hint="cs"/>
          <w:rtl/>
        </w:rPr>
        <w:t>הוסיף ו</w:t>
      </w:r>
      <w:r>
        <w:rPr>
          <w:rFonts w:ascii="Tahoma" w:hAnsi="Tahoma"/>
          <w:rtl/>
        </w:rPr>
        <w:t>הדגיש את התיקונים המהותיים</w:t>
      </w:r>
      <w:r>
        <w:rPr>
          <w:rFonts w:ascii="Tahoma" w:hAnsi="Tahoma" w:hint="cs"/>
          <w:rtl/>
        </w:rPr>
        <w:t>,</w:t>
      </w:r>
      <w:r>
        <w:rPr>
          <w:rFonts w:ascii="Tahoma" w:hAnsi="Tahoma"/>
          <w:rtl/>
        </w:rPr>
        <w:t xml:space="preserve"> שנערכו בכתב האישום על רקע קשיים ראייתיים, וביקש לזקוף לזכות הנאשם את החלטתו ליטול אחריות "</w:t>
      </w:r>
      <w:r w:rsidRPr="000208CE">
        <w:rPr>
          <w:rFonts w:ascii="Tahoma" w:hAnsi="Tahoma"/>
          <w:b/>
          <w:bCs/>
          <w:rtl/>
        </w:rPr>
        <w:t>על החלק שלו</w:t>
      </w:r>
      <w:r>
        <w:rPr>
          <w:rFonts w:ascii="Tahoma" w:hAnsi="Tahoma"/>
          <w:rtl/>
        </w:rPr>
        <w:t xml:space="preserve">" (בפרוטוקול, עמ' 32 שורה 5). עוד ביקש ב"כ הנאשם להתחשב לקולה בכך שהמבצעים העיקריים לא הובאו לדין, כאשר בהקשר זה טען </w:t>
      </w:r>
      <w:r>
        <w:rPr>
          <w:rFonts w:ascii="Tahoma" w:hAnsi="Tahoma" w:hint="cs"/>
          <w:rtl/>
        </w:rPr>
        <w:t xml:space="preserve">הסניגור </w:t>
      </w:r>
      <w:r>
        <w:rPr>
          <w:rFonts w:ascii="Tahoma" w:hAnsi="Tahoma"/>
          <w:rtl/>
        </w:rPr>
        <w:t xml:space="preserve">כי ידוע למאשימה מי </w:t>
      </w:r>
      <w:r>
        <w:rPr>
          <w:rFonts w:ascii="Tahoma" w:hAnsi="Tahoma" w:hint="cs"/>
          <w:rtl/>
        </w:rPr>
        <w:t xml:space="preserve">הוא </w:t>
      </w:r>
      <w:r>
        <w:rPr>
          <w:rFonts w:ascii="Tahoma" w:hAnsi="Tahoma"/>
          <w:rtl/>
        </w:rPr>
        <w:t xml:space="preserve">הדוקר – הגם שלא הציג ראייה לכך, ומכל מקום מה שקובע לענייננו הוא האמור בעובדות כתב האישום המתוקן </w:t>
      </w:r>
      <w:r>
        <w:rPr>
          <w:rFonts w:ascii="Tahoma" w:hAnsi="Tahoma" w:hint="cs"/>
          <w:rtl/>
        </w:rPr>
        <w:t xml:space="preserve">(שתוארו לעיל) </w:t>
      </w:r>
      <w:r>
        <w:rPr>
          <w:rFonts w:ascii="Tahoma" w:hAnsi="Tahoma"/>
          <w:rtl/>
        </w:rPr>
        <w:t>שבהן הודה הנאשם.</w:t>
      </w:r>
    </w:p>
    <w:p w14:paraId="40C8F59F"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 xml:space="preserve">אשר לעברו הפלילי של הנאשם טען הסניגור כי הרשעתו הקודמת האחרונה של הנאשם </w:t>
      </w:r>
      <w:r>
        <w:rPr>
          <w:rFonts w:ascii="Tahoma" w:hAnsi="Tahoma" w:hint="cs"/>
          <w:rtl/>
        </w:rPr>
        <w:t xml:space="preserve">(כאמור משנת 2021) </w:t>
      </w:r>
      <w:r>
        <w:rPr>
          <w:rFonts w:ascii="Tahoma" w:hAnsi="Tahoma"/>
          <w:rtl/>
        </w:rPr>
        <w:t>מתייחסת לעבירות משנת 2017, כאשר בשנים האחרונות עשה הנאשם דרך ארוכה – הקים משפחה ומגדל ילדה ואינו מסתבך עם החוק חדשות לבקרים. בנסיבות אלה, וכאשר לנאשם לא יוחסה השתתפות פיזית בתקיפה עתר הסניגור לקביעת מתחם עונש הולם שתחילתו במאסר מותנה ולהשתת ענישה שלא תכלול מאסר בפועל</w:t>
      </w:r>
      <w:r>
        <w:rPr>
          <w:rFonts w:ascii="Tahoma" w:hAnsi="Tahoma" w:hint="cs"/>
          <w:rtl/>
        </w:rPr>
        <w:t xml:space="preserve"> </w:t>
      </w:r>
      <w:r>
        <w:rPr>
          <w:rFonts w:ascii="Tahoma" w:hAnsi="Tahoma"/>
          <w:rtl/>
        </w:rPr>
        <w:t>–</w:t>
      </w:r>
      <w:r>
        <w:rPr>
          <w:rFonts w:ascii="Tahoma" w:hAnsi="Tahoma" w:hint="cs"/>
          <w:rtl/>
        </w:rPr>
        <w:t xml:space="preserve"> גם בהתחשב בכך שהנאשם שהה שלושה שבועות במעצר בגין תיק זה</w:t>
      </w:r>
      <w:r>
        <w:rPr>
          <w:rFonts w:ascii="Tahoma" w:hAnsi="Tahoma"/>
          <w:rtl/>
        </w:rPr>
        <w:t>.</w:t>
      </w:r>
    </w:p>
    <w:p w14:paraId="7883BB56"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עוד עתר הסניגור לדחיית עתירת המאשימה לחילוט רכב האלפא רומיאו. בהקשר זה הדגיש הסניגור כי מדובר ברכב השייך לאשתו של הנאשם, כאשר בהודעה שנגבתה ממנה היא לא נחקרה בהיבטים הנדרשים לביסוס עתירה לחילוט הרכב.</w:t>
      </w:r>
    </w:p>
    <w:p w14:paraId="70B6C5A1" w14:textId="77777777" w:rsidR="009A0B1F" w:rsidRDefault="009A0B1F" w:rsidP="009A0B1F">
      <w:pPr>
        <w:numPr>
          <w:ilvl w:val="0"/>
          <w:numId w:val="2"/>
        </w:numPr>
        <w:spacing w:after="120" w:line="360" w:lineRule="auto"/>
        <w:ind w:left="360"/>
        <w:jc w:val="both"/>
        <w:rPr>
          <w:rFonts w:ascii="Tahoma" w:hAnsi="Tahoma"/>
        </w:rPr>
      </w:pPr>
      <w:r w:rsidRPr="00533A3F">
        <w:rPr>
          <w:rFonts w:ascii="Tahoma" w:hAnsi="Tahoma"/>
          <w:rtl/>
        </w:rPr>
        <w:t>לבסוף הנאשם, בדברו האחרון לעונש, אמר: "</w:t>
      </w:r>
      <w:r w:rsidRPr="00F62354">
        <w:rPr>
          <w:rFonts w:ascii="Tahoma" w:hAnsi="Tahoma"/>
          <w:b/>
          <w:bCs/>
          <w:rtl/>
        </w:rPr>
        <w:t>אני מצטער</w:t>
      </w:r>
      <w:r w:rsidRPr="00533A3F">
        <w:rPr>
          <w:rFonts w:ascii="Tahoma" w:hAnsi="Tahoma"/>
          <w:rtl/>
        </w:rPr>
        <w:t>" (בפרוטוקול, עמ' 32 שורה 32).</w:t>
      </w:r>
    </w:p>
    <w:p w14:paraId="2EC8A734" w14:textId="77777777" w:rsidR="009A0B1F" w:rsidRDefault="009A0B1F" w:rsidP="009A0B1F">
      <w:pPr>
        <w:spacing w:after="120" w:line="360" w:lineRule="auto"/>
        <w:jc w:val="both"/>
        <w:rPr>
          <w:rFonts w:ascii="Tahoma" w:hAnsi="Tahoma"/>
          <w:rtl/>
        </w:rPr>
      </w:pPr>
    </w:p>
    <w:p w14:paraId="62C33727" w14:textId="77777777" w:rsidR="009A0B1F" w:rsidRPr="00533A3F" w:rsidRDefault="009A0B1F" w:rsidP="009A0B1F">
      <w:pPr>
        <w:pStyle w:val="a9"/>
        <w:numPr>
          <w:ilvl w:val="0"/>
          <w:numId w:val="1"/>
        </w:numPr>
        <w:spacing w:after="120" w:line="360" w:lineRule="auto"/>
        <w:ind w:left="360"/>
        <w:jc w:val="both"/>
        <w:rPr>
          <w:rFonts w:ascii="Tahoma" w:hAnsi="Tahoma"/>
          <w:b/>
          <w:bCs/>
          <w:u w:val="single"/>
          <w:rtl/>
        </w:rPr>
      </w:pPr>
      <w:r w:rsidRPr="00533A3F">
        <w:rPr>
          <w:rFonts w:hint="cs"/>
          <w:b/>
          <w:bCs/>
          <w:u w:val="single"/>
          <w:rtl/>
        </w:rPr>
        <w:t>קביעת מתחם העונש ההולם:</w:t>
      </w:r>
    </w:p>
    <w:p w14:paraId="7627B505" w14:textId="77777777" w:rsidR="009A0B1F" w:rsidRDefault="009A0B1F" w:rsidP="009A0B1F">
      <w:pPr>
        <w:numPr>
          <w:ilvl w:val="0"/>
          <w:numId w:val="2"/>
        </w:numPr>
        <w:spacing w:after="120" w:line="360" w:lineRule="auto"/>
        <w:ind w:left="360"/>
        <w:jc w:val="both"/>
        <w:rPr>
          <w:rFonts w:ascii="Tahoma" w:hAnsi="Tahoma"/>
        </w:rPr>
      </w:pPr>
      <w:r>
        <w:rPr>
          <w:rFonts w:hint="cs"/>
          <w:rtl/>
        </w:rPr>
        <w:t xml:space="preserve">בעת גזירת עונשו של נאשם על בית המשפט לקבוע, תחילה, את מתחם העונש ההולם לאירוע שבגינו הורשע הנאשם, וזאת בהתאם </w:t>
      </w:r>
      <w:r w:rsidRPr="0072704B">
        <w:rPr>
          <w:rFonts w:ascii="Tahoma" w:hAnsi="Tahoma" w:hint="cs"/>
          <w:rtl/>
        </w:rPr>
        <w:t xml:space="preserve">לעיקרון ההלימה. בהקשר זה יתחשב בית המשפט, בין השאר, </w:t>
      </w:r>
      <w:r>
        <w:rPr>
          <w:rFonts w:hint="cs"/>
          <w:rtl/>
        </w:rPr>
        <w:t xml:space="preserve">בערכים החברתיים שנפגעו מביצוע העבירה ובמידת הפגיעה בהם, במדיניות הענישה הנהוגה ובנסיבות הקשורות בביצוע העבירה, לרבות אלה המנויות בהוראות </w:t>
      </w:r>
      <w:hyperlink r:id="rId26" w:history="1">
        <w:r w:rsidR="00AC76AD" w:rsidRPr="00AC76AD">
          <w:rPr>
            <w:rStyle w:val="Hyperlink"/>
            <w:rFonts w:hint="eastAsia"/>
            <w:rtl/>
          </w:rPr>
          <w:t>סעיף</w:t>
        </w:r>
        <w:r w:rsidR="00AC76AD" w:rsidRPr="00AC76AD">
          <w:rPr>
            <w:rStyle w:val="Hyperlink"/>
            <w:rtl/>
          </w:rPr>
          <w:t xml:space="preserve"> 40ט</w:t>
        </w:r>
      </w:hyperlink>
      <w:r>
        <w:rPr>
          <w:rFonts w:hint="cs"/>
          <w:rtl/>
        </w:rPr>
        <w:t xml:space="preserve"> ל</w:t>
      </w:r>
      <w:hyperlink r:id="rId27" w:history="1">
        <w:r w:rsidR="000316AE" w:rsidRPr="000316AE">
          <w:rPr>
            <w:color w:val="0000FF"/>
            <w:u w:val="single"/>
            <w:rtl/>
          </w:rPr>
          <w:t>חוק העונשין</w:t>
        </w:r>
      </w:hyperlink>
      <w:r>
        <w:rPr>
          <w:rFonts w:hint="cs"/>
          <w:rtl/>
        </w:rPr>
        <w:t>.</w:t>
      </w:r>
    </w:p>
    <w:p w14:paraId="6C58898F" w14:textId="77777777" w:rsidR="009A0B1F" w:rsidRPr="00EB262E" w:rsidRDefault="009A0B1F" w:rsidP="009A0B1F">
      <w:pPr>
        <w:numPr>
          <w:ilvl w:val="0"/>
          <w:numId w:val="2"/>
        </w:numPr>
        <w:spacing w:after="120" w:line="360" w:lineRule="auto"/>
        <w:ind w:left="360"/>
        <w:jc w:val="both"/>
        <w:rPr>
          <w:rFonts w:ascii="Tahoma" w:hAnsi="Tahoma"/>
        </w:rPr>
      </w:pPr>
      <w:r>
        <w:rPr>
          <w:rFonts w:hint="cs"/>
          <w:rtl/>
        </w:rPr>
        <w:t xml:space="preserve">ביצוען של עבירות אלימות, בפרט כאלה המובילות </w:t>
      </w:r>
      <w:r w:rsidRPr="00EB262E">
        <w:rPr>
          <w:rFonts w:ascii="Tahoma" w:hAnsi="Tahoma" w:hint="cs"/>
          <w:rtl/>
        </w:rPr>
        <w:t>לגרימת</w:t>
      </w:r>
      <w:r>
        <w:rPr>
          <w:rFonts w:ascii="Tahoma" w:hAnsi="Tahoma" w:hint="cs"/>
          <w:rtl/>
        </w:rPr>
        <w:t>ן של</w:t>
      </w:r>
      <w:r w:rsidRPr="00EB262E">
        <w:rPr>
          <w:rFonts w:ascii="Tahoma" w:hAnsi="Tahoma" w:hint="cs"/>
          <w:rtl/>
        </w:rPr>
        <w:t xml:space="preserve"> חבלות או פציעות, פוגע במידה </w:t>
      </w:r>
      <w:r>
        <w:rPr>
          <w:rFonts w:ascii="Tahoma" w:hAnsi="Tahoma" w:hint="cs"/>
          <w:rtl/>
        </w:rPr>
        <w:t>ניכרת בערכים החברתיים של ההגנה ע</w:t>
      </w:r>
      <w:r w:rsidRPr="00EB262E">
        <w:rPr>
          <w:rFonts w:ascii="Tahoma" w:hAnsi="Tahoma" w:hint="cs"/>
          <w:rtl/>
        </w:rPr>
        <w:t xml:space="preserve">ל שלמות הגוף, </w:t>
      </w:r>
      <w:r>
        <w:rPr>
          <w:rFonts w:ascii="Tahoma" w:hAnsi="Tahoma" w:hint="cs"/>
          <w:rtl/>
        </w:rPr>
        <w:t xml:space="preserve">ההגנה על </w:t>
      </w:r>
      <w:r w:rsidRPr="00EB262E">
        <w:rPr>
          <w:rFonts w:ascii="Tahoma" w:hAnsi="Tahoma" w:hint="cs"/>
          <w:rtl/>
        </w:rPr>
        <w:t>שלוות הנפש ו</w:t>
      </w:r>
      <w:r>
        <w:rPr>
          <w:rFonts w:ascii="Tahoma" w:hAnsi="Tahoma" w:hint="cs"/>
          <w:rtl/>
        </w:rPr>
        <w:t xml:space="preserve">ההגנה על </w:t>
      </w:r>
      <w:r w:rsidRPr="00EB262E">
        <w:rPr>
          <w:rFonts w:ascii="Tahoma" w:hAnsi="Tahoma" w:hint="cs"/>
          <w:rtl/>
        </w:rPr>
        <w:t xml:space="preserve">שלום הציבור. אכן, </w:t>
      </w:r>
      <w:r w:rsidRPr="00436559">
        <w:rPr>
          <w:rtl/>
        </w:rPr>
        <w:t xml:space="preserve">תנאי יסודי לקיומה </w:t>
      </w:r>
      <w:r>
        <w:rPr>
          <w:rFonts w:hint="cs"/>
          <w:rtl/>
        </w:rPr>
        <w:t xml:space="preserve">ולתפקודה התקין </w:t>
      </w:r>
      <w:r w:rsidRPr="00436559">
        <w:rPr>
          <w:rtl/>
        </w:rPr>
        <w:t>של חברה תרבותית הוא עקירת האלימות הפיסית מן השורש</w:t>
      </w:r>
      <w:r>
        <w:rPr>
          <w:rFonts w:hint="cs"/>
          <w:rtl/>
        </w:rPr>
        <w:t xml:space="preserve">. אין תמה, אפוא, כי </w:t>
      </w:r>
      <w:r w:rsidRPr="00436559">
        <w:rPr>
          <w:rtl/>
        </w:rPr>
        <w:t>הפסיקה חוזרת ומדגישה את הצורך בענישה מחמירה בעבירות אלימות</w:t>
      </w:r>
      <w:r>
        <w:rPr>
          <w:rFonts w:hint="cs"/>
          <w:rtl/>
        </w:rPr>
        <w:t xml:space="preserve"> הגורמות לחבלות</w:t>
      </w:r>
      <w:r w:rsidRPr="00436559">
        <w:rPr>
          <w:rtl/>
        </w:rPr>
        <w:t xml:space="preserve">, </w:t>
      </w:r>
      <w:r>
        <w:rPr>
          <w:rFonts w:hint="cs"/>
          <w:rtl/>
        </w:rPr>
        <w:t xml:space="preserve">גם </w:t>
      </w:r>
      <w:r w:rsidRPr="00436559">
        <w:rPr>
          <w:rtl/>
        </w:rPr>
        <w:t>לצרכי הרתעה כללית ואישית</w:t>
      </w:r>
      <w:r>
        <w:rPr>
          <w:rFonts w:hint="cs"/>
          <w:rtl/>
        </w:rPr>
        <w:t xml:space="preserve">, וקובעת ככלל רף ענישה תחתון של מאסר בפועל; ולו לנשיאה בדרך של עבודות שירות. בהקשר זה הפסיקה הנ"ל שהציג ב"כ המאשימה היא אכן רלוואנטית, וקיימת אף מחמירה ממנה. עם זאת, יש להתחשב בכך שהנאשם הורשע לפניי בסיוע, אשר עונשו </w:t>
      </w:r>
      <w:r>
        <w:rPr>
          <w:rtl/>
        </w:rPr>
        <w:t>–</w:t>
      </w:r>
      <w:r>
        <w:rPr>
          <w:rFonts w:hint="cs"/>
          <w:rtl/>
        </w:rPr>
        <w:t xml:space="preserve"> בהתאם להוראות </w:t>
      </w:r>
      <w:hyperlink r:id="rId28" w:history="1">
        <w:r w:rsidR="00AC76AD" w:rsidRPr="00AC76AD">
          <w:rPr>
            <w:rStyle w:val="Hyperlink"/>
            <w:rFonts w:hint="eastAsia"/>
            <w:rtl/>
          </w:rPr>
          <w:t>סעיף</w:t>
        </w:r>
        <w:r w:rsidR="00AC76AD" w:rsidRPr="00AC76AD">
          <w:rPr>
            <w:rStyle w:val="Hyperlink"/>
            <w:rtl/>
          </w:rPr>
          <w:t xml:space="preserve"> 32</w:t>
        </w:r>
      </w:hyperlink>
      <w:r>
        <w:rPr>
          <w:rFonts w:hint="cs"/>
          <w:rtl/>
        </w:rPr>
        <w:t xml:space="preserve"> ל</w:t>
      </w:r>
      <w:hyperlink r:id="rId29" w:history="1">
        <w:r w:rsidR="000316AE" w:rsidRPr="000316AE">
          <w:rPr>
            <w:color w:val="0000FF"/>
            <w:u w:val="single"/>
            <w:rtl/>
          </w:rPr>
          <w:t>חוק העונשין</w:t>
        </w:r>
      </w:hyperlink>
      <w:r>
        <w:rPr>
          <w:rFonts w:hint="cs"/>
          <w:rtl/>
        </w:rPr>
        <w:t xml:space="preserve"> </w:t>
      </w:r>
      <w:r>
        <w:rPr>
          <w:rtl/>
        </w:rPr>
        <w:t>–</w:t>
      </w:r>
      <w:r>
        <w:rPr>
          <w:rFonts w:hint="cs"/>
          <w:rtl/>
        </w:rPr>
        <w:t xml:space="preserve"> הוא מחצית העונש שנקבע לביצוע העיקרי.</w:t>
      </w:r>
    </w:p>
    <w:p w14:paraId="1BA21FD3" w14:textId="77777777" w:rsidR="009A0B1F" w:rsidRDefault="009A0B1F" w:rsidP="009A0B1F">
      <w:pPr>
        <w:numPr>
          <w:ilvl w:val="0"/>
          <w:numId w:val="2"/>
        </w:numPr>
        <w:spacing w:after="120" w:line="360" w:lineRule="auto"/>
        <w:ind w:left="360"/>
        <w:jc w:val="both"/>
        <w:rPr>
          <w:rFonts w:ascii="Tahoma" w:hAnsi="Tahoma"/>
        </w:rPr>
      </w:pPr>
      <w:r w:rsidRPr="00436559">
        <w:rPr>
          <w:rtl/>
        </w:rPr>
        <w:t>קביעת מתחם העונש ההולם נגזרת</w:t>
      </w:r>
      <w:r>
        <w:rPr>
          <w:rtl/>
        </w:rPr>
        <w:t xml:space="preserve"> לא רק מחומרת העביר</w:t>
      </w:r>
      <w:r>
        <w:rPr>
          <w:rFonts w:hint="cs"/>
          <w:rtl/>
        </w:rPr>
        <w:t>ה</w:t>
      </w:r>
      <w:r>
        <w:rPr>
          <w:rtl/>
        </w:rPr>
        <w:t xml:space="preserve"> כשלעצמ</w:t>
      </w:r>
      <w:r>
        <w:rPr>
          <w:rFonts w:hint="cs"/>
          <w:rtl/>
        </w:rPr>
        <w:t>ה</w:t>
      </w:r>
      <w:r w:rsidRPr="00436559">
        <w:rPr>
          <w:rtl/>
        </w:rPr>
        <w:t>, אלא גם מחומרת</w:t>
      </w:r>
      <w:r>
        <w:rPr>
          <w:rFonts w:hint="cs"/>
          <w:rtl/>
        </w:rPr>
        <w:t xml:space="preserve">ה </w:t>
      </w:r>
      <w:r w:rsidRPr="00436559">
        <w:rPr>
          <w:rtl/>
        </w:rPr>
        <w:t xml:space="preserve">בנסיבות </w:t>
      </w:r>
      <w:r>
        <w:rPr>
          <w:rFonts w:hint="cs"/>
          <w:rtl/>
        </w:rPr>
        <w:t xml:space="preserve">הקונקרטיות והספציפיות </w:t>
      </w:r>
      <w:r w:rsidRPr="00436559">
        <w:rPr>
          <w:rtl/>
        </w:rPr>
        <w:t xml:space="preserve">שבהן </w:t>
      </w:r>
      <w:r>
        <w:rPr>
          <w:rFonts w:hint="cs"/>
          <w:rtl/>
        </w:rPr>
        <w:t xml:space="preserve">היא </w:t>
      </w:r>
      <w:r>
        <w:rPr>
          <w:rtl/>
        </w:rPr>
        <w:t>בוצע</w:t>
      </w:r>
      <w:r>
        <w:rPr>
          <w:rFonts w:hint="cs"/>
          <w:rtl/>
        </w:rPr>
        <w:t>ה</w:t>
      </w:r>
      <w:r w:rsidRPr="00436559">
        <w:rPr>
          <w:rtl/>
        </w:rPr>
        <w:t xml:space="preserve">. במקרה דנא, </w:t>
      </w:r>
      <w:r>
        <w:rPr>
          <w:rFonts w:hint="cs"/>
          <w:rtl/>
        </w:rPr>
        <w:t>הנסיבות הרלוואנטיות לכף חומרה</w:t>
      </w:r>
      <w:r w:rsidRPr="00CD628E">
        <w:rPr>
          <w:rFonts w:ascii="Tahoma" w:hAnsi="Tahoma" w:hint="cs"/>
          <w:rtl/>
        </w:rPr>
        <w:t xml:space="preserve"> הן כלהלן: </w:t>
      </w:r>
      <w:r w:rsidRPr="007E0C15">
        <w:rPr>
          <w:rFonts w:ascii="Tahoma" w:hAnsi="Tahoma" w:hint="cs"/>
          <w:b/>
          <w:bCs/>
          <w:rtl/>
        </w:rPr>
        <w:t>ראשית</w:t>
      </w:r>
      <w:r w:rsidRPr="00CD628E">
        <w:rPr>
          <w:rFonts w:ascii="Tahoma" w:hAnsi="Tahoma" w:hint="cs"/>
          <w:rtl/>
        </w:rPr>
        <w:t>, מדובר בתקיפה חמורה של המתלונן ברחובה של עיר, בראש חוצות, ש</w:t>
      </w:r>
      <w:r>
        <w:rPr>
          <w:rFonts w:ascii="Tahoma" w:hAnsi="Tahoma" w:hint="cs"/>
          <w:rtl/>
        </w:rPr>
        <w:t>בוצעה בצוותא וש</w:t>
      </w:r>
      <w:r w:rsidRPr="00CD628E">
        <w:rPr>
          <w:rFonts w:ascii="Tahoma" w:hAnsi="Tahoma" w:hint="cs"/>
          <w:rtl/>
        </w:rPr>
        <w:t xml:space="preserve">כתולדה ממנה נפגע המתלונן באופן חמור ונדרש לטיפול רפואי. </w:t>
      </w:r>
      <w:r w:rsidRPr="007E0C15">
        <w:rPr>
          <w:rFonts w:ascii="Tahoma" w:hAnsi="Tahoma" w:hint="cs"/>
          <w:b/>
          <w:bCs/>
          <w:rtl/>
        </w:rPr>
        <w:t>שנית</w:t>
      </w:r>
      <w:r w:rsidRPr="00CD628E">
        <w:rPr>
          <w:rFonts w:ascii="Tahoma" w:hAnsi="Tahoma" w:hint="cs"/>
          <w:rtl/>
        </w:rPr>
        <w:t xml:space="preserve">, הנאשם הוא זה שהצביע על המתלונן בפני האחרים </w:t>
      </w:r>
      <w:r w:rsidRPr="00CD628E">
        <w:rPr>
          <w:rFonts w:ascii="Tahoma" w:hAnsi="Tahoma"/>
          <w:rtl/>
        </w:rPr>
        <w:t>ואמר "זה הוא"</w:t>
      </w:r>
      <w:r>
        <w:rPr>
          <w:rFonts w:ascii="Tahoma" w:hAnsi="Tahoma" w:hint="cs"/>
          <w:rtl/>
        </w:rPr>
        <w:t xml:space="preserve"> ולאחר מכן סייע בידם בנוכחותו, בעת שהמתלונן הוכה ונדקר. </w:t>
      </w:r>
      <w:r w:rsidRPr="007E0C15">
        <w:rPr>
          <w:rFonts w:ascii="Tahoma" w:hAnsi="Tahoma" w:hint="cs"/>
          <w:b/>
          <w:bCs/>
          <w:rtl/>
        </w:rPr>
        <w:t>שלישית</w:t>
      </w:r>
      <w:r>
        <w:rPr>
          <w:rFonts w:ascii="Tahoma" w:hAnsi="Tahoma" w:hint="cs"/>
          <w:rtl/>
        </w:rPr>
        <w:t xml:space="preserve">, הנאשם </w:t>
      </w:r>
      <w:r>
        <w:rPr>
          <w:rFonts w:ascii="Tahoma" w:hAnsi="Tahoma"/>
          <w:rtl/>
        </w:rPr>
        <w:t>–</w:t>
      </w:r>
      <w:r>
        <w:rPr>
          <w:rFonts w:ascii="Tahoma" w:hAnsi="Tahoma" w:hint="cs"/>
          <w:rtl/>
        </w:rPr>
        <w:t xml:space="preserve"> יחד עם האחרים </w:t>
      </w:r>
      <w:r>
        <w:rPr>
          <w:rFonts w:ascii="Tahoma" w:hAnsi="Tahoma"/>
          <w:rtl/>
        </w:rPr>
        <w:t>–</w:t>
      </w:r>
      <w:r>
        <w:rPr>
          <w:rFonts w:ascii="Tahoma" w:hAnsi="Tahoma" w:hint="cs"/>
          <w:rtl/>
        </w:rPr>
        <w:t xml:space="preserve"> נטש את המתלונן במקום האירוע כשהלה פצוע ומדמם.</w:t>
      </w:r>
    </w:p>
    <w:p w14:paraId="35AB9248" w14:textId="77777777" w:rsidR="009A0B1F" w:rsidRPr="00033A8F" w:rsidRDefault="009A0B1F" w:rsidP="009A0B1F">
      <w:pPr>
        <w:numPr>
          <w:ilvl w:val="0"/>
          <w:numId w:val="2"/>
        </w:numPr>
        <w:spacing w:after="120" w:line="360" w:lineRule="auto"/>
        <w:ind w:left="360"/>
        <w:jc w:val="both"/>
        <w:rPr>
          <w:rFonts w:ascii="Tahoma" w:hAnsi="Tahoma"/>
        </w:rPr>
      </w:pPr>
      <w:r w:rsidRPr="00033A8F">
        <w:rPr>
          <w:rFonts w:ascii="Tahoma" w:hAnsi="Tahoma" w:hint="cs"/>
          <w:rtl/>
        </w:rPr>
        <w:t>עם זאת, מנגד ולכף קולה יש מקום להתחשב, כטיעון הסניגור, בתיקונים המהותיים שנערכו הן בעובדות כתב האישום והן בהוראות החיקוק</w:t>
      </w:r>
      <w:r>
        <w:rPr>
          <w:rFonts w:ascii="Tahoma" w:hAnsi="Tahoma" w:hint="cs"/>
          <w:rtl/>
        </w:rPr>
        <w:t>, כאשר אין לפניי ראיה לקשר של הנאשם לסכין שנמצאה ברכב (מה גם שהעבירה של החזקת סכין הושמטה מכתב האישום המתוקן)</w:t>
      </w:r>
      <w:r w:rsidRPr="00033A8F">
        <w:rPr>
          <w:rFonts w:ascii="Tahoma" w:hAnsi="Tahoma" w:hint="cs"/>
          <w:rtl/>
        </w:rPr>
        <w:t>. בסופו של דבר, כתב האישום המתוקן שלפניי מייחס לנאשם סיוע ברף החומרה הנמוך-יחסית של נוכחות במקום ביצוע העבירה</w:t>
      </w:r>
      <w:r>
        <w:rPr>
          <w:rFonts w:ascii="Tahoma" w:hAnsi="Tahoma" w:hint="cs"/>
          <w:rtl/>
        </w:rPr>
        <w:t>, הגם שהעבירה עצמה היא ברף חומרה גבוה</w:t>
      </w:r>
      <w:r w:rsidRPr="00033A8F">
        <w:rPr>
          <w:rFonts w:ascii="Tahoma" w:hAnsi="Tahoma" w:hint="cs"/>
          <w:rtl/>
        </w:rPr>
        <w:t xml:space="preserve">. בהתחשב במכלול נסיבות </w:t>
      </w:r>
      <w:r>
        <w:rPr>
          <w:rFonts w:ascii="Tahoma" w:hAnsi="Tahoma" w:hint="cs"/>
          <w:rtl/>
        </w:rPr>
        <w:t xml:space="preserve">חומרה וקולה </w:t>
      </w:r>
      <w:r w:rsidRPr="00033A8F">
        <w:rPr>
          <w:rFonts w:ascii="Tahoma" w:hAnsi="Tahoma" w:hint="cs"/>
          <w:rtl/>
        </w:rPr>
        <w:t xml:space="preserve">אלה </w:t>
      </w:r>
      <w:r w:rsidRPr="00033A8F">
        <w:rPr>
          <w:rFonts w:ascii="Tahoma" w:hAnsi="Tahoma"/>
          <w:rtl/>
        </w:rPr>
        <w:t>–</w:t>
      </w:r>
      <w:r w:rsidRPr="00033A8F">
        <w:rPr>
          <w:rFonts w:ascii="Tahoma" w:hAnsi="Tahoma" w:hint="cs"/>
          <w:rtl/>
        </w:rPr>
        <w:t xml:space="preserve"> כמו גם במדיניות הענישה הנהוגה </w:t>
      </w:r>
      <w:r w:rsidRPr="00033A8F">
        <w:rPr>
          <w:rFonts w:ascii="Tahoma" w:hAnsi="Tahoma"/>
          <w:rtl/>
        </w:rPr>
        <w:t>–</w:t>
      </w:r>
      <w:r w:rsidRPr="00033A8F">
        <w:rPr>
          <w:rFonts w:ascii="Tahoma" w:hAnsi="Tahoma" w:hint="cs"/>
          <w:rtl/>
        </w:rPr>
        <w:t xml:space="preserve"> </w:t>
      </w:r>
      <w:r>
        <w:rPr>
          <w:rFonts w:hint="cs"/>
          <w:rtl/>
        </w:rPr>
        <w:t>אני קובע אפוא את מתחם העונש ההולם, במקרה זה, בין 6 חודשי מאסר בפועל לבין 15 חודשי מאסר בפועל.</w:t>
      </w:r>
    </w:p>
    <w:p w14:paraId="1217A994" w14:textId="77777777" w:rsidR="009A0B1F" w:rsidRDefault="009A0B1F" w:rsidP="009A0B1F">
      <w:pPr>
        <w:spacing w:after="120" w:line="360" w:lineRule="auto"/>
        <w:jc w:val="both"/>
        <w:rPr>
          <w:rtl/>
        </w:rPr>
      </w:pPr>
    </w:p>
    <w:p w14:paraId="30D148F1" w14:textId="77777777" w:rsidR="009A0B1F" w:rsidRDefault="009A0B1F" w:rsidP="009A0B1F">
      <w:pPr>
        <w:pStyle w:val="a9"/>
        <w:numPr>
          <w:ilvl w:val="0"/>
          <w:numId w:val="1"/>
        </w:numPr>
        <w:spacing w:after="120" w:line="360" w:lineRule="auto"/>
        <w:ind w:left="360"/>
        <w:jc w:val="both"/>
        <w:rPr>
          <w:rFonts w:ascii="Tahoma" w:hAnsi="Tahoma"/>
          <w:b/>
          <w:bCs/>
          <w:u w:val="single"/>
          <w:rtl/>
        </w:rPr>
      </w:pPr>
      <w:r>
        <w:rPr>
          <w:rFonts w:hint="cs"/>
          <w:b/>
          <w:bCs/>
          <w:u w:val="single"/>
          <w:rtl/>
        </w:rPr>
        <w:t>סוגיית חילוט רכב האלפא רומיאו</w:t>
      </w:r>
      <w:r w:rsidRPr="00CE1F20">
        <w:rPr>
          <w:rFonts w:hint="cs"/>
          <w:b/>
          <w:bCs/>
          <w:u w:val="single"/>
          <w:rtl/>
        </w:rPr>
        <w:t>:</w:t>
      </w:r>
    </w:p>
    <w:p w14:paraId="67E8058A" w14:textId="77777777" w:rsidR="009A0B1F" w:rsidRPr="00F835C4" w:rsidRDefault="009A0B1F" w:rsidP="009A0B1F">
      <w:pPr>
        <w:numPr>
          <w:ilvl w:val="0"/>
          <w:numId w:val="2"/>
        </w:numPr>
        <w:spacing w:after="120" w:line="360" w:lineRule="auto"/>
        <w:ind w:left="360"/>
        <w:jc w:val="both"/>
        <w:rPr>
          <w:rFonts w:ascii="Tahoma" w:hAnsi="Tahoma"/>
        </w:rPr>
      </w:pPr>
      <w:r>
        <w:rPr>
          <w:rFonts w:ascii="Tahoma" w:hAnsi="Tahoma" w:hint="cs"/>
          <w:rtl/>
        </w:rPr>
        <w:t xml:space="preserve">בהודעה שבסיפא לכתב האישום המתוקן נתבקש חילוט רכב האלפא רומיאו, אשר שימש את הנאשם לביצוע העבירה, וזאת בהתאם להוראות </w:t>
      </w:r>
      <w:hyperlink r:id="rId30" w:history="1">
        <w:r w:rsidR="000316AE" w:rsidRPr="000316AE">
          <w:rPr>
            <w:rFonts w:ascii="Tahoma" w:hAnsi="Tahoma"/>
            <w:color w:val="0000FF"/>
            <w:u w:val="single"/>
            <w:rtl/>
          </w:rPr>
          <w:t>פקודת סדר הדין הפלילי (מעצר וחיפוש)</w:t>
        </w:r>
      </w:hyperlink>
      <w:r w:rsidRPr="00F835C4">
        <w:rPr>
          <w:rFonts w:ascii="Tahoma" w:hAnsi="Tahoma"/>
          <w:rtl/>
        </w:rPr>
        <w:t xml:space="preserve"> [נ</w:t>
      </w:r>
      <w:r>
        <w:rPr>
          <w:rFonts w:ascii="Tahoma" w:hAnsi="Tahoma"/>
          <w:rtl/>
        </w:rPr>
        <w:t>וסח חדש], תשכ"ט-196</w:t>
      </w:r>
      <w:r>
        <w:rPr>
          <w:rFonts w:ascii="Tahoma" w:hAnsi="Tahoma" w:hint="cs"/>
          <w:rtl/>
        </w:rPr>
        <w:t xml:space="preserve">9. יוער, כי נושא תפיסתו הזמנית של הרכב נדון לפני מותב אחר בהליך נפרד, בו הוחלט על השבת הרכב בתנאים מסוימים (ר' </w:t>
      </w:r>
      <w:hyperlink r:id="rId31" w:history="1">
        <w:r w:rsidR="000316AE" w:rsidRPr="000316AE">
          <w:rPr>
            <w:rFonts w:ascii="Tahoma" w:hAnsi="Tahoma"/>
            <w:color w:val="0000FF"/>
            <w:u w:val="single"/>
            <w:rtl/>
          </w:rPr>
          <w:t>ה"ת 62441-12-23</w:t>
        </w:r>
      </w:hyperlink>
      <w:r>
        <w:rPr>
          <w:rFonts w:ascii="Tahoma" w:hAnsi="Tahoma" w:hint="cs"/>
          <w:rtl/>
        </w:rPr>
        <w:t>, החלטה מיום 21.01.2024).</w:t>
      </w:r>
    </w:p>
    <w:p w14:paraId="4B295D9E" w14:textId="77777777" w:rsidR="009A0B1F" w:rsidRDefault="009A0B1F" w:rsidP="009A0B1F">
      <w:pPr>
        <w:numPr>
          <w:ilvl w:val="0"/>
          <w:numId w:val="2"/>
        </w:numPr>
        <w:spacing w:after="120" w:line="360" w:lineRule="auto"/>
        <w:ind w:left="360"/>
        <w:jc w:val="both"/>
        <w:rPr>
          <w:rFonts w:ascii="Tahoma" w:hAnsi="Tahoma"/>
        </w:rPr>
      </w:pPr>
      <w:r w:rsidRPr="007E0C15">
        <w:rPr>
          <w:rFonts w:ascii="Tahoma" w:hAnsi="Tahoma" w:hint="cs"/>
          <w:rtl/>
        </w:rPr>
        <w:t xml:space="preserve">במקרה דנא אין מחלוקת כי הבעלים הפורמאלי של הרכב אינו הנאשם אלא אשתו, שלא נטען שיש לה קשר כלשהו לביצוע העבירה מושא כתב האישום המתוקן. אכן, במסגרת הוראות </w:t>
      </w:r>
      <w:hyperlink r:id="rId32" w:history="1">
        <w:r w:rsidR="00AC76AD" w:rsidRPr="00AC76AD">
          <w:rPr>
            <w:rStyle w:val="Hyperlink"/>
            <w:rFonts w:ascii="Tahoma" w:hAnsi="Tahoma" w:hint="eastAsia"/>
            <w:rtl/>
          </w:rPr>
          <w:t>סעיף</w:t>
        </w:r>
        <w:r w:rsidR="00AC76AD" w:rsidRPr="00AC76AD">
          <w:rPr>
            <w:rStyle w:val="Hyperlink"/>
            <w:rFonts w:ascii="Tahoma" w:hAnsi="Tahoma"/>
            <w:rtl/>
          </w:rPr>
          <w:t xml:space="preserve"> 39</w:t>
        </w:r>
      </w:hyperlink>
      <w:r w:rsidRPr="007E0C15">
        <w:rPr>
          <w:rFonts w:ascii="Tahoma" w:hAnsi="Tahoma" w:hint="cs"/>
          <w:rtl/>
        </w:rPr>
        <w:t xml:space="preserve"> לפקודה ניתן להורות גם על חילוט רכב שאינו שייך למבצע, אך זאת </w:t>
      </w:r>
      <w:r>
        <w:rPr>
          <w:rFonts w:ascii="Tahoma" w:hAnsi="Tahoma" w:hint="cs"/>
          <w:rtl/>
        </w:rPr>
        <w:t xml:space="preserve">רק </w:t>
      </w:r>
      <w:r w:rsidRPr="007E0C15">
        <w:rPr>
          <w:rFonts w:ascii="Tahoma" w:hAnsi="Tahoma" w:hint="cs"/>
          <w:rtl/>
        </w:rPr>
        <w:t xml:space="preserve">בהתקיים תנאים מסוימים, למשל כאשר מוכח שהבעלות המהותית ברכב היא של המבצע </w:t>
      </w:r>
      <w:r>
        <w:rPr>
          <w:rFonts w:ascii="Tahoma" w:hAnsi="Tahoma" w:hint="cs"/>
          <w:rtl/>
        </w:rPr>
        <w:t xml:space="preserve">ולא של הבעלים הפורמאלי </w:t>
      </w:r>
      <w:r w:rsidRPr="007E0C15">
        <w:rPr>
          <w:rFonts w:ascii="Tahoma" w:hAnsi="Tahoma" w:hint="cs"/>
          <w:rtl/>
        </w:rPr>
        <w:t xml:space="preserve">(ר' </w:t>
      </w:r>
      <w:hyperlink r:id="rId33" w:history="1">
        <w:r w:rsidR="000316AE" w:rsidRPr="000316AE">
          <w:rPr>
            <w:rFonts w:ascii="Tahoma" w:hAnsi="Tahoma"/>
            <w:color w:val="0000FF"/>
            <w:u w:val="single"/>
            <w:rtl/>
          </w:rPr>
          <w:t>ע"פ 1000/15</w:t>
        </w:r>
      </w:hyperlink>
      <w:r w:rsidR="000316AE">
        <w:rPr>
          <w:rFonts w:ascii="Tahoma" w:hAnsi="Tahoma"/>
          <w:rtl/>
        </w:rPr>
        <w:t xml:space="preserve"> </w:t>
      </w:r>
      <w:r w:rsidRPr="007E0C15">
        <w:rPr>
          <w:rFonts w:ascii="Tahoma" w:hAnsi="Tahoma"/>
          <w:b/>
          <w:bCs/>
          <w:rtl/>
        </w:rPr>
        <w:t>אבו אלחווה נ' מדינת ישראל</w:t>
      </w:r>
      <w:r w:rsidR="000316AE">
        <w:rPr>
          <w:rFonts w:ascii="Tahoma" w:hAnsi="Tahoma"/>
          <w:rtl/>
        </w:rPr>
        <w:t xml:space="preserve"> </w:t>
      </w:r>
      <w:r w:rsidRPr="007E0C15">
        <w:rPr>
          <w:rFonts w:ascii="Tahoma" w:hAnsi="Tahoma"/>
          <w:rtl/>
        </w:rPr>
        <w:t>(03.07.2015)</w:t>
      </w:r>
      <w:r w:rsidRPr="007E0C15">
        <w:rPr>
          <w:rFonts w:ascii="Tahoma" w:hAnsi="Tahoma" w:hint="cs"/>
          <w:rtl/>
        </w:rPr>
        <w:t>, בפסקה 23 לפסק הדין)</w:t>
      </w:r>
      <w:r>
        <w:rPr>
          <w:rFonts w:ascii="Tahoma" w:hAnsi="Tahoma" w:hint="cs"/>
          <w:rtl/>
        </w:rPr>
        <w:t>.</w:t>
      </w:r>
    </w:p>
    <w:p w14:paraId="0CF9521D" w14:textId="77777777" w:rsidR="009A0B1F" w:rsidRPr="007C1744" w:rsidRDefault="009A0B1F" w:rsidP="009A0B1F">
      <w:pPr>
        <w:numPr>
          <w:ilvl w:val="0"/>
          <w:numId w:val="2"/>
        </w:numPr>
        <w:spacing w:after="120" w:line="360" w:lineRule="auto"/>
        <w:ind w:left="360"/>
        <w:jc w:val="both"/>
        <w:rPr>
          <w:rFonts w:ascii="Tahoma" w:hAnsi="Tahoma"/>
        </w:rPr>
      </w:pPr>
      <w:r w:rsidRPr="007C1744">
        <w:rPr>
          <w:rFonts w:ascii="Tahoma" w:hAnsi="Tahoma" w:hint="cs"/>
          <w:rtl/>
        </w:rPr>
        <w:t xml:space="preserve">דא עקא, שבעניין שלפניי בסופו של יום נערך הסדר טיעון </w:t>
      </w:r>
      <w:r w:rsidRPr="007C1744">
        <w:rPr>
          <w:rFonts w:ascii="Tahoma" w:hAnsi="Tahoma"/>
          <w:rtl/>
        </w:rPr>
        <w:t>–</w:t>
      </w:r>
      <w:r w:rsidRPr="007C1744">
        <w:rPr>
          <w:rFonts w:ascii="Tahoma" w:hAnsi="Tahoma" w:hint="cs"/>
          <w:rtl/>
        </w:rPr>
        <w:t xml:space="preserve"> המבוסס על הודאת הנאשם בעובדות כתב האישום המתוקן, אשר אינן כוללות תשתית העשויה להצדיק חילוט רכב שאינו </w:t>
      </w:r>
      <w:r>
        <w:rPr>
          <w:rFonts w:ascii="Tahoma" w:hAnsi="Tahoma" w:hint="cs"/>
          <w:rtl/>
        </w:rPr>
        <w:t xml:space="preserve">מצוי </w:t>
      </w:r>
      <w:r w:rsidRPr="007C1744">
        <w:rPr>
          <w:rFonts w:ascii="Tahoma" w:hAnsi="Tahoma" w:hint="cs"/>
          <w:rtl/>
        </w:rPr>
        <w:t>בבעלותו הפורמאלית של הנאשם. המסקנה המתבקשת</w:t>
      </w:r>
      <w:r>
        <w:rPr>
          <w:rFonts w:ascii="Tahoma" w:hAnsi="Tahoma" w:hint="cs"/>
          <w:rtl/>
        </w:rPr>
        <w:t xml:space="preserve"> היא</w:t>
      </w:r>
      <w:r w:rsidRPr="007C1744">
        <w:rPr>
          <w:rFonts w:ascii="Tahoma" w:hAnsi="Tahoma" w:hint="cs"/>
          <w:rtl/>
        </w:rPr>
        <w:t xml:space="preserve">, אפוא, שאין בידי להיעתר לבקשת המאשימה להורות על חילוט הרכב (לסוגיה דומה, בהקשר לחילוט רכוש לפי הוראות </w:t>
      </w:r>
      <w:hyperlink r:id="rId34" w:history="1">
        <w:r w:rsidR="000316AE" w:rsidRPr="000316AE">
          <w:rPr>
            <w:rFonts w:ascii="Tahoma" w:hAnsi="Tahoma"/>
            <w:color w:val="0000FF"/>
            <w:u w:val="single"/>
            <w:rtl/>
          </w:rPr>
          <w:t>פקודת הסמים המסוכנים</w:t>
        </w:r>
      </w:hyperlink>
      <w:r w:rsidRPr="007C1744">
        <w:rPr>
          <w:rFonts w:ascii="Tahoma" w:hAnsi="Tahoma" w:hint="cs"/>
          <w:rtl/>
        </w:rPr>
        <w:t xml:space="preserve"> [נוסח חדש], תשל"ג-1973, השווה </w:t>
      </w:r>
      <w:hyperlink r:id="rId35" w:history="1">
        <w:r w:rsidR="000316AE" w:rsidRPr="000316AE">
          <w:rPr>
            <w:rFonts w:ascii="Tahoma" w:hAnsi="Tahoma"/>
            <w:color w:val="0000FF"/>
            <w:u w:val="single"/>
            <w:rtl/>
          </w:rPr>
          <w:t>ת"פ (שלום ת"א) 18353-12-19</w:t>
        </w:r>
      </w:hyperlink>
      <w:r w:rsidR="000316AE">
        <w:rPr>
          <w:rFonts w:ascii="Tahoma" w:hAnsi="Tahoma"/>
          <w:rtl/>
        </w:rPr>
        <w:t xml:space="preserve"> </w:t>
      </w:r>
      <w:r w:rsidRPr="007C1744">
        <w:rPr>
          <w:rFonts w:ascii="Tahoma" w:hAnsi="Tahoma"/>
          <w:b/>
          <w:bCs/>
          <w:rtl/>
        </w:rPr>
        <w:t>מדינת ישראל נ' שבתייב</w:t>
      </w:r>
      <w:r w:rsidR="000316AE">
        <w:rPr>
          <w:rFonts w:ascii="Tahoma" w:hAnsi="Tahoma"/>
          <w:rtl/>
        </w:rPr>
        <w:t xml:space="preserve"> </w:t>
      </w:r>
      <w:r w:rsidRPr="007C1744">
        <w:rPr>
          <w:rFonts w:ascii="Tahoma" w:hAnsi="Tahoma"/>
          <w:rtl/>
        </w:rPr>
        <w:t>(19.07.2023)</w:t>
      </w:r>
      <w:r w:rsidRPr="007C1744">
        <w:rPr>
          <w:rFonts w:ascii="Tahoma" w:hAnsi="Tahoma" w:hint="cs"/>
          <w:rtl/>
        </w:rPr>
        <w:t>, בפסקה 35 ואילך לגזר הדין).</w:t>
      </w:r>
    </w:p>
    <w:p w14:paraId="53CFE299" w14:textId="77777777" w:rsidR="009A0B1F" w:rsidRPr="007C1744" w:rsidRDefault="009A0B1F" w:rsidP="009A0B1F">
      <w:pPr>
        <w:spacing w:after="120" w:line="360" w:lineRule="auto"/>
        <w:jc w:val="both"/>
        <w:rPr>
          <w:rFonts w:ascii="Tahoma" w:hAnsi="Tahoma"/>
          <w:rtl/>
        </w:rPr>
      </w:pPr>
    </w:p>
    <w:p w14:paraId="6934ED08" w14:textId="77777777" w:rsidR="009A0B1F" w:rsidRDefault="009A0B1F" w:rsidP="009A0B1F">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r>
        <w:rPr>
          <w:rFonts w:hint="cs"/>
          <w:b/>
          <w:bCs/>
          <w:u w:val="single"/>
          <w:rtl/>
        </w:rPr>
        <w:t xml:space="preserve"> ודרך נשיאת עונש המאסר</w:t>
      </w:r>
      <w:r w:rsidRPr="00CE1F20">
        <w:rPr>
          <w:rFonts w:hint="cs"/>
          <w:b/>
          <w:bCs/>
          <w:u w:val="single"/>
          <w:rtl/>
        </w:rPr>
        <w:t>:</w:t>
      </w:r>
    </w:p>
    <w:p w14:paraId="2E7649DD" w14:textId="77777777" w:rsidR="009A0B1F" w:rsidRDefault="009A0B1F" w:rsidP="009A0B1F">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תוך התחשבות בנסיבות שאינן קשורות בביצוע העבירות, לרבות אלה המנויות בהוראות </w:t>
      </w:r>
      <w:hyperlink r:id="rId36" w:history="1">
        <w:r w:rsidR="00AC76AD" w:rsidRPr="00AC76AD">
          <w:rPr>
            <w:rStyle w:val="Hyperlink"/>
            <w:rFonts w:hint="eastAsia"/>
            <w:rtl/>
          </w:rPr>
          <w:t>סעיף</w:t>
        </w:r>
        <w:r w:rsidR="00AC76AD" w:rsidRPr="00AC76AD">
          <w:rPr>
            <w:rStyle w:val="Hyperlink"/>
            <w:rtl/>
          </w:rPr>
          <w:t xml:space="preserve"> 40יא</w:t>
        </w:r>
      </w:hyperlink>
      <w:r>
        <w:rPr>
          <w:rFonts w:hint="cs"/>
          <w:rtl/>
        </w:rPr>
        <w:t xml:space="preserve"> ל</w:t>
      </w:r>
      <w:hyperlink r:id="rId37" w:history="1">
        <w:r w:rsidR="000316AE" w:rsidRPr="000316AE">
          <w:rPr>
            <w:color w:val="0000FF"/>
            <w:u w:val="single"/>
            <w:rtl/>
          </w:rPr>
          <w:t>חוק העונשין</w:t>
        </w:r>
      </w:hyperlink>
      <w:r>
        <w:rPr>
          <w:rFonts w:hint="cs"/>
          <w:rtl/>
        </w:rPr>
        <w:t>.</w:t>
      </w:r>
    </w:p>
    <w:p w14:paraId="0AFC63BA" w14:textId="77777777" w:rsidR="009A0B1F" w:rsidRPr="00014B6B" w:rsidRDefault="009A0B1F" w:rsidP="009A0B1F">
      <w:pPr>
        <w:numPr>
          <w:ilvl w:val="0"/>
          <w:numId w:val="2"/>
        </w:numPr>
        <w:spacing w:after="120" w:line="360" w:lineRule="auto"/>
        <w:ind w:left="360"/>
        <w:jc w:val="both"/>
        <w:rPr>
          <w:rFonts w:ascii="Tahoma" w:hAnsi="Tahoma"/>
        </w:rPr>
      </w:pPr>
      <w:r>
        <w:rPr>
          <w:rFonts w:hint="cs"/>
          <w:rtl/>
        </w:rPr>
        <w:t>אשר לנאשם שלפניי, השיקולים הרלוואנטיים לגזירת עונשו הם כלהלן:</w:t>
      </w:r>
    </w:p>
    <w:p w14:paraId="0F8A9224" w14:textId="77777777" w:rsidR="009A0B1F" w:rsidRDefault="009A0B1F" w:rsidP="009A0B1F">
      <w:pPr>
        <w:snapToGrid w:val="0"/>
        <w:spacing w:after="120" w:line="360" w:lineRule="auto"/>
        <w:ind w:left="720"/>
        <w:jc w:val="both"/>
        <w:rPr>
          <w:rtl/>
        </w:rPr>
      </w:pPr>
      <w:r w:rsidRPr="00627467">
        <w:rPr>
          <w:rFonts w:hint="cs"/>
          <w:b/>
          <w:bCs/>
          <w:rtl/>
        </w:rPr>
        <w:t xml:space="preserve">עברו הפלילי של הנאשם </w:t>
      </w:r>
      <w:r w:rsidRPr="00627467">
        <w:rPr>
          <w:b/>
          <w:bCs/>
          <w:rtl/>
        </w:rPr>
        <w:t>–</w:t>
      </w:r>
      <w:r w:rsidRPr="00627467">
        <w:rPr>
          <w:rFonts w:hint="cs"/>
          <w:b/>
          <w:bCs/>
          <w:rtl/>
        </w:rPr>
        <w:t xml:space="preserve"> </w:t>
      </w:r>
      <w:r>
        <w:rPr>
          <w:rFonts w:hint="cs"/>
          <w:rtl/>
        </w:rPr>
        <w:t>לנאשם עבר פלילי מכביד, הכולל 21 רישומים קודמים החל מבית המשפט לנוער, ובעבר אף נגזרו עליו עונשי מאסר בפועל. נתון זה הוא בעל משמעות מהותית, שכן ניתן ללמוד ממנו כי עסקינן בנאשם החוזר ומבצע עבירות, הפוגעות בציבור, וכי העונשים שהושתו עליו בעבר לא הרתיעו אותו מלחזור ולשוב לסורו. עם זאת, יש להתחשב גם בכך שהרשעתו הקודמת האחרונה של הנאשם היא משנת 2021, בגין ביצוע עבירות בשנת 2017.</w:t>
      </w:r>
    </w:p>
    <w:p w14:paraId="52153210" w14:textId="77777777" w:rsidR="009A0B1F" w:rsidRDefault="009A0B1F" w:rsidP="009A0B1F">
      <w:pPr>
        <w:snapToGrid w:val="0"/>
        <w:spacing w:after="120" w:line="360" w:lineRule="auto"/>
        <w:ind w:left="720"/>
        <w:jc w:val="both"/>
        <w:rPr>
          <w:rtl/>
        </w:rPr>
      </w:pPr>
      <w:r w:rsidRPr="0047118D">
        <w:rPr>
          <w:rFonts w:hint="cs"/>
          <w:b/>
          <w:bCs/>
          <w:rtl/>
        </w:rPr>
        <w:t>הפגיעה של העונש בנאשם ובמשפחתו –</w:t>
      </w:r>
      <w:r w:rsidRPr="0047118D">
        <w:rPr>
          <w:rFonts w:hint="cs"/>
          <w:rtl/>
        </w:rPr>
        <w:t xml:space="preserve"> הטלת עונש של מאסר בפועל תפגע הן בנאשם </w:t>
      </w:r>
      <w:r>
        <w:rPr>
          <w:rFonts w:hint="cs"/>
          <w:rtl/>
        </w:rPr>
        <w:t xml:space="preserve">(כאמור, יליד שנת 1980) </w:t>
      </w:r>
      <w:r w:rsidRPr="0047118D">
        <w:rPr>
          <w:rFonts w:hint="cs"/>
          <w:rtl/>
        </w:rPr>
        <w:t>והן במשפחתו</w:t>
      </w:r>
      <w:r>
        <w:rPr>
          <w:rFonts w:hint="cs"/>
          <w:rtl/>
        </w:rPr>
        <w:t>, כאשר הוא אב לילדה קטנה.</w:t>
      </w:r>
    </w:p>
    <w:p w14:paraId="122E787E" w14:textId="77777777" w:rsidR="009A0B1F" w:rsidRDefault="009A0B1F" w:rsidP="009A0B1F">
      <w:pPr>
        <w:snapToGrid w:val="0"/>
        <w:spacing w:after="120" w:line="360" w:lineRule="auto"/>
        <w:ind w:left="720"/>
        <w:jc w:val="both"/>
        <w:rPr>
          <w:rtl/>
        </w:rPr>
      </w:pPr>
      <w:r w:rsidRPr="00627467">
        <w:rPr>
          <w:rFonts w:hint="cs"/>
          <w:b/>
          <w:bCs/>
          <w:rtl/>
        </w:rPr>
        <w:t xml:space="preserve">הודאה ונטילת אחריות </w:t>
      </w:r>
      <w:r>
        <w:rPr>
          <w:rtl/>
        </w:rPr>
        <w:t>–</w:t>
      </w:r>
      <w:r>
        <w:rPr>
          <w:rFonts w:hint="cs"/>
          <w:rtl/>
        </w:rPr>
        <w:t xml:space="preserve"> הנאשם הודה בעובדות כתב האישום המתוקן. בכך חסך הנאשם מזמנם של העדים, הצדדים ובית המשפט. נסיבות אלה, ובמיוחד הוויתור על העדת המתלונן, יש לזקוף לזכותו של הנאשם.</w:t>
      </w:r>
    </w:p>
    <w:p w14:paraId="1BD123BC" w14:textId="77777777" w:rsidR="009A0B1F" w:rsidRPr="00987A49" w:rsidRDefault="009A0B1F" w:rsidP="009A0B1F">
      <w:pPr>
        <w:numPr>
          <w:ilvl w:val="0"/>
          <w:numId w:val="2"/>
        </w:numPr>
        <w:spacing w:after="120" w:line="360" w:lineRule="auto"/>
        <w:ind w:left="360"/>
        <w:jc w:val="both"/>
        <w:rPr>
          <w:rFonts w:ascii="Tahoma" w:hAnsi="Tahoma"/>
        </w:rPr>
      </w:pPr>
      <w:r w:rsidRPr="00987A49">
        <w:rPr>
          <w:rFonts w:ascii="Tahoma" w:hAnsi="Tahoma"/>
          <w:rtl/>
        </w:rPr>
        <w:t>בהתחשב במכלול נסיבות העניין</w:t>
      </w:r>
      <w:r w:rsidRPr="00987A49">
        <w:rPr>
          <w:rFonts w:ascii="Tahoma" w:hAnsi="Tahoma" w:hint="cs"/>
          <w:rtl/>
        </w:rPr>
        <w:t xml:space="preserve"> </w:t>
      </w:r>
      <w:r w:rsidRPr="00987A49">
        <w:rPr>
          <w:rFonts w:ascii="Tahoma" w:hAnsi="Tahoma"/>
          <w:rtl/>
        </w:rPr>
        <w:t>הוריתי בזמנו לממונה על עבודות השירות לבחון את אפשרות התאמתו של הנאשם ל</w:t>
      </w:r>
      <w:r w:rsidRPr="00987A49">
        <w:rPr>
          <w:rFonts w:ascii="Tahoma" w:hAnsi="Tahoma" w:hint="cs"/>
          <w:rtl/>
        </w:rPr>
        <w:t xml:space="preserve">נשיאת עונש של מאסר בפועל בדרך של </w:t>
      </w:r>
      <w:r w:rsidRPr="00987A49">
        <w:rPr>
          <w:rFonts w:ascii="Tahoma" w:hAnsi="Tahoma"/>
          <w:rtl/>
        </w:rPr>
        <w:t xml:space="preserve">עבודות שירות (ר' בהחלטה מיום </w:t>
      </w:r>
      <w:r w:rsidRPr="00987A49">
        <w:rPr>
          <w:rFonts w:ascii="Tahoma" w:hAnsi="Tahoma" w:hint="cs"/>
          <w:rtl/>
        </w:rPr>
        <w:t>29.01.2024</w:t>
      </w:r>
      <w:r w:rsidRPr="00987A49">
        <w:rPr>
          <w:rFonts w:ascii="Tahoma" w:hAnsi="Tahoma"/>
          <w:rtl/>
        </w:rPr>
        <w:t>).</w:t>
      </w:r>
      <w:r w:rsidRPr="00987A49">
        <w:rPr>
          <w:rFonts w:ascii="Tahoma" w:hAnsi="Tahoma" w:hint="cs"/>
          <w:rtl/>
        </w:rPr>
        <w:t xml:space="preserve"> ואולם, בחוות הדעת שהוכנה (מיום 12.05.2024) צוין כי הנאשם אינו מתאים לנשיאת מאסר בדרך של עבודות שירות בשל מידע מודיעיני ממשטרת ישראל </w:t>
      </w:r>
      <w:r w:rsidRPr="00987A49">
        <w:rPr>
          <w:rFonts w:ascii="Tahoma" w:hAnsi="Tahoma"/>
          <w:rtl/>
        </w:rPr>
        <w:t>–</w:t>
      </w:r>
      <w:r w:rsidRPr="00987A49">
        <w:rPr>
          <w:rFonts w:ascii="Tahoma" w:hAnsi="Tahoma" w:hint="cs"/>
          <w:rtl/>
        </w:rPr>
        <w:t xml:space="preserve"> שלפיו קיים יסוד סביר לחשש לפגיעה בגופו או בחייו של אדם, לרבות הנאשם, במסגרת נשיאת עבודות שירות.</w:t>
      </w:r>
    </w:p>
    <w:p w14:paraId="4154B259" w14:textId="77777777" w:rsidR="009A0B1F" w:rsidRDefault="009A0B1F" w:rsidP="009A0B1F">
      <w:pPr>
        <w:numPr>
          <w:ilvl w:val="0"/>
          <w:numId w:val="2"/>
        </w:numPr>
        <w:spacing w:after="120" w:line="360" w:lineRule="auto"/>
        <w:ind w:left="360"/>
        <w:jc w:val="both"/>
        <w:rPr>
          <w:rFonts w:ascii="Tahoma" w:hAnsi="Tahoma"/>
        </w:rPr>
      </w:pPr>
      <w:r>
        <w:rPr>
          <w:rFonts w:ascii="Tahoma" w:hAnsi="Tahoma"/>
          <w:rtl/>
        </w:rPr>
        <w:t>ב"כ הנאש</w:t>
      </w:r>
      <w:r w:rsidRPr="003D2A2B">
        <w:rPr>
          <w:rFonts w:ascii="Tahoma" w:hAnsi="Tahoma"/>
          <w:rtl/>
        </w:rPr>
        <w:t xml:space="preserve">ם </w:t>
      </w:r>
      <w:r>
        <w:rPr>
          <w:rFonts w:ascii="Tahoma" w:hAnsi="Tahoma" w:hint="cs"/>
          <w:rtl/>
        </w:rPr>
        <w:t xml:space="preserve">הגיב לחוות הדעת בטענה להתנכלות משטרתית רבת שנים כלפי הנאשם, לסברתו בשל סירוב הנאשם לשתף פעולה עם גורמי מודיעין; ועתר לעריכת </w:t>
      </w:r>
      <w:r w:rsidRPr="003D2A2B">
        <w:rPr>
          <w:rFonts w:ascii="Tahoma" w:hAnsi="Tahoma"/>
          <w:rtl/>
        </w:rPr>
        <w:t xml:space="preserve">דיון לפי הוראות </w:t>
      </w:r>
      <w:hyperlink r:id="rId38" w:history="1">
        <w:r w:rsidR="00AC76AD" w:rsidRPr="00AC76AD">
          <w:rPr>
            <w:rStyle w:val="Hyperlink"/>
            <w:rFonts w:ascii="Tahoma" w:hAnsi="Tahoma"/>
            <w:rtl/>
          </w:rPr>
          <w:t>סעיף 51ב(ב4)</w:t>
        </w:r>
      </w:hyperlink>
      <w:r w:rsidRPr="003D2A2B">
        <w:rPr>
          <w:rFonts w:ascii="Tahoma" w:hAnsi="Tahoma"/>
          <w:rtl/>
        </w:rPr>
        <w:t xml:space="preserve"> ל</w:t>
      </w:r>
      <w:hyperlink r:id="rId39" w:history="1">
        <w:r w:rsidR="000316AE" w:rsidRPr="000316AE">
          <w:rPr>
            <w:rFonts w:ascii="Tahoma" w:hAnsi="Tahoma"/>
            <w:color w:val="0000FF"/>
            <w:u w:val="single"/>
            <w:rtl/>
          </w:rPr>
          <w:t>חוק העונשין</w:t>
        </w:r>
      </w:hyperlink>
      <w:r w:rsidRPr="003D2A2B">
        <w:rPr>
          <w:rFonts w:ascii="Tahoma" w:hAnsi="Tahoma"/>
          <w:rtl/>
        </w:rPr>
        <w:t xml:space="preserve"> </w:t>
      </w:r>
      <w:r>
        <w:rPr>
          <w:rFonts w:ascii="Tahoma" w:hAnsi="Tahoma" w:hint="cs"/>
          <w:rtl/>
        </w:rPr>
        <w:t>בנוכחות גורמי המודיעין הרלוואנטיים. בדיון שנערך לאחר מכן אמנם הופיע בבית המשפט קצין המודיעין הרלוואנטי והציג לפני בית המשפט, במעמד צד אחד, את הידיעות המודיעיניות המבססות את החשד הנטען. כפי שצוין בהחלטה, שניתנה לאחר מכן, מדובר במספר ידיעות טריות יחסית, שתוכנן מדבר בעד עצמו (ר' ההחלטה בפרוטוקול, עמ' 37). עם זאת, בנסיבות שעלו בדיון הוריתי לממונה על עבודות השירות לבחון את האפשרות של שילוב הנאשם בעבודות שירות שיבוצעו במסגרת שב"ס. ואולם, בחוות הדעת המשלימה שהכין הממונה (מיום 11.08.2024) לא נמצאה אפשרות כזו, נוכח טיב המידעים המודיעיניים.</w:t>
      </w:r>
    </w:p>
    <w:p w14:paraId="694ACC02" w14:textId="77777777" w:rsidR="009A0B1F" w:rsidRDefault="009A0B1F" w:rsidP="009A0B1F">
      <w:pPr>
        <w:numPr>
          <w:ilvl w:val="0"/>
          <w:numId w:val="2"/>
        </w:numPr>
        <w:spacing w:after="120" w:line="360" w:lineRule="auto"/>
        <w:ind w:left="360"/>
        <w:jc w:val="both"/>
        <w:rPr>
          <w:rFonts w:ascii="Tahoma" w:hAnsi="Tahoma"/>
        </w:rPr>
      </w:pPr>
      <w:r w:rsidRPr="00D167D7">
        <w:rPr>
          <w:rFonts w:ascii="Tahoma" w:hAnsi="Tahoma" w:hint="cs"/>
          <w:rtl/>
        </w:rPr>
        <w:t xml:space="preserve">בנסיבות אלה, ברי כי הנאשם אינו יכול לשאת את עונש המאסר שייגזר עליו בדרך של עבודות שירות. כאן יש לציין, כי </w:t>
      </w:r>
      <w:r>
        <w:rPr>
          <w:rFonts w:ascii="Tahoma" w:hAnsi="Tahoma" w:hint="cs"/>
          <w:rtl/>
        </w:rPr>
        <w:t xml:space="preserve">בהתאם להוראותיו המפורשות של </w:t>
      </w:r>
      <w:hyperlink r:id="rId40" w:history="1">
        <w:r w:rsidR="000316AE" w:rsidRPr="000316AE">
          <w:rPr>
            <w:rFonts w:ascii="Tahoma" w:hAnsi="Tahoma"/>
            <w:color w:val="0000FF"/>
            <w:u w:val="single"/>
            <w:rtl/>
          </w:rPr>
          <w:t>חוק העונשין</w:t>
        </w:r>
      </w:hyperlink>
      <w:r>
        <w:rPr>
          <w:rFonts w:ascii="Tahoma" w:hAnsi="Tahoma" w:hint="cs"/>
          <w:rtl/>
        </w:rPr>
        <w:t xml:space="preserve"> (</w:t>
      </w:r>
      <w:hyperlink r:id="rId41" w:history="1">
        <w:r w:rsidR="00AC76AD" w:rsidRPr="00AC76AD">
          <w:rPr>
            <w:rStyle w:val="Hyperlink"/>
            <w:rFonts w:ascii="Tahoma" w:hAnsi="Tahoma" w:hint="eastAsia"/>
            <w:rtl/>
          </w:rPr>
          <w:t>בסעיף</w:t>
        </w:r>
        <w:r w:rsidR="00AC76AD" w:rsidRPr="00AC76AD">
          <w:rPr>
            <w:rStyle w:val="Hyperlink"/>
            <w:rFonts w:ascii="Tahoma" w:hAnsi="Tahoma"/>
            <w:rtl/>
          </w:rPr>
          <w:t xml:space="preserve"> 51ב(א))</w:t>
        </w:r>
      </w:hyperlink>
      <w:r>
        <w:rPr>
          <w:rFonts w:ascii="Tahoma" w:hAnsi="Tahoma" w:hint="cs"/>
          <w:rtl/>
        </w:rPr>
        <w:t xml:space="preserve">, </w:t>
      </w:r>
      <w:r w:rsidRPr="00D167D7">
        <w:rPr>
          <w:rFonts w:ascii="Tahoma" w:hAnsi="Tahoma"/>
          <w:rtl/>
        </w:rPr>
        <w:t>עבודות שירות אינן אלא דרך לנשיאת עונש של מאסר בפועל</w:t>
      </w:r>
      <w:r>
        <w:rPr>
          <w:rFonts w:ascii="Tahoma" w:hAnsi="Tahoma" w:hint="cs"/>
          <w:rtl/>
        </w:rPr>
        <w:t xml:space="preserve">. </w:t>
      </w:r>
      <w:r w:rsidRPr="00D167D7">
        <w:rPr>
          <w:rFonts w:ascii="Tahoma" w:hAnsi="Tahoma"/>
          <w:rtl/>
        </w:rPr>
        <w:t>מכאן</w:t>
      </w:r>
      <w:r>
        <w:rPr>
          <w:rFonts w:ascii="Tahoma" w:hAnsi="Tahoma" w:hint="cs"/>
          <w:rtl/>
        </w:rPr>
        <w:t>,</w:t>
      </w:r>
      <w:r w:rsidRPr="00D167D7">
        <w:rPr>
          <w:rFonts w:ascii="Tahoma" w:hAnsi="Tahoma"/>
          <w:rtl/>
        </w:rPr>
        <w:t xml:space="preserve"> שלפי הוראות אלה מבחינה משפטית-עקרונית אין כל הבדל בין מאסר בפועל (לנשיאה מאחורי סורג ובריח) לבין מאסר</w:t>
      </w:r>
      <w:r>
        <w:rPr>
          <w:rFonts w:ascii="Tahoma" w:hAnsi="Tahoma"/>
          <w:rtl/>
        </w:rPr>
        <w:t xml:space="preserve"> בפועל (לנשיאה בעבודות שירות)</w:t>
      </w:r>
      <w:r>
        <w:rPr>
          <w:rFonts w:ascii="Tahoma" w:hAnsi="Tahoma" w:hint="cs"/>
          <w:rtl/>
        </w:rPr>
        <w:t xml:space="preserve"> ולמעשה מתקיימת שקילות ביניהם</w:t>
      </w:r>
      <w:r>
        <w:rPr>
          <w:rFonts w:ascii="Tahoma" w:hAnsi="Tahoma"/>
          <w:rtl/>
        </w:rPr>
        <w:t>. ל</w:t>
      </w:r>
      <w:r w:rsidRPr="00D167D7">
        <w:rPr>
          <w:rFonts w:ascii="Tahoma" w:hAnsi="Tahoma"/>
          <w:rtl/>
        </w:rPr>
        <w:t xml:space="preserve">רקע זה אף נפסק </w:t>
      </w:r>
      <w:r>
        <w:rPr>
          <w:rFonts w:ascii="Tahoma" w:hAnsi="Tahoma" w:hint="cs"/>
          <w:rtl/>
        </w:rPr>
        <w:t xml:space="preserve">בעבר </w:t>
      </w:r>
      <w:r w:rsidRPr="00D167D7">
        <w:rPr>
          <w:rFonts w:ascii="Tahoma" w:hAnsi="Tahoma"/>
          <w:rtl/>
        </w:rPr>
        <w:t>כי עבודות שירות "</w:t>
      </w:r>
      <w:r w:rsidRPr="00D167D7">
        <w:rPr>
          <w:rFonts w:ascii="Tahoma" w:hAnsi="Tahoma"/>
          <w:b/>
          <w:bCs/>
          <w:rtl/>
        </w:rPr>
        <w:t>אינן סוג נוסף של עונש, אלא אך צורה מיוחדת לנשיאתו... זו למעשה אופציה שמוענקת לנאשם, שכן נגזר עליו עונש מאסר, אך ניתנת לו האפשרות לרצות את מאסרו מחוץ לכותלי בית הכלא</w:t>
      </w:r>
      <w:r w:rsidRPr="00D167D7">
        <w:rPr>
          <w:rFonts w:ascii="Tahoma" w:hAnsi="Tahoma"/>
          <w:rtl/>
        </w:rPr>
        <w:t>" (</w:t>
      </w:r>
      <w:hyperlink r:id="rId42" w:history="1">
        <w:r w:rsidR="000316AE" w:rsidRPr="000316AE">
          <w:rPr>
            <w:rFonts w:ascii="Tahoma" w:hAnsi="Tahoma"/>
            <w:color w:val="0000FF"/>
            <w:u w:val="single"/>
            <w:rtl/>
          </w:rPr>
          <w:t>רע"ב 10509/06</w:t>
        </w:r>
      </w:hyperlink>
      <w:r w:rsidR="000316AE">
        <w:rPr>
          <w:rFonts w:ascii="Tahoma" w:hAnsi="Tahoma"/>
          <w:rtl/>
        </w:rPr>
        <w:t xml:space="preserve"> </w:t>
      </w:r>
      <w:r w:rsidRPr="00D167D7">
        <w:rPr>
          <w:rFonts w:ascii="Tahoma" w:hAnsi="Tahoma"/>
          <w:b/>
          <w:bCs/>
          <w:rtl/>
        </w:rPr>
        <w:t>פרידמן נ' שירות בתי הסוהר</w:t>
      </w:r>
      <w:r w:rsidR="000316AE">
        <w:rPr>
          <w:rFonts w:ascii="Tahoma" w:hAnsi="Tahoma"/>
          <w:rtl/>
        </w:rPr>
        <w:t xml:space="preserve"> </w:t>
      </w:r>
      <w:r w:rsidRPr="00D167D7">
        <w:rPr>
          <w:rFonts w:ascii="Tahoma" w:hAnsi="Tahoma"/>
          <w:rtl/>
        </w:rPr>
        <w:t>(04.02.2007), בפסקה 4 להחלטה).</w:t>
      </w:r>
    </w:p>
    <w:p w14:paraId="75815419" w14:textId="77777777" w:rsidR="009A0B1F" w:rsidRDefault="009A0B1F" w:rsidP="009A0B1F">
      <w:pPr>
        <w:numPr>
          <w:ilvl w:val="0"/>
          <w:numId w:val="2"/>
        </w:numPr>
        <w:spacing w:after="120" w:line="360" w:lineRule="auto"/>
        <w:ind w:left="360"/>
        <w:jc w:val="both"/>
        <w:rPr>
          <w:rFonts w:ascii="Tahoma" w:hAnsi="Tahoma"/>
        </w:rPr>
      </w:pPr>
      <w:r w:rsidRPr="005E2FE8">
        <w:rPr>
          <w:rFonts w:ascii="Tahoma" w:hAnsi="Tahoma"/>
          <w:rtl/>
        </w:rPr>
        <w:t>עם זאת, לא ניתן להתעלם מכך כי בפועל, הלכה למעשה, עונש של מאסר לנשיאה בבית סוהר הוא קשה לנשיאה מעונש כאמור ב</w:t>
      </w:r>
      <w:r>
        <w:rPr>
          <w:rFonts w:ascii="Tahoma" w:hAnsi="Tahoma" w:hint="cs"/>
          <w:rtl/>
        </w:rPr>
        <w:t xml:space="preserve">דרך של </w:t>
      </w:r>
      <w:r w:rsidRPr="005E2FE8">
        <w:rPr>
          <w:rFonts w:ascii="Tahoma" w:hAnsi="Tahoma"/>
          <w:rtl/>
        </w:rPr>
        <w:t xml:space="preserve">עבודות שירות; וכך הוא אף נתפס בעיני הנאשמים ובעיני הציבור בכלל. לפיכך, </w:t>
      </w:r>
      <w:r>
        <w:rPr>
          <w:rFonts w:ascii="Tahoma" w:hAnsi="Tahoma" w:hint="cs"/>
          <w:rtl/>
        </w:rPr>
        <w:t xml:space="preserve">בעת גזירת </w:t>
      </w:r>
      <w:r w:rsidRPr="005E2FE8">
        <w:rPr>
          <w:rFonts w:ascii="Tahoma" w:hAnsi="Tahoma" w:hint="cs"/>
          <w:rtl/>
        </w:rPr>
        <w:t>עונש</w:t>
      </w:r>
      <w:r>
        <w:rPr>
          <w:rFonts w:ascii="Tahoma" w:hAnsi="Tahoma" w:hint="cs"/>
          <w:rtl/>
        </w:rPr>
        <w:t>ו של נאשם</w:t>
      </w:r>
      <w:r w:rsidRPr="005E2FE8">
        <w:rPr>
          <w:rFonts w:ascii="Tahoma" w:hAnsi="Tahoma" w:hint="cs"/>
          <w:rtl/>
        </w:rPr>
        <w:t xml:space="preserve"> בתוך מתחם העונש ההולם ראוי ליתן לעובדה שהנאשם נפסל מנשיאת עונש המאסר בדרך של עבודות שירות משקל מסוים לכף קולה (השווה למשל למקרה מושא </w:t>
      </w:r>
      <w:hyperlink r:id="rId43" w:history="1">
        <w:r w:rsidR="000316AE" w:rsidRPr="000316AE">
          <w:rPr>
            <w:rFonts w:ascii="Tahoma" w:hAnsi="Tahoma"/>
            <w:color w:val="0000FF"/>
            <w:u w:val="single"/>
            <w:rtl/>
          </w:rPr>
          <w:t>רע"פ 6896/16</w:t>
        </w:r>
      </w:hyperlink>
      <w:r w:rsidR="000316AE">
        <w:rPr>
          <w:rFonts w:ascii="Tahoma" w:hAnsi="Tahoma"/>
          <w:rtl/>
        </w:rPr>
        <w:t xml:space="preserve"> </w:t>
      </w:r>
      <w:r w:rsidRPr="005E2FE8">
        <w:rPr>
          <w:rFonts w:ascii="Tahoma" w:hAnsi="Tahoma"/>
          <w:b/>
          <w:bCs/>
          <w:rtl/>
        </w:rPr>
        <w:t>חן נ' מדינת ישראל</w:t>
      </w:r>
      <w:r w:rsidR="000316AE">
        <w:rPr>
          <w:rFonts w:ascii="Tahoma" w:hAnsi="Tahoma"/>
          <w:rtl/>
        </w:rPr>
        <w:t xml:space="preserve"> </w:t>
      </w:r>
      <w:r w:rsidRPr="005E2FE8">
        <w:rPr>
          <w:rFonts w:ascii="Tahoma" w:hAnsi="Tahoma"/>
          <w:rtl/>
        </w:rPr>
        <w:t>(12.</w:t>
      </w:r>
      <w:r>
        <w:rPr>
          <w:rFonts w:ascii="Tahoma" w:hAnsi="Tahoma" w:hint="cs"/>
          <w:rtl/>
        </w:rPr>
        <w:t>0</w:t>
      </w:r>
      <w:r w:rsidRPr="005E2FE8">
        <w:rPr>
          <w:rFonts w:ascii="Tahoma" w:hAnsi="Tahoma"/>
          <w:rtl/>
        </w:rPr>
        <w:t>9.2016)</w:t>
      </w:r>
      <w:r>
        <w:rPr>
          <w:rFonts w:ascii="Tahoma" w:hAnsi="Tahoma" w:hint="cs"/>
          <w:rtl/>
        </w:rPr>
        <w:t>).</w:t>
      </w:r>
    </w:p>
    <w:p w14:paraId="7D842815" w14:textId="77777777" w:rsidR="009A0B1F" w:rsidRPr="005E2FE8" w:rsidRDefault="009A0B1F" w:rsidP="009A0B1F">
      <w:pPr>
        <w:numPr>
          <w:ilvl w:val="0"/>
          <w:numId w:val="2"/>
        </w:numPr>
        <w:spacing w:after="120" w:line="360" w:lineRule="auto"/>
        <w:ind w:left="360"/>
        <w:jc w:val="both"/>
        <w:rPr>
          <w:rFonts w:ascii="Tahoma" w:hAnsi="Tahoma"/>
        </w:rPr>
      </w:pPr>
      <w:r w:rsidRPr="005E2FE8">
        <w:rPr>
          <w:rFonts w:ascii="Tahoma" w:hAnsi="Tahoma" w:hint="cs"/>
          <w:rtl/>
        </w:rPr>
        <w:t>אשר לגזירת עונשו ש</w:t>
      </w:r>
      <w:r>
        <w:rPr>
          <w:rFonts w:ascii="Tahoma" w:hAnsi="Tahoma" w:hint="cs"/>
          <w:rtl/>
        </w:rPr>
        <w:t>ל הנאשם בתוך מתחם העונש ההולם</w:t>
      </w:r>
      <w:r w:rsidRPr="005E2FE8">
        <w:rPr>
          <w:rFonts w:ascii="Tahoma" w:hAnsi="Tahoma" w:hint="cs"/>
          <w:rtl/>
        </w:rPr>
        <w:t xml:space="preserve"> יש לציין, לכף קולה,</w:t>
      </w:r>
      <w:r>
        <w:rPr>
          <w:rFonts w:ascii="Tahoma" w:hAnsi="Tahoma" w:hint="cs"/>
          <w:rtl/>
        </w:rPr>
        <w:t xml:space="preserve"> כי הנאשם</w:t>
      </w:r>
      <w:r w:rsidRPr="005E2FE8">
        <w:rPr>
          <w:rFonts w:ascii="Tahoma" w:hAnsi="Tahoma" w:hint="cs"/>
          <w:rtl/>
        </w:rPr>
        <w:t xml:space="preserve"> הודה </w:t>
      </w:r>
      <w:r>
        <w:rPr>
          <w:rFonts w:ascii="Tahoma" w:hAnsi="Tahoma" w:hint="cs"/>
          <w:rtl/>
        </w:rPr>
        <w:t xml:space="preserve">בעובדות כתב האישום המתוקן </w:t>
      </w:r>
      <w:r w:rsidRPr="005E2FE8">
        <w:rPr>
          <w:rFonts w:ascii="Tahoma" w:hAnsi="Tahoma" w:hint="cs"/>
          <w:rtl/>
        </w:rPr>
        <w:t xml:space="preserve">ונטל אחריות על מעשיו, ונשיאת עונש של מאסר בפועל </w:t>
      </w:r>
      <w:r>
        <w:rPr>
          <w:rFonts w:ascii="Tahoma" w:hAnsi="Tahoma" w:hint="cs"/>
          <w:rtl/>
        </w:rPr>
        <w:t xml:space="preserve">אף </w:t>
      </w:r>
      <w:r w:rsidRPr="005E2FE8">
        <w:rPr>
          <w:rFonts w:ascii="Tahoma" w:hAnsi="Tahoma" w:hint="cs"/>
          <w:rtl/>
        </w:rPr>
        <w:t xml:space="preserve">תפגע בו ובמשפחתו. מנגד ולכף חומרה יש להדגיש כי לנאשם עבר פלילי מכביד, לרבות בנשיאת עונשי מאסר בפועל. במכלול נסיבות אלה, ברגיל לא היה מקום לגזור את דינו של הנאשם ברף התחתון של מתחם העונש ההולם, אך בהתחשב בפסילתו מנשיאת עונשו בדרך של עבודות שירות </w:t>
      </w:r>
      <w:r w:rsidRPr="005E2FE8">
        <w:rPr>
          <w:rFonts w:ascii="Tahoma" w:hAnsi="Tahoma"/>
          <w:rtl/>
        </w:rPr>
        <w:t>–</w:t>
      </w:r>
      <w:r w:rsidRPr="005E2FE8">
        <w:rPr>
          <w:rFonts w:ascii="Tahoma" w:hAnsi="Tahoma" w:hint="cs"/>
          <w:rtl/>
        </w:rPr>
        <w:t xml:space="preserve"> כך אני קובע. כל זאת, תוך איזון הקלה זו בהשתת ענישה כלכלית הולמת.</w:t>
      </w:r>
    </w:p>
    <w:p w14:paraId="5202A823" w14:textId="77777777" w:rsidR="009A0B1F" w:rsidRPr="00987A49" w:rsidRDefault="009A0B1F" w:rsidP="009A0B1F">
      <w:pPr>
        <w:spacing w:after="120" w:line="360" w:lineRule="auto"/>
        <w:jc w:val="both"/>
        <w:rPr>
          <w:rFonts w:ascii="Tahoma" w:hAnsi="Tahoma"/>
          <w:rtl/>
        </w:rPr>
      </w:pPr>
    </w:p>
    <w:p w14:paraId="4AF91FF4" w14:textId="77777777" w:rsidR="009A0B1F" w:rsidRDefault="009A0B1F" w:rsidP="009A0B1F">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524BBA4B" w14:textId="77777777" w:rsidR="009A0B1F" w:rsidRPr="002059D0" w:rsidRDefault="009A0B1F" w:rsidP="009A0B1F">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3E36A33E" w14:textId="77777777" w:rsidR="009A0B1F" w:rsidRDefault="009A0B1F" w:rsidP="009A0B1F">
      <w:pPr>
        <w:spacing w:after="120" w:line="360" w:lineRule="auto"/>
        <w:ind w:left="1080" w:hanging="720"/>
        <w:jc w:val="both"/>
        <w:rPr>
          <w:rFonts w:ascii="Tahoma" w:hAnsi="Tahoma"/>
          <w:rtl/>
        </w:rPr>
      </w:pPr>
      <w:r>
        <w:rPr>
          <w:rFonts w:hint="cs"/>
          <w:rtl/>
        </w:rPr>
        <w:t>(א)</w:t>
      </w:r>
      <w:r>
        <w:rPr>
          <w:rtl/>
        </w:rPr>
        <w:tab/>
      </w:r>
      <w:r>
        <w:rPr>
          <w:rFonts w:hint="cs"/>
          <w:rtl/>
        </w:rPr>
        <w:t>6 חודשי מאסר בפועל, בניכוי ימי מעצרו בהתאם לרישומי שירות בתי הסוהר.</w:t>
      </w:r>
    </w:p>
    <w:p w14:paraId="51214CC0" w14:textId="77777777" w:rsidR="009A0B1F" w:rsidRDefault="009A0B1F" w:rsidP="009A0B1F">
      <w:pPr>
        <w:spacing w:after="120" w:line="360" w:lineRule="auto"/>
        <w:ind w:left="1080"/>
        <w:jc w:val="both"/>
        <w:rPr>
          <w:rFonts w:ascii="Tahoma" w:hAnsi="Tahoma"/>
        </w:rPr>
      </w:pPr>
      <w:r>
        <w:rPr>
          <w:rFonts w:ascii="Tahoma" w:hAnsi="Tahoma" w:hint="cs"/>
          <w:rtl/>
        </w:rPr>
        <w:t>על הנאשם להתייצב לנשיאת עונשו בבית המעצר ניצן, או במקום אחר שייקבע שירות בתי הסוהר, ביום 17.11.2024 עד השעה 10:00.</w:t>
      </w:r>
    </w:p>
    <w:p w14:paraId="058A49AE" w14:textId="77777777" w:rsidR="009A0B1F" w:rsidRDefault="009A0B1F" w:rsidP="009A0B1F">
      <w:pPr>
        <w:spacing w:after="120" w:line="360" w:lineRule="auto"/>
        <w:ind w:left="1080"/>
        <w:jc w:val="both"/>
        <w:rPr>
          <w:rFonts w:ascii="Tahoma" w:hAnsi="Tahoma"/>
          <w:rtl/>
        </w:rPr>
      </w:pPr>
      <w:r>
        <w:rPr>
          <w:rFonts w:ascii="Tahoma" w:hAnsi="Tahoma" w:hint="cs"/>
          <w:rtl/>
        </w:rPr>
        <w:t xml:space="preserve">ב"כ הנאשם יתאם את הכניסה למאסר עם </w:t>
      </w:r>
      <w:r>
        <w:rPr>
          <w:rFonts w:hint="cs"/>
          <w:rtl/>
        </w:rPr>
        <w:t>ענף אבחון ומיון של</w:t>
      </w:r>
      <w:r>
        <w:rPr>
          <w:rFonts w:ascii="Tahoma" w:hAnsi="Tahoma" w:hint="cs"/>
          <w:rtl/>
        </w:rPr>
        <w:t xml:space="preserve"> שירות בתי הסוהר, על מנת להבטיח עריכת "מיון מוקדם" לנאשם אשר יקל על קליטתו בבית הסוהר.</w:t>
      </w:r>
    </w:p>
    <w:p w14:paraId="25394937" w14:textId="77777777" w:rsidR="009A0B1F" w:rsidRDefault="009A0B1F" w:rsidP="009A0B1F">
      <w:pPr>
        <w:spacing w:after="120" w:line="360" w:lineRule="auto"/>
        <w:ind w:left="1080" w:hanging="720"/>
        <w:jc w:val="both"/>
        <w:rPr>
          <w:rFonts w:ascii="Tahoma" w:hAnsi="Tahoma"/>
          <w:rtl/>
        </w:rPr>
      </w:pPr>
      <w:r>
        <w:rPr>
          <w:rFonts w:hint="cs"/>
          <w:rtl/>
        </w:rPr>
        <w:t xml:space="preserve"> (ב)</w:t>
      </w:r>
      <w:r>
        <w:rPr>
          <w:rtl/>
        </w:rPr>
        <w:tab/>
      </w:r>
      <w:r>
        <w:rPr>
          <w:rFonts w:hint="cs"/>
          <w:rtl/>
        </w:rPr>
        <w:t>מאסר על תנאי למשך 6 חודשים, אותו לא יישא הנאשם אלא אם כן יעבור, תוך שלוש שנים מיום סיום נשיאת עונש המאסר, עבירה של אלימות כלפי הגוף</w:t>
      </w:r>
      <w:r>
        <w:rPr>
          <w:rFonts w:ascii="Tahoma" w:hAnsi="Tahoma" w:hint="cs"/>
          <w:rtl/>
        </w:rPr>
        <w:t>.</w:t>
      </w:r>
    </w:p>
    <w:p w14:paraId="21BA94E1" w14:textId="77777777" w:rsidR="009A0B1F" w:rsidRDefault="009A0B1F" w:rsidP="009A0B1F">
      <w:pPr>
        <w:spacing w:after="120" w:line="360" w:lineRule="auto"/>
        <w:ind w:left="1080" w:hanging="720"/>
        <w:jc w:val="both"/>
        <w:rPr>
          <w:rtl/>
        </w:rPr>
      </w:pPr>
      <w:r>
        <w:rPr>
          <w:rFonts w:hint="cs"/>
          <w:rtl/>
        </w:rPr>
        <w:t>(ג)</w:t>
      </w:r>
      <w:r>
        <w:rPr>
          <w:rtl/>
        </w:rPr>
        <w:tab/>
      </w:r>
      <w:r>
        <w:rPr>
          <w:rFonts w:hint="cs"/>
          <w:rtl/>
        </w:rPr>
        <w:t>קנס בסך של 5,000 ₪, או 25 ימי מאסר תמורתו.</w:t>
      </w:r>
    </w:p>
    <w:p w14:paraId="0DEE43AC" w14:textId="77777777" w:rsidR="009A0B1F" w:rsidRDefault="009A0B1F" w:rsidP="009A0B1F">
      <w:pPr>
        <w:spacing w:after="120" w:line="360" w:lineRule="auto"/>
        <w:ind w:left="1080"/>
        <w:jc w:val="both"/>
        <w:rPr>
          <w:rFonts w:ascii="Tahoma" w:hAnsi="Tahoma"/>
          <w:rtl/>
        </w:rPr>
      </w:pPr>
      <w:r>
        <w:rPr>
          <w:rFonts w:hint="cs"/>
          <w:rtl/>
        </w:rPr>
        <w:t>הקנס ישולם ב-5 תשלומים חודשיים, שווים ורצופים, החל מיום 01.12.2024 ובכל אחד בחודש שלאחריו. היה והנאשם לא ישלם את אחד התשלומים במועד תועמד כל יתרת הקנס לפירעון מידי.</w:t>
      </w:r>
    </w:p>
    <w:p w14:paraId="08A6DF5A" w14:textId="77777777" w:rsidR="009A0B1F" w:rsidRDefault="009A0B1F" w:rsidP="009A0B1F">
      <w:pPr>
        <w:spacing w:after="120" w:line="360" w:lineRule="auto"/>
        <w:ind w:left="1080" w:hanging="720"/>
        <w:jc w:val="both"/>
        <w:rPr>
          <w:rtl/>
        </w:rPr>
      </w:pPr>
      <w:r>
        <w:rPr>
          <w:rFonts w:hint="cs"/>
          <w:rtl/>
        </w:rPr>
        <w:t>(ד)</w:t>
      </w:r>
      <w:r>
        <w:rPr>
          <w:rtl/>
        </w:rPr>
        <w:tab/>
      </w:r>
      <w:r>
        <w:rPr>
          <w:rFonts w:hint="cs"/>
          <w:rtl/>
        </w:rPr>
        <w:t>פיצויים למתלונן, עד תביעה מס' 1, בסך של 5,000 ₪.</w:t>
      </w:r>
    </w:p>
    <w:p w14:paraId="04D32636" w14:textId="77777777" w:rsidR="009A0B1F" w:rsidRDefault="009A0B1F" w:rsidP="009A0B1F">
      <w:pPr>
        <w:spacing w:after="120" w:line="360" w:lineRule="auto"/>
        <w:ind w:left="1080"/>
        <w:jc w:val="both"/>
        <w:rPr>
          <w:rFonts w:ascii="Tahoma" w:hAnsi="Tahoma"/>
        </w:rPr>
      </w:pPr>
      <w:r>
        <w:rPr>
          <w:rFonts w:hint="cs"/>
          <w:rtl/>
        </w:rPr>
        <w:t>הפיצויים ישולמו ב-5 תשלומים חודשיים, שווים ורצופים, החל מיום 01.12.2024 ובכל אחד בחודש שלאחריו. היה והנאשם לא ישלם את אחד התשלומים במועד תועמד כל יתרת הפיצויים לפירעון מידי.</w:t>
      </w:r>
    </w:p>
    <w:p w14:paraId="336DA708" w14:textId="77777777" w:rsidR="009A0B1F" w:rsidRDefault="009A0B1F" w:rsidP="009A0B1F">
      <w:pPr>
        <w:spacing w:after="120" w:line="360" w:lineRule="auto"/>
        <w:ind w:left="1080" w:hanging="720"/>
        <w:jc w:val="both"/>
        <w:rPr>
          <w:rFonts w:ascii="Tahoma" w:hAnsi="Tahoma"/>
        </w:rPr>
      </w:pPr>
      <w:r>
        <w:rPr>
          <w:rFonts w:ascii="Tahoma" w:hAnsi="Tahoma"/>
          <w:rtl/>
        </w:rPr>
        <w:tab/>
      </w:r>
      <w:r>
        <w:rPr>
          <w:rFonts w:ascii="Tahoma" w:hAnsi="Tahoma" w:hint="cs"/>
          <w:rtl/>
        </w:rPr>
        <w:t>באחריות ב"כ המאשימה להגיש הודעה למזכירות בית המשפט בדבר פרטי המתלונן, לצורך העברת הפיצויים.</w:t>
      </w:r>
    </w:p>
    <w:p w14:paraId="10ADA757" w14:textId="77777777" w:rsidR="009A0B1F" w:rsidRDefault="000316AE" w:rsidP="009A0B1F">
      <w:pPr>
        <w:spacing w:after="120" w:line="360" w:lineRule="auto"/>
        <w:jc w:val="both"/>
        <w:rPr>
          <w:rtl/>
        </w:rPr>
      </w:pPr>
      <w:r w:rsidRPr="000316AE">
        <w:rPr>
          <w:color w:val="FFFFFF"/>
          <w:sz w:val="2"/>
          <w:szCs w:val="2"/>
          <w:rtl/>
        </w:rPr>
        <w:t>5129371</w:t>
      </w:r>
      <w:r w:rsidR="009A0B1F" w:rsidRPr="00BF022E">
        <w:rPr>
          <w:rtl/>
        </w:rPr>
        <w:t>ככל ש</w:t>
      </w:r>
      <w:r w:rsidR="009A0B1F">
        <w:rPr>
          <w:rFonts w:hint="cs"/>
          <w:rtl/>
        </w:rPr>
        <w:t xml:space="preserve">נותר בתיק בית המשפט </w:t>
      </w:r>
      <w:r w:rsidR="009A0B1F">
        <w:rPr>
          <w:rtl/>
        </w:rPr>
        <w:t>–</w:t>
      </w:r>
      <w:r w:rsidR="009A0B1F">
        <w:rPr>
          <w:rFonts w:hint="cs"/>
          <w:rtl/>
        </w:rPr>
        <w:t xml:space="preserve"> או בתיקים קשורים </w:t>
      </w:r>
      <w:r w:rsidR="009A0B1F">
        <w:rPr>
          <w:rtl/>
        </w:rPr>
        <w:t>–</w:t>
      </w:r>
      <w:r w:rsidR="009A0B1F">
        <w:rPr>
          <w:rFonts w:hint="cs"/>
          <w:rtl/>
        </w:rPr>
        <w:t xml:space="preserve"> פיקדון שהופקד מטעם הנאשם, בהסכמת ההגנה יקוזז הפיקדון לתשלום הפיצויים והקנס.</w:t>
      </w:r>
    </w:p>
    <w:p w14:paraId="70F96861" w14:textId="77777777" w:rsidR="009A0B1F" w:rsidRDefault="000316AE" w:rsidP="009A0B1F">
      <w:pPr>
        <w:spacing w:after="120" w:line="360" w:lineRule="auto"/>
        <w:jc w:val="both"/>
        <w:rPr>
          <w:rtl/>
        </w:rPr>
      </w:pPr>
      <w:r w:rsidRPr="000316AE">
        <w:rPr>
          <w:color w:val="FFFFFF"/>
          <w:sz w:val="2"/>
          <w:szCs w:val="2"/>
          <w:rtl/>
        </w:rPr>
        <w:t>54678313</w:t>
      </w:r>
      <w:r w:rsidR="009A0B1F">
        <w:rPr>
          <w:rFonts w:hint="cs"/>
          <w:rtl/>
        </w:rPr>
        <w:t xml:space="preserve">ניתן בזה צו כללי, לעניין מוצגים, לשיקול דעתו של קצין משטרה. </w:t>
      </w:r>
    </w:p>
    <w:p w14:paraId="2B263EC9" w14:textId="77777777" w:rsidR="009A0B1F" w:rsidRDefault="009A0B1F" w:rsidP="009A0B1F">
      <w:pPr>
        <w:snapToGrid w:val="0"/>
        <w:spacing w:after="120" w:line="360" w:lineRule="auto"/>
        <w:jc w:val="both"/>
        <w:rPr>
          <w:rtl/>
        </w:rPr>
      </w:pPr>
      <w:r>
        <w:rPr>
          <w:rFonts w:hint="cs"/>
          <w:rtl/>
        </w:rPr>
        <w:t>זכות ערעור בתוך 45 יום מהיום.</w:t>
      </w:r>
    </w:p>
    <w:p w14:paraId="75436E12" w14:textId="77777777" w:rsidR="009A0B1F" w:rsidRPr="000F2247" w:rsidRDefault="000316AE" w:rsidP="009A0B1F">
      <w:pPr>
        <w:spacing w:line="360" w:lineRule="auto"/>
        <w:jc w:val="both"/>
        <w:rPr>
          <w:rFonts w:ascii="Arial" w:hAnsi="Arial"/>
          <w:b/>
          <w:bCs/>
          <w:sz w:val="26"/>
          <w:szCs w:val="26"/>
          <w:rtl/>
        </w:rPr>
      </w:pPr>
      <w:bookmarkStart w:id="8" w:name="Nitan"/>
      <w:r>
        <w:rPr>
          <w:rFonts w:ascii="Arial" w:hAnsi="Arial"/>
          <w:rtl/>
        </w:rPr>
        <w:t xml:space="preserve">ניתן היום, ה' תשרי תשפ"ה, 07 אוקטובר 2024, במעמד הצדדים. </w:t>
      </w:r>
      <w:bookmarkEnd w:id="8"/>
      <w:r w:rsidR="009A0B1F">
        <w:rPr>
          <w:rFonts w:ascii="Arial" w:hAnsi="Arial"/>
          <w:b/>
          <w:bCs/>
          <w:sz w:val="26"/>
          <w:szCs w:val="26"/>
          <w:rtl/>
        </w:rPr>
        <w:tab/>
      </w:r>
      <w:r w:rsidR="009A0B1F">
        <w:rPr>
          <w:rFonts w:ascii="Arial" w:hAnsi="Arial"/>
          <w:b/>
          <w:bCs/>
          <w:sz w:val="26"/>
          <w:szCs w:val="26"/>
          <w:rtl/>
        </w:rPr>
        <w:tab/>
      </w:r>
      <w:r w:rsidR="009A0B1F">
        <w:rPr>
          <w:rFonts w:ascii="Arial" w:hAnsi="Arial"/>
          <w:b/>
          <w:bCs/>
          <w:sz w:val="26"/>
          <w:szCs w:val="26"/>
          <w:rtl/>
        </w:rPr>
        <w:tab/>
      </w:r>
      <w:r w:rsidR="009A0B1F">
        <w:rPr>
          <w:rFonts w:ascii="Arial" w:hAnsi="Arial"/>
          <w:b/>
          <w:bCs/>
          <w:sz w:val="26"/>
          <w:szCs w:val="26"/>
          <w:rtl/>
        </w:rPr>
        <w:tab/>
      </w:r>
      <w:r w:rsidR="009A0B1F">
        <w:rPr>
          <w:rFonts w:ascii="Arial" w:hAnsi="Arial"/>
          <w:b/>
          <w:bCs/>
          <w:sz w:val="26"/>
          <w:szCs w:val="26"/>
          <w:rtl/>
        </w:rPr>
        <w:tab/>
      </w:r>
      <w:r w:rsidR="009A0B1F">
        <w:rPr>
          <w:rFonts w:ascii="Arial" w:hAnsi="Arial"/>
          <w:b/>
          <w:bCs/>
          <w:sz w:val="26"/>
          <w:szCs w:val="26"/>
          <w:rtl/>
        </w:rPr>
        <w:tab/>
      </w:r>
      <w:r w:rsidR="009A0B1F">
        <w:rPr>
          <w:rFonts w:ascii="Arial" w:hAnsi="Arial"/>
          <w:b/>
          <w:bCs/>
          <w:sz w:val="26"/>
          <w:szCs w:val="26"/>
          <w:rtl/>
        </w:rPr>
        <w:tab/>
      </w:r>
      <w:r w:rsidR="009A0B1F">
        <w:rPr>
          <w:rFonts w:ascii="Arial" w:hAnsi="Arial" w:hint="cs"/>
          <w:b/>
          <w:bCs/>
          <w:sz w:val="26"/>
          <w:szCs w:val="26"/>
          <w:rtl/>
        </w:rPr>
        <w:t xml:space="preserve">         </w:t>
      </w:r>
    </w:p>
    <w:p w14:paraId="36E2AC90" w14:textId="77777777" w:rsidR="009A0B1F" w:rsidRPr="000F2247" w:rsidRDefault="009A0B1F" w:rsidP="000316A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02EC40" w14:textId="77777777" w:rsidR="009A0B1F" w:rsidRPr="000F2247" w:rsidRDefault="009A0B1F" w:rsidP="009A0B1F">
      <w:pPr>
        <w:jc w:val="center"/>
        <w:rPr>
          <w:rFonts w:ascii="Arial" w:hAnsi="Arial"/>
          <w:b/>
          <w:bCs/>
          <w:sz w:val="26"/>
          <w:szCs w:val="26"/>
          <w:rtl/>
        </w:rPr>
      </w:pPr>
    </w:p>
    <w:p w14:paraId="582E2838" w14:textId="77777777" w:rsidR="004735F1" w:rsidRPr="000316AE" w:rsidRDefault="004735F1" w:rsidP="000316AE">
      <w:pPr>
        <w:keepNext/>
        <w:rPr>
          <w:rFonts w:ascii="David" w:hAnsi="David"/>
          <w:color w:val="000000"/>
          <w:sz w:val="22"/>
          <w:szCs w:val="22"/>
          <w:rtl/>
        </w:rPr>
      </w:pPr>
    </w:p>
    <w:p w14:paraId="7DC9C56E" w14:textId="77777777" w:rsidR="000316AE" w:rsidRPr="000316AE" w:rsidRDefault="000316AE" w:rsidP="000316AE">
      <w:pPr>
        <w:keepNext/>
        <w:rPr>
          <w:rFonts w:ascii="David" w:hAnsi="David"/>
          <w:color w:val="000000"/>
          <w:sz w:val="22"/>
          <w:szCs w:val="22"/>
          <w:rtl/>
        </w:rPr>
      </w:pPr>
      <w:r w:rsidRPr="000316AE">
        <w:rPr>
          <w:rFonts w:ascii="David" w:hAnsi="David"/>
          <w:color w:val="000000"/>
          <w:sz w:val="22"/>
          <w:szCs w:val="22"/>
          <w:rtl/>
        </w:rPr>
        <w:t>שאול אבינור 54678313</w:t>
      </w:r>
    </w:p>
    <w:p w14:paraId="40A80C0A" w14:textId="77777777" w:rsidR="000316AE" w:rsidRDefault="000316AE" w:rsidP="000316AE">
      <w:r w:rsidRPr="000316AE">
        <w:rPr>
          <w:color w:val="000000"/>
          <w:rtl/>
        </w:rPr>
        <w:t>נוסח מסמך זה כפוף לשינויי ניסוח ועריכה</w:t>
      </w:r>
    </w:p>
    <w:p w14:paraId="09E2B7E0" w14:textId="77777777" w:rsidR="000316AE" w:rsidRDefault="000316AE" w:rsidP="000316AE">
      <w:pPr>
        <w:rPr>
          <w:rtl/>
        </w:rPr>
      </w:pPr>
    </w:p>
    <w:p w14:paraId="59B4B07D" w14:textId="77777777" w:rsidR="000316AE" w:rsidRDefault="000316AE" w:rsidP="000316AE">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3E39A62" w14:textId="77777777" w:rsidR="000316AE" w:rsidRPr="000316AE" w:rsidRDefault="000316AE" w:rsidP="000316AE">
      <w:pPr>
        <w:jc w:val="center"/>
        <w:rPr>
          <w:color w:val="0000FF"/>
          <w:u w:val="single"/>
        </w:rPr>
      </w:pPr>
    </w:p>
    <w:sectPr w:rsidR="000316AE" w:rsidRPr="000316AE" w:rsidSect="000316AE">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3F33D" w14:textId="77777777" w:rsidR="00FE292A" w:rsidRDefault="00FE292A" w:rsidP="0003476A">
      <w:r>
        <w:separator/>
      </w:r>
    </w:p>
  </w:endnote>
  <w:endnote w:type="continuationSeparator" w:id="0">
    <w:p w14:paraId="338A00BC" w14:textId="77777777" w:rsidR="00FE292A" w:rsidRDefault="00FE292A" w:rsidP="0003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EF841" w14:textId="77777777" w:rsidR="000316AE" w:rsidRDefault="000316AE" w:rsidP="000316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76A065" w14:textId="77777777" w:rsidR="001F4757" w:rsidRPr="000316AE" w:rsidRDefault="000316AE" w:rsidP="000316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FCEEE" w14:textId="77777777" w:rsidR="000316AE" w:rsidRDefault="000316AE" w:rsidP="000316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7997">
      <w:rPr>
        <w:rFonts w:ascii="FrankRuehl" w:hAnsi="FrankRuehl" w:cs="FrankRuehl"/>
        <w:noProof/>
        <w:rtl/>
      </w:rPr>
      <w:t>1</w:t>
    </w:r>
    <w:r>
      <w:rPr>
        <w:rFonts w:ascii="FrankRuehl" w:hAnsi="FrankRuehl" w:cs="FrankRuehl"/>
        <w:rtl/>
      </w:rPr>
      <w:fldChar w:fldCharType="end"/>
    </w:r>
  </w:p>
  <w:p w14:paraId="6842501C" w14:textId="77777777" w:rsidR="001F4757" w:rsidRPr="000316AE" w:rsidRDefault="000316AE" w:rsidP="000316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F18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9114C" w14:textId="77777777" w:rsidR="00FE292A" w:rsidRDefault="00FE292A" w:rsidP="0003476A">
      <w:r>
        <w:separator/>
      </w:r>
    </w:p>
  </w:footnote>
  <w:footnote w:type="continuationSeparator" w:id="0">
    <w:p w14:paraId="6CDE1601" w14:textId="77777777" w:rsidR="00FE292A" w:rsidRDefault="00FE292A" w:rsidP="0003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247A4" w14:textId="77777777" w:rsidR="000316AE" w:rsidRPr="000316AE" w:rsidRDefault="000316AE" w:rsidP="000316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50203-09-23</w:t>
    </w:r>
    <w:r>
      <w:rPr>
        <w:rFonts w:ascii="David" w:hAnsi="David"/>
        <w:color w:val="000000"/>
        <w:sz w:val="22"/>
        <w:szCs w:val="22"/>
        <w:rtl/>
      </w:rPr>
      <w:tab/>
      <w:t xml:space="preserve"> מדינת ישראל נ' עזרא כדורי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C19B" w14:textId="77777777" w:rsidR="000316AE" w:rsidRPr="000316AE" w:rsidRDefault="000316AE" w:rsidP="000316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50203-09-23</w:t>
    </w:r>
    <w:r>
      <w:rPr>
        <w:rFonts w:ascii="David" w:hAnsi="David"/>
        <w:color w:val="000000"/>
        <w:sz w:val="22"/>
        <w:szCs w:val="22"/>
        <w:rtl/>
      </w:rPr>
      <w:tab/>
      <w:t xml:space="preserve"> מדינת ישראל נ' עזרא כדורי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278A2010"/>
    <w:lvl w:ilvl="0" w:tplc="4EF6B75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11440F"/>
    <w:multiLevelType w:val="hybridMultilevel"/>
    <w:tmpl w:val="76484E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804928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44899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498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0B1F"/>
    <w:rsid w:val="0002206D"/>
    <w:rsid w:val="000316AE"/>
    <w:rsid w:val="0003476A"/>
    <w:rsid w:val="001362DF"/>
    <w:rsid w:val="001F4757"/>
    <w:rsid w:val="00247997"/>
    <w:rsid w:val="003A6CF7"/>
    <w:rsid w:val="004735F1"/>
    <w:rsid w:val="004F441F"/>
    <w:rsid w:val="005141AE"/>
    <w:rsid w:val="006204CA"/>
    <w:rsid w:val="00714FB0"/>
    <w:rsid w:val="009A0B1F"/>
    <w:rsid w:val="009A4E4C"/>
    <w:rsid w:val="00AC76AD"/>
    <w:rsid w:val="00FE29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1C8F17"/>
  <w15:chartTrackingRefBased/>
  <w15:docId w15:val="{327064F2-7FE6-47FF-A203-FF769543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0B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A0B1F"/>
    <w:pPr>
      <w:tabs>
        <w:tab w:val="center" w:pos="4153"/>
        <w:tab w:val="right" w:pos="8306"/>
      </w:tabs>
    </w:pPr>
  </w:style>
  <w:style w:type="character" w:customStyle="1" w:styleId="a4">
    <w:name w:val="כותרת עליונה תו"/>
    <w:link w:val="a3"/>
    <w:rsid w:val="009A0B1F"/>
    <w:rPr>
      <w:rFonts w:ascii="Times New Roman" w:eastAsia="Times New Roman" w:hAnsi="Times New Roman" w:cs="David"/>
      <w:sz w:val="24"/>
      <w:szCs w:val="24"/>
    </w:rPr>
  </w:style>
  <w:style w:type="paragraph" w:styleId="a5">
    <w:name w:val="footer"/>
    <w:basedOn w:val="a"/>
    <w:link w:val="a6"/>
    <w:rsid w:val="009A0B1F"/>
    <w:pPr>
      <w:tabs>
        <w:tab w:val="center" w:pos="4153"/>
        <w:tab w:val="right" w:pos="8306"/>
      </w:tabs>
    </w:pPr>
  </w:style>
  <w:style w:type="character" w:customStyle="1" w:styleId="a6">
    <w:name w:val="כותרת תחתונה תו"/>
    <w:link w:val="a5"/>
    <w:rsid w:val="009A0B1F"/>
    <w:rPr>
      <w:rFonts w:ascii="Times New Roman" w:eastAsia="Times New Roman" w:hAnsi="Times New Roman" w:cs="David"/>
      <w:sz w:val="24"/>
      <w:szCs w:val="24"/>
    </w:rPr>
  </w:style>
  <w:style w:type="table" w:styleId="a7">
    <w:name w:val="Table Grid"/>
    <w:basedOn w:val="a1"/>
    <w:rsid w:val="009A0B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A0B1F"/>
  </w:style>
  <w:style w:type="paragraph" w:styleId="a9">
    <w:name w:val="List Paragraph"/>
    <w:basedOn w:val="a"/>
    <w:qFormat/>
    <w:rsid w:val="009A0B1F"/>
    <w:pPr>
      <w:ind w:left="720"/>
      <w:contextualSpacing/>
    </w:pPr>
    <w:rPr>
      <w:rFonts w:ascii="Arial (W1)" w:hAnsi="Arial (W1)"/>
    </w:rPr>
  </w:style>
  <w:style w:type="character" w:styleId="Hyperlink">
    <w:name w:val="Hyperlink"/>
    <w:rsid w:val="000316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a.1" TargetMode="External"/><Relationship Id="rId18" Type="http://schemas.openxmlformats.org/officeDocument/2006/relationships/hyperlink" Target="http://www.nevo.co.il/law/70301/335.a.1" TargetMode="External"/><Relationship Id="rId26" Type="http://schemas.openxmlformats.org/officeDocument/2006/relationships/hyperlink" Target="http://www.nevo.co.il/law/70301/40i"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2" TargetMode="External"/><Relationship Id="rId34" Type="http://schemas.openxmlformats.org/officeDocument/2006/relationships/hyperlink" Target="http://www.nevo.co.il/law/4216" TargetMode="External"/><Relationship Id="rId42" Type="http://schemas.openxmlformats.org/officeDocument/2006/relationships/hyperlink" Target="http://www.nevo.co.il/case/617112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39"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51b.a" TargetMode="External"/><Relationship Id="rId24" Type="http://schemas.openxmlformats.org/officeDocument/2006/relationships/hyperlink" Target="http://www.nevo.co.il/case/29089955" TargetMode="External"/><Relationship Id="rId32" Type="http://schemas.openxmlformats.org/officeDocument/2006/relationships/hyperlink" Target="http://www.nevo.co.il/law/74918/3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4918" TargetMode="External"/><Relationship Id="rId23" Type="http://schemas.openxmlformats.org/officeDocument/2006/relationships/hyperlink" Target="http://www.nevo.co.il/case/27113643" TargetMode="External"/><Relationship Id="rId28" Type="http://schemas.openxmlformats.org/officeDocument/2006/relationships/hyperlink" Target="http://www.nevo.co.il/law/70301/32" TargetMode="External"/><Relationship Id="rId36" Type="http://schemas.openxmlformats.org/officeDocument/2006/relationships/hyperlink" Target="http://www.nevo.co.il/law/70301/40ja" TargetMode="External"/><Relationship Id="rId49" Type="http://schemas.openxmlformats.org/officeDocument/2006/relationships/fontTable" Target="fontTable.xml"/><Relationship Id="rId10" Type="http://schemas.openxmlformats.org/officeDocument/2006/relationships/hyperlink" Target="http://www.nevo.co.il/law/70301/40i" TargetMode="External"/><Relationship Id="rId19" Type="http://schemas.openxmlformats.org/officeDocument/2006/relationships/hyperlink" Target="http://www.nevo.co.il/law/70301/31" TargetMode="External"/><Relationship Id="rId31" Type="http://schemas.openxmlformats.org/officeDocument/2006/relationships/hyperlink" Target="http://www.nevo.co.il/case/30309949"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18" TargetMode="External"/><Relationship Id="rId35" Type="http://schemas.openxmlformats.org/officeDocument/2006/relationships/hyperlink" Target="http://www.nevo.co.il/case/26252248" TargetMode="External"/><Relationship Id="rId43" Type="http://schemas.openxmlformats.org/officeDocument/2006/relationships/hyperlink" Target="http://www.nevo.co.il/case/21478967" TargetMode="External"/><Relationship Id="rId48" Type="http://schemas.openxmlformats.org/officeDocument/2006/relationships/footer" Target="footer2.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51b.b4"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7890077" TargetMode="External"/><Relationship Id="rId33" Type="http://schemas.openxmlformats.org/officeDocument/2006/relationships/hyperlink" Target="http://www.nevo.co.il/case/20138359" TargetMode="External"/><Relationship Id="rId38" Type="http://schemas.openxmlformats.org/officeDocument/2006/relationships/hyperlink" Target="http://www.nevo.co.il/law/70301/51b.b4"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law/70301/51b.a"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2851</Words>
  <Characters>14260</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17077</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3670139</vt:i4>
      </vt:variant>
      <vt:variant>
        <vt:i4>108</vt:i4>
      </vt:variant>
      <vt:variant>
        <vt:i4>0</vt:i4>
      </vt:variant>
      <vt:variant>
        <vt:i4>5</vt:i4>
      </vt:variant>
      <vt:variant>
        <vt:lpwstr>http://www.nevo.co.il/case/21478967</vt:lpwstr>
      </vt:variant>
      <vt:variant>
        <vt:lpwstr/>
      </vt:variant>
      <vt:variant>
        <vt:i4>3342454</vt:i4>
      </vt:variant>
      <vt:variant>
        <vt:i4>105</vt:i4>
      </vt:variant>
      <vt:variant>
        <vt:i4>0</vt:i4>
      </vt:variant>
      <vt:variant>
        <vt:i4>5</vt:i4>
      </vt:variant>
      <vt:variant>
        <vt:lpwstr>http://www.nevo.co.il/case/6171123</vt:lpwstr>
      </vt:variant>
      <vt:variant>
        <vt:lpwstr/>
      </vt:variant>
      <vt:variant>
        <vt:i4>4849666</vt:i4>
      </vt:variant>
      <vt:variant>
        <vt:i4>102</vt:i4>
      </vt:variant>
      <vt:variant>
        <vt:i4>0</vt:i4>
      </vt:variant>
      <vt:variant>
        <vt:i4>5</vt:i4>
      </vt:variant>
      <vt:variant>
        <vt:lpwstr>http://www.nevo.co.il/law/70301/51b.a</vt:lpwstr>
      </vt:variant>
      <vt:variant>
        <vt:lpwstr/>
      </vt:variant>
      <vt:variant>
        <vt:i4>7995492</vt:i4>
      </vt:variant>
      <vt:variant>
        <vt:i4>99</vt:i4>
      </vt:variant>
      <vt:variant>
        <vt:i4>0</vt:i4>
      </vt:variant>
      <vt:variant>
        <vt:i4>5</vt:i4>
      </vt:variant>
      <vt:variant>
        <vt:lpwstr>http://www.nevo.co.il/law/70301</vt:lpwstr>
      </vt:variant>
      <vt:variant>
        <vt:lpwstr/>
      </vt:variant>
      <vt:variant>
        <vt:i4>7995492</vt:i4>
      </vt:variant>
      <vt:variant>
        <vt:i4>96</vt:i4>
      </vt:variant>
      <vt:variant>
        <vt:i4>0</vt:i4>
      </vt:variant>
      <vt:variant>
        <vt:i4>5</vt:i4>
      </vt:variant>
      <vt:variant>
        <vt:lpwstr>http://www.nevo.co.il/law/70301</vt:lpwstr>
      </vt:variant>
      <vt:variant>
        <vt:lpwstr/>
      </vt:variant>
      <vt:variant>
        <vt:i4>8257632</vt:i4>
      </vt:variant>
      <vt:variant>
        <vt:i4>93</vt:i4>
      </vt:variant>
      <vt:variant>
        <vt:i4>0</vt:i4>
      </vt:variant>
      <vt:variant>
        <vt:i4>5</vt:i4>
      </vt:variant>
      <vt:variant>
        <vt:lpwstr>http://www.nevo.co.il/law/70301/51b.b4</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3539061</vt:i4>
      </vt:variant>
      <vt:variant>
        <vt:i4>84</vt:i4>
      </vt:variant>
      <vt:variant>
        <vt:i4>0</vt:i4>
      </vt:variant>
      <vt:variant>
        <vt:i4>5</vt:i4>
      </vt:variant>
      <vt:variant>
        <vt:lpwstr>http://www.nevo.co.il/case/26252248</vt:lpwstr>
      </vt:variant>
      <vt:variant>
        <vt:lpwstr/>
      </vt:variant>
      <vt:variant>
        <vt:i4>8257637</vt:i4>
      </vt:variant>
      <vt:variant>
        <vt:i4>81</vt:i4>
      </vt:variant>
      <vt:variant>
        <vt:i4>0</vt:i4>
      </vt:variant>
      <vt:variant>
        <vt:i4>5</vt:i4>
      </vt:variant>
      <vt:variant>
        <vt:lpwstr>http://www.nevo.co.il/law/4216</vt:lpwstr>
      </vt:variant>
      <vt:variant>
        <vt:lpwstr/>
      </vt:variant>
      <vt:variant>
        <vt:i4>4063348</vt:i4>
      </vt:variant>
      <vt:variant>
        <vt:i4>78</vt:i4>
      </vt:variant>
      <vt:variant>
        <vt:i4>0</vt:i4>
      </vt:variant>
      <vt:variant>
        <vt:i4>5</vt:i4>
      </vt:variant>
      <vt:variant>
        <vt:lpwstr>http://www.nevo.co.il/case/20138359</vt:lpwstr>
      </vt:variant>
      <vt:variant>
        <vt:lpwstr/>
      </vt:variant>
      <vt:variant>
        <vt:i4>6881381</vt:i4>
      </vt:variant>
      <vt:variant>
        <vt:i4>75</vt:i4>
      </vt:variant>
      <vt:variant>
        <vt:i4>0</vt:i4>
      </vt:variant>
      <vt:variant>
        <vt:i4>5</vt:i4>
      </vt:variant>
      <vt:variant>
        <vt:lpwstr>http://www.nevo.co.il/law/74918/39</vt:lpwstr>
      </vt:variant>
      <vt:variant>
        <vt:lpwstr/>
      </vt:variant>
      <vt:variant>
        <vt:i4>3997821</vt:i4>
      </vt:variant>
      <vt:variant>
        <vt:i4>72</vt:i4>
      </vt:variant>
      <vt:variant>
        <vt:i4>0</vt:i4>
      </vt:variant>
      <vt:variant>
        <vt:i4>5</vt:i4>
      </vt:variant>
      <vt:variant>
        <vt:lpwstr>http://www.nevo.co.il/case/30309949</vt:lpwstr>
      </vt:variant>
      <vt:variant>
        <vt:lpwstr/>
      </vt:variant>
      <vt:variant>
        <vt:i4>8323182</vt:i4>
      </vt:variant>
      <vt:variant>
        <vt:i4>69</vt:i4>
      </vt:variant>
      <vt:variant>
        <vt:i4>0</vt:i4>
      </vt:variant>
      <vt:variant>
        <vt:i4>5</vt:i4>
      </vt:variant>
      <vt:variant>
        <vt:lpwstr>http://www.nevo.co.il/law/74918</vt:lpwstr>
      </vt:variant>
      <vt:variant>
        <vt:lpwstr/>
      </vt:variant>
      <vt:variant>
        <vt:i4>7995492</vt:i4>
      </vt:variant>
      <vt:variant>
        <vt:i4>66</vt:i4>
      </vt:variant>
      <vt:variant>
        <vt:i4>0</vt:i4>
      </vt:variant>
      <vt:variant>
        <vt:i4>5</vt:i4>
      </vt:variant>
      <vt:variant>
        <vt:lpwstr>http://www.nevo.co.il/law/70301</vt:lpwstr>
      </vt:variant>
      <vt:variant>
        <vt:lpwstr/>
      </vt:variant>
      <vt:variant>
        <vt:i4>6750310</vt:i4>
      </vt:variant>
      <vt:variant>
        <vt:i4>63</vt:i4>
      </vt:variant>
      <vt:variant>
        <vt:i4>0</vt:i4>
      </vt:variant>
      <vt:variant>
        <vt:i4>5</vt:i4>
      </vt:variant>
      <vt:variant>
        <vt:lpwstr>http://www.nevo.co.il/law/70301/32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3997818</vt:i4>
      </vt:variant>
      <vt:variant>
        <vt:i4>54</vt:i4>
      </vt:variant>
      <vt:variant>
        <vt:i4>0</vt:i4>
      </vt:variant>
      <vt:variant>
        <vt:i4>5</vt:i4>
      </vt:variant>
      <vt:variant>
        <vt:lpwstr>http://www.nevo.co.il/case/27890077</vt:lpwstr>
      </vt:variant>
      <vt:variant>
        <vt:lpwstr/>
      </vt:variant>
      <vt:variant>
        <vt:i4>4063356</vt:i4>
      </vt:variant>
      <vt:variant>
        <vt:i4>51</vt:i4>
      </vt:variant>
      <vt:variant>
        <vt:i4>0</vt:i4>
      </vt:variant>
      <vt:variant>
        <vt:i4>5</vt:i4>
      </vt:variant>
      <vt:variant>
        <vt:lpwstr>http://www.nevo.co.il/case/29089955</vt:lpwstr>
      </vt:variant>
      <vt:variant>
        <vt:lpwstr/>
      </vt:variant>
      <vt:variant>
        <vt:i4>3407988</vt:i4>
      </vt:variant>
      <vt:variant>
        <vt:i4>48</vt:i4>
      </vt:variant>
      <vt:variant>
        <vt:i4>0</vt:i4>
      </vt:variant>
      <vt:variant>
        <vt:i4>5</vt:i4>
      </vt:variant>
      <vt:variant>
        <vt:lpwstr>http://www.nevo.co.il/case/27113643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6750310</vt:i4>
      </vt:variant>
      <vt:variant>
        <vt:i4>42</vt:i4>
      </vt:variant>
      <vt:variant>
        <vt:i4>0</vt:i4>
      </vt:variant>
      <vt:variant>
        <vt:i4>5</vt:i4>
      </vt:variant>
      <vt:variant>
        <vt:lpwstr>http://www.nevo.co.il/law/70301/32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8257637</vt:i4>
      </vt:variant>
      <vt:variant>
        <vt:i4>30</vt:i4>
      </vt:variant>
      <vt:variant>
        <vt:i4>0</vt:i4>
      </vt:variant>
      <vt:variant>
        <vt:i4>5</vt:i4>
      </vt:variant>
      <vt:variant>
        <vt:lpwstr>http://www.nevo.co.il/law/4216</vt:lpwstr>
      </vt:variant>
      <vt:variant>
        <vt:lpwstr/>
      </vt:variant>
      <vt:variant>
        <vt:i4>6881381</vt:i4>
      </vt:variant>
      <vt:variant>
        <vt:i4>27</vt:i4>
      </vt:variant>
      <vt:variant>
        <vt:i4>0</vt:i4>
      </vt:variant>
      <vt:variant>
        <vt:i4>5</vt:i4>
      </vt:variant>
      <vt:variant>
        <vt:lpwstr>http://www.nevo.co.il/law/74918/39</vt:lpwstr>
      </vt:variant>
      <vt:variant>
        <vt:lpwstr/>
      </vt:variant>
      <vt:variant>
        <vt:i4>8323182</vt:i4>
      </vt:variant>
      <vt:variant>
        <vt:i4>24</vt:i4>
      </vt:variant>
      <vt:variant>
        <vt:i4>0</vt:i4>
      </vt:variant>
      <vt:variant>
        <vt:i4>5</vt:i4>
      </vt:variant>
      <vt:variant>
        <vt:lpwstr>http://www.nevo.co.il/law/74918</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6684722</vt:i4>
      </vt:variant>
      <vt:variant>
        <vt:i4>18</vt:i4>
      </vt:variant>
      <vt:variant>
        <vt:i4>0</vt:i4>
      </vt:variant>
      <vt:variant>
        <vt:i4>5</vt:i4>
      </vt:variant>
      <vt:variant>
        <vt:lpwstr>http://www.nevo.co.il/law/70301/335.a.1</vt:lpwstr>
      </vt:variant>
      <vt:variant>
        <vt:lpwstr/>
      </vt:variant>
      <vt:variant>
        <vt:i4>8257632</vt:i4>
      </vt:variant>
      <vt:variant>
        <vt:i4>15</vt:i4>
      </vt:variant>
      <vt:variant>
        <vt:i4>0</vt:i4>
      </vt:variant>
      <vt:variant>
        <vt:i4>5</vt:i4>
      </vt:variant>
      <vt:variant>
        <vt:lpwstr>http://www.nevo.co.il/law/70301/51b.b4</vt:lpwstr>
      </vt:variant>
      <vt:variant>
        <vt:lpwstr/>
      </vt:variant>
      <vt:variant>
        <vt:i4>4849666</vt:i4>
      </vt:variant>
      <vt:variant>
        <vt:i4>12</vt:i4>
      </vt:variant>
      <vt:variant>
        <vt:i4>0</vt:i4>
      </vt:variant>
      <vt:variant>
        <vt:i4>5</vt:i4>
      </vt:variant>
      <vt:variant>
        <vt:lpwstr>http://www.nevo.co.il/law/70301/51b.a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2025-04-23T01:50:00Z</dcterms:created>
  <dcterms:modified xsi:type="dcterms:W3CDTF">2025-04-23T01:50:00Z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50203</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עזרא כדורי</vt:lpwstr>
  </property>
  <property fmtid="{D5CDD505-2E9C-101B-9397-08002B2CF9AE}" pid="10" name="LAWYER">
    <vt:lpwstr>אבישי דויטש;אלון קריטי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20241007</vt:lpwstr>
  </property>
  <property fmtid="{D5CDD505-2E9C-101B-9397-08002B2CF9AE}" pid="14" name="TYPE_N_DATE">
    <vt:lpwstr>38020241007</vt:lpwstr>
  </property>
  <property fmtid="{D5CDD505-2E9C-101B-9397-08002B2CF9AE}" pid="15" name="WORDNUMPAGES">
    <vt:lpwstr>8</vt:lpwstr>
  </property>
  <property fmtid="{D5CDD505-2E9C-101B-9397-08002B2CF9AE}" pid="16" name="TYPE_ABS_DATE">
    <vt:lpwstr>380020241007</vt:lpwstr>
  </property>
  <property fmtid="{D5CDD505-2E9C-101B-9397-08002B2CF9AE}" pid="17" name="ISABSTRACT">
    <vt:lpwstr>Y</vt:lpwstr>
  </property>
  <property fmtid="{D5CDD505-2E9C-101B-9397-08002B2CF9AE}" pid="18" name="CASESLISTTMP1">
    <vt:lpwstr>27113643;29089955;27890077;30309949;20138359;26252248;6171123;21478967</vt:lpwstr>
  </property>
  <property fmtid="{D5CDD505-2E9C-101B-9397-08002B2CF9AE}" pid="19" name="LAWLISTTMP1">
    <vt:lpwstr>70301/335.a.1;031;032:2;040i;40ja;051b.b4;051b.a</vt:lpwstr>
  </property>
  <property fmtid="{D5CDD505-2E9C-101B-9397-08002B2CF9AE}" pid="20" name="LAWLISTTMP2">
    <vt:lpwstr>74918/039</vt:lpwstr>
  </property>
  <property fmtid="{D5CDD505-2E9C-101B-9397-08002B2CF9AE}" pid="21" name="LAWLISTTMP3">
    <vt:lpwstr>4216</vt:lpwstr>
  </property>
</Properties>
</file>