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315" w:type="dxa"/>
        <w:jc w:val="center"/>
        <w:tblLook w:val="0000" w:firstRow="0" w:lastRow="0" w:firstColumn="0" w:lastColumn="0" w:noHBand="0" w:noVBand="0"/>
      </w:tblPr>
      <w:tblGrid>
        <w:gridCol w:w="957"/>
        <w:gridCol w:w="4097"/>
        <w:gridCol w:w="998"/>
        <w:gridCol w:w="3218"/>
        <w:gridCol w:w="45"/>
      </w:tblGrid>
      <w:tr w:rsidR="00715D0E" w:rsidRPr="00F20B0B" w14:paraId="235E71F0" w14:textId="77777777" w:rsidTr="009019D8">
        <w:trPr>
          <w:gridAfter w:val="1"/>
          <w:wAfter w:w="45" w:type="dxa"/>
          <w:trHeight w:hRule="exact" w:val="418"/>
          <w:jc w:val="center"/>
        </w:trPr>
        <w:tc>
          <w:tcPr>
            <w:tcW w:w="9270" w:type="dxa"/>
            <w:gridSpan w:val="4"/>
          </w:tcPr>
          <w:p w14:paraId="4B9161B6" w14:textId="77777777" w:rsidR="00715D0E" w:rsidRPr="00F20B0B" w:rsidRDefault="00715D0E" w:rsidP="008B355D">
            <w:pPr>
              <w:pStyle w:val="a3"/>
              <w:jc w:val="center"/>
              <w:rPr>
                <w:rFonts w:ascii="Tahoma" w:hAnsi="Tahoma" w:cs="Tahoma"/>
                <w:color w:val="000080"/>
                <w:rtl/>
              </w:rPr>
            </w:pPr>
            <w:r w:rsidRPr="00F20B0B">
              <w:rPr>
                <w:rFonts w:ascii="Tahoma" w:hAnsi="Tahoma" w:cs="Tahoma"/>
                <w:b/>
                <w:bCs/>
                <w:color w:val="000080"/>
                <w:rtl/>
              </w:rPr>
              <w:t>בית משפט השלום בקריות</w:t>
            </w:r>
          </w:p>
        </w:tc>
      </w:tr>
      <w:tr w:rsidR="00715D0E" w:rsidRPr="00F20B0B" w14:paraId="48D334E8" w14:textId="77777777" w:rsidTr="009019D8">
        <w:trPr>
          <w:gridAfter w:val="1"/>
          <w:wAfter w:w="45" w:type="dxa"/>
          <w:trHeight w:val="337"/>
          <w:jc w:val="center"/>
        </w:trPr>
        <w:tc>
          <w:tcPr>
            <w:tcW w:w="5054" w:type="dxa"/>
            <w:gridSpan w:val="2"/>
          </w:tcPr>
          <w:p w14:paraId="7945D076" w14:textId="77777777" w:rsidR="00715D0E" w:rsidRPr="00F20B0B" w:rsidRDefault="00715D0E" w:rsidP="008B355D">
            <w:pPr>
              <w:rPr>
                <w:rFonts w:cs="FrankRuehl"/>
                <w:sz w:val="28"/>
                <w:szCs w:val="28"/>
                <w:rtl/>
              </w:rPr>
            </w:pPr>
            <w:r w:rsidRPr="00F20B0B">
              <w:rPr>
                <w:rFonts w:cs="FrankRuehl"/>
                <w:sz w:val="28"/>
                <w:szCs w:val="28"/>
                <w:rtl/>
              </w:rPr>
              <w:t>ת"פ</w:t>
            </w:r>
            <w:r w:rsidRPr="00F20B0B">
              <w:rPr>
                <w:rFonts w:cs="FrankRuehl" w:hint="cs"/>
                <w:sz w:val="28"/>
                <w:szCs w:val="28"/>
                <w:rtl/>
              </w:rPr>
              <w:t xml:space="preserve"> </w:t>
            </w:r>
            <w:r w:rsidRPr="00F20B0B">
              <w:rPr>
                <w:rFonts w:cs="FrankRuehl"/>
                <w:sz w:val="28"/>
                <w:szCs w:val="28"/>
                <w:rtl/>
              </w:rPr>
              <w:t>59699-09-23</w:t>
            </w:r>
            <w:r w:rsidRPr="00F20B0B">
              <w:rPr>
                <w:rFonts w:cs="FrankRuehl" w:hint="cs"/>
                <w:sz w:val="28"/>
                <w:szCs w:val="28"/>
                <w:rtl/>
              </w:rPr>
              <w:t xml:space="preserve"> </w:t>
            </w:r>
            <w:r w:rsidRPr="00F20B0B">
              <w:rPr>
                <w:rFonts w:cs="FrankRuehl"/>
                <w:sz w:val="28"/>
                <w:szCs w:val="28"/>
                <w:rtl/>
              </w:rPr>
              <w:t>מדינת ישראל נ' פליט</w:t>
            </w:r>
          </w:p>
          <w:p w14:paraId="065B3BA0" w14:textId="77777777" w:rsidR="00715D0E" w:rsidRPr="00F20B0B" w:rsidRDefault="00715D0E" w:rsidP="008B355D">
            <w:pPr>
              <w:pStyle w:val="a3"/>
              <w:rPr>
                <w:rFonts w:cs="FrankRuehl"/>
                <w:sz w:val="28"/>
                <w:szCs w:val="28"/>
                <w:rtl/>
              </w:rPr>
            </w:pPr>
          </w:p>
        </w:tc>
        <w:tc>
          <w:tcPr>
            <w:tcW w:w="4216" w:type="dxa"/>
            <w:gridSpan w:val="2"/>
          </w:tcPr>
          <w:p w14:paraId="750B2D3B" w14:textId="77777777" w:rsidR="00715D0E" w:rsidRPr="00F20B0B" w:rsidRDefault="00715D0E" w:rsidP="008B355D">
            <w:pPr>
              <w:pStyle w:val="a3"/>
              <w:jc w:val="right"/>
              <w:rPr>
                <w:rFonts w:cs="FrankRuehl"/>
                <w:sz w:val="28"/>
                <w:szCs w:val="28"/>
                <w:rtl/>
              </w:rPr>
            </w:pPr>
          </w:p>
        </w:tc>
      </w:tr>
      <w:tr w:rsidR="00715D0E" w:rsidRPr="00F20B0B" w14:paraId="36A36258" w14:textId="77777777" w:rsidTr="009019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5"/>
          <w:jc w:val="center"/>
        </w:trPr>
        <w:tc>
          <w:tcPr>
            <w:tcW w:w="957" w:type="dxa"/>
            <w:tcBorders>
              <w:top w:val="nil"/>
              <w:left w:val="nil"/>
              <w:bottom w:val="nil"/>
              <w:right w:val="nil"/>
            </w:tcBorders>
            <w:shd w:val="clear" w:color="auto" w:fill="auto"/>
          </w:tcPr>
          <w:p w14:paraId="69A18783" w14:textId="77777777" w:rsidR="00715D0E" w:rsidRPr="00F20B0B" w:rsidRDefault="00715D0E" w:rsidP="00715D0E">
            <w:pPr>
              <w:jc w:val="both"/>
              <w:rPr>
                <w:rFonts w:ascii="David" w:hAnsi="David"/>
                <w:b/>
                <w:bCs/>
              </w:rPr>
            </w:pPr>
            <w:r w:rsidRPr="00F20B0B">
              <w:rPr>
                <w:rFonts w:hint="cs"/>
                <w:rtl/>
              </w:rPr>
              <w:t xml:space="preserve"> </w:t>
            </w:r>
            <w:r w:rsidRPr="00F20B0B">
              <w:rPr>
                <w:rFonts w:ascii="David" w:hAnsi="David"/>
                <w:b/>
                <w:bCs/>
                <w:rtl/>
              </w:rPr>
              <w:t xml:space="preserve">בפני </w:t>
            </w:r>
          </w:p>
        </w:tc>
        <w:tc>
          <w:tcPr>
            <w:tcW w:w="8358" w:type="dxa"/>
            <w:gridSpan w:val="4"/>
            <w:tcBorders>
              <w:top w:val="nil"/>
              <w:left w:val="nil"/>
              <w:bottom w:val="nil"/>
              <w:right w:val="nil"/>
            </w:tcBorders>
            <w:shd w:val="clear" w:color="auto" w:fill="auto"/>
          </w:tcPr>
          <w:p w14:paraId="74D8A79F" w14:textId="77777777" w:rsidR="00715D0E" w:rsidRPr="00F20B0B" w:rsidRDefault="00715D0E" w:rsidP="008B355D">
            <w:pPr>
              <w:rPr>
                <w:rFonts w:ascii="David" w:hAnsi="David"/>
                <w:b/>
                <w:bCs/>
              </w:rPr>
            </w:pPr>
            <w:r w:rsidRPr="00F20B0B">
              <w:rPr>
                <w:rFonts w:ascii="Arial" w:hAnsi="Arial"/>
                <w:b/>
                <w:bCs/>
                <w:rtl/>
              </w:rPr>
              <w:t>כב' השופט יוסי טורס , סגן הנשיאה</w:t>
            </w:r>
          </w:p>
        </w:tc>
      </w:tr>
      <w:tr w:rsidR="00715D0E" w:rsidRPr="00F20B0B" w14:paraId="5E8B6ADB" w14:textId="77777777" w:rsidTr="009019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5"/>
          <w:jc w:val="center"/>
        </w:trPr>
        <w:tc>
          <w:tcPr>
            <w:tcW w:w="957" w:type="dxa"/>
            <w:tcBorders>
              <w:top w:val="nil"/>
              <w:left w:val="nil"/>
              <w:bottom w:val="nil"/>
              <w:right w:val="nil"/>
            </w:tcBorders>
            <w:shd w:val="clear" w:color="auto" w:fill="auto"/>
          </w:tcPr>
          <w:p w14:paraId="35008CE1" w14:textId="77777777" w:rsidR="00715D0E" w:rsidRPr="00F20B0B" w:rsidRDefault="00715D0E" w:rsidP="00715D0E">
            <w:pPr>
              <w:jc w:val="both"/>
              <w:rPr>
                <w:rFonts w:ascii="David" w:hAnsi="David"/>
                <w:b/>
                <w:bCs/>
                <w:rtl/>
              </w:rPr>
            </w:pPr>
            <w:bookmarkStart w:id="0" w:name="LastJudge"/>
            <w:bookmarkEnd w:id="0"/>
          </w:p>
        </w:tc>
        <w:tc>
          <w:tcPr>
            <w:tcW w:w="8358" w:type="dxa"/>
            <w:gridSpan w:val="4"/>
            <w:tcBorders>
              <w:top w:val="nil"/>
              <w:left w:val="nil"/>
              <w:bottom w:val="nil"/>
              <w:right w:val="nil"/>
            </w:tcBorders>
            <w:shd w:val="clear" w:color="auto" w:fill="auto"/>
          </w:tcPr>
          <w:p w14:paraId="71297571" w14:textId="77777777" w:rsidR="00715D0E" w:rsidRPr="00F20B0B" w:rsidRDefault="00715D0E" w:rsidP="008B355D">
            <w:pPr>
              <w:rPr>
                <w:rFonts w:ascii="Arial" w:hAnsi="Arial"/>
                <w:b/>
                <w:bCs/>
                <w:rtl/>
              </w:rPr>
            </w:pPr>
          </w:p>
        </w:tc>
      </w:tr>
      <w:tr w:rsidR="00715D0E" w:rsidRPr="00F20B0B" w14:paraId="5104D866" w14:textId="77777777" w:rsidTr="009019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258F48AC" w14:textId="77777777" w:rsidR="00715D0E" w:rsidRPr="00F20B0B" w:rsidRDefault="00715D0E" w:rsidP="00715D0E">
            <w:pPr>
              <w:jc w:val="both"/>
              <w:rPr>
                <w:rFonts w:ascii="David" w:hAnsi="David"/>
                <w:b/>
                <w:bCs/>
              </w:rPr>
            </w:pPr>
            <w:bookmarkStart w:id="1" w:name="FirstAppellant"/>
            <w:r w:rsidRPr="00F20B0B">
              <w:rPr>
                <w:rFonts w:ascii="David" w:hAnsi="David"/>
                <w:b/>
                <w:bCs/>
                <w:rtl/>
              </w:rPr>
              <w:t>בעניין:</w:t>
            </w:r>
          </w:p>
        </w:tc>
        <w:tc>
          <w:tcPr>
            <w:tcW w:w="5095" w:type="dxa"/>
            <w:gridSpan w:val="2"/>
            <w:tcBorders>
              <w:top w:val="nil"/>
              <w:left w:val="nil"/>
              <w:bottom w:val="nil"/>
              <w:right w:val="nil"/>
            </w:tcBorders>
            <w:shd w:val="clear" w:color="auto" w:fill="auto"/>
          </w:tcPr>
          <w:p w14:paraId="04E3C4A8" w14:textId="77777777" w:rsidR="00715D0E" w:rsidRPr="00F20B0B" w:rsidRDefault="00715D0E" w:rsidP="008B355D">
            <w:pPr>
              <w:rPr>
                <w:rFonts w:ascii="David" w:hAnsi="David"/>
                <w:b/>
                <w:bCs/>
              </w:rPr>
            </w:pPr>
            <w:r w:rsidRPr="00F20B0B">
              <w:rPr>
                <w:rFonts w:ascii="David" w:hAnsi="David"/>
                <w:b/>
                <w:bCs/>
                <w:rtl/>
              </w:rPr>
              <w:t>מדינת ישראל</w:t>
            </w:r>
          </w:p>
        </w:tc>
        <w:tc>
          <w:tcPr>
            <w:tcW w:w="3263" w:type="dxa"/>
            <w:gridSpan w:val="2"/>
            <w:tcBorders>
              <w:top w:val="nil"/>
              <w:left w:val="nil"/>
              <w:bottom w:val="nil"/>
              <w:right w:val="nil"/>
            </w:tcBorders>
            <w:shd w:val="clear" w:color="auto" w:fill="auto"/>
          </w:tcPr>
          <w:p w14:paraId="30FC102A" w14:textId="77777777" w:rsidR="00715D0E" w:rsidRPr="00F20B0B" w:rsidRDefault="00715D0E" w:rsidP="00715D0E">
            <w:pPr>
              <w:jc w:val="both"/>
              <w:rPr>
                <w:rFonts w:ascii="David" w:hAnsi="David"/>
                <w:b/>
                <w:bCs/>
              </w:rPr>
            </w:pPr>
            <w:r w:rsidRPr="00F20B0B">
              <w:rPr>
                <w:rFonts w:ascii="David" w:hAnsi="David"/>
                <w:b/>
                <w:bCs/>
                <w:rtl/>
              </w:rPr>
              <w:t>המאשימה</w:t>
            </w:r>
          </w:p>
        </w:tc>
      </w:tr>
      <w:bookmarkEnd w:id="1"/>
      <w:tr w:rsidR="00715D0E" w:rsidRPr="00F20B0B" w14:paraId="0B308F6F" w14:textId="77777777" w:rsidTr="009019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41EEA349" w14:textId="77777777" w:rsidR="00715D0E" w:rsidRPr="00F20B0B" w:rsidRDefault="00715D0E" w:rsidP="00715D0E">
            <w:pPr>
              <w:jc w:val="both"/>
              <w:rPr>
                <w:rFonts w:ascii="David" w:hAnsi="David"/>
                <w:b/>
                <w:bCs/>
                <w:rtl/>
              </w:rPr>
            </w:pPr>
          </w:p>
        </w:tc>
        <w:tc>
          <w:tcPr>
            <w:tcW w:w="8358" w:type="dxa"/>
            <w:gridSpan w:val="4"/>
            <w:tcBorders>
              <w:top w:val="nil"/>
              <w:left w:val="nil"/>
              <w:bottom w:val="nil"/>
              <w:right w:val="nil"/>
            </w:tcBorders>
            <w:shd w:val="clear" w:color="auto" w:fill="auto"/>
          </w:tcPr>
          <w:p w14:paraId="7AFB0660" w14:textId="77777777" w:rsidR="00715D0E" w:rsidRPr="00F20B0B" w:rsidRDefault="00715D0E" w:rsidP="008B355D">
            <w:pPr>
              <w:rPr>
                <w:rFonts w:ascii="David" w:hAnsi="David"/>
                <w:b/>
                <w:bCs/>
              </w:rPr>
            </w:pPr>
            <w:r w:rsidRPr="00F20B0B">
              <w:rPr>
                <w:rFonts w:ascii="David" w:hAnsi="David" w:hint="cs"/>
                <w:b/>
                <w:bCs/>
                <w:rtl/>
              </w:rPr>
              <w:t xml:space="preserve">                                                   </w:t>
            </w:r>
            <w:r w:rsidRPr="00F20B0B">
              <w:rPr>
                <w:rFonts w:ascii="David" w:hAnsi="David"/>
                <w:b/>
                <w:bCs/>
                <w:rtl/>
              </w:rPr>
              <w:t>נגד</w:t>
            </w:r>
          </w:p>
        </w:tc>
      </w:tr>
      <w:tr w:rsidR="00715D0E" w:rsidRPr="00F20B0B" w14:paraId="4B539A1C" w14:textId="77777777" w:rsidTr="009019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60FB40DB" w14:textId="77777777" w:rsidR="00715D0E" w:rsidRPr="00F20B0B" w:rsidRDefault="00715D0E" w:rsidP="008B355D">
            <w:pPr>
              <w:rPr>
                <w:rFonts w:ascii="David" w:hAnsi="David"/>
                <w:b/>
                <w:bCs/>
                <w:rtl/>
              </w:rPr>
            </w:pPr>
          </w:p>
        </w:tc>
        <w:tc>
          <w:tcPr>
            <w:tcW w:w="5095" w:type="dxa"/>
            <w:gridSpan w:val="2"/>
            <w:tcBorders>
              <w:top w:val="nil"/>
              <w:left w:val="nil"/>
              <w:bottom w:val="nil"/>
              <w:right w:val="nil"/>
            </w:tcBorders>
            <w:shd w:val="clear" w:color="auto" w:fill="auto"/>
          </w:tcPr>
          <w:p w14:paraId="21F3FFDB" w14:textId="77777777" w:rsidR="00715D0E" w:rsidRPr="00F20B0B" w:rsidRDefault="00715D0E" w:rsidP="008B355D">
            <w:pPr>
              <w:rPr>
                <w:rFonts w:ascii="David" w:hAnsi="David"/>
                <w:b/>
                <w:bCs/>
                <w:rtl/>
              </w:rPr>
            </w:pPr>
            <w:r w:rsidRPr="00F20B0B">
              <w:rPr>
                <w:rFonts w:ascii="David" w:hAnsi="David"/>
                <w:b/>
                <w:bCs/>
                <w:rtl/>
              </w:rPr>
              <w:t>איליה פליט</w:t>
            </w:r>
          </w:p>
        </w:tc>
        <w:tc>
          <w:tcPr>
            <w:tcW w:w="3263" w:type="dxa"/>
            <w:gridSpan w:val="2"/>
            <w:tcBorders>
              <w:top w:val="nil"/>
              <w:left w:val="nil"/>
              <w:bottom w:val="nil"/>
              <w:right w:val="nil"/>
            </w:tcBorders>
            <w:shd w:val="clear" w:color="auto" w:fill="auto"/>
          </w:tcPr>
          <w:p w14:paraId="28AB366C" w14:textId="77777777" w:rsidR="00715D0E" w:rsidRPr="00F20B0B" w:rsidRDefault="00715D0E" w:rsidP="008B355D">
            <w:pPr>
              <w:rPr>
                <w:rFonts w:ascii="David" w:hAnsi="David"/>
                <w:b/>
                <w:bCs/>
              </w:rPr>
            </w:pPr>
            <w:r w:rsidRPr="00F20B0B">
              <w:rPr>
                <w:rFonts w:ascii="David" w:hAnsi="David"/>
                <w:b/>
                <w:bCs/>
                <w:rtl/>
              </w:rPr>
              <w:t>הנאש</w:t>
            </w:r>
            <w:r w:rsidRPr="00F20B0B">
              <w:rPr>
                <w:rFonts w:ascii="David" w:hAnsi="David" w:hint="cs"/>
                <w:b/>
                <w:bCs/>
                <w:rtl/>
              </w:rPr>
              <w:t>ם</w:t>
            </w:r>
          </w:p>
        </w:tc>
      </w:tr>
    </w:tbl>
    <w:p w14:paraId="614C0BF2" w14:textId="77777777" w:rsidR="00F20B0B" w:rsidRPr="00F20B0B" w:rsidRDefault="00F20B0B" w:rsidP="00F20B0B">
      <w:pPr>
        <w:spacing w:before="120" w:after="120" w:line="240" w:lineRule="exact"/>
        <w:ind w:left="283" w:hanging="283"/>
        <w:jc w:val="both"/>
        <w:rPr>
          <w:rFonts w:ascii="FrankRuehl" w:hAnsi="FrankRuehl" w:cs="FrankRuehl"/>
          <w:rtl/>
        </w:rPr>
      </w:pPr>
    </w:p>
    <w:p w14:paraId="3D7332B5" w14:textId="77777777" w:rsidR="00F20B0B" w:rsidRPr="00F20B0B" w:rsidRDefault="00F20B0B" w:rsidP="00F20B0B">
      <w:pPr>
        <w:rPr>
          <w:rFonts w:ascii="David" w:hAnsi="David"/>
          <w:sz w:val="26"/>
          <w:szCs w:val="26"/>
          <w:rtl/>
        </w:rPr>
      </w:pPr>
    </w:p>
    <w:p w14:paraId="076D23E5" w14:textId="77777777" w:rsidR="009019D8" w:rsidRPr="009019D8" w:rsidRDefault="009019D8" w:rsidP="009019D8">
      <w:pPr>
        <w:spacing w:before="120" w:after="120" w:line="240" w:lineRule="exact"/>
        <w:ind w:left="283" w:hanging="283"/>
        <w:jc w:val="both"/>
        <w:rPr>
          <w:rFonts w:ascii="FrankRuehl" w:hAnsi="FrankRuehl" w:cs="FrankRuehl"/>
          <w:rtl/>
        </w:rPr>
      </w:pPr>
    </w:p>
    <w:p w14:paraId="0106CF61" w14:textId="77777777" w:rsidR="00845832" w:rsidRPr="00845832" w:rsidRDefault="00845832" w:rsidP="00845832">
      <w:pPr>
        <w:spacing w:before="120" w:after="120" w:line="240" w:lineRule="exact"/>
        <w:ind w:left="283" w:hanging="283"/>
        <w:jc w:val="both"/>
        <w:rPr>
          <w:rFonts w:ascii="FrankRuehl" w:hAnsi="FrankRuehl" w:cs="FrankRuehl"/>
          <w:rtl/>
        </w:rPr>
      </w:pPr>
    </w:p>
    <w:p w14:paraId="7D4E5EC7" w14:textId="77777777" w:rsidR="00424064" w:rsidRDefault="00424064" w:rsidP="00424064">
      <w:pPr>
        <w:rPr>
          <w:rFonts w:ascii="David" w:hAnsi="David"/>
          <w:sz w:val="26"/>
          <w:szCs w:val="26"/>
          <w:rtl/>
        </w:rPr>
      </w:pPr>
      <w:bookmarkStart w:id="2" w:name="LawTable"/>
      <w:bookmarkEnd w:id="2"/>
    </w:p>
    <w:p w14:paraId="4296EE62" w14:textId="77777777" w:rsidR="00424064" w:rsidRPr="00424064" w:rsidRDefault="00424064" w:rsidP="00424064">
      <w:pPr>
        <w:spacing w:before="120" w:after="120" w:line="240" w:lineRule="exact"/>
        <w:ind w:left="283" w:hanging="283"/>
        <w:jc w:val="both"/>
        <w:rPr>
          <w:rFonts w:ascii="FrankRuehl" w:hAnsi="FrankRuehl" w:cs="FrankRuehl"/>
          <w:rtl/>
        </w:rPr>
      </w:pPr>
    </w:p>
    <w:p w14:paraId="3343EECF" w14:textId="77777777" w:rsidR="00424064" w:rsidRPr="00424064" w:rsidRDefault="00424064" w:rsidP="00424064">
      <w:pPr>
        <w:spacing w:before="120" w:after="120" w:line="240" w:lineRule="exact"/>
        <w:ind w:left="283" w:hanging="283"/>
        <w:jc w:val="both"/>
        <w:rPr>
          <w:rFonts w:ascii="FrankRuehl" w:hAnsi="FrankRuehl" w:cs="FrankRuehl"/>
          <w:rtl/>
        </w:rPr>
      </w:pPr>
    </w:p>
    <w:p w14:paraId="502D406F" w14:textId="77777777" w:rsidR="00424064" w:rsidRPr="00424064" w:rsidRDefault="00424064" w:rsidP="00424064">
      <w:pPr>
        <w:spacing w:before="120" w:after="120" w:line="240" w:lineRule="exact"/>
        <w:ind w:left="283" w:hanging="283"/>
        <w:jc w:val="both"/>
        <w:rPr>
          <w:rFonts w:ascii="FrankRuehl" w:hAnsi="FrankRuehl" w:cs="FrankRuehl"/>
          <w:rtl/>
        </w:rPr>
      </w:pPr>
      <w:r w:rsidRPr="00424064">
        <w:rPr>
          <w:rFonts w:ascii="FrankRuehl" w:hAnsi="FrankRuehl" w:cs="FrankRuehl"/>
          <w:rtl/>
        </w:rPr>
        <w:t xml:space="preserve">חקיקה שאוזכרה: </w:t>
      </w:r>
    </w:p>
    <w:p w14:paraId="730DB5DE" w14:textId="77777777" w:rsidR="00424064" w:rsidRPr="00424064" w:rsidRDefault="00424064" w:rsidP="00424064">
      <w:pPr>
        <w:spacing w:before="120" w:after="120" w:line="240" w:lineRule="exact"/>
        <w:ind w:left="283" w:hanging="283"/>
        <w:jc w:val="both"/>
        <w:rPr>
          <w:rFonts w:ascii="FrankRuehl" w:hAnsi="FrankRuehl" w:cs="FrankRuehl"/>
          <w:rtl/>
        </w:rPr>
      </w:pPr>
      <w:hyperlink r:id="rId7" w:history="1">
        <w:r w:rsidRPr="00424064">
          <w:rPr>
            <w:rFonts w:ascii="FrankRuehl" w:hAnsi="FrankRuehl" w:cs="FrankRuehl"/>
            <w:color w:val="0000FF"/>
            <w:rtl/>
          </w:rPr>
          <w:t>פקודת הסמים המסוכנים [נוסח חדש], תשל"ג-1973</w:t>
        </w:r>
      </w:hyperlink>
      <w:r w:rsidRPr="00424064">
        <w:rPr>
          <w:rFonts w:ascii="FrankRuehl" w:hAnsi="FrankRuehl" w:cs="FrankRuehl"/>
          <w:rtl/>
        </w:rPr>
        <w:t xml:space="preserve">: סע'  </w:t>
      </w:r>
      <w:hyperlink r:id="rId8" w:history="1">
        <w:r w:rsidRPr="00424064">
          <w:rPr>
            <w:rFonts w:ascii="FrankRuehl" w:hAnsi="FrankRuehl" w:cs="FrankRuehl"/>
            <w:color w:val="0000FF"/>
            <w:rtl/>
          </w:rPr>
          <w:t>6</w:t>
        </w:r>
      </w:hyperlink>
      <w:r w:rsidRPr="00424064">
        <w:rPr>
          <w:rFonts w:ascii="FrankRuehl" w:hAnsi="FrankRuehl" w:cs="FrankRuehl"/>
          <w:rtl/>
        </w:rPr>
        <w:t xml:space="preserve">, </w:t>
      </w:r>
      <w:hyperlink r:id="rId9" w:history="1">
        <w:r w:rsidRPr="00424064">
          <w:rPr>
            <w:rFonts w:ascii="FrankRuehl" w:hAnsi="FrankRuehl" w:cs="FrankRuehl"/>
            <w:color w:val="0000FF"/>
            <w:rtl/>
          </w:rPr>
          <w:t>7.א.</w:t>
        </w:r>
      </w:hyperlink>
      <w:r w:rsidRPr="00424064">
        <w:rPr>
          <w:rFonts w:ascii="FrankRuehl" w:hAnsi="FrankRuehl" w:cs="FrankRuehl"/>
          <w:rtl/>
        </w:rPr>
        <w:t xml:space="preserve">, </w:t>
      </w:r>
      <w:hyperlink r:id="rId10" w:history="1">
        <w:r w:rsidRPr="00424064">
          <w:rPr>
            <w:rFonts w:ascii="FrankRuehl" w:hAnsi="FrankRuehl" w:cs="FrankRuehl"/>
            <w:color w:val="0000FF"/>
            <w:rtl/>
          </w:rPr>
          <w:t>7.ג</w:t>
        </w:r>
      </w:hyperlink>
      <w:r w:rsidRPr="00424064">
        <w:rPr>
          <w:rFonts w:ascii="FrankRuehl" w:hAnsi="FrankRuehl" w:cs="FrankRuehl"/>
          <w:rtl/>
        </w:rPr>
        <w:t xml:space="preserve">, </w:t>
      </w:r>
      <w:hyperlink r:id="rId11" w:history="1">
        <w:r w:rsidRPr="00424064">
          <w:rPr>
            <w:rFonts w:ascii="FrankRuehl" w:hAnsi="FrankRuehl" w:cs="FrankRuehl"/>
            <w:color w:val="0000FF"/>
            <w:rtl/>
          </w:rPr>
          <w:t>10</w:t>
        </w:r>
      </w:hyperlink>
    </w:p>
    <w:p w14:paraId="7006F3CA" w14:textId="77777777" w:rsidR="00424064" w:rsidRPr="00424064" w:rsidRDefault="00424064" w:rsidP="00424064">
      <w:pPr>
        <w:spacing w:before="120" w:after="120" w:line="240" w:lineRule="exact"/>
        <w:ind w:left="283" w:hanging="283"/>
        <w:jc w:val="both"/>
        <w:rPr>
          <w:rFonts w:ascii="FrankRuehl" w:hAnsi="FrankRuehl" w:cs="FrankRuehl"/>
          <w:rtl/>
        </w:rPr>
      </w:pPr>
      <w:hyperlink r:id="rId12" w:history="1">
        <w:r w:rsidRPr="00424064">
          <w:rPr>
            <w:rFonts w:ascii="FrankRuehl" w:hAnsi="FrankRuehl" w:cs="FrankRuehl"/>
            <w:color w:val="0000FF"/>
            <w:rtl/>
          </w:rPr>
          <w:t>חוק העונשין, תשל"ז-1977</w:t>
        </w:r>
      </w:hyperlink>
      <w:r w:rsidRPr="00424064">
        <w:rPr>
          <w:rFonts w:ascii="FrankRuehl" w:hAnsi="FrankRuehl" w:cs="FrankRuehl"/>
          <w:rtl/>
        </w:rPr>
        <w:t xml:space="preserve">: סע'  </w:t>
      </w:r>
      <w:hyperlink r:id="rId13" w:history="1">
        <w:r w:rsidRPr="00424064">
          <w:rPr>
            <w:rFonts w:ascii="FrankRuehl" w:hAnsi="FrankRuehl" w:cs="FrankRuehl"/>
            <w:color w:val="0000FF"/>
            <w:rtl/>
          </w:rPr>
          <w:t>400</w:t>
        </w:r>
      </w:hyperlink>
    </w:p>
    <w:p w14:paraId="55C38D2F" w14:textId="77777777" w:rsidR="00424064" w:rsidRPr="00424064" w:rsidRDefault="00424064" w:rsidP="00424064">
      <w:pPr>
        <w:rPr>
          <w:rFonts w:ascii="David" w:hAnsi="David"/>
          <w:sz w:val="26"/>
          <w:szCs w:val="26"/>
          <w:rtl/>
        </w:rPr>
      </w:pPr>
      <w:bookmarkStart w:id="3" w:name="LawTable_End"/>
      <w:bookmarkEnd w:id="3"/>
    </w:p>
    <w:p w14:paraId="4A0C2734" w14:textId="77777777" w:rsidR="00715D0E" w:rsidRPr="00845832" w:rsidRDefault="00715D0E" w:rsidP="00845832">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15D0E" w:rsidRPr="00AA5EC1" w14:paraId="789D7A4F" w14:textId="77777777" w:rsidTr="00715D0E">
        <w:trPr>
          <w:trHeight w:val="355"/>
          <w:jc w:val="center"/>
        </w:trPr>
        <w:tc>
          <w:tcPr>
            <w:tcW w:w="8820" w:type="dxa"/>
            <w:tcBorders>
              <w:top w:val="nil"/>
              <w:left w:val="nil"/>
              <w:bottom w:val="nil"/>
              <w:right w:val="nil"/>
            </w:tcBorders>
            <w:shd w:val="clear" w:color="auto" w:fill="auto"/>
          </w:tcPr>
          <w:p w14:paraId="4F48DBA5" w14:textId="77777777" w:rsidR="00F20B0B" w:rsidRPr="00F20B0B" w:rsidRDefault="00F20B0B" w:rsidP="00F20B0B">
            <w:pPr>
              <w:jc w:val="center"/>
              <w:rPr>
                <w:rFonts w:ascii="David" w:hAnsi="David"/>
                <w:b/>
                <w:bCs/>
                <w:sz w:val="32"/>
                <w:szCs w:val="32"/>
                <w:u w:val="single"/>
                <w:rtl/>
              </w:rPr>
            </w:pPr>
            <w:bookmarkStart w:id="4" w:name="PsakDin" w:colFirst="0" w:colLast="0"/>
            <w:r w:rsidRPr="00F20B0B">
              <w:rPr>
                <w:rFonts w:ascii="David" w:hAnsi="David"/>
                <w:b/>
                <w:bCs/>
                <w:sz w:val="32"/>
                <w:szCs w:val="32"/>
                <w:u w:val="single"/>
                <w:rtl/>
              </w:rPr>
              <w:t>גזר דין</w:t>
            </w:r>
          </w:p>
          <w:p w14:paraId="391F160B" w14:textId="77777777" w:rsidR="00715D0E" w:rsidRPr="00F20B0B" w:rsidRDefault="00715D0E" w:rsidP="00F20B0B">
            <w:pPr>
              <w:jc w:val="center"/>
              <w:rPr>
                <w:rFonts w:ascii="David" w:hAnsi="David"/>
                <w:b/>
                <w:bCs/>
                <w:sz w:val="32"/>
                <w:szCs w:val="32"/>
                <w:u w:val="single"/>
                <w:rtl/>
              </w:rPr>
            </w:pPr>
          </w:p>
        </w:tc>
      </w:tr>
      <w:bookmarkEnd w:id="4"/>
    </w:tbl>
    <w:p w14:paraId="4C6A327E" w14:textId="77777777" w:rsidR="00715D0E" w:rsidRDefault="00715D0E" w:rsidP="00715D0E">
      <w:pPr>
        <w:rPr>
          <w:rFonts w:ascii="David" w:hAnsi="David"/>
          <w:sz w:val="26"/>
          <w:szCs w:val="26"/>
          <w:rtl/>
        </w:rPr>
      </w:pPr>
    </w:p>
    <w:p w14:paraId="211FE71D" w14:textId="77777777" w:rsidR="00715D0E" w:rsidRDefault="00715D0E" w:rsidP="00715D0E">
      <w:pPr>
        <w:spacing w:line="360" w:lineRule="auto"/>
        <w:jc w:val="both"/>
        <w:rPr>
          <w:rFonts w:ascii="David" w:hAnsi="David"/>
          <w:rtl/>
        </w:rPr>
      </w:pPr>
      <w:r>
        <w:rPr>
          <w:rFonts w:ascii="David" w:hAnsi="David" w:hint="cs"/>
          <w:b/>
          <w:bCs/>
          <w:u w:val="single"/>
          <w:rtl/>
        </w:rPr>
        <w:t>כתב האישום וההליכים</w:t>
      </w:r>
    </w:p>
    <w:p w14:paraId="5FF2071E" w14:textId="77777777" w:rsidR="00715D0E" w:rsidRDefault="00715D0E" w:rsidP="00715D0E">
      <w:pPr>
        <w:spacing w:line="360" w:lineRule="auto"/>
        <w:jc w:val="both"/>
        <w:rPr>
          <w:rFonts w:ascii="David" w:hAnsi="David"/>
          <w:rtl/>
        </w:rPr>
      </w:pPr>
    </w:p>
    <w:p w14:paraId="630803F4" w14:textId="77777777" w:rsidR="00715D0E" w:rsidRDefault="00715D0E" w:rsidP="00715D0E">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במסגרת הסדר טיעון שלא כלל הסכמה עונשית, בעבירות ייצור, הכנה והפקה, לפי </w:t>
      </w:r>
      <w:hyperlink r:id="rId14" w:history="1">
        <w:r w:rsidR="009019D8" w:rsidRPr="009019D8">
          <w:rPr>
            <w:rStyle w:val="Hyperlink"/>
            <w:rFonts w:ascii="David" w:hAnsi="David" w:hint="eastAsia"/>
            <w:rtl/>
          </w:rPr>
          <w:t>סעיף</w:t>
        </w:r>
        <w:r w:rsidR="009019D8" w:rsidRPr="009019D8">
          <w:rPr>
            <w:rStyle w:val="Hyperlink"/>
            <w:rFonts w:ascii="David" w:hAnsi="David"/>
            <w:rtl/>
          </w:rPr>
          <w:t xml:space="preserve"> 6</w:t>
        </w:r>
      </w:hyperlink>
      <w:r>
        <w:rPr>
          <w:rFonts w:ascii="David" w:hAnsi="David" w:hint="cs"/>
          <w:rtl/>
        </w:rPr>
        <w:t xml:space="preserve"> ל</w:t>
      </w:r>
      <w:hyperlink r:id="rId15" w:history="1">
        <w:r w:rsidR="00F20B0B" w:rsidRPr="00F20B0B">
          <w:rPr>
            <w:rFonts w:ascii="David" w:hAnsi="David"/>
            <w:color w:val="0000FF"/>
            <w:u w:val="single"/>
            <w:rtl/>
          </w:rPr>
          <w:t>פקודת הסמים המסוכנים</w:t>
        </w:r>
      </w:hyperlink>
      <w:r>
        <w:rPr>
          <w:rFonts w:ascii="David" w:hAnsi="David" w:hint="cs"/>
          <w:rtl/>
        </w:rPr>
        <w:t xml:space="preserve"> [נוסח חדש], תשל"ג- 1973 (להלן </w:t>
      </w:r>
      <w:r>
        <w:rPr>
          <w:rFonts w:ascii="David" w:hAnsi="David"/>
          <w:rtl/>
        </w:rPr>
        <w:t>–</w:t>
      </w:r>
      <w:r>
        <w:rPr>
          <w:rFonts w:ascii="David" w:hAnsi="David" w:hint="cs"/>
          <w:rtl/>
        </w:rPr>
        <w:t xml:space="preserve"> </w:t>
      </w:r>
      <w:r w:rsidRPr="00B65333">
        <w:rPr>
          <w:rFonts w:ascii="Miriam" w:hAnsi="Miriam" w:cs="Miriam"/>
          <w:rtl/>
        </w:rPr>
        <w:t>פקודת הסמים</w:t>
      </w:r>
      <w:r>
        <w:rPr>
          <w:rFonts w:ascii="David" w:hAnsi="David" w:hint="cs"/>
          <w:rtl/>
        </w:rPr>
        <w:t xml:space="preserve">); החזקת סם מסוכן שלא לצריכה עצמית, לפי </w:t>
      </w:r>
      <w:hyperlink r:id="rId16" w:history="1">
        <w:r w:rsidR="009019D8" w:rsidRPr="009019D8">
          <w:rPr>
            <w:rStyle w:val="Hyperlink"/>
            <w:rFonts w:ascii="David" w:hAnsi="David" w:hint="eastAsia"/>
            <w:rtl/>
          </w:rPr>
          <w:t>סעיף</w:t>
        </w:r>
        <w:r w:rsidR="009019D8" w:rsidRPr="009019D8">
          <w:rPr>
            <w:rStyle w:val="Hyperlink"/>
            <w:rFonts w:ascii="David" w:hAnsi="David"/>
            <w:rtl/>
          </w:rPr>
          <w:t xml:space="preserve"> 7(א)+(ג)</w:t>
        </w:r>
      </w:hyperlink>
      <w:r>
        <w:rPr>
          <w:rFonts w:ascii="David" w:hAnsi="David" w:hint="cs"/>
          <w:rtl/>
        </w:rPr>
        <w:t xml:space="preserve"> רישא לפקודת הסמים; החזקת כלים, לפי </w:t>
      </w:r>
      <w:hyperlink r:id="rId17" w:history="1">
        <w:r w:rsidR="009019D8" w:rsidRPr="009019D8">
          <w:rPr>
            <w:rStyle w:val="Hyperlink"/>
            <w:rFonts w:ascii="David" w:hAnsi="David" w:hint="eastAsia"/>
            <w:rtl/>
          </w:rPr>
          <w:t>סעיף</w:t>
        </w:r>
        <w:r w:rsidR="009019D8" w:rsidRPr="009019D8">
          <w:rPr>
            <w:rStyle w:val="Hyperlink"/>
            <w:rFonts w:ascii="David" w:hAnsi="David"/>
            <w:rtl/>
          </w:rPr>
          <w:t xml:space="preserve"> 10</w:t>
        </w:r>
      </w:hyperlink>
      <w:r>
        <w:rPr>
          <w:rFonts w:ascii="David" w:hAnsi="David" w:hint="cs"/>
          <w:rtl/>
        </w:rPr>
        <w:t xml:space="preserve"> רישא לפקודת הסמים; ונטילת חשמל, לפי </w:t>
      </w:r>
      <w:hyperlink r:id="rId18" w:history="1">
        <w:r w:rsidR="009019D8" w:rsidRPr="009019D8">
          <w:rPr>
            <w:rStyle w:val="Hyperlink"/>
            <w:rFonts w:ascii="David" w:hAnsi="David" w:hint="eastAsia"/>
            <w:rtl/>
          </w:rPr>
          <w:t>סעיף</w:t>
        </w:r>
        <w:r w:rsidR="009019D8" w:rsidRPr="009019D8">
          <w:rPr>
            <w:rStyle w:val="Hyperlink"/>
            <w:rFonts w:ascii="David" w:hAnsi="David"/>
            <w:rtl/>
          </w:rPr>
          <w:t xml:space="preserve"> 400</w:t>
        </w:r>
      </w:hyperlink>
      <w:r>
        <w:rPr>
          <w:rFonts w:ascii="David" w:hAnsi="David" w:hint="cs"/>
          <w:rtl/>
        </w:rPr>
        <w:t xml:space="preserve"> ל</w:t>
      </w:r>
      <w:hyperlink r:id="rId19" w:history="1">
        <w:r w:rsidR="00F20B0B" w:rsidRPr="00F20B0B">
          <w:rPr>
            <w:rFonts w:ascii="David" w:hAnsi="David"/>
            <w:color w:val="0000FF"/>
            <w:u w:val="single"/>
            <w:rtl/>
          </w:rPr>
          <w:t>חוק העונשין</w:t>
        </w:r>
      </w:hyperlink>
      <w:r>
        <w:rPr>
          <w:rFonts w:ascii="David" w:hAnsi="David" w:hint="cs"/>
          <w:rtl/>
        </w:rPr>
        <w:t xml:space="preserve">, תשל"ז- 1977 </w:t>
      </w:r>
      <w:bookmarkStart w:id="6" w:name="ABSTRACT_END"/>
      <w:bookmarkEnd w:id="6"/>
      <w:r>
        <w:rPr>
          <w:rFonts w:ascii="David" w:hAnsi="David" w:hint="cs"/>
          <w:rtl/>
        </w:rPr>
        <w:t xml:space="preserve">(להלן </w:t>
      </w:r>
      <w:r>
        <w:rPr>
          <w:rFonts w:ascii="David" w:hAnsi="David"/>
          <w:rtl/>
        </w:rPr>
        <w:t>–</w:t>
      </w:r>
      <w:r>
        <w:rPr>
          <w:rFonts w:ascii="David" w:hAnsi="David" w:hint="cs"/>
          <w:rtl/>
        </w:rPr>
        <w:t xml:space="preserve"> </w:t>
      </w:r>
      <w:r w:rsidRPr="005F04D0">
        <w:rPr>
          <w:rFonts w:ascii="Miriam" w:hAnsi="Miriam" w:cs="Miriam"/>
          <w:rtl/>
        </w:rPr>
        <w:t>חוק העונשין</w:t>
      </w:r>
      <w:r>
        <w:rPr>
          <w:rFonts w:ascii="David" w:hAnsi="David" w:hint="cs"/>
          <w:rtl/>
        </w:rPr>
        <w:t xml:space="preserve">). על פי עובדות כתב האישום המתוקן, ביום 27.12.21 שכר הנאשם דירה לתקופה של שנה במהלכה, במועד שאינו ידוע במדויק, החליט לגדל סמים מסוג קנבוס. את הדירה צייד במאווררים, מזגנים ניידים, מפוחים, מנורות, שנאים, מכלי חמצן, כבלי חשמל עם מפצלים, מתקני ייבוש, מכלים עם דשנים, עציצים עם אדמה, ציפוי כסף וכפפות חד פעמיות. במהלך תקופת השכירות, החל ממועד שאינו ידוע במדויק ועד 23.8.22 גידל הנאשם בדירה סמים מסוג קנבוס ונמצא ביום זה כשהוא מגדל בדירה 26.04 ק"ג נטו של סם מסוג קנבוס. בנוסף, בתקופת הגידול חיבר הנאשם את </w:t>
      </w:r>
      <w:r>
        <w:rPr>
          <w:rFonts w:ascii="David" w:hAnsi="David" w:hint="cs"/>
          <w:rtl/>
        </w:rPr>
        <w:lastRenderedPageBreak/>
        <w:t xml:space="preserve">הדירה למתקני חברת החשמל שלא דרך מונה החשמל בכך שעקף את החיבור התקני של חברת החשמל ונטל במרמה ובמזיד חשמל בעלות כוללת שאינה פחותה מ-40,000 ₪. </w:t>
      </w:r>
    </w:p>
    <w:p w14:paraId="458CA3B9" w14:textId="77777777" w:rsidR="00715D0E" w:rsidRPr="00B75802" w:rsidRDefault="00715D0E" w:rsidP="00715D0E">
      <w:pPr>
        <w:pStyle w:val="a9"/>
        <w:ind w:left="0"/>
        <w:jc w:val="both"/>
        <w:rPr>
          <w:rFonts w:ascii="David" w:hAnsi="David"/>
          <w:rtl/>
        </w:rPr>
      </w:pPr>
    </w:p>
    <w:p w14:paraId="3F71C241" w14:textId="77777777" w:rsidR="00715D0E" w:rsidRDefault="00715D0E" w:rsidP="00715D0E">
      <w:pPr>
        <w:pStyle w:val="a9"/>
        <w:spacing w:line="360" w:lineRule="auto"/>
        <w:ind w:left="0"/>
        <w:jc w:val="both"/>
        <w:rPr>
          <w:rFonts w:ascii="David" w:hAnsi="David"/>
          <w:b/>
          <w:bCs/>
          <w:u w:val="single"/>
          <w:rtl/>
        </w:rPr>
      </w:pPr>
      <w:r>
        <w:rPr>
          <w:rFonts w:ascii="David" w:hAnsi="David" w:hint="cs"/>
          <w:b/>
          <w:bCs/>
          <w:u w:val="single"/>
          <w:rtl/>
        </w:rPr>
        <w:t xml:space="preserve">טיעוני הצדדים לעונש והראיות </w:t>
      </w:r>
    </w:p>
    <w:p w14:paraId="0A360D7C" w14:textId="77777777" w:rsidR="00715D0E" w:rsidRPr="00F712ED" w:rsidRDefault="00715D0E" w:rsidP="00715D0E">
      <w:pPr>
        <w:pStyle w:val="a9"/>
        <w:ind w:left="0"/>
        <w:jc w:val="both"/>
        <w:rPr>
          <w:rFonts w:ascii="David" w:hAnsi="David"/>
          <w:b/>
          <w:bCs/>
          <w:u w:val="single"/>
        </w:rPr>
      </w:pPr>
    </w:p>
    <w:p w14:paraId="56B007AA" w14:textId="77777777" w:rsidR="00715D0E" w:rsidRDefault="00715D0E" w:rsidP="00715D0E">
      <w:pPr>
        <w:pStyle w:val="a9"/>
        <w:numPr>
          <w:ilvl w:val="0"/>
          <w:numId w:val="1"/>
        </w:numPr>
        <w:spacing w:line="360" w:lineRule="auto"/>
        <w:jc w:val="both"/>
        <w:rPr>
          <w:rFonts w:ascii="David" w:hAnsi="David"/>
        </w:rPr>
      </w:pPr>
      <w:r>
        <w:rPr>
          <w:rFonts w:ascii="David" w:hAnsi="David" w:hint="cs"/>
          <w:rtl/>
        </w:rPr>
        <w:t xml:space="preserve">ב"כ המאשימה הגיש טיעון כתוב והשלים טיעונים על פה. הודגשה חומרת העבירות, כמות הסם והנזקים שעלולים להיגרם בשל עבירות סמים. המאשימה הפנתה לפסיקה ועתרה לקביעת מתחם ענישה הנע בין 18 חודשי מאסר בפועל לבין 38 חודשי מאסר בצירוף ענישה נלווית. ביחס לעונש שיש להטיל על הנאשם, עתרה המאשימה, על רקע העבר הנקי וקבלת האחריות, למקמו בחלקו התחתון של מתחם הענישה לו עתרה. </w:t>
      </w:r>
    </w:p>
    <w:p w14:paraId="3A22F8BF" w14:textId="77777777" w:rsidR="00715D0E" w:rsidRDefault="00715D0E" w:rsidP="00715D0E">
      <w:pPr>
        <w:pStyle w:val="a9"/>
        <w:ind w:left="0"/>
        <w:jc w:val="both"/>
        <w:rPr>
          <w:rFonts w:ascii="David" w:hAnsi="David"/>
        </w:rPr>
      </w:pPr>
    </w:p>
    <w:p w14:paraId="6AAD981E" w14:textId="77777777" w:rsidR="00715D0E" w:rsidRDefault="00715D0E" w:rsidP="00715D0E">
      <w:pPr>
        <w:pStyle w:val="a9"/>
        <w:numPr>
          <w:ilvl w:val="0"/>
          <w:numId w:val="1"/>
        </w:numPr>
        <w:spacing w:line="360" w:lineRule="auto"/>
        <w:jc w:val="both"/>
        <w:rPr>
          <w:rFonts w:ascii="David" w:hAnsi="David"/>
        </w:rPr>
      </w:pPr>
      <w:r>
        <w:rPr>
          <w:rFonts w:ascii="David" w:hAnsi="David" w:hint="cs"/>
          <w:rtl/>
        </w:rPr>
        <w:t xml:space="preserve">ב"כ הנאשם טען כי משקל הצמחים אינו חזות הכל ולעיתים דווקא מספר השתילים הוא החשוב, נתון החסר בכתב האישום, כמו גם משך תקופת הגידול. משכך ביקש להניח עבור הנאשם את ההנחה המקלה עמו. נטען כי בהתאם לפסיקה מתחם הענישה נע במקרה זה בין שישה חודשי מאסר בעבודות שירות לבין 24 חודשי מאסר בפועל. הסנגור הדגיש כי מדובר בנאשם נעדר עבר פלילי שזו הסתבכותו הראשונה עם החוק וכי חלפה מאז מעל לשנה וחצי. כן הודגש שהנאשם עובד לפרנסתו ומקיים אורח חיים נורמטיבי ומשכך עתרה ההגנה למקם את עונשו בתחתית מתחם הענישה ולהסתפק במאסר לריצוי בעבודות שירות.  </w:t>
      </w:r>
    </w:p>
    <w:p w14:paraId="20B1A3D9" w14:textId="77777777" w:rsidR="00715D0E" w:rsidRPr="00BB33B4" w:rsidRDefault="00715D0E" w:rsidP="00715D0E">
      <w:pPr>
        <w:pStyle w:val="a9"/>
        <w:rPr>
          <w:rFonts w:ascii="David" w:hAnsi="David"/>
          <w:rtl/>
        </w:rPr>
      </w:pPr>
    </w:p>
    <w:p w14:paraId="59E7735A" w14:textId="77777777" w:rsidR="00715D0E" w:rsidRDefault="00715D0E" w:rsidP="00715D0E">
      <w:pPr>
        <w:pStyle w:val="a9"/>
        <w:numPr>
          <w:ilvl w:val="0"/>
          <w:numId w:val="1"/>
        </w:numPr>
        <w:spacing w:line="360" w:lineRule="auto"/>
        <w:jc w:val="both"/>
        <w:rPr>
          <w:rFonts w:ascii="David" w:hAnsi="David"/>
        </w:rPr>
      </w:pPr>
      <w:r>
        <w:rPr>
          <w:rFonts w:ascii="David" w:hAnsi="David" w:hint="cs"/>
          <w:rtl/>
        </w:rPr>
        <w:t>הנאשם בדברו האחרון הביע צער על מעשיו וציין כי לא ישוב עליהם.</w:t>
      </w:r>
    </w:p>
    <w:p w14:paraId="1F413464" w14:textId="77777777" w:rsidR="00715D0E" w:rsidRPr="004F4BF6" w:rsidRDefault="00715D0E" w:rsidP="00715D0E">
      <w:pPr>
        <w:pStyle w:val="a9"/>
        <w:rPr>
          <w:rFonts w:ascii="David" w:hAnsi="David"/>
          <w:rtl/>
        </w:rPr>
      </w:pPr>
    </w:p>
    <w:p w14:paraId="23839B00" w14:textId="77777777" w:rsidR="00715D0E" w:rsidRDefault="00715D0E" w:rsidP="00715D0E">
      <w:pPr>
        <w:pStyle w:val="a9"/>
        <w:spacing w:line="360" w:lineRule="auto"/>
        <w:ind w:left="0"/>
        <w:jc w:val="both"/>
        <w:rPr>
          <w:rFonts w:ascii="David" w:hAnsi="David"/>
          <w:b/>
          <w:bCs/>
          <w:u w:val="single"/>
          <w:rtl/>
        </w:rPr>
      </w:pPr>
      <w:r>
        <w:rPr>
          <w:rFonts w:ascii="David" w:hAnsi="David" w:hint="cs"/>
          <w:b/>
          <w:bCs/>
          <w:u w:val="single"/>
          <w:rtl/>
        </w:rPr>
        <w:t>דיון והכרעה</w:t>
      </w:r>
    </w:p>
    <w:p w14:paraId="0ADE0B19" w14:textId="77777777" w:rsidR="00715D0E" w:rsidRPr="00BB33B4" w:rsidRDefault="00715D0E" w:rsidP="00715D0E">
      <w:pPr>
        <w:pStyle w:val="a9"/>
        <w:spacing w:line="360" w:lineRule="auto"/>
        <w:ind w:left="0"/>
        <w:jc w:val="both"/>
        <w:rPr>
          <w:rFonts w:ascii="David" w:hAnsi="David"/>
          <w:b/>
          <w:bCs/>
          <w:u w:val="single"/>
        </w:rPr>
      </w:pPr>
      <w:r>
        <w:rPr>
          <w:rFonts w:ascii="David" w:hAnsi="David" w:hint="cs"/>
          <w:b/>
          <w:bCs/>
          <w:u w:val="single"/>
          <w:rtl/>
        </w:rPr>
        <w:t>קביעת מתחם הענישה</w:t>
      </w:r>
    </w:p>
    <w:p w14:paraId="035C6520" w14:textId="77777777" w:rsidR="00715D0E" w:rsidRPr="00BB33B4" w:rsidRDefault="00715D0E" w:rsidP="00715D0E">
      <w:pPr>
        <w:pStyle w:val="a9"/>
        <w:rPr>
          <w:rFonts w:ascii="David" w:hAnsi="David"/>
          <w:rtl/>
        </w:rPr>
      </w:pPr>
    </w:p>
    <w:p w14:paraId="0AA02218" w14:textId="77777777" w:rsidR="00715D0E" w:rsidRDefault="00715D0E" w:rsidP="00715D0E">
      <w:pPr>
        <w:pStyle w:val="a9"/>
        <w:numPr>
          <w:ilvl w:val="0"/>
          <w:numId w:val="1"/>
        </w:numPr>
        <w:spacing w:line="360" w:lineRule="auto"/>
        <w:jc w:val="both"/>
        <w:rPr>
          <w:rFonts w:ascii="David" w:hAnsi="David"/>
        </w:rPr>
      </w:pPr>
      <w:r>
        <w:rPr>
          <w:rFonts w:ascii="David" w:hAnsi="David" w:hint="cs"/>
          <w:rtl/>
        </w:rPr>
        <w:t xml:space="preserve"> </w:t>
      </w:r>
      <w:r w:rsidRPr="009E494A">
        <w:rPr>
          <w:rFonts w:ascii="David" w:hAnsi="David"/>
          <w:rtl/>
        </w:rPr>
        <w:t xml:space="preserve">  במעשיו פגע הנאשם בערכים של בטחון הציבור ושלומו. הסכנות הטמונות בהחזקת סם וגידולו ידועות ופעם אחר פעם נפסק שיש לראות בחומרה את עבירות הסמים אשר הפכו מכת מדינה וכי תוצאותיהן הישירות והעקיפות הן הרות אסון לשלומה של החברה, לבריאותה ולביטחונה.</w:t>
      </w:r>
      <w:r>
        <w:rPr>
          <w:rFonts w:ascii="David" w:hAnsi="David" w:hint="cs"/>
          <w:rtl/>
        </w:rPr>
        <w:t xml:space="preserve"> במקרה זה לאור משקל הסם ויתר הנסיבות שיפורטו בהמשך, מידת הפגיעה בערכים גבוהה יחסית. כן </w:t>
      </w:r>
      <w:r w:rsidRPr="00CF56DA">
        <w:rPr>
          <w:rFonts w:ascii="David" w:hAnsi="David"/>
          <w:rtl/>
        </w:rPr>
        <w:t>יצוין כי הנאשם אף נטל בגניבה חשמל בשווי לא מבוטל ובכך פגע בזכות הקניין של קורבן העבירה.</w:t>
      </w:r>
      <w:r>
        <w:rPr>
          <w:rFonts w:ascii="David" w:hAnsi="David" w:hint="cs"/>
          <w:rtl/>
        </w:rPr>
        <w:t xml:space="preserve"> </w:t>
      </w:r>
    </w:p>
    <w:p w14:paraId="3C489F4D" w14:textId="77777777" w:rsidR="00715D0E" w:rsidRDefault="00715D0E" w:rsidP="00715D0E">
      <w:pPr>
        <w:pStyle w:val="a9"/>
        <w:spacing w:line="360" w:lineRule="auto"/>
        <w:ind w:left="0"/>
        <w:jc w:val="both"/>
        <w:rPr>
          <w:rFonts w:ascii="David" w:hAnsi="David"/>
        </w:rPr>
      </w:pPr>
    </w:p>
    <w:p w14:paraId="491429BC" w14:textId="77777777" w:rsidR="00715D0E" w:rsidRDefault="00715D0E" w:rsidP="00715D0E">
      <w:pPr>
        <w:pStyle w:val="a9"/>
        <w:numPr>
          <w:ilvl w:val="0"/>
          <w:numId w:val="1"/>
        </w:numPr>
        <w:spacing w:line="360" w:lineRule="auto"/>
        <w:jc w:val="both"/>
        <w:rPr>
          <w:rFonts w:ascii="David" w:hAnsi="David"/>
        </w:rPr>
      </w:pPr>
      <w:r>
        <w:rPr>
          <w:rFonts w:ascii="David" w:hAnsi="David"/>
          <w:rtl/>
        </w:rPr>
        <w:t>ביחס לנסיבות ביצוע העביר</w:t>
      </w:r>
      <w:r>
        <w:rPr>
          <w:rFonts w:ascii="David" w:hAnsi="David" w:hint="cs"/>
          <w:rtl/>
        </w:rPr>
        <w:t>ות</w:t>
      </w:r>
      <w:r w:rsidRPr="00EB56E7">
        <w:rPr>
          <w:rFonts w:ascii="David" w:hAnsi="David"/>
          <w:rtl/>
        </w:rPr>
        <w:t xml:space="preserve"> אציין </w:t>
      </w:r>
      <w:r>
        <w:rPr>
          <w:rFonts w:ascii="David" w:hAnsi="David" w:hint="cs"/>
          <w:rtl/>
        </w:rPr>
        <w:t>ש</w:t>
      </w:r>
      <w:r w:rsidRPr="00EB56E7">
        <w:rPr>
          <w:rFonts w:ascii="David" w:hAnsi="David"/>
          <w:rtl/>
        </w:rPr>
        <w:t>גידול סמים מצריך תכנון מוקדם, לימוד, רכישת ציוד, היערכות והתמדה וכן השקעה כספית לא מבוטלת.</w:t>
      </w:r>
      <w:r>
        <w:rPr>
          <w:rFonts w:ascii="David" w:hAnsi="David" w:hint="cs"/>
          <w:rtl/>
        </w:rPr>
        <w:t xml:space="preserve"> במקרה זה שכר הנאשם דירה בה הקים מקום לגידול סמים (חממה-מעבדה) אשר כללה ציוד רב. כן חיבר הנאשם את הדירה במרמה למתקני חברת החשמל ובאופן זה נטל חשמל בסכום משמעותי ללא תשלום. נסיבות אלו מלמדות על חומרה ממשית, מעידות על עיסוק והתמקצעות בסמים ומתיישבות היטב עם ציפייה לרווח משמעותי. </w:t>
      </w:r>
    </w:p>
    <w:p w14:paraId="2591E631" w14:textId="77777777" w:rsidR="00715D0E" w:rsidRPr="00EA3F81" w:rsidRDefault="00715D0E" w:rsidP="00715D0E">
      <w:pPr>
        <w:pStyle w:val="a9"/>
        <w:rPr>
          <w:rFonts w:ascii="David" w:hAnsi="David"/>
          <w:rtl/>
        </w:rPr>
      </w:pPr>
    </w:p>
    <w:p w14:paraId="6938B7EC" w14:textId="77777777" w:rsidR="00715D0E" w:rsidRPr="00C23A76" w:rsidRDefault="00715D0E" w:rsidP="00715D0E">
      <w:pPr>
        <w:pStyle w:val="a9"/>
        <w:numPr>
          <w:ilvl w:val="0"/>
          <w:numId w:val="1"/>
        </w:numPr>
        <w:spacing w:line="360" w:lineRule="auto"/>
        <w:jc w:val="both"/>
        <w:rPr>
          <w:rFonts w:ascii="David" w:hAnsi="David"/>
        </w:rPr>
      </w:pPr>
      <w:r>
        <w:rPr>
          <w:rFonts w:ascii="David" w:hAnsi="David" w:hint="cs"/>
          <w:rtl/>
        </w:rPr>
        <w:lastRenderedPageBreak/>
        <w:t>כאן</w:t>
      </w:r>
      <w:r w:rsidRPr="00C23A76">
        <w:rPr>
          <w:rFonts w:ascii="David" w:hAnsi="David" w:hint="cs"/>
          <w:rtl/>
        </w:rPr>
        <w:t xml:space="preserve"> המקום להתייחס לטענת ההגנה בדבר היקף המעבדה. כאמור, כתב האישום שותק ביחס לכמות השתילים ומשך תקופת הגידול. עם זאת, צוין כי במעבדה נתפסו סמים מסוכנים מסוג קנבוס במשקל כולל של למעלה מ- 26 ק"ג. אכן, משקל השתילים אינו חזות הכל. עם זאת, קביעה זו יפה במיוחד כאשר משקל הסמים נמוך, שאז יש לבחון גם את מספר השתילים וגודלם שמא מדובר בתחילת תהליך הגידול המלמד על פוטנציאל נזק (ורווח כספי) חרף המשקל הנמוך במועד התפיסה. מנגד, משקל גבוה </w:t>
      </w:r>
      <w:r>
        <w:rPr>
          <w:rFonts w:ascii="David" w:hAnsi="David" w:hint="cs"/>
          <w:rtl/>
        </w:rPr>
        <w:t xml:space="preserve">מלמד </w:t>
      </w:r>
      <w:r w:rsidRPr="00C23A76">
        <w:rPr>
          <w:rFonts w:ascii="David" w:hAnsi="David" w:hint="cs"/>
          <w:rtl/>
        </w:rPr>
        <w:t xml:space="preserve">ככלל על חומרה </w:t>
      </w:r>
      <w:r>
        <w:rPr>
          <w:rFonts w:ascii="David" w:hAnsi="David" w:hint="cs"/>
          <w:rtl/>
        </w:rPr>
        <w:t>ו</w:t>
      </w:r>
      <w:r w:rsidRPr="00C23A76">
        <w:rPr>
          <w:rFonts w:ascii="David" w:hAnsi="David" w:hint="cs"/>
          <w:rtl/>
        </w:rPr>
        <w:t xml:space="preserve">דומה שעל מנת לטעון אחרת, דווקא על הנאשם להצביע על </w:t>
      </w:r>
      <w:r>
        <w:rPr>
          <w:rFonts w:ascii="David" w:hAnsi="David" w:hint="cs"/>
          <w:rtl/>
        </w:rPr>
        <w:t xml:space="preserve">קיומו של </w:t>
      </w:r>
      <w:r w:rsidRPr="00C23A76">
        <w:rPr>
          <w:rFonts w:ascii="David" w:hAnsi="David" w:hint="cs"/>
          <w:rtl/>
        </w:rPr>
        <w:t xml:space="preserve">נתון חריג שיש בו להביא למסקנה שונה מזו ההגיונית והשגרתית (כגון שמדובר במספר שתילים נמוך במיוחד </w:t>
      </w:r>
      <w:r>
        <w:rPr>
          <w:rFonts w:ascii="David" w:hAnsi="David" w:hint="cs"/>
          <w:rtl/>
        </w:rPr>
        <w:t>אשר הניב בדרך מקרה תבואה גדולה ב</w:t>
      </w:r>
      <w:r w:rsidRPr="00C23A76">
        <w:rPr>
          <w:rFonts w:ascii="David" w:hAnsi="David" w:hint="cs"/>
          <w:rtl/>
        </w:rPr>
        <w:t xml:space="preserve">הרבה מזו לה ציפה ותכנן). אפנה </w:t>
      </w:r>
      <w:r>
        <w:rPr>
          <w:rFonts w:ascii="David" w:hAnsi="David" w:hint="cs"/>
          <w:rtl/>
        </w:rPr>
        <w:t xml:space="preserve">גם </w:t>
      </w:r>
      <w:r w:rsidRPr="00C23A76">
        <w:rPr>
          <w:rFonts w:ascii="David" w:hAnsi="David" w:hint="cs"/>
          <w:rtl/>
        </w:rPr>
        <w:t xml:space="preserve">בעניין זה </w:t>
      </w:r>
      <w:r w:rsidRPr="00C23A76">
        <w:rPr>
          <w:rFonts w:ascii="David" w:hAnsi="David" w:hint="cs"/>
          <w:color w:val="000000"/>
          <w:rtl/>
        </w:rPr>
        <w:t>ל</w:t>
      </w:r>
      <w:hyperlink r:id="rId20" w:history="1">
        <w:r w:rsidR="00F20B0B" w:rsidRPr="00F20B0B">
          <w:rPr>
            <w:rFonts w:ascii="David" w:hAnsi="David"/>
            <w:color w:val="0000FF"/>
            <w:u w:val="single"/>
            <w:rtl/>
          </w:rPr>
          <w:t>עפ"ג 49716-11-16</w:t>
        </w:r>
      </w:hyperlink>
      <w:r w:rsidRPr="00C23A76">
        <w:rPr>
          <w:rFonts w:ascii="David" w:hAnsi="David"/>
          <w:color w:val="000000"/>
          <w:rtl/>
        </w:rPr>
        <w:t>‏ ‏</w:t>
      </w:r>
      <w:r w:rsidRPr="00C23A76">
        <w:rPr>
          <w:rFonts w:ascii="David" w:hAnsi="David"/>
          <w:b/>
          <w:bCs/>
          <w:color w:val="000000"/>
          <w:rtl/>
        </w:rPr>
        <w:t>רועי בראל נ' מדינת ישראל</w:t>
      </w:r>
      <w:r w:rsidRPr="00C23A76">
        <w:rPr>
          <w:rFonts w:ascii="David" w:hAnsi="David" w:hint="cs"/>
          <w:color w:val="000000"/>
          <w:rtl/>
        </w:rPr>
        <w:t xml:space="preserve"> (16.6.2017) שם צוין "</w:t>
      </w:r>
      <w:r w:rsidRPr="00C23A76">
        <w:rPr>
          <w:rFonts w:ascii="Miriam" w:hAnsi="Miriam" w:cs="Miriam"/>
          <w:color w:val="000000"/>
          <w:rtl/>
        </w:rPr>
        <w:t>איננו מתעלמים מהמשקל הגדול של השתילים שנתפסו במעבדה ביום שנערך בה חיפוש על-ידי המשטרה, גם אם בכתב האישום ובגזר הדין לא צוין מספר השתילים של הקנבוס שנתפסו במעבדה באותו יום</w:t>
      </w:r>
      <w:r w:rsidRPr="00C23A76">
        <w:rPr>
          <w:rFonts w:ascii="David" w:hAnsi="David" w:hint="cs"/>
          <w:color w:val="000000"/>
          <w:rtl/>
        </w:rPr>
        <w:t>"</w:t>
      </w:r>
      <w:r w:rsidRPr="00C23A76">
        <w:rPr>
          <w:rFonts w:ascii="David" w:hAnsi="David" w:hint="cs"/>
          <w:rtl/>
        </w:rPr>
        <w:t>.</w:t>
      </w:r>
      <w:r>
        <w:rPr>
          <w:rFonts w:ascii="David" w:hAnsi="David" w:hint="cs"/>
          <w:rtl/>
        </w:rPr>
        <w:t xml:space="preserve"> ביחס לתקופת הגידול (ושמא אף מספר מחזורי הגידול) אזי </w:t>
      </w:r>
      <w:r w:rsidRPr="00C23A76">
        <w:rPr>
          <w:rFonts w:ascii="David" w:hAnsi="David" w:hint="cs"/>
          <w:rtl/>
        </w:rPr>
        <w:t xml:space="preserve">לאור העובדה </w:t>
      </w:r>
      <w:r>
        <w:rPr>
          <w:rFonts w:ascii="David" w:hAnsi="David" w:hint="cs"/>
          <w:rtl/>
        </w:rPr>
        <w:t>ש</w:t>
      </w:r>
      <w:r w:rsidRPr="00C23A76">
        <w:rPr>
          <w:rFonts w:ascii="David" w:hAnsi="David" w:hint="cs"/>
          <w:rtl/>
        </w:rPr>
        <w:t xml:space="preserve">כתב האישום שותק </w:t>
      </w:r>
      <w:r>
        <w:rPr>
          <w:rFonts w:ascii="David" w:hAnsi="David" w:hint="cs"/>
          <w:rtl/>
        </w:rPr>
        <w:t xml:space="preserve">בנושא זה </w:t>
      </w:r>
      <w:r w:rsidRPr="00C23A76">
        <w:rPr>
          <w:rFonts w:ascii="David" w:hAnsi="David" w:hint="cs"/>
          <w:rtl/>
        </w:rPr>
        <w:t>אניח לטובת הנאשם שלא מדובר בתקופת זמן ממושכת</w:t>
      </w:r>
      <w:r>
        <w:rPr>
          <w:rFonts w:ascii="David" w:hAnsi="David" w:hint="cs"/>
          <w:rtl/>
        </w:rPr>
        <w:t xml:space="preserve"> אלא כזו המתיישבת באופן טבעי עם התוצאה שנמצאה בחיפוש המשטרתי</w:t>
      </w:r>
      <w:r w:rsidRPr="00C23A76">
        <w:rPr>
          <w:rFonts w:ascii="David" w:hAnsi="David" w:hint="cs"/>
          <w:rtl/>
        </w:rPr>
        <w:t xml:space="preserve">. </w:t>
      </w:r>
    </w:p>
    <w:p w14:paraId="3FF4B592" w14:textId="77777777" w:rsidR="00715D0E" w:rsidRPr="008D3E96" w:rsidRDefault="00715D0E" w:rsidP="00715D0E">
      <w:pPr>
        <w:pStyle w:val="a9"/>
        <w:rPr>
          <w:rFonts w:ascii="David" w:hAnsi="David"/>
          <w:rtl/>
        </w:rPr>
      </w:pPr>
    </w:p>
    <w:p w14:paraId="29E67DE7" w14:textId="77777777" w:rsidR="00715D0E" w:rsidRPr="008D3E96" w:rsidRDefault="00715D0E" w:rsidP="00715D0E">
      <w:pPr>
        <w:pStyle w:val="a9"/>
        <w:numPr>
          <w:ilvl w:val="0"/>
          <w:numId w:val="1"/>
        </w:numPr>
        <w:spacing w:line="360" w:lineRule="auto"/>
        <w:jc w:val="both"/>
        <w:rPr>
          <w:rFonts w:ascii="David" w:hAnsi="David"/>
        </w:rPr>
      </w:pPr>
      <w:r w:rsidRPr="008D3E96">
        <w:rPr>
          <w:rFonts w:ascii="David" w:hAnsi="David"/>
          <w:rtl/>
        </w:rPr>
        <w:t xml:space="preserve">הענישה המוטלת בעבירות מסוג זה משתנה ממקרה למקרה והיא תלויה בין היתר בכמות הסם (מספר השתילים והמשקל) ובנסיבותיו של הנאשם (עבר פלילי, שיקום, תסקיר חיובי וכיוצב'). עם זאת נקבע לא אחת כי יש להחמיר עם אלו שמגדלים סמים. ראו למשל </w:t>
      </w:r>
      <w:hyperlink r:id="rId21" w:history="1">
        <w:r w:rsidR="00F20B0B" w:rsidRPr="00F20B0B">
          <w:rPr>
            <w:rFonts w:ascii="David" w:hAnsi="David"/>
            <w:color w:val="0000FF"/>
            <w:u w:val="single"/>
            <w:rtl/>
          </w:rPr>
          <w:t>ע"פ 4387/20</w:t>
        </w:r>
      </w:hyperlink>
      <w:r w:rsidRPr="008D3E96">
        <w:rPr>
          <w:rFonts w:ascii="David" w:hAnsi="David"/>
          <w:rtl/>
        </w:rPr>
        <w:t xml:space="preserve"> </w:t>
      </w:r>
      <w:r w:rsidRPr="008D3E96">
        <w:rPr>
          <w:rFonts w:ascii="David" w:hAnsi="David"/>
          <w:b/>
          <w:bCs/>
          <w:rtl/>
        </w:rPr>
        <w:t>מדינת ישראל נ' טל דרור</w:t>
      </w:r>
      <w:r w:rsidRPr="008D3E96">
        <w:rPr>
          <w:rFonts w:ascii="David" w:hAnsi="David"/>
          <w:rtl/>
        </w:rPr>
        <w:t xml:space="preserve"> (8.2.2021):</w:t>
      </w:r>
    </w:p>
    <w:p w14:paraId="0A78D4EC" w14:textId="77777777" w:rsidR="00715D0E" w:rsidRDefault="00715D0E" w:rsidP="00715D0E">
      <w:pPr>
        <w:pStyle w:val="a9"/>
        <w:spacing w:line="360" w:lineRule="auto"/>
        <w:ind w:left="0"/>
        <w:jc w:val="both"/>
        <w:rPr>
          <w:rFonts w:ascii="David" w:hAnsi="David"/>
          <w:rtl/>
        </w:rPr>
      </w:pPr>
    </w:p>
    <w:p w14:paraId="588D1895" w14:textId="77777777" w:rsidR="00715D0E" w:rsidRPr="008D3E96" w:rsidRDefault="00715D0E" w:rsidP="00715D0E">
      <w:pPr>
        <w:pStyle w:val="a9"/>
        <w:ind w:left="1134" w:right="1134"/>
        <w:jc w:val="both"/>
        <w:rPr>
          <w:rFonts w:ascii="David" w:hAnsi="David"/>
          <w:rtl/>
        </w:rPr>
      </w:pPr>
      <w:r w:rsidRPr="008D3E96">
        <w:rPr>
          <w:rFonts w:ascii="David" w:hAnsi="David"/>
          <w:rtl/>
        </w:rPr>
        <w:t>"</w:t>
      </w:r>
      <w:r w:rsidRPr="008D3E96">
        <w:rPr>
          <w:rFonts w:ascii="Miriam" w:hAnsi="Miriam" w:cs="Miriam"/>
          <w:rtl/>
        </w:rPr>
        <w:t>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w:t>
      </w:r>
      <w:r w:rsidRPr="008D3E96">
        <w:rPr>
          <w:rFonts w:ascii="David" w:hAnsi="David"/>
          <w:rtl/>
        </w:rPr>
        <w:t xml:space="preserve">" (ראו גם </w:t>
      </w:r>
      <w:hyperlink r:id="rId22" w:history="1">
        <w:r w:rsidR="00F20B0B" w:rsidRPr="00F20B0B">
          <w:rPr>
            <w:rFonts w:ascii="David" w:hAnsi="David"/>
            <w:color w:val="0000FF"/>
            <w:u w:val="single"/>
            <w:rtl/>
          </w:rPr>
          <w:t>רע"פ 3287/21</w:t>
        </w:r>
      </w:hyperlink>
      <w:r w:rsidRPr="008D3E96">
        <w:rPr>
          <w:rFonts w:ascii="David" w:hAnsi="David"/>
          <w:rtl/>
        </w:rPr>
        <w:t xml:space="preserve"> </w:t>
      </w:r>
      <w:r w:rsidRPr="008D3E96">
        <w:rPr>
          <w:rFonts w:ascii="David" w:hAnsi="David"/>
          <w:b/>
          <w:bCs/>
          <w:rtl/>
        </w:rPr>
        <w:t>זארע עתמין נ' מדינת ישראל</w:t>
      </w:r>
      <w:r w:rsidRPr="008D3E96">
        <w:rPr>
          <w:rFonts w:ascii="David" w:hAnsi="David"/>
          <w:rtl/>
        </w:rPr>
        <w:t xml:space="preserve"> (15.2.2021); </w:t>
      </w:r>
      <w:hyperlink r:id="rId23" w:history="1">
        <w:r w:rsidR="00F20B0B" w:rsidRPr="00F20B0B">
          <w:rPr>
            <w:rFonts w:ascii="David" w:hAnsi="David"/>
            <w:color w:val="0000FF"/>
            <w:u w:val="single"/>
            <w:rtl/>
          </w:rPr>
          <w:t>ע"פ 8048/19</w:t>
        </w:r>
      </w:hyperlink>
      <w:r w:rsidRPr="008D3E96">
        <w:rPr>
          <w:rFonts w:ascii="David" w:hAnsi="David"/>
          <w:rtl/>
        </w:rPr>
        <w:t xml:space="preserve"> </w:t>
      </w:r>
      <w:r w:rsidRPr="008D3E96">
        <w:rPr>
          <w:rFonts w:ascii="David" w:hAnsi="David"/>
          <w:b/>
          <w:bCs/>
          <w:rtl/>
        </w:rPr>
        <w:t>פיצ'חדזה נ' מדינת ישראל</w:t>
      </w:r>
      <w:r w:rsidRPr="008D3E96">
        <w:rPr>
          <w:rFonts w:ascii="David" w:hAnsi="David"/>
          <w:rtl/>
        </w:rPr>
        <w:t xml:space="preserve"> (4.6.2020)).</w:t>
      </w:r>
    </w:p>
    <w:p w14:paraId="37F4E478" w14:textId="77777777" w:rsidR="00715D0E" w:rsidRPr="00AA5EC1" w:rsidRDefault="00715D0E" w:rsidP="00715D0E">
      <w:pPr>
        <w:spacing w:line="360" w:lineRule="auto"/>
        <w:jc w:val="both"/>
        <w:rPr>
          <w:rFonts w:ascii="David" w:hAnsi="David"/>
          <w:rtl/>
        </w:rPr>
      </w:pPr>
    </w:p>
    <w:p w14:paraId="48EDAF5A" w14:textId="77777777" w:rsidR="00715D0E" w:rsidRDefault="00715D0E" w:rsidP="00715D0E">
      <w:pPr>
        <w:pStyle w:val="a9"/>
        <w:numPr>
          <w:ilvl w:val="0"/>
          <w:numId w:val="1"/>
        </w:numPr>
        <w:spacing w:line="360" w:lineRule="auto"/>
        <w:jc w:val="both"/>
        <w:rPr>
          <w:rFonts w:ascii="David" w:hAnsi="David"/>
        </w:rPr>
      </w:pPr>
      <w:r w:rsidRPr="00722EA2">
        <w:rPr>
          <w:rFonts w:ascii="David" w:hAnsi="David"/>
          <w:rtl/>
        </w:rPr>
        <w:t xml:space="preserve">לצורך בחינת מדיניות הענישה הנוהגת ניתן להפנות לפסקי הדין הבאים, בשינויים המחויבים: </w:t>
      </w:r>
      <w:hyperlink r:id="rId24" w:history="1">
        <w:r w:rsidR="00F20B0B" w:rsidRPr="00F20B0B">
          <w:rPr>
            <w:rFonts w:ascii="David" w:hAnsi="David"/>
            <w:color w:val="0000FF"/>
            <w:u w:val="single"/>
            <w:rtl/>
          </w:rPr>
          <w:t>רע"פ 2277/21</w:t>
        </w:r>
      </w:hyperlink>
      <w:r w:rsidRPr="00722EA2">
        <w:rPr>
          <w:rFonts w:ascii="David" w:hAnsi="David"/>
          <w:rtl/>
        </w:rPr>
        <w:t xml:space="preserve"> </w:t>
      </w:r>
      <w:r w:rsidRPr="00674D12">
        <w:rPr>
          <w:rFonts w:ascii="David" w:hAnsi="David"/>
          <w:b/>
          <w:bCs/>
          <w:rtl/>
        </w:rPr>
        <w:t>אברהם יוחננוב נ' מדינת ישראל</w:t>
      </w:r>
      <w:r w:rsidRPr="00722EA2">
        <w:rPr>
          <w:rFonts w:ascii="David" w:hAnsi="David"/>
          <w:rtl/>
        </w:rPr>
        <w:t xml:space="preserve"> (8.4.2021), בו נידון עניינו של נאשם שהורשע בעבירות גידול סמים והחזקת סמים שלא לצריכה עצמית במשקל קילוגרם אחד (לא צוינו מספר השתילים) ונגזרו עליו שישה חודשי מאסר לריצוי בדרך של עבודות שירות ועונשים נלווים; </w:t>
      </w:r>
      <w:hyperlink r:id="rId25" w:history="1">
        <w:r w:rsidR="00F20B0B" w:rsidRPr="00F20B0B">
          <w:rPr>
            <w:rFonts w:ascii="David" w:hAnsi="David"/>
            <w:color w:val="0000FF"/>
            <w:u w:val="single"/>
            <w:rtl/>
          </w:rPr>
          <w:t>רע"פ 513/21</w:t>
        </w:r>
      </w:hyperlink>
      <w:r w:rsidRPr="00674D12">
        <w:rPr>
          <w:rFonts w:ascii="David" w:hAnsi="David"/>
          <w:b/>
          <w:bCs/>
          <w:rtl/>
        </w:rPr>
        <w:t xml:space="preserve"> עידן יהושע נ' מדינת ישראל</w:t>
      </w:r>
      <w:r w:rsidRPr="00722EA2">
        <w:rPr>
          <w:rFonts w:ascii="David" w:hAnsi="David"/>
          <w:rtl/>
        </w:rPr>
        <w:t xml:space="preserve"> (4.3.2021), בו נידון נאשם שגידל 60 שתילים במשקל כולל של 10 ק"ג והחזיק כלים המשמשים להכנת סם מסוכן, לעשרה חודשי מאסר בפועל וזאת למרות הליך שיקומי שעבר; </w:t>
      </w:r>
      <w:hyperlink r:id="rId26" w:history="1">
        <w:r w:rsidR="00F20B0B" w:rsidRPr="00F20B0B">
          <w:rPr>
            <w:rFonts w:ascii="David" w:hAnsi="David"/>
            <w:color w:val="0000FF"/>
            <w:u w:val="single"/>
            <w:rtl/>
          </w:rPr>
          <w:t>רע"פ 2151/21</w:t>
        </w:r>
      </w:hyperlink>
      <w:r w:rsidRPr="00722EA2">
        <w:rPr>
          <w:rFonts w:ascii="David" w:hAnsi="David"/>
          <w:rtl/>
        </w:rPr>
        <w:t xml:space="preserve"> </w:t>
      </w:r>
      <w:r w:rsidRPr="00674D12">
        <w:rPr>
          <w:rFonts w:ascii="David" w:hAnsi="David"/>
          <w:b/>
          <w:bCs/>
          <w:rtl/>
        </w:rPr>
        <w:t>שחף דהן נ' מדינת ישראל</w:t>
      </w:r>
      <w:r w:rsidRPr="00722EA2">
        <w:rPr>
          <w:rFonts w:ascii="David" w:hAnsi="David"/>
          <w:rtl/>
        </w:rPr>
        <w:t xml:space="preserve"> (7.4.2021), בו נידון נאשם ל-18 חודשי מאסר בגין גידול 100 שתילי קנבוס במשקל כולל של 23 ק"ג. עברו של הנאשם היה נקי אך התסקיר בעניינו היה שלילי; </w:t>
      </w:r>
      <w:hyperlink r:id="rId27" w:history="1">
        <w:r w:rsidR="00F20B0B" w:rsidRPr="00F20B0B">
          <w:rPr>
            <w:rFonts w:ascii="David" w:hAnsi="David"/>
            <w:color w:val="0000FF"/>
            <w:u w:val="single"/>
            <w:rtl/>
          </w:rPr>
          <w:t>רע"פ 7009/20</w:t>
        </w:r>
      </w:hyperlink>
      <w:r w:rsidRPr="00722EA2">
        <w:rPr>
          <w:rFonts w:ascii="David" w:hAnsi="David"/>
          <w:rtl/>
        </w:rPr>
        <w:t xml:space="preserve"> ‏</w:t>
      </w:r>
      <w:r w:rsidRPr="00674D12">
        <w:rPr>
          <w:rFonts w:ascii="David" w:hAnsi="David"/>
          <w:b/>
          <w:bCs/>
          <w:rtl/>
        </w:rPr>
        <w:t>בוריס ישראילוב נ' מדינת ישראל</w:t>
      </w:r>
      <w:r w:rsidRPr="00722EA2">
        <w:rPr>
          <w:rFonts w:ascii="David" w:hAnsi="David"/>
          <w:rtl/>
        </w:rPr>
        <w:t xml:space="preserve"> (6.12.2020), בו נידון נאשם שגידל 22 ק"ג קנבוס (לא צוינו מספר השתילים) ל-13 חודשי מאסר בפועל, חרף המלצה</w:t>
      </w:r>
      <w:r>
        <w:rPr>
          <w:rFonts w:ascii="David" w:hAnsi="David" w:hint="cs"/>
          <w:rtl/>
        </w:rPr>
        <w:t xml:space="preserve"> </w:t>
      </w:r>
      <w:r w:rsidRPr="00722EA2">
        <w:rPr>
          <w:rFonts w:ascii="David" w:hAnsi="David"/>
          <w:rtl/>
        </w:rPr>
        <w:t xml:space="preserve">חיובית של שירות המבחן; </w:t>
      </w:r>
      <w:hyperlink r:id="rId28" w:history="1">
        <w:r w:rsidR="00F20B0B" w:rsidRPr="00F20B0B">
          <w:rPr>
            <w:rFonts w:ascii="David" w:hAnsi="David"/>
            <w:color w:val="0000FF"/>
            <w:u w:val="single"/>
            <w:rtl/>
          </w:rPr>
          <w:t>עפ"ג 26985-08-19</w:t>
        </w:r>
      </w:hyperlink>
      <w:r w:rsidRPr="00722EA2">
        <w:rPr>
          <w:rFonts w:ascii="David" w:hAnsi="David"/>
          <w:rtl/>
        </w:rPr>
        <w:t xml:space="preserve"> </w:t>
      </w:r>
      <w:r w:rsidRPr="00674D12">
        <w:rPr>
          <w:rFonts w:ascii="David" w:hAnsi="David"/>
          <w:b/>
          <w:bCs/>
          <w:rtl/>
        </w:rPr>
        <w:t>ארטיום שטנפר נ' מדינת ישראל</w:t>
      </w:r>
      <w:r w:rsidRPr="00722EA2">
        <w:rPr>
          <w:rFonts w:ascii="David" w:hAnsi="David"/>
          <w:rtl/>
        </w:rPr>
        <w:t xml:space="preserve"> (21.11.2019), בו הוטל על נאשם שגידל עשרות שתילים במשקל כולל של 113 ק"ג, צו של"צ ומבחן וזאת בשל שיקולי שיקום; </w:t>
      </w:r>
      <w:hyperlink r:id="rId29" w:history="1">
        <w:r w:rsidR="00F20B0B" w:rsidRPr="00F20B0B">
          <w:rPr>
            <w:rFonts w:ascii="David" w:hAnsi="David"/>
            <w:color w:val="0000FF"/>
            <w:u w:val="single"/>
            <w:rtl/>
          </w:rPr>
          <w:t>עפ"ג 32119-08-21</w:t>
        </w:r>
      </w:hyperlink>
      <w:r w:rsidRPr="00722EA2">
        <w:rPr>
          <w:rFonts w:ascii="David" w:hAnsi="David"/>
          <w:rtl/>
        </w:rPr>
        <w:t xml:space="preserve"> </w:t>
      </w:r>
      <w:r w:rsidRPr="00674D12">
        <w:rPr>
          <w:rFonts w:ascii="David" w:hAnsi="David"/>
          <w:b/>
          <w:bCs/>
          <w:rtl/>
        </w:rPr>
        <w:t>אדיר יואב נ' מדינת ישראל</w:t>
      </w:r>
      <w:r w:rsidRPr="00722EA2">
        <w:rPr>
          <w:rFonts w:ascii="David" w:hAnsi="David"/>
          <w:rtl/>
        </w:rPr>
        <w:t xml:space="preserve"> (28.10.2021), בו נידון נאשם שגידל 68 שתילי קנבוס במשקל 7.56 ק"ג נטו לשישה חודשי </w:t>
      </w:r>
      <w:r>
        <w:rPr>
          <w:rFonts w:ascii="David" w:hAnsi="David" w:hint="cs"/>
          <w:rtl/>
        </w:rPr>
        <w:t>מאסר ב</w:t>
      </w:r>
      <w:r w:rsidRPr="00722EA2">
        <w:rPr>
          <w:rFonts w:ascii="David" w:hAnsi="David"/>
          <w:rtl/>
        </w:rPr>
        <w:t xml:space="preserve">עבודות שירות ועונשים נלווים; </w:t>
      </w:r>
      <w:hyperlink r:id="rId30" w:history="1">
        <w:r w:rsidR="00F20B0B" w:rsidRPr="00F20B0B">
          <w:rPr>
            <w:rFonts w:ascii="David" w:hAnsi="David"/>
            <w:color w:val="0000FF"/>
            <w:u w:val="single"/>
            <w:rtl/>
          </w:rPr>
          <w:t>עפ"ג 54910-04-21</w:t>
        </w:r>
      </w:hyperlink>
      <w:r w:rsidRPr="00722EA2">
        <w:rPr>
          <w:rFonts w:ascii="David" w:hAnsi="David"/>
          <w:rtl/>
        </w:rPr>
        <w:t xml:space="preserve"> </w:t>
      </w:r>
      <w:r w:rsidRPr="00674D12">
        <w:rPr>
          <w:rFonts w:ascii="David" w:hAnsi="David"/>
          <w:b/>
          <w:bCs/>
          <w:rtl/>
        </w:rPr>
        <w:t>מדינת ישראל נ' בן עזרי</w:t>
      </w:r>
      <w:r w:rsidRPr="00722EA2">
        <w:rPr>
          <w:rFonts w:ascii="David" w:hAnsi="David"/>
          <w:rtl/>
        </w:rPr>
        <w:t xml:space="preserve"> (19.7.2021), בו נידון נאשם שגידל 100 שתילי קנבוס במשקל של כ-17 ק"ג לתשעה חודשי מאסר בעבודות שירות ועונשים נלווים.</w:t>
      </w:r>
      <w:r>
        <w:rPr>
          <w:rFonts w:ascii="David" w:hAnsi="David" w:hint="cs"/>
          <w:rtl/>
        </w:rPr>
        <w:t xml:space="preserve"> </w:t>
      </w:r>
    </w:p>
    <w:p w14:paraId="616CEEC7" w14:textId="77777777" w:rsidR="00715D0E" w:rsidRDefault="00715D0E" w:rsidP="00715D0E">
      <w:pPr>
        <w:pStyle w:val="a9"/>
        <w:ind w:left="0"/>
        <w:jc w:val="both"/>
        <w:rPr>
          <w:rFonts w:ascii="David" w:hAnsi="David"/>
        </w:rPr>
      </w:pPr>
    </w:p>
    <w:p w14:paraId="2B113564" w14:textId="77777777" w:rsidR="00715D0E" w:rsidRPr="00C55CF4" w:rsidRDefault="00715D0E" w:rsidP="00715D0E">
      <w:pPr>
        <w:pStyle w:val="a9"/>
        <w:numPr>
          <w:ilvl w:val="0"/>
          <w:numId w:val="1"/>
        </w:numPr>
        <w:spacing w:line="360" w:lineRule="auto"/>
        <w:jc w:val="both"/>
        <w:rPr>
          <w:rFonts w:ascii="David" w:hAnsi="David"/>
          <w:rtl/>
        </w:rPr>
      </w:pPr>
      <w:r>
        <w:rPr>
          <w:rFonts w:ascii="David" w:hAnsi="David"/>
          <w:color w:val="000000"/>
          <w:rtl/>
        </w:rPr>
        <w:t>לאור כל זאת, אני בדעה כי מתחם הענישה ההולם את העביר</w:t>
      </w:r>
      <w:r>
        <w:rPr>
          <w:rFonts w:ascii="David" w:hAnsi="David" w:hint="cs"/>
          <w:color w:val="000000"/>
          <w:rtl/>
        </w:rPr>
        <w:t>ות</w:t>
      </w:r>
      <w:r>
        <w:rPr>
          <w:rFonts w:ascii="David" w:hAnsi="David"/>
          <w:color w:val="000000"/>
          <w:rtl/>
        </w:rPr>
        <w:t xml:space="preserve"> מושא ענייננו</w:t>
      </w:r>
      <w:r>
        <w:rPr>
          <w:rFonts w:ascii="David" w:hAnsi="David" w:hint="cs"/>
          <w:color w:val="000000"/>
          <w:rtl/>
        </w:rPr>
        <w:t>, בנסיבות ביצוען,</w:t>
      </w:r>
      <w:r>
        <w:rPr>
          <w:rFonts w:ascii="David" w:hAnsi="David"/>
          <w:color w:val="000000"/>
          <w:rtl/>
        </w:rPr>
        <w:t xml:space="preserve"> נע בין </w:t>
      </w:r>
      <w:r>
        <w:rPr>
          <w:rFonts w:ascii="David" w:hAnsi="David" w:hint="cs"/>
          <w:color w:val="000000"/>
          <w:rtl/>
        </w:rPr>
        <w:t>7</w:t>
      </w:r>
      <w:r>
        <w:rPr>
          <w:rFonts w:ascii="David" w:hAnsi="David"/>
          <w:color w:val="000000"/>
          <w:rtl/>
        </w:rPr>
        <w:t xml:space="preserve"> חודשי מאסר בפועל </w:t>
      </w:r>
      <w:r>
        <w:rPr>
          <w:rFonts w:ascii="David" w:hAnsi="David" w:hint="cs"/>
          <w:color w:val="000000"/>
          <w:rtl/>
        </w:rPr>
        <w:t>לבין</w:t>
      </w:r>
      <w:r>
        <w:rPr>
          <w:rFonts w:ascii="David" w:hAnsi="David"/>
          <w:color w:val="000000"/>
          <w:rtl/>
        </w:rPr>
        <w:t xml:space="preserve"> 24 חודשי מאסר בפועל</w:t>
      </w:r>
      <w:r>
        <w:rPr>
          <w:rFonts w:ascii="David" w:hAnsi="David"/>
          <w:color w:val="000000"/>
        </w:rPr>
        <w:t>.</w:t>
      </w:r>
    </w:p>
    <w:p w14:paraId="4E3A02C9" w14:textId="77777777" w:rsidR="00715D0E" w:rsidRDefault="00715D0E" w:rsidP="00715D0E">
      <w:pPr>
        <w:spacing w:line="360" w:lineRule="auto"/>
        <w:jc w:val="both"/>
        <w:rPr>
          <w:rFonts w:ascii="David" w:hAnsi="David"/>
          <w:rtl/>
        </w:rPr>
      </w:pPr>
    </w:p>
    <w:p w14:paraId="2289C179" w14:textId="77777777" w:rsidR="00715D0E" w:rsidRPr="00AA5EC1" w:rsidRDefault="00715D0E" w:rsidP="00715D0E">
      <w:pPr>
        <w:spacing w:line="360" w:lineRule="auto"/>
        <w:jc w:val="both"/>
        <w:rPr>
          <w:rFonts w:ascii="David" w:hAnsi="David"/>
          <w:rtl/>
        </w:rPr>
      </w:pPr>
      <w:r>
        <w:rPr>
          <w:rFonts w:ascii="David" w:hAnsi="David"/>
          <w:b/>
          <w:bCs/>
          <w:color w:val="000000"/>
          <w:u w:val="single"/>
          <w:rtl/>
        </w:rPr>
        <w:t>קביעת עונשו של הנאשם</w:t>
      </w:r>
    </w:p>
    <w:p w14:paraId="19CFFA61" w14:textId="77777777" w:rsidR="00715D0E" w:rsidRDefault="00715D0E" w:rsidP="00715D0E">
      <w:pPr>
        <w:spacing w:line="360" w:lineRule="auto"/>
        <w:jc w:val="both"/>
        <w:rPr>
          <w:rFonts w:ascii="David" w:hAnsi="David"/>
          <w:rtl/>
        </w:rPr>
      </w:pPr>
    </w:p>
    <w:p w14:paraId="5AC51049" w14:textId="77777777" w:rsidR="00715D0E" w:rsidRDefault="00F20B0B" w:rsidP="00715D0E">
      <w:pPr>
        <w:pStyle w:val="a9"/>
        <w:numPr>
          <w:ilvl w:val="0"/>
          <w:numId w:val="1"/>
        </w:numPr>
        <w:spacing w:line="360" w:lineRule="auto"/>
        <w:jc w:val="both"/>
        <w:rPr>
          <w:rFonts w:ascii="David" w:hAnsi="David"/>
        </w:rPr>
      </w:pPr>
      <w:r>
        <w:rPr>
          <w:color w:val="000000"/>
          <w:sz w:val="14"/>
          <w:szCs w:val="14"/>
        </w:rPr>
        <w:t xml:space="preserve"> </w:t>
      </w:r>
      <w:r w:rsidR="00715D0E">
        <w:rPr>
          <w:rFonts w:ascii="David" w:hAnsi="David"/>
          <w:color w:val="000000"/>
          <w:rtl/>
        </w:rPr>
        <w:t>לא הייתה מחלוקת בין הצדדים כי העונש אמור להיגזר בגדרי מתחם הענישה. לא התבקש תסקיר ולא נטען דבר בעניין סיכויי שיקומו של הנאשם</w:t>
      </w:r>
      <w:r w:rsidR="00715D0E">
        <w:rPr>
          <w:rFonts w:ascii="David" w:hAnsi="David"/>
          <w:color w:val="000000"/>
        </w:rPr>
        <w:t>.</w:t>
      </w:r>
      <w:r w:rsidR="00715D0E">
        <w:rPr>
          <w:rFonts w:ascii="David" w:hAnsi="David" w:hint="cs"/>
          <w:rtl/>
        </w:rPr>
        <w:t xml:space="preserve"> </w:t>
      </w:r>
    </w:p>
    <w:p w14:paraId="550EB16F" w14:textId="77777777" w:rsidR="00715D0E" w:rsidRDefault="00715D0E" w:rsidP="00715D0E">
      <w:pPr>
        <w:pStyle w:val="a9"/>
        <w:ind w:left="0"/>
        <w:jc w:val="both"/>
        <w:rPr>
          <w:rFonts w:ascii="David" w:hAnsi="David"/>
        </w:rPr>
      </w:pPr>
    </w:p>
    <w:p w14:paraId="2FB9E543" w14:textId="77777777" w:rsidR="00715D0E" w:rsidRDefault="00F20B0B" w:rsidP="00715D0E">
      <w:pPr>
        <w:pStyle w:val="a9"/>
        <w:numPr>
          <w:ilvl w:val="0"/>
          <w:numId w:val="1"/>
        </w:numPr>
        <w:spacing w:line="360" w:lineRule="auto"/>
        <w:jc w:val="both"/>
        <w:rPr>
          <w:rFonts w:ascii="David" w:hAnsi="David"/>
        </w:rPr>
      </w:pPr>
      <w:r>
        <w:rPr>
          <w:color w:val="000000"/>
          <w:sz w:val="14"/>
          <w:szCs w:val="14"/>
        </w:rPr>
        <w:t xml:space="preserve">  </w:t>
      </w:r>
      <w:r w:rsidR="00715D0E">
        <w:rPr>
          <w:rFonts w:ascii="David" w:hAnsi="David"/>
          <w:color w:val="000000"/>
          <w:rtl/>
        </w:rPr>
        <w:t xml:space="preserve">לצורך קביעת עונשו של הנאשם הבאתי בחשבון את הודאתו בהזדמנות הראשונה אשר ביטאה הפנמת הפסול וחרטה. הבאתי עוד בחשבון את </w:t>
      </w:r>
      <w:r w:rsidR="00715D0E">
        <w:rPr>
          <w:rFonts w:ascii="David" w:hAnsi="David" w:hint="cs"/>
          <w:color w:val="000000"/>
          <w:rtl/>
        </w:rPr>
        <w:t xml:space="preserve">גילו הצעיר יחסית, </w:t>
      </w:r>
      <w:r w:rsidR="00715D0E">
        <w:rPr>
          <w:rFonts w:ascii="David" w:hAnsi="David"/>
          <w:color w:val="000000"/>
          <w:rtl/>
        </w:rPr>
        <w:t>עברו הפלילי הנקי, את חלוף הזמן</w:t>
      </w:r>
      <w:r w:rsidR="00715D0E">
        <w:rPr>
          <w:rFonts w:ascii="David" w:hAnsi="David" w:hint="cs"/>
          <w:rtl/>
        </w:rPr>
        <w:t xml:space="preserve"> מאז ביצוע העבירות ואת העובדה כי מאז לא נפתחו נגדו תיקים חדשים.</w:t>
      </w:r>
      <w:r>
        <w:rPr>
          <w:color w:val="000000"/>
          <w:sz w:val="14"/>
          <w:szCs w:val="14"/>
        </w:rPr>
        <w:t xml:space="preserve"> </w:t>
      </w:r>
      <w:r w:rsidR="00715D0E">
        <w:rPr>
          <w:rFonts w:ascii="David" w:hAnsi="David"/>
          <w:color w:val="000000"/>
          <w:rtl/>
        </w:rPr>
        <w:t xml:space="preserve">שקלתי את עתירת המאשימה לעונש </w:t>
      </w:r>
      <w:r w:rsidR="00715D0E">
        <w:rPr>
          <w:rFonts w:ascii="David" w:hAnsi="David" w:hint="cs"/>
          <w:color w:val="000000"/>
          <w:rtl/>
        </w:rPr>
        <w:t>מאסר בכליאה</w:t>
      </w:r>
      <w:r w:rsidR="00715D0E">
        <w:rPr>
          <w:rFonts w:ascii="David" w:hAnsi="David"/>
          <w:color w:val="000000"/>
          <w:rtl/>
        </w:rPr>
        <w:t xml:space="preserve"> ומצאתיה במקרה זה כמחמירה יתר על המידה לצורך השגת תכליות הענישה השונות. על חומרת העבירה במקרה זה אין חולק ועמדתי לעיל על מדיניות הענישה הראויה בעבירות כגון אלו. עם זאת, </w:t>
      </w:r>
      <w:r w:rsidR="00715D0E">
        <w:rPr>
          <w:rFonts w:ascii="David" w:hAnsi="David" w:hint="cs"/>
          <w:color w:val="000000"/>
          <w:rtl/>
        </w:rPr>
        <w:t xml:space="preserve">מדובר בנאשם שזו הסתבכותו הראשונה עם החוק, כתב האישום הוגש שנה לאחר האירוע וחלפה מאז תקופה העולה על שנה וחצי במהלכה ניהל הנאשם אורח חיים נורמטיבי. כל אלו תומכים בהימנעות מכליאת הנאשם ובמתן אפשרות לשאת בעונש בעבודות שירות. בעניין זה הבאתי אף בחשבון את ההשפעות השליליות הרבות הנלוות לעונש בכליאה ביחס למי שזה מאסרו הראשון </w:t>
      </w:r>
      <w:r w:rsidR="00715D0E" w:rsidRPr="005A000F">
        <w:rPr>
          <w:rFonts w:ascii="David" w:hAnsi="David"/>
          <w:color w:val="000000"/>
          <w:rtl/>
        </w:rPr>
        <w:t xml:space="preserve">(ראו בנושא דו"ח הועדה הציבורית לבחינת מדיניות הענישה והטיפול בעבריינים, 2015 (המכונה "דו"ח ועדת דורנר"); </w:t>
      </w:r>
      <w:hyperlink r:id="rId31" w:history="1">
        <w:r w:rsidRPr="00F20B0B">
          <w:rPr>
            <w:rFonts w:ascii="David" w:hAnsi="David"/>
            <w:color w:val="0000FF"/>
            <w:u w:val="single"/>
            <w:rtl/>
          </w:rPr>
          <w:t>רע"פ 356/14</w:t>
        </w:r>
      </w:hyperlink>
      <w:r w:rsidR="00715D0E" w:rsidRPr="005A000F">
        <w:rPr>
          <w:rFonts w:ascii="David" w:hAnsi="David"/>
          <w:color w:val="000000"/>
          <w:rtl/>
        </w:rPr>
        <w:t xml:space="preserve"> </w:t>
      </w:r>
      <w:r w:rsidR="00715D0E" w:rsidRPr="005A000F">
        <w:rPr>
          <w:rFonts w:ascii="David" w:hAnsi="David"/>
          <w:b/>
          <w:bCs/>
          <w:color w:val="000000"/>
          <w:rtl/>
        </w:rPr>
        <w:t>קפרוב נ' מדינת ישראל</w:t>
      </w:r>
      <w:r w:rsidR="00715D0E" w:rsidRPr="005A000F">
        <w:rPr>
          <w:rFonts w:ascii="David" w:hAnsi="David"/>
          <w:color w:val="000000"/>
          <w:rtl/>
        </w:rPr>
        <w:t xml:space="preserve"> (3.10.2017); פסקה 33</w:t>
      </w:r>
      <w:r w:rsidR="00715D0E">
        <w:rPr>
          <w:rFonts w:ascii="David" w:hAnsi="David" w:hint="cs"/>
          <w:color w:val="000000"/>
          <w:rtl/>
        </w:rPr>
        <w:t xml:space="preserve">; </w:t>
      </w:r>
      <w:hyperlink r:id="rId32" w:history="1">
        <w:r w:rsidRPr="00F20B0B">
          <w:rPr>
            <w:rFonts w:ascii="David" w:hAnsi="David"/>
            <w:color w:val="0000FF"/>
            <w:u w:val="single"/>
            <w:rtl/>
          </w:rPr>
          <w:t>ע"פ 4318-10-11</w:t>
        </w:r>
      </w:hyperlink>
      <w:r w:rsidR="00715D0E" w:rsidRPr="005A000F">
        <w:rPr>
          <w:rFonts w:ascii="David" w:hAnsi="David"/>
          <w:color w:val="000000"/>
          <w:rtl/>
        </w:rPr>
        <w:t xml:space="preserve"> </w:t>
      </w:r>
      <w:r w:rsidR="00715D0E" w:rsidRPr="005A000F">
        <w:rPr>
          <w:rFonts w:ascii="David" w:hAnsi="David"/>
          <w:b/>
          <w:bCs/>
          <w:color w:val="000000"/>
          <w:rtl/>
        </w:rPr>
        <w:t>מדינת ישראל נ' רפאילוב ואח'</w:t>
      </w:r>
      <w:r w:rsidR="00715D0E" w:rsidRPr="005A000F">
        <w:rPr>
          <w:rFonts w:ascii="David" w:hAnsi="David"/>
          <w:color w:val="000000"/>
          <w:rtl/>
        </w:rPr>
        <w:t xml:space="preserve"> (5.1.2012)).</w:t>
      </w:r>
      <w:r w:rsidR="00715D0E">
        <w:rPr>
          <w:rFonts w:ascii="David" w:hAnsi="David" w:hint="cs"/>
          <w:rtl/>
        </w:rPr>
        <w:t xml:space="preserve"> לאור כך יש להטיל עונש קרוב לתחתית המתחם, אם כי שלא בתחתית ממש, ולאפשר את נשיאתו בעבודות שירות. </w:t>
      </w:r>
    </w:p>
    <w:p w14:paraId="099D1170" w14:textId="77777777" w:rsidR="00715D0E" w:rsidRPr="00EA1CC7" w:rsidRDefault="00715D0E" w:rsidP="00715D0E">
      <w:pPr>
        <w:pStyle w:val="a9"/>
        <w:ind w:left="0"/>
        <w:jc w:val="both"/>
        <w:rPr>
          <w:rFonts w:ascii="David" w:hAnsi="David"/>
        </w:rPr>
      </w:pPr>
    </w:p>
    <w:p w14:paraId="69B29DD9" w14:textId="77777777" w:rsidR="00715D0E" w:rsidRDefault="00715D0E" w:rsidP="00715D0E">
      <w:pPr>
        <w:pStyle w:val="a9"/>
        <w:numPr>
          <w:ilvl w:val="0"/>
          <w:numId w:val="1"/>
        </w:numPr>
        <w:spacing w:line="360" w:lineRule="auto"/>
        <w:jc w:val="both"/>
        <w:rPr>
          <w:rFonts w:ascii="David" w:hAnsi="David"/>
        </w:rPr>
      </w:pPr>
      <w:r w:rsidRPr="00697299">
        <w:rPr>
          <w:rFonts w:ascii="David" w:hAnsi="David"/>
          <w:rtl/>
        </w:rPr>
        <w:t>סיכומו של דבר, אני גוזר על הנאשם את העונשים הבאים:</w:t>
      </w:r>
    </w:p>
    <w:p w14:paraId="045E7576" w14:textId="77777777" w:rsidR="00715D0E" w:rsidRPr="00516012" w:rsidRDefault="00715D0E" w:rsidP="00715D0E">
      <w:pPr>
        <w:pStyle w:val="a9"/>
        <w:rPr>
          <w:rFonts w:ascii="David" w:hAnsi="David"/>
          <w:rtl/>
        </w:rPr>
      </w:pPr>
    </w:p>
    <w:p w14:paraId="36CCEB5C" w14:textId="77777777" w:rsidR="00715D0E" w:rsidRPr="00117995" w:rsidRDefault="00715D0E" w:rsidP="00715D0E">
      <w:pPr>
        <w:pStyle w:val="a9"/>
        <w:numPr>
          <w:ilvl w:val="0"/>
          <w:numId w:val="2"/>
        </w:numPr>
        <w:spacing w:line="360" w:lineRule="auto"/>
        <w:jc w:val="both"/>
        <w:rPr>
          <w:rFonts w:ascii="David" w:hAnsi="David"/>
        </w:rPr>
      </w:pPr>
      <w:r w:rsidRPr="00516012">
        <w:rPr>
          <w:rFonts w:ascii="David" w:hAnsi="David"/>
          <w:b/>
          <w:bCs/>
          <w:rtl/>
        </w:rPr>
        <w:t xml:space="preserve">מאסר למשך </w:t>
      </w:r>
      <w:r>
        <w:rPr>
          <w:rFonts w:ascii="David" w:hAnsi="David" w:hint="cs"/>
          <w:b/>
          <w:bCs/>
          <w:rtl/>
        </w:rPr>
        <w:t>8</w:t>
      </w:r>
      <w:r w:rsidRPr="00516012">
        <w:rPr>
          <w:rFonts w:ascii="David" w:hAnsi="David"/>
          <w:b/>
          <w:bCs/>
          <w:rtl/>
        </w:rPr>
        <w:t xml:space="preserve"> חודשים.</w:t>
      </w:r>
      <w:r w:rsidRPr="00516012">
        <w:rPr>
          <w:rFonts w:ascii="David" w:hAnsi="David"/>
          <w:rtl/>
        </w:rPr>
        <w:t xml:space="preserve"> הנאשם יישא עו</w:t>
      </w:r>
      <w:r>
        <w:rPr>
          <w:rFonts w:ascii="David" w:hAnsi="David"/>
          <w:rtl/>
        </w:rPr>
        <w:t>נש זה בעבודות שירות בהתאם לחו</w:t>
      </w:r>
      <w:r>
        <w:rPr>
          <w:rFonts w:ascii="David" w:hAnsi="David" w:hint="cs"/>
          <w:rtl/>
        </w:rPr>
        <w:t>ות דעת</w:t>
      </w:r>
      <w:r w:rsidRPr="00516012">
        <w:rPr>
          <w:rFonts w:ascii="David" w:hAnsi="David"/>
          <w:rtl/>
        </w:rPr>
        <w:t xml:space="preserve"> הממונה ויתייצב לריצוי עונשו ביום </w:t>
      </w:r>
      <w:r>
        <w:rPr>
          <w:rFonts w:ascii="David" w:hAnsi="David" w:hint="cs"/>
          <w:rtl/>
        </w:rPr>
        <w:t>15.5.24</w:t>
      </w:r>
      <w:r w:rsidRPr="00516012">
        <w:rPr>
          <w:rFonts w:ascii="David" w:hAnsi="David"/>
          <w:rtl/>
        </w:rPr>
        <w:t xml:space="preserve"> במתחם כלא מגיד</w:t>
      </w:r>
      <w:r w:rsidRPr="00353A6C">
        <w:rPr>
          <w:rFonts w:ascii="David" w:hAnsi="David"/>
          <w:rtl/>
        </w:rPr>
        <w:t>ו</w:t>
      </w:r>
      <w:r>
        <w:rPr>
          <w:rFonts w:ascii="David" w:hAnsi="David" w:hint="cs"/>
          <w:rtl/>
        </w:rPr>
        <w:t xml:space="preserve">. </w:t>
      </w:r>
      <w:r w:rsidRPr="00117995">
        <w:rPr>
          <w:rFonts w:ascii="David" w:hAnsi="David"/>
          <w:rtl/>
        </w:rPr>
        <w:t xml:space="preserve">מובהר לנאשם שעליו לבצע את העבודות </w:t>
      </w:r>
      <w:r w:rsidRPr="00117995">
        <w:rPr>
          <w:rFonts w:ascii="David" w:hAnsi="David" w:hint="cs"/>
          <w:rtl/>
        </w:rPr>
        <w:t xml:space="preserve">בהתאם להנחיות </w:t>
      </w:r>
      <w:r w:rsidRPr="00117995">
        <w:rPr>
          <w:rFonts w:ascii="David" w:hAnsi="David"/>
          <w:rtl/>
        </w:rPr>
        <w:t>הממונה וכי אם לא יעשה כן ניתן יהיה להפקיע את העבודות מנהלית והוא יאלץ לשאת ביתרת התקופה בבית מאסר.</w:t>
      </w:r>
    </w:p>
    <w:p w14:paraId="6E6E0ACD" w14:textId="77777777" w:rsidR="00715D0E" w:rsidRDefault="00715D0E" w:rsidP="00715D0E">
      <w:pPr>
        <w:pStyle w:val="a9"/>
        <w:numPr>
          <w:ilvl w:val="0"/>
          <w:numId w:val="2"/>
        </w:numPr>
        <w:spacing w:line="360" w:lineRule="auto"/>
        <w:jc w:val="both"/>
        <w:rPr>
          <w:rFonts w:ascii="David" w:hAnsi="David"/>
        </w:rPr>
      </w:pPr>
      <w:r w:rsidRPr="00733F70">
        <w:rPr>
          <w:rFonts w:ascii="David" w:hAnsi="David"/>
          <w:rtl/>
        </w:rPr>
        <w:t xml:space="preserve">מאסר על תנאי לתקופה בת </w:t>
      </w:r>
      <w:r>
        <w:rPr>
          <w:rFonts w:ascii="David" w:hAnsi="David" w:hint="cs"/>
          <w:rtl/>
        </w:rPr>
        <w:t xml:space="preserve">6 </w:t>
      </w:r>
      <w:r w:rsidRPr="00733F70">
        <w:rPr>
          <w:rFonts w:ascii="David" w:hAnsi="David"/>
          <w:rtl/>
        </w:rPr>
        <w:t>חודשים והתנאי הוא שלא יעבור במשך שנתיים כל עבירה על פקודת הסמים שהיא פשע.</w:t>
      </w:r>
    </w:p>
    <w:p w14:paraId="0EA14746" w14:textId="77777777" w:rsidR="00715D0E" w:rsidRDefault="00715D0E" w:rsidP="00715D0E">
      <w:pPr>
        <w:pStyle w:val="a9"/>
        <w:numPr>
          <w:ilvl w:val="0"/>
          <w:numId w:val="2"/>
        </w:numPr>
        <w:spacing w:line="360" w:lineRule="auto"/>
        <w:jc w:val="both"/>
        <w:rPr>
          <w:rFonts w:ascii="David" w:hAnsi="David"/>
        </w:rPr>
      </w:pPr>
      <w:r>
        <w:rPr>
          <w:rFonts w:ascii="David" w:hAnsi="David"/>
          <w:color w:val="000000"/>
          <w:rtl/>
        </w:rPr>
        <w:t>קנס בסך 4,</w:t>
      </w:r>
      <w:r>
        <w:rPr>
          <w:rFonts w:ascii="David" w:hAnsi="David" w:hint="cs"/>
          <w:color w:val="000000"/>
          <w:rtl/>
        </w:rPr>
        <w:t>5</w:t>
      </w:r>
      <w:r>
        <w:rPr>
          <w:rFonts w:ascii="David" w:hAnsi="David"/>
          <w:color w:val="000000"/>
          <w:rtl/>
        </w:rPr>
        <w:t>00 ₪</w:t>
      </w:r>
      <w:r>
        <w:rPr>
          <w:rFonts w:ascii="David" w:hAnsi="David" w:hint="cs"/>
          <w:color w:val="000000"/>
          <w:rtl/>
        </w:rPr>
        <w:t xml:space="preserve"> או 15 ימי מאסר תמורתו</w:t>
      </w:r>
      <w:r>
        <w:rPr>
          <w:rFonts w:ascii="David" w:hAnsi="David"/>
          <w:color w:val="000000"/>
          <w:rtl/>
        </w:rPr>
        <w:t xml:space="preserve">. הקנס ישולם </w:t>
      </w:r>
      <w:r>
        <w:rPr>
          <w:rFonts w:ascii="David" w:hAnsi="David" w:hint="cs"/>
          <w:color w:val="000000"/>
          <w:rtl/>
        </w:rPr>
        <w:t>ב-5</w:t>
      </w:r>
      <w:r>
        <w:rPr>
          <w:rFonts w:ascii="David" w:hAnsi="David"/>
          <w:color w:val="000000"/>
          <w:rtl/>
        </w:rPr>
        <w:t xml:space="preserve"> תשלומים שווים ורצופים מיום 1.</w:t>
      </w:r>
      <w:r>
        <w:rPr>
          <w:rFonts w:ascii="David" w:hAnsi="David" w:hint="cs"/>
          <w:color w:val="000000"/>
          <w:rtl/>
        </w:rPr>
        <w:t>7</w:t>
      </w:r>
      <w:r>
        <w:rPr>
          <w:rFonts w:ascii="David" w:hAnsi="David"/>
          <w:color w:val="000000"/>
          <w:rtl/>
        </w:rPr>
        <w:t>.</w:t>
      </w:r>
      <w:r>
        <w:rPr>
          <w:rFonts w:ascii="David" w:hAnsi="David" w:hint="cs"/>
          <w:color w:val="000000"/>
          <w:rtl/>
        </w:rPr>
        <w:t>24</w:t>
      </w:r>
      <w:r>
        <w:rPr>
          <w:rFonts w:ascii="David" w:hAnsi="David"/>
          <w:color w:val="000000"/>
          <w:rtl/>
        </w:rPr>
        <w:t xml:space="preserve"> ובכל -1 לחודש שלאחריו. לא ישולם אחד התשלומים או יותר במועדו, תעמוד היתרה לפירעון מידי</w:t>
      </w:r>
      <w:r>
        <w:rPr>
          <w:rFonts w:ascii="David" w:hAnsi="David" w:hint="cs"/>
          <w:rtl/>
        </w:rPr>
        <w:t>.</w:t>
      </w:r>
    </w:p>
    <w:p w14:paraId="5C37F203" w14:textId="77777777" w:rsidR="00715D0E" w:rsidRDefault="00715D0E" w:rsidP="00715D0E">
      <w:pPr>
        <w:pStyle w:val="a9"/>
        <w:spacing w:line="360" w:lineRule="auto"/>
        <w:jc w:val="both"/>
        <w:rPr>
          <w:rFonts w:ascii="David" w:hAnsi="David"/>
          <w:rtl/>
        </w:rPr>
      </w:pPr>
    </w:p>
    <w:p w14:paraId="694C5606" w14:textId="77777777" w:rsidR="00715D0E" w:rsidRDefault="00715D0E" w:rsidP="00715D0E">
      <w:pPr>
        <w:pStyle w:val="a9"/>
        <w:spacing w:line="360" w:lineRule="auto"/>
        <w:jc w:val="both"/>
        <w:rPr>
          <w:rFonts w:ascii="David" w:hAnsi="David"/>
          <w:rtl/>
        </w:rPr>
      </w:pPr>
    </w:p>
    <w:p w14:paraId="308D0477" w14:textId="77777777" w:rsidR="00715D0E" w:rsidRDefault="00715D0E" w:rsidP="00715D0E">
      <w:pPr>
        <w:pStyle w:val="a9"/>
        <w:spacing w:line="360" w:lineRule="auto"/>
        <w:jc w:val="both"/>
        <w:rPr>
          <w:rFonts w:ascii="David" w:hAnsi="David"/>
          <w:rtl/>
        </w:rPr>
      </w:pPr>
    </w:p>
    <w:p w14:paraId="2CF10C5E" w14:textId="77777777" w:rsidR="00715D0E" w:rsidRDefault="00715D0E" w:rsidP="00715D0E">
      <w:pPr>
        <w:pStyle w:val="a9"/>
        <w:spacing w:line="360" w:lineRule="auto"/>
        <w:jc w:val="both"/>
        <w:rPr>
          <w:rFonts w:ascii="David" w:hAnsi="David"/>
          <w:rtl/>
        </w:rPr>
      </w:pPr>
    </w:p>
    <w:p w14:paraId="36744266" w14:textId="77777777" w:rsidR="00715D0E" w:rsidRDefault="00715D0E" w:rsidP="00715D0E">
      <w:pPr>
        <w:pStyle w:val="a9"/>
        <w:spacing w:line="360" w:lineRule="auto"/>
        <w:jc w:val="both"/>
        <w:rPr>
          <w:rFonts w:ascii="David" w:hAnsi="David"/>
          <w:rtl/>
        </w:rPr>
      </w:pPr>
    </w:p>
    <w:p w14:paraId="25240B23" w14:textId="77777777" w:rsidR="00715D0E" w:rsidRPr="007E4957" w:rsidRDefault="00715D0E" w:rsidP="00715D0E">
      <w:pPr>
        <w:pStyle w:val="a9"/>
        <w:spacing w:line="360" w:lineRule="auto"/>
        <w:jc w:val="both"/>
        <w:rPr>
          <w:rFonts w:ascii="David" w:hAnsi="David"/>
        </w:rPr>
      </w:pPr>
    </w:p>
    <w:p w14:paraId="72CC0D83" w14:textId="77777777" w:rsidR="00715D0E" w:rsidRPr="00154F1E" w:rsidRDefault="00715D0E" w:rsidP="00715D0E">
      <w:pPr>
        <w:pStyle w:val="a9"/>
        <w:numPr>
          <w:ilvl w:val="0"/>
          <w:numId w:val="2"/>
        </w:numPr>
        <w:spacing w:line="360" w:lineRule="auto"/>
        <w:jc w:val="both"/>
        <w:rPr>
          <w:rFonts w:ascii="David" w:hAnsi="David"/>
        </w:rPr>
      </w:pPr>
      <w:r w:rsidRPr="00154F1E">
        <w:rPr>
          <w:rFonts w:ascii="David" w:hAnsi="David" w:hint="cs"/>
          <w:color w:val="000000"/>
          <w:rtl/>
        </w:rPr>
        <w:t xml:space="preserve">המוצגים המפורטים בסעיפים 1-8 לבקשת החילוט </w:t>
      </w:r>
      <w:r w:rsidRPr="00154F1E">
        <w:rPr>
          <w:rFonts w:ascii="David" w:hAnsi="David"/>
          <w:color w:val="000000"/>
          <w:rtl/>
        </w:rPr>
        <w:t>–</w:t>
      </w:r>
      <w:r w:rsidRPr="00154F1E">
        <w:rPr>
          <w:rFonts w:ascii="David" w:hAnsi="David"/>
          <w:color w:val="000000"/>
        </w:rPr>
        <w:t xml:space="preserve"> </w:t>
      </w:r>
      <w:r w:rsidRPr="00154F1E">
        <w:rPr>
          <w:rFonts w:ascii="David" w:hAnsi="David" w:hint="cs"/>
          <w:color w:val="000000"/>
          <w:rtl/>
        </w:rPr>
        <w:t>יחולטו</w:t>
      </w:r>
      <w:r w:rsidRPr="00154F1E">
        <w:rPr>
          <w:rFonts w:ascii="David" w:hAnsi="David"/>
          <w:color w:val="000000"/>
        </w:rPr>
        <w:t>.</w:t>
      </w:r>
      <w:r w:rsidRPr="00154F1E">
        <w:rPr>
          <w:rFonts w:ascii="David" w:hAnsi="David" w:hint="cs"/>
          <w:color w:val="000000"/>
          <w:rtl/>
        </w:rPr>
        <w:t xml:space="preserve"> </w:t>
      </w:r>
    </w:p>
    <w:p w14:paraId="192F4597" w14:textId="77777777" w:rsidR="00715D0E" w:rsidRDefault="00715D0E" w:rsidP="00715D0E">
      <w:pPr>
        <w:pStyle w:val="a9"/>
        <w:jc w:val="both"/>
        <w:rPr>
          <w:rFonts w:ascii="David" w:hAnsi="David"/>
        </w:rPr>
      </w:pPr>
    </w:p>
    <w:p w14:paraId="458D7404" w14:textId="77777777" w:rsidR="00715D0E" w:rsidRDefault="00715D0E" w:rsidP="00715D0E">
      <w:pPr>
        <w:spacing w:line="360" w:lineRule="auto"/>
        <w:rPr>
          <w:rFonts w:ascii="David" w:hAnsi="David"/>
          <w:b/>
          <w:bCs/>
          <w:u w:val="single"/>
          <w:rtl/>
        </w:rPr>
      </w:pPr>
    </w:p>
    <w:p w14:paraId="5EA8A634" w14:textId="77777777" w:rsidR="00715D0E" w:rsidRPr="00733F70" w:rsidRDefault="00F20B0B" w:rsidP="00715D0E">
      <w:pPr>
        <w:spacing w:line="360" w:lineRule="auto"/>
        <w:rPr>
          <w:rFonts w:ascii="David" w:hAnsi="David"/>
          <w:b/>
          <w:bCs/>
          <w:u w:val="single"/>
          <w:rtl/>
        </w:rPr>
      </w:pPr>
      <w:r w:rsidRPr="00F20B0B">
        <w:rPr>
          <w:rFonts w:ascii="David" w:hAnsi="David"/>
          <w:b/>
          <w:bCs/>
          <w:color w:val="FFFFFF"/>
          <w:sz w:val="2"/>
          <w:szCs w:val="2"/>
          <w:u w:val="single"/>
          <w:rtl/>
        </w:rPr>
        <w:t>5129371</w:t>
      </w:r>
      <w:r w:rsidR="00715D0E" w:rsidRPr="00733F70">
        <w:rPr>
          <w:rFonts w:ascii="David" w:hAnsi="David"/>
          <w:b/>
          <w:bCs/>
          <w:u w:val="single"/>
          <w:rtl/>
        </w:rPr>
        <w:t>זכות ערעור לבית המשפט המחוזי בתוך 45 ימים.</w:t>
      </w:r>
    </w:p>
    <w:p w14:paraId="06FCF030" w14:textId="77777777" w:rsidR="00715D0E" w:rsidRPr="00F20B0B" w:rsidRDefault="00F20B0B" w:rsidP="00715D0E">
      <w:pPr>
        <w:spacing w:line="360" w:lineRule="auto"/>
        <w:jc w:val="both"/>
        <w:rPr>
          <w:rFonts w:ascii="David" w:hAnsi="David"/>
          <w:b/>
          <w:bCs/>
          <w:color w:val="FFFFFF"/>
          <w:sz w:val="2"/>
          <w:szCs w:val="2"/>
          <w:u w:val="single"/>
          <w:rtl/>
        </w:rPr>
      </w:pPr>
      <w:r w:rsidRPr="00F20B0B">
        <w:rPr>
          <w:rFonts w:ascii="David" w:hAnsi="David"/>
          <w:b/>
          <w:bCs/>
          <w:color w:val="FFFFFF"/>
          <w:sz w:val="2"/>
          <w:szCs w:val="2"/>
          <w:u w:val="single"/>
          <w:rtl/>
        </w:rPr>
        <w:t>54678313</w:t>
      </w:r>
    </w:p>
    <w:p w14:paraId="30970601" w14:textId="77777777" w:rsidR="00715D0E" w:rsidRPr="00733F70" w:rsidRDefault="00715D0E" w:rsidP="00715D0E">
      <w:pPr>
        <w:spacing w:line="360" w:lineRule="auto"/>
        <w:jc w:val="both"/>
        <w:rPr>
          <w:rFonts w:ascii="David" w:hAnsi="David"/>
          <w:b/>
          <w:bCs/>
          <w:u w:val="single"/>
          <w:rtl/>
        </w:rPr>
      </w:pPr>
      <w:r w:rsidRPr="00733F70">
        <w:rPr>
          <w:rFonts w:ascii="David" w:hAnsi="David"/>
          <w:b/>
          <w:bCs/>
          <w:u w:val="single"/>
          <w:rtl/>
        </w:rPr>
        <w:t>המזכירות תשלח את גזר הדין לממונה למעקב.</w:t>
      </w:r>
    </w:p>
    <w:p w14:paraId="2CCE206B" w14:textId="77777777" w:rsidR="00715D0E" w:rsidRPr="00AA5EC1" w:rsidRDefault="00715D0E" w:rsidP="00715D0E">
      <w:pPr>
        <w:jc w:val="both"/>
        <w:rPr>
          <w:rFonts w:ascii="David" w:hAnsi="David"/>
          <w:rtl/>
        </w:rPr>
      </w:pPr>
    </w:p>
    <w:p w14:paraId="7ABE6A5B" w14:textId="77777777" w:rsidR="00715D0E" w:rsidRPr="00AA5EC1" w:rsidRDefault="00F20B0B" w:rsidP="00F20B0B">
      <w:pPr>
        <w:jc w:val="center"/>
      </w:pPr>
      <w:bookmarkStart w:id="7" w:name="Nitan"/>
      <w:r>
        <w:rPr>
          <w:rFonts w:ascii="David" w:hAnsi="David"/>
          <w:rtl/>
        </w:rPr>
        <w:t xml:space="preserve">ניתן היום,  כ"ב אדר ב' תשפ"ד, 01 אפריל 2024, במעמד הצדדים. </w:t>
      </w:r>
      <w:bookmarkEnd w:id="7"/>
      <w:r w:rsidR="00715D0E" w:rsidRPr="00AA5EC1">
        <w:rPr>
          <w:rFonts w:ascii="David" w:hAnsi="David"/>
          <w:rtl/>
        </w:rPr>
        <w:t xml:space="preserve">  </w:t>
      </w:r>
      <w:r w:rsidR="00715D0E" w:rsidRPr="00AA5EC1">
        <w:rPr>
          <w:rFonts w:ascii="David" w:hAnsi="David"/>
          <w:rtl/>
        </w:rPr>
        <w:tab/>
      </w:r>
      <w:r w:rsidR="00715D0E" w:rsidRPr="00AA5EC1">
        <w:rPr>
          <w:rFonts w:ascii="David" w:hAnsi="David"/>
          <w:rtl/>
        </w:rPr>
        <w:tab/>
      </w:r>
      <w:r w:rsidR="00715D0E" w:rsidRPr="00AA5EC1">
        <w:rPr>
          <w:rFonts w:ascii="David" w:hAnsi="David"/>
          <w:rtl/>
        </w:rPr>
        <w:tab/>
      </w:r>
      <w:r w:rsidR="00715D0E" w:rsidRPr="00AA5EC1">
        <w:rPr>
          <w:rFonts w:ascii="David" w:hAnsi="David"/>
          <w:rtl/>
        </w:rPr>
        <w:tab/>
      </w:r>
      <w:r w:rsidR="00715D0E" w:rsidRPr="00AA5EC1">
        <w:rPr>
          <w:rFonts w:ascii="David" w:hAnsi="David"/>
          <w:rtl/>
        </w:rPr>
        <w:tab/>
      </w:r>
    </w:p>
    <w:p w14:paraId="76031BD1" w14:textId="77777777" w:rsidR="00715D0E" w:rsidRPr="00AA5EC1" w:rsidRDefault="00715D0E" w:rsidP="00715D0E">
      <w:pPr>
        <w:jc w:val="center"/>
        <w:rPr>
          <w:rFonts w:ascii="David" w:hAnsi="David"/>
          <w:rtl/>
        </w:rPr>
      </w:pPr>
    </w:p>
    <w:p w14:paraId="704F1D61" w14:textId="77777777" w:rsidR="00A92090" w:rsidRPr="00F20B0B" w:rsidRDefault="00A92090" w:rsidP="00F20B0B">
      <w:pPr>
        <w:keepNext/>
        <w:rPr>
          <w:rFonts w:ascii="David" w:hAnsi="David"/>
          <w:color w:val="000000"/>
          <w:sz w:val="22"/>
          <w:szCs w:val="22"/>
          <w:rtl/>
        </w:rPr>
      </w:pPr>
    </w:p>
    <w:p w14:paraId="26270734" w14:textId="77777777" w:rsidR="00F20B0B" w:rsidRPr="00F20B0B" w:rsidRDefault="00F20B0B" w:rsidP="00F20B0B">
      <w:pPr>
        <w:keepNext/>
        <w:rPr>
          <w:rFonts w:ascii="David" w:hAnsi="David"/>
          <w:color w:val="000000"/>
          <w:sz w:val="22"/>
          <w:szCs w:val="22"/>
          <w:rtl/>
        </w:rPr>
      </w:pPr>
      <w:r w:rsidRPr="00F20B0B">
        <w:rPr>
          <w:rFonts w:ascii="David" w:hAnsi="David"/>
          <w:color w:val="000000"/>
          <w:sz w:val="22"/>
          <w:szCs w:val="22"/>
          <w:rtl/>
        </w:rPr>
        <w:t>יוסי טורס 54678313</w:t>
      </w:r>
    </w:p>
    <w:p w14:paraId="424C1E32" w14:textId="77777777" w:rsidR="00F20B0B" w:rsidRDefault="00F20B0B" w:rsidP="00F20B0B">
      <w:r w:rsidRPr="00F20B0B">
        <w:rPr>
          <w:color w:val="000000"/>
          <w:rtl/>
        </w:rPr>
        <w:t>נוסח מסמך זה כפוף לשינויי ניסוח ועריכה</w:t>
      </w:r>
    </w:p>
    <w:p w14:paraId="7D2F48DD" w14:textId="77777777" w:rsidR="00F20B0B" w:rsidRDefault="00F20B0B" w:rsidP="00F20B0B">
      <w:pPr>
        <w:rPr>
          <w:rtl/>
        </w:rPr>
      </w:pPr>
    </w:p>
    <w:p w14:paraId="1A0B4B49" w14:textId="77777777" w:rsidR="00F20B0B" w:rsidRDefault="00F20B0B" w:rsidP="00F20B0B">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3E53F2E1" w14:textId="77777777" w:rsidR="00F20B0B" w:rsidRPr="00F20B0B" w:rsidRDefault="00F20B0B" w:rsidP="00F20B0B">
      <w:pPr>
        <w:jc w:val="center"/>
        <w:rPr>
          <w:color w:val="0000FF"/>
          <w:u w:val="single"/>
        </w:rPr>
      </w:pPr>
    </w:p>
    <w:sectPr w:rsidR="00F20B0B" w:rsidRPr="00F20B0B" w:rsidSect="00F20B0B">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D83E4" w14:textId="77777777" w:rsidR="004B06EB" w:rsidRDefault="004B06EB" w:rsidP="002C5805">
      <w:r>
        <w:separator/>
      </w:r>
    </w:p>
  </w:endnote>
  <w:endnote w:type="continuationSeparator" w:id="0">
    <w:p w14:paraId="60E8FBEF" w14:textId="77777777" w:rsidR="004B06EB" w:rsidRDefault="004B06EB" w:rsidP="002C5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73A85" w14:textId="77777777" w:rsidR="00F20B0B" w:rsidRDefault="00F20B0B" w:rsidP="00F20B0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9CC75A" w14:textId="77777777" w:rsidR="008B355D" w:rsidRPr="00F20B0B" w:rsidRDefault="00F20B0B" w:rsidP="00F20B0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98BB9" w14:textId="77777777" w:rsidR="00F20B0B" w:rsidRDefault="00F20B0B" w:rsidP="00F20B0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101D6">
      <w:rPr>
        <w:rFonts w:ascii="FrankRuehl" w:hAnsi="FrankRuehl" w:cs="FrankRuehl"/>
        <w:noProof/>
        <w:rtl/>
      </w:rPr>
      <w:t>1</w:t>
    </w:r>
    <w:r>
      <w:rPr>
        <w:rFonts w:ascii="FrankRuehl" w:hAnsi="FrankRuehl" w:cs="FrankRuehl"/>
        <w:rtl/>
      </w:rPr>
      <w:fldChar w:fldCharType="end"/>
    </w:r>
  </w:p>
  <w:p w14:paraId="37D21BA3" w14:textId="77777777" w:rsidR="008B355D" w:rsidRPr="00F20B0B" w:rsidRDefault="00F20B0B" w:rsidP="00F20B0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16D0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8BAE8" w14:textId="77777777" w:rsidR="004B06EB" w:rsidRDefault="004B06EB" w:rsidP="002C5805">
      <w:r>
        <w:separator/>
      </w:r>
    </w:p>
  </w:footnote>
  <w:footnote w:type="continuationSeparator" w:id="0">
    <w:p w14:paraId="07B7941D" w14:textId="77777777" w:rsidR="004B06EB" w:rsidRDefault="004B06EB" w:rsidP="002C5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127BB" w14:textId="77777777" w:rsidR="00F20B0B" w:rsidRPr="00F20B0B" w:rsidRDefault="00F20B0B" w:rsidP="00F20B0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59699-09-23</w:t>
    </w:r>
    <w:r>
      <w:rPr>
        <w:rFonts w:ascii="David" w:hAnsi="David"/>
        <w:color w:val="000000"/>
        <w:sz w:val="22"/>
        <w:szCs w:val="22"/>
        <w:rtl/>
      </w:rPr>
      <w:tab/>
      <w:t xml:space="preserve"> מדינת ישראל נ' איליה פליט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522A6" w14:textId="77777777" w:rsidR="00F20B0B" w:rsidRPr="00F20B0B" w:rsidRDefault="00F20B0B" w:rsidP="00F20B0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59699-09-23</w:t>
    </w:r>
    <w:r>
      <w:rPr>
        <w:rFonts w:ascii="David" w:hAnsi="David"/>
        <w:color w:val="000000"/>
        <w:sz w:val="22"/>
        <w:szCs w:val="22"/>
        <w:rtl/>
      </w:rPr>
      <w:tab/>
      <w:t xml:space="preserve"> מדינת ישראל נ' איליה פליט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946DB"/>
    <w:multiLevelType w:val="hybridMultilevel"/>
    <w:tmpl w:val="4DEE3A10"/>
    <w:lvl w:ilvl="0" w:tplc="EBC2011E">
      <w:start w:val="1"/>
      <w:numFmt w:val="decimal"/>
      <w:lvlText w:val="%1."/>
      <w:lvlJc w:val="left"/>
      <w:pPr>
        <w:tabs>
          <w:tab w:val="num" w:pos="567"/>
        </w:tabs>
        <w:ind w:left="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36CD6"/>
    <w:multiLevelType w:val="hybridMultilevel"/>
    <w:tmpl w:val="3CC2442A"/>
    <w:lvl w:ilvl="0" w:tplc="6AA6BEB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3081481">
    <w:abstractNumId w:val="0"/>
  </w:num>
  <w:num w:numId="2" w16cid:durableId="676811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15D0E"/>
    <w:rsid w:val="00056265"/>
    <w:rsid w:val="001B5A3B"/>
    <w:rsid w:val="002C5805"/>
    <w:rsid w:val="004050E7"/>
    <w:rsid w:val="00424064"/>
    <w:rsid w:val="0046412C"/>
    <w:rsid w:val="004B06EB"/>
    <w:rsid w:val="00715D0E"/>
    <w:rsid w:val="00845832"/>
    <w:rsid w:val="008B355D"/>
    <w:rsid w:val="009019D8"/>
    <w:rsid w:val="00A5235A"/>
    <w:rsid w:val="00A92090"/>
    <w:rsid w:val="00BE61D7"/>
    <w:rsid w:val="00D101D6"/>
    <w:rsid w:val="00F20B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60EE23"/>
  <w15:chartTrackingRefBased/>
  <w15:docId w15:val="{80CB98E7-FEBF-4EC0-B0ED-D9B8CFE2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5D0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15D0E"/>
    <w:pPr>
      <w:tabs>
        <w:tab w:val="center" w:pos="4153"/>
        <w:tab w:val="right" w:pos="8306"/>
      </w:tabs>
    </w:pPr>
  </w:style>
  <w:style w:type="character" w:customStyle="1" w:styleId="a4">
    <w:name w:val="כותרת עליונה תו"/>
    <w:link w:val="a3"/>
    <w:rsid w:val="00715D0E"/>
    <w:rPr>
      <w:rFonts w:ascii="Times New Roman" w:eastAsia="Times New Roman" w:hAnsi="Times New Roman" w:cs="David"/>
      <w:sz w:val="24"/>
      <w:szCs w:val="24"/>
    </w:rPr>
  </w:style>
  <w:style w:type="paragraph" w:styleId="a5">
    <w:name w:val="footer"/>
    <w:basedOn w:val="a"/>
    <w:link w:val="a6"/>
    <w:rsid w:val="00715D0E"/>
    <w:pPr>
      <w:tabs>
        <w:tab w:val="center" w:pos="4153"/>
        <w:tab w:val="right" w:pos="8306"/>
      </w:tabs>
    </w:pPr>
  </w:style>
  <w:style w:type="character" w:customStyle="1" w:styleId="a6">
    <w:name w:val="כותרת תחתונה תו"/>
    <w:link w:val="a5"/>
    <w:rsid w:val="00715D0E"/>
    <w:rPr>
      <w:rFonts w:ascii="Times New Roman" w:eastAsia="Times New Roman" w:hAnsi="Times New Roman" w:cs="David"/>
      <w:sz w:val="24"/>
      <w:szCs w:val="24"/>
    </w:rPr>
  </w:style>
  <w:style w:type="table" w:styleId="a7">
    <w:name w:val="Table Grid"/>
    <w:basedOn w:val="a1"/>
    <w:rsid w:val="00715D0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15D0E"/>
  </w:style>
  <w:style w:type="paragraph" w:styleId="a9">
    <w:name w:val="List Paragraph"/>
    <w:basedOn w:val="a"/>
    <w:qFormat/>
    <w:rsid w:val="00715D0E"/>
    <w:pPr>
      <w:ind w:left="720"/>
      <w:contextualSpacing/>
    </w:pPr>
  </w:style>
  <w:style w:type="character" w:styleId="Hyperlink">
    <w:name w:val="Hyperlink"/>
    <w:rsid w:val="00F20B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law/70301/400" TargetMode="External"/><Relationship Id="rId26" Type="http://schemas.openxmlformats.org/officeDocument/2006/relationships/hyperlink" Target="http://www.nevo.co.il/case/27502816" TargetMode="External"/><Relationship Id="rId39" Type="http://schemas.openxmlformats.org/officeDocument/2006/relationships/theme" Target="theme/theme1.xml"/><Relationship Id="rId21" Type="http://schemas.openxmlformats.org/officeDocument/2006/relationships/hyperlink" Target="http://www.nevo.co.il/case/26797877"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7347635"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21654029" TargetMode="External"/><Relationship Id="rId29" Type="http://schemas.openxmlformats.org/officeDocument/2006/relationships/hyperlink" Target="http://www.nevo.co.il/case/278626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7517511" TargetMode="External"/><Relationship Id="rId32" Type="http://schemas.openxmlformats.org/officeDocument/2006/relationships/hyperlink" Target="http://www.nevo.co.il/case/2894643"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6246488" TargetMode="External"/><Relationship Id="rId28" Type="http://schemas.openxmlformats.org/officeDocument/2006/relationships/hyperlink" Target="http://www.nevo.co.il/case/25946245" TargetMode="External"/><Relationship Id="rId36"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1206078"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7615803" TargetMode="External"/><Relationship Id="rId27" Type="http://schemas.openxmlformats.org/officeDocument/2006/relationships/hyperlink" Target="http://www.nevo.co.il/case/27066481" TargetMode="External"/><Relationship Id="rId30" Type="http://schemas.openxmlformats.org/officeDocument/2006/relationships/hyperlink" Target="http://www.nevo.co.il/case/27573801" TargetMode="External"/><Relationship Id="rId35"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1683</Words>
  <Characters>8417</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10080</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4063356</vt:i4>
      </vt:variant>
      <vt:variant>
        <vt:i4>75</vt:i4>
      </vt:variant>
      <vt:variant>
        <vt:i4>0</vt:i4>
      </vt:variant>
      <vt:variant>
        <vt:i4>5</vt:i4>
      </vt:variant>
      <vt:variant>
        <vt:lpwstr>http://www.nevo.co.il/case/2894643</vt:lpwstr>
      </vt:variant>
      <vt:variant>
        <vt:lpwstr/>
      </vt:variant>
      <vt:variant>
        <vt:i4>3276917</vt:i4>
      </vt:variant>
      <vt:variant>
        <vt:i4>72</vt:i4>
      </vt:variant>
      <vt:variant>
        <vt:i4>0</vt:i4>
      </vt:variant>
      <vt:variant>
        <vt:i4>5</vt:i4>
      </vt:variant>
      <vt:variant>
        <vt:lpwstr>http://www.nevo.co.il/case/11206078</vt:lpwstr>
      </vt:variant>
      <vt:variant>
        <vt:lpwstr/>
      </vt:variant>
      <vt:variant>
        <vt:i4>3407996</vt:i4>
      </vt:variant>
      <vt:variant>
        <vt:i4>69</vt:i4>
      </vt:variant>
      <vt:variant>
        <vt:i4>0</vt:i4>
      </vt:variant>
      <vt:variant>
        <vt:i4>5</vt:i4>
      </vt:variant>
      <vt:variant>
        <vt:lpwstr>http://www.nevo.co.il/case/27573801</vt:lpwstr>
      </vt:variant>
      <vt:variant>
        <vt:lpwstr/>
      </vt:variant>
      <vt:variant>
        <vt:i4>3735667</vt:i4>
      </vt:variant>
      <vt:variant>
        <vt:i4>66</vt:i4>
      </vt:variant>
      <vt:variant>
        <vt:i4>0</vt:i4>
      </vt:variant>
      <vt:variant>
        <vt:i4>5</vt:i4>
      </vt:variant>
      <vt:variant>
        <vt:lpwstr>http://www.nevo.co.il/case/27862619</vt:lpwstr>
      </vt:variant>
      <vt:variant>
        <vt:lpwstr/>
      </vt:variant>
      <vt:variant>
        <vt:i4>3735671</vt:i4>
      </vt:variant>
      <vt:variant>
        <vt:i4>63</vt:i4>
      </vt:variant>
      <vt:variant>
        <vt:i4>0</vt:i4>
      </vt:variant>
      <vt:variant>
        <vt:i4>5</vt:i4>
      </vt:variant>
      <vt:variant>
        <vt:lpwstr>http://www.nevo.co.il/case/25946245</vt:lpwstr>
      </vt:variant>
      <vt:variant>
        <vt:lpwstr/>
      </vt:variant>
      <vt:variant>
        <vt:i4>3932273</vt:i4>
      </vt:variant>
      <vt:variant>
        <vt:i4>60</vt:i4>
      </vt:variant>
      <vt:variant>
        <vt:i4>0</vt:i4>
      </vt:variant>
      <vt:variant>
        <vt:i4>5</vt:i4>
      </vt:variant>
      <vt:variant>
        <vt:lpwstr>http://www.nevo.co.il/case/27066481</vt:lpwstr>
      </vt:variant>
      <vt:variant>
        <vt:lpwstr/>
      </vt:variant>
      <vt:variant>
        <vt:i4>3407995</vt:i4>
      </vt:variant>
      <vt:variant>
        <vt:i4>57</vt:i4>
      </vt:variant>
      <vt:variant>
        <vt:i4>0</vt:i4>
      </vt:variant>
      <vt:variant>
        <vt:i4>5</vt:i4>
      </vt:variant>
      <vt:variant>
        <vt:lpwstr>http://www.nevo.co.il/case/27502816</vt:lpwstr>
      </vt:variant>
      <vt:variant>
        <vt:lpwstr/>
      </vt:variant>
      <vt:variant>
        <vt:i4>3473521</vt:i4>
      </vt:variant>
      <vt:variant>
        <vt:i4>54</vt:i4>
      </vt:variant>
      <vt:variant>
        <vt:i4>0</vt:i4>
      </vt:variant>
      <vt:variant>
        <vt:i4>5</vt:i4>
      </vt:variant>
      <vt:variant>
        <vt:lpwstr>http://www.nevo.co.il/case/27347635</vt:lpwstr>
      </vt:variant>
      <vt:variant>
        <vt:lpwstr/>
      </vt:variant>
      <vt:variant>
        <vt:i4>3211383</vt:i4>
      </vt:variant>
      <vt:variant>
        <vt:i4>51</vt:i4>
      </vt:variant>
      <vt:variant>
        <vt:i4>0</vt:i4>
      </vt:variant>
      <vt:variant>
        <vt:i4>5</vt:i4>
      </vt:variant>
      <vt:variant>
        <vt:lpwstr>http://www.nevo.co.il/case/27517511</vt:lpwstr>
      </vt:variant>
      <vt:variant>
        <vt:lpwstr/>
      </vt:variant>
      <vt:variant>
        <vt:i4>4063346</vt:i4>
      </vt:variant>
      <vt:variant>
        <vt:i4>48</vt:i4>
      </vt:variant>
      <vt:variant>
        <vt:i4>0</vt:i4>
      </vt:variant>
      <vt:variant>
        <vt:i4>5</vt:i4>
      </vt:variant>
      <vt:variant>
        <vt:lpwstr>http://www.nevo.co.il/case/26246488</vt:lpwstr>
      </vt:variant>
      <vt:variant>
        <vt:lpwstr/>
      </vt:variant>
      <vt:variant>
        <vt:i4>3211386</vt:i4>
      </vt:variant>
      <vt:variant>
        <vt:i4>45</vt:i4>
      </vt:variant>
      <vt:variant>
        <vt:i4>0</vt:i4>
      </vt:variant>
      <vt:variant>
        <vt:i4>5</vt:i4>
      </vt:variant>
      <vt:variant>
        <vt:lpwstr>http://www.nevo.co.il/case/27615803</vt:lpwstr>
      </vt:variant>
      <vt:variant>
        <vt:lpwstr/>
      </vt:variant>
      <vt:variant>
        <vt:i4>3473523</vt:i4>
      </vt:variant>
      <vt:variant>
        <vt:i4>42</vt:i4>
      </vt:variant>
      <vt:variant>
        <vt:i4>0</vt:i4>
      </vt:variant>
      <vt:variant>
        <vt:i4>5</vt:i4>
      </vt:variant>
      <vt:variant>
        <vt:lpwstr>http://www.nevo.co.il/case/26797877</vt:lpwstr>
      </vt:variant>
      <vt:variant>
        <vt:lpwstr/>
      </vt:variant>
      <vt:variant>
        <vt:i4>3276912</vt:i4>
      </vt:variant>
      <vt:variant>
        <vt:i4>39</vt:i4>
      </vt:variant>
      <vt:variant>
        <vt:i4>0</vt:i4>
      </vt:variant>
      <vt:variant>
        <vt:i4>5</vt:i4>
      </vt:variant>
      <vt:variant>
        <vt:lpwstr>http://www.nevo.co.il/case/21654029</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http://www.nevo.co.il/law/70301/400</vt:lpwstr>
      </vt:variant>
      <vt:variant>
        <vt:lpwstr/>
      </vt:variant>
      <vt:variant>
        <vt:i4>5177418</vt:i4>
      </vt:variant>
      <vt:variant>
        <vt:i4>30</vt:i4>
      </vt:variant>
      <vt:variant>
        <vt:i4>0</vt:i4>
      </vt:variant>
      <vt:variant>
        <vt:i4>5</vt:i4>
      </vt:variant>
      <vt:variant>
        <vt:lpwstr>http://www.nevo.co.il/law/4216/10</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2025-04-23T01:50:00Z</dcterms:created>
  <dcterms:modified xsi:type="dcterms:W3CDTF">2025-04-23T01:50:00Z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59699</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איליה פליט</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20240401</vt:lpwstr>
  </property>
  <property fmtid="{D5CDD505-2E9C-101B-9397-08002B2CF9AE}" pid="13" name="TYPE_N_DATE">
    <vt:lpwstr>38020240401</vt:lpwstr>
  </property>
  <property fmtid="{D5CDD505-2E9C-101B-9397-08002B2CF9AE}" pid="14" name="WORDNUMPAGES">
    <vt:lpwstr>5</vt:lpwstr>
  </property>
  <property fmtid="{D5CDD505-2E9C-101B-9397-08002B2CF9AE}" pid="15" name="TYPE_ABS_DATE">
    <vt:lpwstr>380020240401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21654029;26797877;27615803;26246488;27517511;27347635;27502816;27066481;25946245;27862619;27573801;11206078;2894643</vt:lpwstr>
  </property>
  <property fmtid="{D5CDD505-2E9C-101B-9397-08002B2CF9AE}" pid="36" name="LAWLISTTMP1">
    <vt:lpwstr>4216/006;007.a;007.c;010</vt:lpwstr>
  </property>
  <property fmtid="{D5CDD505-2E9C-101B-9397-08002B2CF9AE}" pid="37" name="LAWLISTTMP2">
    <vt:lpwstr>70301/400</vt:lpwstr>
  </property>
</Properties>
</file>