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D42709" w:rsidRPr="00A44BAD" w14:paraId="40CEA963" w14:textId="77777777" w:rsidTr="00493241">
        <w:trPr>
          <w:trHeight w:hRule="exact" w:val="418"/>
          <w:jc w:val="center"/>
        </w:trPr>
        <w:tc>
          <w:tcPr>
            <w:tcW w:w="8721" w:type="dxa"/>
            <w:gridSpan w:val="2"/>
          </w:tcPr>
          <w:p w14:paraId="3DB76C9D" w14:textId="77777777" w:rsidR="00D42709" w:rsidRPr="00A44BAD" w:rsidRDefault="00D42709" w:rsidP="007F10A0">
            <w:pPr>
              <w:pStyle w:val="a4"/>
              <w:jc w:val="center"/>
              <w:rPr>
                <w:rFonts w:ascii="Tahoma" w:hAnsi="Tahoma" w:cs="Tahoma"/>
                <w:color w:val="000080"/>
                <w:rtl/>
              </w:rPr>
            </w:pPr>
            <w:bookmarkStart w:id="0" w:name="LastJudge"/>
            <w:r w:rsidRPr="00A44BAD">
              <w:rPr>
                <w:rFonts w:ascii="Tahoma" w:hAnsi="Tahoma" w:cs="Tahoma"/>
                <w:b/>
                <w:bCs/>
                <w:color w:val="000080"/>
                <w:rtl/>
              </w:rPr>
              <w:t>בית משפט השלום בבאר שבע</w:t>
            </w:r>
          </w:p>
        </w:tc>
      </w:tr>
      <w:tr w:rsidR="00D42709" w:rsidRPr="00A44BAD" w14:paraId="090D0033" w14:textId="77777777" w:rsidTr="00493241">
        <w:trPr>
          <w:trHeight w:val="337"/>
          <w:jc w:val="center"/>
        </w:trPr>
        <w:tc>
          <w:tcPr>
            <w:tcW w:w="5062" w:type="dxa"/>
          </w:tcPr>
          <w:p w14:paraId="53451973" w14:textId="77777777" w:rsidR="00D42709" w:rsidRPr="00A44BAD" w:rsidRDefault="00D42709" w:rsidP="007F10A0">
            <w:pPr>
              <w:rPr>
                <w:rFonts w:cs="FrankRuehl"/>
                <w:sz w:val="28"/>
                <w:szCs w:val="28"/>
                <w:rtl/>
              </w:rPr>
            </w:pPr>
            <w:r w:rsidRPr="00A44BAD">
              <w:rPr>
                <w:rFonts w:cs="FrankRuehl"/>
                <w:sz w:val="28"/>
                <w:szCs w:val="28"/>
                <w:rtl/>
              </w:rPr>
              <w:t>ת"פ</w:t>
            </w:r>
            <w:r w:rsidRPr="00A44BAD">
              <w:rPr>
                <w:rFonts w:cs="FrankRuehl" w:hint="cs"/>
                <w:sz w:val="28"/>
                <w:szCs w:val="28"/>
                <w:rtl/>
              </w:rPr>
              <w:t xml:space="preserve"> </w:t>
            </w:r>
            <w:r w:rsidRPr="00A44BAD">
              <w:rPr>
                <w:rFonts w:cs="FrankRuehl"/>
                <w:sz w:val="28"/>
                <w:szCs w:val="28"/>
                <w:rtl/>
              </w:rPr>
              <w:t>6766-10-23</w:t>
            </w:r>
            <w:r w:rsidRPr="00A44BAD">
              <w:rPr>
                <w:rFonts w:cs="FrankRuehl" w:hint="cs"/>
                <w:sz w:val="28"/>
                <w:szCs w:val="28"/>
                <w:rtl/>
              </w:rPr>
              <w:t xml:space="preserve"> </w:t>
            </w:r>
            <w:r w:rsidRPr="00A44BAD">
              <w:rPr>
                <w:rFonts w:cs="FrankRuehl"/>
                <w:sz w:val="28"/>
                <w:szCs w:val="28"/>
                <w:rtl/>
              </w:rPr>
              <w:t>מדינת ישראל נ' ליטבינובה(עציר)</w:t>
            </w:r>
          </w:p>
          <w:p w14:paraId="1CEE2C7E" w14:textId="77777777" w:rsidR="00D42709" w:rsidRPr="00A44BAD" w:rsidRDefault="00D42709" w:rsidP="007F10A0">
            <w:pPr>
              <w:pStyle w:val="a4"/>
              <w:rPr>
                <w:rFonts w:cs="FrankRuehl"/>
                <w:sz w:val="28"/>
                <w:szCs w:val="28"/>
                <w:rtl/>
              </w:rPr>
            </w:pPr>
          </w:p>
        </w:tc>
        <w:tc>
          <w:tcPr>
            <w:tcW w:w="3659" w:type="dxa"/>
          </w:tcPr>
          <w:p w14:paraId="782D9DD6" w14:textId="77777777" w:rsidR="00D42709" w:rsidRPr="00A44BAD" w:rsidRDefault="00D42709" w:rsidP="007F10A0">
            <w:pPr>
              <w:pStyle w:val="a4"/>
              <w:jc w:val="right"/>
              <w:rPr>
                <w:rFonts w:cs="FrankRuehl"/>
                <w:sz w:val="28"/>
                <w:szCs w:val="28"/>
                <w:rtl/>
              </w:rPr>
            </w:pPr>
          </w:p>
        </w:tc>
      </w:tr>
    </w:tbl>
    <w:p w14:paraId="52CD55E7" w14:textId="77777777" w:rsidR="00D42709" w:rsidRPr="00A44BAD" w:rsidRDefault="00D42709" w:rsidP="00D42709">
      <w:pPr>
        <w:pStyle w:val="a4"/>
        <w:rPr>
          <w:rtl/>
        </w:rPr>
      </w:pPr>
      <w:r w:rsidRPr="00A44BAD">
        <w:rPr>
          <w:rFonts w:hint="cs"/>
          <w:rtl/>
        </w:rPr>
        <w:t xml:space="preserve"> </w:t>
      </w:r>
    </w:p>
    <w:p w14:paraId="2A6573A8" w14:textId="77777777" w:rsidR="00D42709" w:rsidRPr="00A44BAD" w:rsidRDefault="00D42709" w:rsidP="00D42709">
      <w:pPr>
        <w:rPr>
          <w:rtl/>
        </w:rPr>
      </w:pPr>
    </w:p>
    <w:p w14:paraId="1112CDB9" w14:textId="77777777" w:rsidR="00D42709" w:rsidRPr="00A44BAD" w:rsidRDefault="00D42709" w:rsidP="00D427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42709" w:rsidRPr="00A44BAD" w14:paraId="76B9CAB6" w14:textId="77777777" w:rsidTr="00D42709">
        <w:trPr>
          <w:trHeight w:val="295"/>
          <w:jc w:val="center"/>
        </w:trPr>
        <w:tc>
          <w:tcPr>
            <w:tcW w:w="923" w:type="dxa"/>
            <w:tcBorders>
              <w:top w:val="nil"/>
              <w:left w:val="nil"/>
              <w:bottom w:val="nil"/>
              <w:right w:val="nil"/>
            </w:tcBorders>
            <w:shd w:val="clear" w:color="auto" w:fill="auto"/>
          </w:tcPr>
          <w:p w14:paraId="196AF5F2" w14:textId="77777777" w:rsidR="00D42709" w:rsidRPr="00A44BAD" w:rsidRDefault="00D42709" w:rsidP="00D42709">
            <w:pPr>
              <w:jc w:val="both"/>
              <w:rPr>
                <w:rFonts w:ascii="David" w:hAnsi="David"/>
                <w:sz w:val="26"/>
                <w:szCs w:val="26"/>
              </w:rPr>
            </w:pPr>
            <w:r w:rsidRPr="00A44BAD">
              <w:rPr>
                <w:rFonts w:ascii="David" w:hAnsi="David" w:hint="cs"/>
                <w:sz w:val="26"/>
                <w:szCs w:val="26"/>
                <w:rtl/>
              </w:rPr>
              <w:t>ל</w:t>
            </w:r>
            <w:r w:rsidRPr="00A44BA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76A002F" w14:textId="77777777" w:rsidR="00D42709" w:rsidRPr="00A44BAD" w:rsidRDefault="00D42709" w:rsidP="007F10A0">
            <w:pPr>
              <w:rPr>
                <w:rFonts w:ascii="David" w:hAnsi="David"/>
                <w:b/>
                <w:bCs/>
                <w:sz w:val="26"/>
                <w:szCs w:val="26"/>
                <w:rtl/>
              </w:rPr>
            </w:pPr>
            <w:r w:rsidRPr="00A44BAD">
              <w:rPr>
                <w:rFonts w:ascii="David" w:hAnsi="David"/>
                <w:b/>
                <w:bCs/>
                <w:sz w:val="26"/>
                <w:szCs w:val="26"/>
                <w:rtl/>
              </w:rPr>
              <w:t>כבוד השופט  יריב בן דוד</w:t>
            </w:r>
          </w:p>
          <w:p w14:paraId="7895D88C" w14:textId="77777777" w:rsidR="00D42709" w:rsidRPr="00A44BAD" w:rsidRDefault="00D42709" w:rsidP="007F10A0">
            <w:pPr>
              <w:rPr>
                <w:rFonts w:ascii="David" w:hAnsi="David"/>
                <w:sz w:val="26"/>
                <w:szCs w:val="26"/>
                <w:rtl/>
              </w:rPr>
            </w:pPr>
          </w:p>
          <w:p w14:paraId="27A16C05" w14:textId="77777777" w:rsidR="00D42709" w:rsidRPr="00A44BAD" w:rsidRDefault="00D42709" w:rsidP="00D42709">
            <w:pPr>
              <w:jc w:val="both"/>
              <w:rPr>
                <w:rFonts w:ascii="David" w:hAnsi="David"/>
                <w:sz w:val="26"/>
                <w:szCs w:val="26"/>
              </w:rPr>
            </w:pPr>
          </w:p>
        </w:tc>
      </w:tr>
      <w:tr w:rsidR="00D42709" w:rsidRPr="00A44BAD" w14:paraId="7006AEF8" w14:textId="77777777" w:rsidTr="00D42709">
        <w:trPr>
          <w:trHeight w:val="355"/>
          <w:jc w:val="center"/>
        </w:trPr>
        <w:tc>
          <w:tcPr>
            <w:tcW w:w="923" w:type="dxa"/>
            <w:tcBorders>
              <w:top w:val="nil"/>
              <w:left w:val="nil"/>
              <w:bottom w:val="nil"/>
              <w:right w:val="nil"/>
            </w:tcBorders>
            <w:shd w:val="clear" w:color="auto" w:fill="auto"/>
          </w:tcPr>
          <w:p w14:paraId="50A2B295" w14:textId="77777777" w:rsidR="00D42709" w:rsidRPr="00A44BAD" w:rsidRDefault="00D42709" w:rsidP="00D42709">
            <w:pPr>
              <w:jc w:val="both"/>
              <w:rPr>
                <w:rFonts w:ascii="David" w:hAnsi="David"/>
                <w:sz w:val="26"/>
                <w:szCs w:val="26"/>
              </w:rPr>
            </w:pPr>
            <w:bookmarkStart w:id="1" w:name="FirstAppellant"/>
            <w:r w:rsidRPr="00A44BAD">
              <w:rPr>
                <w:rFonts w:ascii="David" w:hAnsi="David"/>
                <w:sz w:val="26"/>
                <w:szCs w:val="26"/>
                <w:rtl/>
              </w:rPr>
              <w:t>בעניין:</w:t>
            </w:r>
          </w:p>
        </w:tc>
        <w:tc>
          <w:tcPr>
            <w:tcW w:w="3219" w:type="dxa"/>
            <w:tcBorders>
              <w:top w:val="nil"/>
              <w:left w:val="nil"/>
              <w:bottom w:val="nil"/>
              <w:right w:val="nil"/>
            </w:tcBorders>
            <w:shd w:val="clear" w:color="auto" w:fill="auto"/>
          </w:tcPr>
          <w:p w14:paraId="0CA9F1BF" w14:textId="77777777" w:rsidR="00D42709" w:rsidRPr="00A44BAD" w:rsidRDefault="00D42709" w:rsidP="00D42709">
            <w:pPr>
              <w:suppressLineNumbers/>
            </w:pPr>
            <w:r w:rsidRPr="00A44BAD">
              <w:rPr>
                <w:rFonts w:ascii="Arial" w:hAnsi="Arial" w:hint="cs"/>
                <w:b/>
                <w:bCs/>
                <w:sz w:val="26"/>
                <w:szCs w:val="26"/>
                <w:rtl/>
              </w:rPr>
              <w:t>ה</w:t>
            </w:r>
            <w:r w:rsidRPr="00A44BAD">
              <w:rPr>
                <w:rFonts w:ascii="Arial" w:hAnsi="Arial"/>
                <w:b/>
                <w:bCs/>
                <w:sz w:val="26"/>
                <w:szCs w:val="26"/>
                <w:rtl/>
              </w:rPr>
              <w:t>מאשימה</w:t>
            </w:r>
          </w:p>
          <w:p w14:paraId="6EABEA46" w14:textId="77777777" w:rsidR="00D42709" w:rsidRPr="00A44BAD" w:rsidRDefault="00D42709" w:rsidP="007F10A0">
            <w:pPr>
              <w:rPr>
                <w:rFonts w:ascii="David" w:hAnsi="David"/>
                <w:sz w:val="26"/>
                <w:szCs w:val="26"/>
              </w:rPr>
            </w:pPr>
          </w:p>
        </w:tc>
        <w:tc>
          <w:tcPr>
            <w:tcW w:w="4678" w:type="dxa"/>
            <w:tcBorders>
              <w:top w:val="nil"/>
              <w:left w:val="nil"/>
              <w:bottom w:val="nil"/>
              <w:right w:val="nil"/>
            </w:tcBorders>
            <w:shd w:val="clear" w:color="auto" w:fill="auto"/>
            <w:vAlign w:val="center"/>
          </w:tcPr>
          <w:p w14:paraId="544780FB" w14:textId="77777777" w:rsidR="00D42709" w:rsidRPr="00A44BAD" w:rsidRDefault="00D42709" w:rsidP="00D42709">
            <w:pPr>
              <w:suppressLineNumbers/>
            </w:pPr>
            <w:r w:rsidRPr="00A44BAD">
              <w:rPr>
                <w:rFonts w:ascii="Arial" w:hAnsi="Arial"/>
                <w:b/>
                <w:bCs/>
                <w:sz w:val="26"/>
                <w:szCs w:val="26"/>
                <w:rtl/>
              </w:rPr>
              <w:t>מדינת ישראל</w:t>
            </w:r>
            <w:r w:rsidRPr="00A44BAD">
              <w:rPr>
                <w:rFonts w:ascii="Arial" w:hAnsi="Arial" w:hint="cs"/>
                <w:b/>
                <w:bCs/>
                <w:sz w:val="26"/>
                <w:szCs w:val="26"/>
                <w:rtl/>
              </w:rPr>
              <w:t xml:space="preserve"> </w:t>
            </w:r>
            <w:r w:rsidRPr="00A44BAD">
              <w:rPr>
                <w:rFonts w:ascii="Arial" w:hAnsi="Arial"/>
                <w:b/>
                <w:bCs/>
                <w:sz w:val="26"/>
                <w:szCs w:val="26"/>
                <w:rtl/>
              </w:rPr>
              <w:t>–</w:t>
            </w:r>
            <w:r w:rsidRPr="00A44BAD">
              <w:rPr>
                <w:rFonts w:ascii="Arial" w:hAnsi="Arial" w:hint="cs"/>
                <w:b/>
                <w:bCs/>
                <w:sz w:val="26"/>
                <w:szCs w:val="26"/>
                <w:rtl/>
              </w:rPr>
              <w:t xml:space="preserve"> תביעות נגב </w:t>
            </w:r>
          </w:p>
          <w:p w14:paraId="562BF945" w14:textId="77777777" w:rsidR="00D42709" w:rsidRPr="00A44BAD" w:rsidRDefault="00D42709" w:rsidP="007F10A0">
            <w:pPr>
              <w:rPr>
                <w:rFonts w:ascii="David" w:hAnsi="David"/>
                <w:sz w:val="26"/>
                <w:szCs w:val="26"/>
              </w:rPr>
            </w:pPr>
          </w:p>
        </w:tc>
      </w:tr>
      <w:bookmarkEnd w:id="1"/>
      <w:tr w:rsidR="00D42709" w:rsidRPr="00A44BAD" w14:paraId="5CABDCAB" w14:textId="77777777" w:rsidTr="00D42709">
        <w:trPr>
          <w:trHeight w:val="355"/>
          <w:jc w:val="center"/>
        </w:trPr>
        <w:tc>
          <w:tcPr>
            <w:tcW w:w="923" w:type="dxa"/>
            <w:tcBorders>
              <w:top w:val="nil"/>
              <w:left w:val="nil"/>
              <w:bottom w:val="nil"/>
              <w:right w:val="nil"/>
            </w:tcBorders>
            <w:shd w:val="clear" w:color="auto" w:fill="auto"/>
          </w:tcPr>
          <w:p w14:paraId="4B73574E" w14:textId="77777777" w:rsidR="00D42709" w:rsidRPr="00A44BAD" w:rsidRDefault="00D42709" w:rsidP="00D4270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2E924E1" w14:textId="77777777" w:rsidR="00D42709" w:rsidRPr="00A44BAD" w:rsidRDefault="00D42709" w:rsidP="00D42709">
            <w:pPr>
              <w:jc w:val="center"/>
              <w:rPr>
                <w:rFonts w:ascii="David" w:hAnsi="David"/>
                <w:b/>
                <w:bCs/>
                <w:sz w:val="26"/>
                <w:szCs w:val="26"/>
                <w:rtl/>
              </w:rPr>
            </w:pPr>
          </w:p>
          <w:p w14:paraId="65388189" w14:textId="77777777" w:rsidR="00D42709" w:rsidRPr="00A44BAD" w:rsidRDefault="00D42709" w:rsidP="00D42709">
            <w:pPr>
              <w:jc w:val="center"/>
              <w:rPr>
                <w:rFonts w:ascii="David" w:hAnsi="David"/>
                <w:b/>
                <w:bCs/>
                <w:sz w:val="26"/>
                <w:szCs w:val="26"/>
                <w:rtl/>
              </w:rPr>
            </w:pPr>
            <w:r w:rsidRPr="00A44BAD">
              <w:rPr>
                <w:rFonts w:ascii="David" w:hAnsi="David"/>
                <w:b/>
                <w:bCs/>
                <w:sz w:val="26"/>
                <w:szCs w:val="26"/>
                <w:rtl/>
              </w:rPr>
              <w:t>נגד</w:t>
            </w:r>
          </w:p>
          <w:p w14:paraId="43CE4EA5" w14:textId="77777777" w:rsidR="00D42709" w:rsidRPr="00A44BAD" w:rsidRDefault="00D42709" w:rsidP="00D42709">
            <w:pPr>
              <w:jc w:val="both"/>
              <w:rPr>
                <w:rFonts w:ascii="David" w:hAnsi="David"/>
                <w:sz w:val="26"/>
                <w:szCs w:val="26"/>
              </w:rPr>
            </w:pPr>
          </w:p>
        </w:tc>
      </w:tr>
      <w:tr w:rsidR="00D42709" w:rsidRPr="00A44BAD" w14:paraId="068E6BA4" w14:textId="77777777" w:rsidTr="00D42709">
        <w:trPr>
          <w:trHeight w:val="355"/>
          <w:jc w:val="center"/>
        </w:trPr>
        <w:tc>
          <w:tcPr>
            <w:tcW w:w="923" w:type="dxa"/>
            <w:tcBorders>
              <w:top w:val="nil"/>
              <w:left w:val="nil"/>
              <w:bottom w:val="nil"/>
              <w:right w:val="nil"/>
            </w:tcBorders>
            <w:shd w:val="clear" w:color="auto" w:fill="auto"/>
          </w:tcPr>
          <w:p w14:paraId="483D65F6" w14:textId="77777777" w:rsidR="00D42709" w:rsidRPr="00A44BAD" w:rsidRDefault="00D42709" w:rsidP="007F10A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67D6009" w14:textId="77777777" w:rsidR="00D42709" w:rsidRPr="00A44BAD" w:rsidRDefault="00D42709" w:rsidP="007F10A0">
            <w:pPr>
              <w:rPr>
                <w:rFonts w:ascii="Arial" w:hAnsi="Arial"/>
                <w:b/>
                <w:bCs/>
                <w:sz w:val="26"/>
                <w:szCs w:val="26"/>
                <w:rtl/>
              </w:rPr>
            </w:pPr>
            <w:r w:rsidRPr="00A44BAD">
              <w:rPr>
                <w:rFonts w:ascii="Arial" w:hAnsi="Arial"/>
                <w:b/>
                <w:bCs/>
                <w:sz w:val="26"/>
                <w:szCs w:val="26"/>
                <w:rtl/>
              </w:rPr>
              <w:t>הנאשמ</w:t>
            </w:r>
            <w:r w:rsidRPr="00A44BAD">
              <w:rPr>
                <w:rFonts w:ascii="Arial" w:hAnsi="Arial" w:hint="cs"/>
                <w:b/>
                <w:bCs/>
                <w:sz w:val="26"/>
                <w:szCs w:val="26"/>
                <w:rtl/>
              </w:rPr>
              <w:t>ת</w:t>
            </w:r>
          </w:p>
        </w:tc>
        <w:tc>
          <w:tcPr>
            <w:tcW w:w="4678" w:type="dxa"/>
            <w:tcBorders>
              <w:top w:val="nil"/>
              <w:left w:val="nil"/>
              <w:bottom w:val="nil"/>
              <w:right w:val="nil"/>
            </w:tcBorders>
            <w:shd w:val="clear" w:color="auto" w:fill="auto"/>
            <w:vAlign w:val="center"/>
          </w:tcPr>
          <w:p w14:paraId="42DA3906" w14:textId="77777777" w:rsidR="00D42709" w:rsidRPr="00A44BAD" w:rsidRDefault="00D42709" w:rsidP="00D42709">
            <w:pPr>
              <w:suppressLineNumbers/>
              <w:rPr>
                <w:rFonts w:ascii="Arial" w:hAnsi="Arial"/>
                <w:b/>
                <w:bCs/>
                <w:sz w:val="26"/>
                <w:szCs w:val="26"/>
                <w:rtl/>
              </w:rPr>
            </w:pPr>
            <w:r w:rsidRPr="00A44BAD">
              <w:rPr>
                <w:rFonts w:ascii="Arial" w:hAnsi="Arial"/>
                <w:b/>
                <w:bCs/>
                <w:sz w:val="26"/>
                <w:szCs w:val="26"/>
                <w:rtl/>
              </w:rPr>
              <w:t>רנטה ליטבינובה (עציר</w:t>
            </w:r>
            <w:r w:rsidRPr="00A44BAD">
              <w:rPr>
                <w:rFonts w:ascii="Arial" w:hAnsi="Arial" w:hint="cs"/>
                <w:b/>
                <w:bCs/>
                <w:sz w:val="26"/>
                <w:szCs w:val="26"/>
                <w:rtl/>
              </w:rPr>
              <w:t>ה</w:t>
            </w:r>
            <w:r w:rsidRPr="00A44BAD">
              <w:rPr>
                <w:rFonts w:ascii="Arial" w:hAnsi="Arial"/>
                <w:b/>
                <w:bCs/>
                <w:sz w:val="26"/>
                <w:szCs w:val="26"/>
                <w:rtl/>
              </w:rPr>
              <w:t>)</w:t>
            </w:r>
            <w:r w:rsidRPr="00A44BAD">
              <w:rPr>
                <w:rFonts w:ascii="Arial" w:hAnsi="Arial" w:hint="cs"/>
                <w:b/>
                <w:bCs/>
                <w:sz w:val="26"/>
                <w:szCs w:val="26"/>
                <w:rtl/>
              </w:rPr>
              <w:t xml:space="preserve"> </w:t>
            </w:r>
            <w:r w:rsidRPr="00A44BAD">
              <w:rPr>
                <w:rFonts w:ascii="Arial" w:hAnsi="Arial"/>
                <w:b/>
                <w:bCs/>
                <w:sz w:val="26"/>
                <w:szCs w:val="26"/>
                <w:rtl/>
              </w:rPr>
              <w:t>–</w:t>
            </w:r>
            <w:r w:rsidRPr="00A44BAD">
              <w:rPr>
                <w:rFonts w:ascii="Arial" w:hAnsi="Arial" w:hint="cs"/>
                <w:b/>
                <w:bCs/>
                <w:sz w:val="26"/>
                <w:szCs w:val="26"/>
                <w:rtl/>
              </w:rPr>
              <w:t xml:space="preserve"> בעצמה</w:t>
            </w:r>
          </w:p>
          <w:p w14:paraId="48CA697B" w14:textId="77777777" w:rsidR="00D42709" w:rsidRPr="00A44BAD" w:rsidRDefault="00D42709" w:rsidP="00D42709">
            <w:pPr>
              <w:suppressLineNumbers/>
            </w:pPr>
            <w:r w:rsidRPr="00A44BAD">
              <w:rPr>
                <w:rFonts w:ascii="Arial" w:hAnsi="Arial"/>
                <w:b/>
                <w:bCs/>
                <w:sz w:val="26"/>
                <w:szCs w:val="26"/>
                <w:rtl/>
              </w:rPr>
              <w:t>ע"י ב"כ עוה"ד</w:t>
            </w:r>
            <w:r w:rsidRPr="00A44BAD">
              <w:rPr>
                <w:rFonts w:ascii="Arial" w:hAnsi="Arial" w:hint="cs"/>
                <w:b/>
                <w:bCs/>
                <w:sz w:val="26"/>
                <w:szCs w:val="26"/>
                <w:rtl/>
              </w:rPr>
              <w:t xml:space="preserve"> רוית מוחבר</w:t>
            </w:r>
          </w:p>
          <w:p w14:paraId="183D6668" w14:textId="77777777" w:rsidR="00D42709" w:rsidRPr="00A44BAD" w:rsidRDefault="00D42709" w:rsidP="007F10A0">
            <w:pPr>
              <w:rPr>
                <w:rFonts w:ascii="David" w:hAnsi="David"/>
                <w:sz w:val="26"/>
                <w:szCs w:val="26"/>
              </w:rPr>
            </w:pPr>
          </w:p>
        </w:tc>
      </w:tr>
      <w:bookmarkEnd w:id="2"/>
      <w:tr w:rsidR="00D42709" w:rsidRPr="00A44BAD" w14:paraId="03C9EDF4" w14:textId="77777777" w:rsidTr="00D42709">
        <w:trPr>
          <w:trHeight w:val="355"/>
          <w:jc w:val="center"/>
        </w:trPr>
        <w:tc>
          <w:tcPr>
            <w:tcW w:w="923" w:type="dxa"/>
            <w:tcBorders>
              <w:top w:val="nil"/>
              <w:left w:val="nil"/>
              <w:bottom w:val="nil"/>
              <w:right w:val="nil"/>
            </w:tcBorders>
            <w:shd w:val="clear" w:color="auto" w:fill="auto"/>
          </w:tcPr>
          <w:p w14:paraId="20C42D79" w14:textId="77777777" w:rsidR="00D42709" w:rsidRPr="00A44BAD" w:rsidRDefault="00D42709" w:rsidP="00D42709">
            <w:pPr>
              <w:jc w:val="both"/>
              <w:rPr>
                <w:rFonts w:ascii="David" w:hAnsi="David"/>
                <w:sz w:val="26"/>
                <w:szCs w:val="26"/>
                <w:rtl/>
              </w:rPr>
            </w:pPr>
          </w:p>
        </w:tc>
        <w:tc>
          <w:tcPr>
            <w:tcW w:w="3219" w:type="dxa"/>
            <w:tcBorders>
              <w:top w:val="nil"/>
              <w:left w:val="nil"/>
              <w:bottom w:val="nil"/>
              <w:right w:val="nil"/>
            </w:tcBorders>
            <w:shd w:val="clear" w:color="auto" w:fill="auto"/>
          </w:tcPr>
          <w:p w14:paraId="21114BF5" w14:textId="77777777" w:rsidR="00D42709" w:rsidRPr="00A44BAD" w:rsidRDefault="00D42709" w:rsidP="00D42709">
            <w:pPr>
              <w:jc w:val="both"/>
              <w:rPr>
                <w:rFonts w:ascii="David" w:hAnsi="David"/>
                <w:sz w:val="26"/>
                <w:szCs w:val="26"/>
                <w:rtl/>
              </w:rPr>
            </w:pPr>
          </w:p>
        </w:tc>
        <w:tc>
          <w:tcPr>
            <w:tcW w:w="4678" w:type="dxa"/>
            <w:tcBorders>
              <w:top w:val="nil"/>
              <w:left w:val="nil"/>
              <w:bottom w:val="nil"/>
              <w:right w:val="nil"/>
            </w:tcBorders>
            <w:shd w:val="clear" w:color="auto" w:fill="auto"/>
          </w:tcPr>
          <w:p w14:paraId="2F9BB70B" w14:textId="77777777" w:rsidR="00D42709" w:rsidRPr="00A44BAD" w:rsidRDefault="00D42709" w:rsidP="00D42709">
            <w:pPr>
              <w:jc w:val="right"/>
              <w:rPr>
                <w:rFonts w:ascii="David" w:hAnsi="David"/>
                <w:sz w:val="26"/>
                <w:szCs w:val="26"/>
              </w:rPr>
            </w:pPr>
          </w:p>
        </w:tc>
      </w:tr>
    </w:tbl>
    <w:p w14:paraId="74BA4BA8" w14:textId="77777777" w:rsidR="00493241" w:rsidRPr="00493241" w:rsidRDefault="00493241" w:rsidP="00493241">
      <w:pPr>
        <w:spacing w:before="120" w:after="120" w:line="240" w:lineRule="exact"/>
        <w:ind w:left="283" w:hanging="283"/>
        <w:jc w:val="both"/>
        <w:rPr>
          <w:rFonts w:ascii="FrankRuehl" w:hAnsi="FrankRuehl" w:cs="FrankRuehl"/>
          <w:rtl/>
        </w:rPr>
      </w:pPr>
    </w:p>
    <w:p w14:paraId="29F557B4" w14:textId="77777777" w:rsidR="00155950" w:rsidRPr="00155950" w:rsidRDefault="00155950" w:rsidP="00155950">
      <w:pPr>
        <w:spacing w:before="120" w:after="120" w:line="240" w:lineRule="exact"/>
        <w:ind w:left="283" w:hanging="283"/>
        <w:jc w:val="both"/>
        <w:rPr>
          <w:rFonts w:ascii="FrankRuehl" w:hAnsi="FrankRuehl" w:cs="FrankRuehl"/>
          <w:rtl/>
        </w:rPr>
      </w:pPr>
    </w:p>
    <w:p w14:paraId="44326EFB" w14:textId="77777777" w:rsidR="00B85B94" w:rsidRDefault="00B85B94" w:rsidP="00B85B94">
      <w:pPr>
        <w:rPr>
          <w:sz w:val="26"/>
          <w:szCs w:val="26"/>
          <w:rtl/>
        </w:rPr>
      </w:pPr>
      <w:bookmarkStart w:id="3" w:name="LawTable"/>
      <w:bookmarkEnd w:id="3"/>
    </w:p>
    <w:p w14:paraId="5DD85DD0" w14:textId="77777777" w:rsidR="00B85B94" w:rsidRPr="00B85B94" w:rsidRDefault="00B85B94" w:rsidP="00B85B94">
      <w:pPr>
        <w:spacing w:before="120" w:after="120" w:line="240" w:lineRule="exact"/>
        <w:ind w:left="283" w:hanging="283"/>
        <w:jc w:val="both"/>
        <w:rPr>
          <w:rFonts w:ascii="FrankRuehl" w:hAnsi="FrankRuehl" w:cs="FrankRuehl"/>
          <w:rtl/>
        </w:rPr>
      </w:pPr>
    </w:p>
    <w:p w14:paraId="5093CB1B" w14:textId="77777777" w:rsidR="00B85B94" w:rsidRPr="00B85B94" w:rsidRDefault="00B85B94" w:rsidP="00B85B94">
      <w:pPr>
        <w:spacing w:before="120" w:after="120" w:line="240" w:lineRule="exact"/>
        <w:ind w:left="283" w:hanging="283"/>
        <w:jc w:val="both"/>
        <w:rPr>
          <w:rFonts w:ascii="FrankRuehl" w:hAnsi="FrankRuehl" w:cs="FrankRuehl"/>
          <w:rtl/>
        </w:rPr>
      </w:pPr>
    </w:p>
    <w:p w14:paraId="50E39CC8" w14:textId="77777777" w:rsidR="00B85B94" w:rsidRPr="00B85B94" w:rsidRDefault="00B85B94" w:rsidP="00B85B94">
      <w:pPr>
        <w:spacing w:before="120" w:after="120" w:line="240" w:lineRule="exact"/>
        <w:ind w:left="283" w:hanging="283"/>
        <w:jc w:val="both"/>
        <w:rPr>
          <w:rFonts w:ascii="FrankRuehl" w:hAnsi="FrankRuehl" w:cs="FrankRuehl"/>
          <w:rtl/>
        </w:rPr>
      </w:pPr>
      <w:r w:rsidRPr="00B85B94">
        <w:rPr>
          <w:rFonts w:ascii="FrankRuehl" w:hAnsi="FrankRuehl" w:cs="FrankRuehl"/>
          <w:rtl/>
        </w:rPr>
        <w:t xml:space="preserve">חקיקה שאוזכרה: </w:t>
      </w:r>
    </w:p>
    <w:p w14:paraId="4702738E" w14:textId="77777777" w:rsidR="00B85B94" w:rsidRPr="00B85B94" w:rsidRDefault="00B85B94" w:rsidP="00B85B94">
      <w:pPr>
        <w:spacing w:before="120" w:after="120" w:line="240" w:lineRule="exact"/>
        <w:ind w:left="283" w:hanging="283"/>
        <w:jc w:val="both"/>
        <w:rPr>
          <w:rFonts w:ascii="FrankRuehl" w:hAnsi="FrankRuehl" w:cs="FrankRuehl"/>
          <w:rtl/>
        </w:rPr>
      </w:pPr>
      <w:hyperlink r:id="rId7" w:history="1">
        <w:r w:rsidRPr="00B85B94">
          <w:rPr>
            <w:rFonts w:ascii="FrankRuehl" w:hAnsi="FrankRuehl" w:cs="FrankRuehl"/>
            <w:color w:val="0000FF"/>
            <w:rtl/>
          </w:rPr>
          <w:t>פקודת הסמים המסוכנים [נוסח חדש], תשל"ג-1973</w:t>
        </w:r>
      </w:hyperlink>
      <w:r w:rsidRPr="00B85B94">
        <w:rPr>
          <w:rFonts w:ascii="FrankRuehl" w:hAnsi="FrankRuehl" w:cs="FrankRuehl"/>
          <w:rtl/>
        </w:rPr>
        <w:t xml:space="preserve">: סע'  </w:t>
      </w:r>
      <w:hyperlink r:id="rId8" w:history="1">
        <w:r w:rsidRPr="00B85B94">
          <w:rPr>
            <w:rFonts w:ascii="FrankRuehl" w:hAnsi="FrankRuehl" w:cs="FrankRuehl"/>
            <w:color w:val="0000FF"/>
            <w:rtl/>
          </w:rPr>
          <w:t>1</w:t>
        </w:r>
      </w:hyperlink>
      <w:r w:rsidRPr="00B85B94">
        <w:rPr>
          <w:rFonts w:ascii="FrankRuehl" w:hAnsi="FrankRuehl" w:cs="FrankRuehl"/>
          <w:rtl/>
        </w:rPr>
        <w:t xml:space="preserve">, </w:t>
      </w:r>
      <w:hyperlink r:id="rId9" w:history="1">
        <w:r w:rsidRPr="00B85B94">
          <w:rPr>
            <w:rFonts w:ascii="FrankRuehl" w:hAnsi="FrankRuehl" w:cs="FrankRuehl"/>
            <w:color w:val="0000FF"/>
            <w:rtl/>
          </w:rPr>
          <w:t>31(6)</w:t>
        </w:r>
      </w:hyperlink>
      <w:r w:rsidRPr="00B85B94">
        <w:rPr>
          <w:rFonts w:ascii="FrankRuehl" w:hAnsi="FrankRuehl" w:cs="FrankRuehl"/>
          <w:rtl/>
        </w:rPr>
        <w:t xml:space="preserve">, </w:t>
      </w:r>
      <w:hyperlink r:id="rId10" w:history="1">
        <w:r w:rsidRPr="00B85B94">
          <w:rPr>
            <w:rFonts w:ascii="FrankRuehl" w:hAnsi="FrankRuehl" w:cs="FrankRuehl"/>
            <w:color w:val="0000FF"/>
            <w:rtl/>
          </w:rPr>
          <w:t>36ג(ב)</w:t>
        </w:r>
      </w:hyperlink>
      <w:r w:rsidRPr="00B85B94">
        <w:rPr>
          <w:rFonts w:ascii="FrankRuehl" w:hAnsi="FrankRuehl" w:cs="FrankRuehl"/>
          <w:rtl/>
        </w:rPr>
        <w:t xml:space="preserve">, </w:t>
      </w:r>
      <w:hyperlink r:id="rId11" w:history="1">
        <w:r w:rsidRPr="00B85B94">
          <w:rPr>
            <w:rFonts w:ascii="FrankRuehl" w:hAnsi="FrankRuehl" w:cs="FrankRuehl"/>
            <w:color w:val="0000FF"/>
            <w:rtl/>
          </w:rPr>
          <w:t>37א</w:t>
        </w:r>
      </w:hyperlink>
    </w:p>
    <w:p w14:paraId="4417F2B1" w14:textId="77777777" w:rsidR="00B85B94" w:rsidRPr="00B85B94" w:rsidRDefault="00B85B94" w:rsidP="00B85B94">
      <w:pPr>
        <w:rPr>
          <w:sz w:val="26"/>
          <w:szCs w:val="26"/>
          <w:rtl/>
        </w:rPr>
      </w:pPr>
      <w:bookmarkStart w:id="4" w:name="LawTable_End"/>
      <w:bookmarkEnd w:id="4"/>
    </w:p>
    <w:p w14:paraId="65C63D8D" w14:textId="77777777" w:rsidR="00D42709" w:rsidRPr="00155950" w:rsidRDefault="00D42709" w:rsidP="0015595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2709" w14:paraId="5E902C3D" w14:textId="77777777" w:rsidTr="00D42709">
        <w:trPr>
          <w:trHeight w:val="355"/>
          <w:jc w:val="center"/>
        </w:trPr>
        <w:tc>
          <w:tcPr>
            <w:tcW w:w="8820" w:type="dxa"/>
            <w:tcBorders>
              <w:top w:val="nil"/>
              <w:left w:val="nil"/>
              <w:bottom w:val="nil"/>
              <w:right w:val="nil"/>
            </w:tcBorders>
            <w:shd w:val="clear" w:color="auto" w:fill="auto"/>
          </w:tcPr>
          <w:p w14:paraId="01342E7B" w14:textId="77777777" w:rsidR="00A44BAD" w:rsidRPr="00A44BAD" w:rsidRDefault="00A44BAD" w:rsidP="00A44BAD">
            <w:pPr>
              <w:jc w:val="center"/>
              <w:rPr>
                <w:rFonts w:ascii="David" w:hAnsi="David"/>
                <w:b/>
                <w:bCs/>
                <w:sz w:val="32"/>
                <w:szCs w:val="32"/>
                <w:u w:val="single"/>
                <w:rtl/>
              </w:rPr>
            </w:pPr>
            <w:bookmarkStart w:id="5" w:name="PsakDin" w:colFirst="0" w:colLast="0"/>
            <w:bookmarkEnd w:id="0"/>
            <w:r w:rsidRPr="00A44BAD">
              <w:rPr>
                <w:rFonts w:ascii="David" w:hAnsi="David"/>
                <w:b/>
                <w:bCs/>
                <w:sz w:val="32"/>
                <w:szCs w:val="32"/>
                <w:u w:val="single"/>
                <w:rtl/>
              </w:rPr>
              <w:t>גזר דין</w:t>
            </w:r>
          </w:p>
          <w:p w14:paraId="49E7D982" w14:textId="77777777" w:rsidR="00D42709" w:rsidRPr="00A44BAD" w:rsidRDefault="00D42709" w:rsidP="00A44BAD">
            <w:pPr>
              <w:jc w:val="center"/>
              <w:rPr>
                <w:rFonts w:ascii="David" w:hAnsi="David"/>
                <w:bCs/>
                <w:sz w:val="32"/>
                <w:szCs w:val="32"/>
                <w:u w:val="single"/>
                <w:rtl/>
              </w:rPr>
            </w:pPr>
          </w:p>
        </w:tc>
      </w:tr>
      <w:bookmarkEnd w:id="5"/>
    </w:tbl>
    <w:p w14:paraId="5BFE078F" w14:textId="77777777" w:rsidR="00D42709" w:rsidRPr="000F2247" w:rsidRDefault="00D42709" w:rsidP="00D42709">
      <w:pPr>
        <w:rPr>
          <w:rFonts w:ascii="Arial" w:hAnsi="Arial"/>
          <w:b/>
          <w:bCs/>
          <w:sz w:val="26"/>
          <w:szCs w:val="26"/>
          <w:rtl/>
        </w:rPr>
      </w:pPr>
    </w:p>
    <w:p w14:paraId="3B74EC44" w14:textId="77777777" w:rsidR="00D42709" w:rsidRDefault="00D42709" w:rsidP="00D42709">
      <w:pPr>
        <w:numPr>
          <w:ilvl w:val="0"/>
          <w:numId w:val="1"/>
        </w:numPr>
        <w:spacing w:line="360" w:lineRule="auto"/>
        <w:ind w:left="560" w:hanging="532"/>
        <w:jc w:val="both"/>
      </w:pPr>
      <w:bookmarkStart w:id="6" w:name="ABSTRACT_START"/>
      <w:bookmarkEnd w:id="6"/>
      <w:r>
        <w:rPr>
          <w:rFonts w:hint="cs"/>
          <w:rtl/>
        </w:rPr>
        <w:t>הנאשמת הורשעה על פי הודאתה בעבירות של החזקת סמים שלא לצריכה עצמית, סחר בסמים מסוכנים (5 עבירות) ותיווך לסחר בסמים מסוכנים, על פי העובדות המפורטות בכתב האישום המתוקן.</w:t>
      </w:r>
      <w:bookmarkStart w:id="7" w:name="ABSTRACT_END"/>
      <w:bookmarkEnd w:id="7"/>
    </w:p>
    <w:p w14:paraId="0F98B516" w14:textId="77777777" w:rsidR="00D42709" w:rsidRDefault="00D42709" w:rsidP="00D42709">
      <w:pPr>
        <w:spacing w:line="360" w:lineRule="auto"/>
        <w:ind w:left="560"/>
        <w:jc w:val="both"/>
        <w:rPr>
          <w:rtl/>
        </w:rPr>
      </w:pPr>
    </w:p>
    <w:p w14:paraId="7067D24C" w14:textId="77777777" w:rsidR="00D42709" w:rsidRDefault="00D42709" w:rsidP="00D42709">
      <w:pPr>
        <w:numPr>
          <w:ilvl w:val="0"/>
          <w:numId w:val="1"/>
        </w:numPr>
        <w:spacing w:line="360" w:lineRule="auto"/>
        <w:ind w:left="560" w:hanging="532"/>
        <w:jc w:val="both"/>
      </w:pPr>
      <w:r>
        <w:rPr>
          <w:rFonts w:hint="cs"/>
          <w:rtl/>
        </w:rPr>
        <w:t>הצדדים הגיעו להסדר טיעון ביחס לרכיב המאסר בפועל בלבד.  ככלל, יכבד בית המשפט את ההסכמות אליהן הגיעו הצדדים כפי שנקבע ב</w:t>
      </w:r>
      <w:hyperlink r:id="rId12" w:history="1">
        <w:r w:rsidR="00A44BAD" w:rsidRPr="00A44BAD">
          <w:rPr>
            <w:color w:val="0000FF"/>
            <w:u w:val="single"/>
            <w:rtl/>
          </w:rPr>
          <w:t>ע"פ 1958/98</w:t>
        </w:r>
      </w:hyperlink>
      <w:r>
        <w:rPr>
          <w:rFonts w:hint="cs"/>
          <w:rtl/>
        </w:rPr>
        <w:t xml:space="preserve"> </w:t>
      </w:r>
      <w:r>
        <w:rPr>
          <w:rFonts w:hint="cs"/>
          <w:b/>
          <w:bCs/>
          <w:rtl/>
        </w:rPr>
        <w:t>פלוני נ' מדינת ישראל</w:t>
      </w:r>
      <w:r>
        <w:rPr>
          <w:rFonts w:hint="cs"/>
          <w:rtl/>
        </w:rPr>
        <w:t xml:space="preserve"> [פ"ד נ"ד (1) 577, 620]: </w:t>
      </w:r>
      <w:r>
        <w:rPr>
          <w:rFonts w:hint="cs"/>
          <w:b/>
          <w:bCs/>
          <w:rtl/>
        </w:rPr>
        <w:t>"בהיעדר פגם או פסול בהודיה שניתנה במסגרת הסדר טיעון ירשיע בית-המשפט את הנאשמת על פי הודייתו ויגזור את עונשו. בהתקיים איזון ראוי בין האינטרס הציבורי הפרטני והאינטרס הציבורי הרחב שהתביעה מייצגת, מצד אחד, לבין טובת ההנאה שניתנה לנאשמת מצד אחר, יכבד בית המשפט את הסדר הטיעון"</w:t>
      </w:r>
      <w:r>
        <w:rPr>
          <w:rFonts w:hint="cs"/>
          <w:rtl/>
        </w:rPr>
        <w:t>.</w:t>
      </w:r>
    </w:p>
    <w:p w14:paraId="59FBAE7C" w14:textId="77777777" w:rsidR="00D42709" w:rsidRDefault="00D42709" w:rsidP="00D42709">
      <w:pPr>
        <w:spacing w:line="360" w:lineRule="auto"/>
        <w:jc w:val="both"/>
      </w:pPr>
    </w:p>
    <w:p w14:paraId="2761B512" w14:textId="77777777" w:rsidR="00D42709" w:rsidRDefault="00D42709" w:rsidP="00D42709">
      <w:pPr>
        <w:numPr>
          <w:ilvl w:val="0"/>
          <w:numId w:val="1"/>
        </w:numPr>
        <w:spacing w:line="360" w:lineRule="auto"/>
        <w:ind w:left="560" w:hanging="532"/>
        <w:jc w:val="both"/>
      </w:pPr>
      <w:r>
        <w:rPr>
          <w:rFonts w:hint="cs"/>
          <w:rtl/>
        </w:rPr>
        <w:t>הנאשמת ילידת 1994, נעדרת עבר פלילי.</w:t>
      </w:r>
    </w:p>
    <w:p w14:paraId="6A6C4E33" w14:textId="77777777" w:rsidR="00D42709" w:rsidRDefault="00D42709" w:rsidP="00D42709">
      <w:pPr>
        <w:spacing w:line="360" w:lineRule="auto"/>
        <w:jc w:val="both"/>
        <w:rPr>
          <w:rtl/>
        </w:rPr>
      </w:pPr>
    </w:p>
    <w:p w14:paraId="5800F27D" w14:textId="77777777" w:rsidR="00D42709" w:rsidRDefault="00D42709" w:rsidP="00D42709">
      <w:pPr>
        <w:numPr>
          <w:ilvl w:val="0"/>
          <w:numId w:val="1"/>
        </w:numPr>
        <w:spacing w:line="360" w:lineRule="auto"/>
        <w:ind w:left="560" w:hanging="532"/>
        <w:jc w:val="both"/>
      </w:pPr>
      <w:r>
        <w:rPr>
          <w:rFonts w:hint="cs"/>
          <w:rtl/>
        </w:rPr>
        <w:t xml:space="preserve">לצד הפגיעה המשמעותית בערכים המוגנים בשים לב לטיב העבירות בהן הורשעה הנאשמת ולהיקפן, יש לשקול לטובת הנאשמת כי חסכה זמן שיפוטי יקר בעצם הודאתה, המגלמת אף קבלת אחריות על מעשיה, את היותה צעירה נעדרת עבר פלילי, את נסיבותיה האישיות כפי שנסקרו בהרחבה על ידי באת כוחה ואת שירותה הצבאי המוצלח כפי שעולה ממסמכי הערכה שונים אשר הוגשו מטעמה. </w:t>
      </w:r>
    </w:p>
    <w:p w14:paraId="376377D5" w14:textId="77777777" w:rsidR="00D42709" w:rsidRDefault="00D42709" w:rsidP="00D42709">
      <w:pPr>
        <w:pStyle w:val="aa"/>
        <w:rPr>
          <w:rtl/>
        </w:rPr>
      </w:pPr>
    </w:p>
    <w:p w14:paraId="7DF8F8B9" w14:textId="77777777" w:rsidR="00D42709" w:rsidRDefault="00D42709" w:rsidP="00D42709">
      <w:pPr>
        <w:spacing w:line="360" w:lineRule="auto"/>
        <w:ind w:left="560"/>
        <w:jc w:val="both"/>
      </w:pPr>
    </w:p>
    <w:p w14:paraId="536AC2F3" w14:textId="77777777" w:rsidR="00D42709" w:rsidRDefault="00D42709" w:rsidP="00D42709">
      <w:pPr>
        <w:spacing w:line="360" w:lineRule="auto"/>
        <w:ind w:left="560"/>
        <w:jc w:val="both"/>
        <w:rPr>
          <w:rtl/>
        </w:rPr>
      </w:pPr>
      <w:r>
        <w:rPr>
          <w:rFonts w:hint="cs"/>
          <w:rtl/>
        </w:rPr>
        <w:t>לפיכך, נחה דעתי כי שיקולי המאשימה בהסכמתה לרכיב המאסר בפועל הם סבירים וראויים, ועל כן החלטתי לכבד הסכמה עונשית זאת.</w:t>
      </w:r>
    </w:p>
    <w:p w14:paraId="41C5B3ED" w14:textId="77777777" w:rsidR="00D42709" w:rsidRDefault="00D42709" w:rsidP="00D42709">
      <w:pPr>
        <w:spacing w:line="360" w:lineRule="auto"/>
        <w:ind w:left="560"/>
        <w:jc w:val="both"/>
      </w:pPr>
    </w:p>
    <w:p w14:paraId="58946828" w14:textId="77777777" w:rsidR="00D42709" w:rsidRDefault="00D42709" w:rsidP="00D42709">
      <w:pPr>
        <w:numPr>
          <w:ilvl w:val="0"/>
          <w:numId w:val="1"/>
        </w:numPr>
        <w:spacing w:line="360" w:lineRule="auto"/>
        <w:ind w:left="560" w:hanging="532"/>
        <w:jc w:val="both"/>
      </w:pPr>
      <w:r w:rsidRPr="0089446C">
        <w:rPr>
          <w:rFonts w:hint="cs"/>
          <w:u w:val="single"/>
          <w:rtl/>
        </w:rPr>
        <w:t>פסילת רישיון נהיגה</w:t>
      </w:r>
      <w:r>
        <w:rPr>
          <w:rFonts w:hint="cs"/>
          <w:rtl/>
        </w:rPr>
        <w:t xml:space="preserve"> </w:t>
      </w:r>
      <w:r>
        <w:rPr>
          <w:rtl/>
        </w:rPr>
        <w:t>–</w:t>
      </w:r>
      <w:r>
        <w:rPr>
          <w:rFonts w:hint="cs"/>
          <w:rtl/>
        </w:rPr>
        <w:t xml:space="preserve"> </w:t>
      </w:r>
      <w:hyperlink r:id="rId13" w:history="1">
        <w:r w:rsidR="00493241" w:rsidRPr="00493241">
          <w:rPr>
            <w:rStyle w:val="Hyperlink"/>
            <w:rFonts w:hint="eastAsia"/>
            <w:rtl/>
          </w:rPr>
          <w:t>סעיף</w:t>
        </w:r>
        <w:r w:rsidR="00493241" w:rsidRPr="00493241">
          <w:rPr>
            <w:rStyle w:val="Hyperlink"/>
            <w:rtl/>
          </w:rPr>
          <w:t xml:space="preserve"> 37א</w:t>
        </w:r>
      </w:hyperlink>
      <w:r>
        <w:rPr>
          <w:rFonts w:hint="cs"/>
          <w:rtl/>
        </w:rPr>
        <w:t xml:space="preserve"> לפקודת הסמים מסמיך את בית המשפט להורות על פסילתו מלהחזיק או לקבל רישיון נהיגה של מי שהורשע בעבירה על פקודת הסמים לתקופה של עד 5 שנים, ובנסיבות מסוימות אף מעבר לכך. </w:t>
      </w:r>
    </w:p>
    <w:p w14:paraId="506CB74C" w14:textId="77777777" w:rsidR="00D42709" w:rsidRDefault="00D42709" w:rsidP="00D42709">
      <w:pPr>
        <w:spacing w:line="360" w:lineRule="auto"/>
        <w:ind w:left="560"/>
        <w:jc w:val="both"/>
        <w:rPr>
          <w:rtl/>
        </w:rPr>
      </w:pPr>
      <w:r>
        <w:rPr>
          <w:rFonts w:hint="cs"/>
          <w:rtl/>
        </w:rPr>
        <w:t>נקבע בפסיקה כי יש להתחשב בקשר בין הנהיגה לביצוע העבירה ובכלל מרכיבי העונש שהוטל.</w:t>
      </w:r>
    </w:p>
    <w:p w14:paraId="75C0C69B" w14:textId="77777777" w:rsidR="00D42709" w:rsidRDefault="00D42709" w:rsidP="00D42709">
      <w:pPr>
        <w:spacing w:line="360" w:lineRule="auto"/>
        <w:ind w:left="560"/>
        <w:jc w:val="both"/>
        <w:rPr>
          <w:rtl/>
        </w:rPr>
      </w:pPr>
      <w:r>
        <w:rPr>
          <w:rFonts w:hint="cs"/>
          <w:rtl/>
        </w:rPr>
        <w:t xml:space="preserve">במקרה דנן הקשר בין השניים ברור </w:t>
      </w:r>
      <w:r>
        <w:rPr>
          <w:rtl/>
        </w:rPr>
        <w:t>–</w:t>
      </w:r>
      <w:r>
        <w:rPr>
          <w:rFonts w:hint="cs"/>
          <w:rtl/>
        </w:rPr>
        <w:t xml:space="preserve"> הנאשמת החזיקה ברכבה שלא לצריכתה ב- 70 מנות סם מסוכן מסוג קנאביס , סם מסוכן מסוג חשיש מחולק לשתי יחידות ו </w:t>
      </w:r>
      <w:r>
        <w:rPr>
          <w:rtl/>
        </w:rPr>
        <w:t>–</w:t>
      </w:r>
      <w:r>
        <w:rPr>
          <w:rFonts w:hint="cs"/>
          <w:rtl/>
        </w:rPr>
        <w:t xml:space="preserve"> 13 מ"ל של סם מסוג </w:t>
      </w:r>
      <w:r>
        <w:t>delta9</w:t>
      </w:r>
      <w:r>
        <w:rPr>
          <w:rFonts w:hint="cs"/>
          <w:rtl/>
        </w:rPr>
        <w:t>, זאת בהמשך לפעילות סחר בסמים  בימים שקדמו למועד החזקת הסמים ברכבה, אותה ביצעה הנאשמת במוקדים שונים ברחבי הדרום, לרבות המרוחקים ממקום מגוריה.</w:t>
      </w:r>
    </w:p>
    <w:p w14:paraId="7F902D01" w14:textId="77777777" w:rsidR="00D42709" w:rsidRDefault="00D42709" w:rsidP="00D42709">
      <w:pPr>
        <w:spacing w:line="360" w:lineRule="auto"/>
        <w:ind w:left="560"/>
        <w:jc w:val="both"/>
        <w:rPr>
          <w:rtl/>
        </w:rPr>
      </w:pPr>
      <w:r>
        <w:rPr>
          <w:rFonts w:hint="cs"/>
          <w:rtl/>
        </w:rPr>
        <w:t>לפיכך, סבורני כי יש להטיל על הנאשמת רכיבי פסילת רישיון נהיגה בפועל ועל תנאי.</w:t>
      </w:r>
    </w:p>
    <w:p w14:paraId="591B7393" w14:textId="77777777" w:rsidR="00D42709" w:rsidRDefault="00D42709" w:rsidP="00D42709">
      <w:pPr>
        <w:spacing w:line="360" w:lineRule="auto"/>
        <w:ind w:left="560"/>
        <w:jc w:val="both"/>
        <w:rPr>
          <w:rtl/>
        </w:rPr>
      </w:pPr>
    </w:p>
    <w:p w14:paraId="0D2DC41E" w14:textId="77777777" w:rsidR="00D42709" w:rsidRDefault="00D42709" w:rsidP="00D42709">
      <w:pPr>
        <w:numPr>
          <w:ilvl w:val="0"/>
          <w:numId w:val="1"/>
        </w:numPr>
        <w:spacing w:line="360" w:lineRule="auto"/>
        <w:ind w:left="560" w:hanging="532"/>
        <w:jc w:val="both"/>
      </w:pPr>
      <w:r w:rsidRPr="0030235D">
        <w:rPr>
          <w:rFonts w:hint="cs"/>
          <w:u w:val="single"/>
          <w:rtl/>
        </w:rPr>
        <w:t>קנס כספי</w:t>
      </w:r>
      <w:r>
        <w:rPr>
          <w:rFonts w:hint="cs"/>
          <w:rtl/>
        </w:rPr>
        <w:t xml:space="preserve"> </w:t>
      </w:r>
      <w:r>
        <w:rPr>
          <w:rtl/>
        </w:rPr>
        <w:t>–</w:t>
      </w:r>
      <w:r>
        <w:rPr>
          <w:rFonts w:hint="cs"/>
          <w:rtl/>
        </w:rPr>
        <w:t xml:space="preserve"> הנאשמת הורשעה בחמישה אירועי סחר בסמים ובאירוע תיווך בסמים אחד,  בכל אחת מהם קיבלה בתמורה בין 400 ל -700 ₪. פוטנציאל המשך המעשים והפקת רווח כספי מהיר וקל נלמדים</w:t>
      </w:r>
      <w:r w:rsidRPr="00EA6AF6">
        <w:rPr>
          <w:rFonts w:hint="cs"/>
          <w:u w:val="single"/>
          <w:rtl/>
        </w:rPr>
        <w:t xml:space="preserve"> מעשרות</w:t>
      </w:r>
      <w:r>
        <w:rPr>
          <w:rFonts w:hint="cs"/>
          <w:rtl/>
        </w:rPr>
        <w:t xml:space="preserve"> מנות סם אשר נתפסו ברכבה (אישום ראשון) ובביתה. יש בכך כדי ללמד על עיסוק בהפצת סם וגריפת רווחים כספיים מהירים וקלים על חשבון הציבור הנושא בנטל ההתמכרות לסמים בחברה.</w:t>
      </w:r>
    </w:p>
    <w:p w14:paraId="2FC97416" w14:textId="77777777" w:rsidR="00D42709" w:rsidRDefault="00D42709" w:rsidP="00D42709">
      <w:pPr>
        <w:spacing w:line="360" w:lineRule="auto"/>
        <w:ind w:left="560"/>
        <w:jc w:val="both"/>
        <w:rPr>
          <w:rtl/>
        </w:rPr>
      </w:pPr>
      <w:r>
        <w:rPr>
          <w:rFonts w:hint="cs"/>
          <w:rtl/>
        </w:rPr>
        <w:t>מעשים אלו הינם קלים לביצוע, קשים לתפיסה וסיכול, ומניבים לעוסקים בדבר רווחים כספים ממשיים.</w:t>
      </w:r>
    </w:p>
    <w:p w14:paraId="5E774AE1" w14:textId="77777777" w:rsidR="00D42709" w:rsidRDefault="00D42709" w:rsidP="00D42709">
      <w:pPr>
        <w:spacing w:line="360" w:lineRule="auto"/>
        <w:ind w:left="560"/>
        <w:jc w:val="both"/>
        <w:rPr>
          <w:rtl/>
        </w:rPr>
      </w:pPr>
      <w:r>
        <w:rPr>
          <w:rFonts w:hint="cs"/>
          <w:rtl/>
        </w:rPr>
        <w:lastRenderedPageBreak/>
        <w:t>לפיכך, סבורני כי מתחייב רכיב קנס משמעותי אשר יהיה בו כדי להבהיר לעוסקים בהפצת סמים עבור תמורה כספית כי הדבר אינו משתלם ויענה בחומרה גם במישור הכספי בבואו של ביהמ"ש לגזור את דינו של העוסק בכך.</w:t>
      </w:r>
    </w:p>
    <w:p w14:paraId="2180803E" w14:textId="77777777" w:rsidR="00D42709" w:rsidRDefault="00D42709" w:rsidP="00D42709">
      <w:pPr>
        <w:spacing w:line="360" w:lineRule="auto"/>
        <w:ind w:left="560"/>
        <w:jc w:val="both"/>
        <w:rPr>
          <w:rtl/>
        </w:rPr>
      </w:pPr>
    </w:p>
    <w:p w14:paraId="59C49095" w14:textId="77777777" w:rsidR="00D42709" w:rsidRDefault="00D42709" w:rsidP="00D42709">
      <w:pPr>
        <w:numPr>
          <w:ilvl w:val="0"/>
          <w:numId w:val="1"/>
        </w:numPr>
        <w:spacing w:line="360" w:lineRule="auto"/>
        <w:ind w:left="560" w:hanging="532"/>
        <w:jc w:val="both"/>
      </w:pPr>
      <w:r>
        <w:rPr>
          <w:rFonts w:hint="cs"/>
          <w:rtl/>
        </w:rPr>
        <w:t xml:space="preserve">מבוקש להורות על חילוט רכב מסוג אופל ל"ז 8563385 [להלן: </w:t>
      </w:r>
      <w:r>
        <w:rPr>
          <w:rFonts w:hint="cs"/>
          <w:b/>
          <w:bCs/>
          <w:rtl/>
        </w:rPr>
        <w:t>הרכב</w:t>
      </w:r>
      <w:r>
        <w:rPr>
          <w:rFonts w:hint="cs"/>
          <w:rtl/>
        </w:rPr>
        <w:t>] וכסף מזומן בסך של 9680 ₪ (להלן: "</w:t>
      </w:r>
      <w:r w:rsidRPr="00E12A72">
        <w:rPr>
          <w:rFonts w:hint="cs"/>
          <w:b/>
          <w:bCs/>
          <w:rtl/>
        </w:rPr>
        <w:t>הכסף</w:t>
      </w:r>
      <w:r>
        <w:rPr>
          <w:rFonts w:hint="cs"/>
          <w:b/>
          <w:bCs/>
          <w:rtl/>
        </w:rPr>
        <w:t xml:space="preserve">" </w:t>
      </w:r>
      <w:r w:rsidRPr="00D30CE0">
        <w:rPr>
          <w:rFonts w:hint="cs"/>
          <w:rtl/>
        </w:rPr>
        <w:t>או</w:t>
      </w:r>
      <w:r>
        <w:rPr>
          <w:rFonts w:hint="cs"/>
          <w:rtl/>
        </w:rPr>
        <w:t xml:space="preserve"> </w:t>
      </w:r>
      <w:r>
        <w:rPr>
          <w:rFonts w:hint="cs"/>
          <w:b/>
          <w:bCs/>
          <w:rtl/>
        </w:rPr>
        <w:t>"</w:t>
      </w:r>
      <w:r w:rsidRPr="00E12A72">
        <w:rPr>
          <w:rFonts w:hint="cs"/>
          <w:b/>
          <w:bCs/>
          <w:rtl/>
        </w:rPr>
        <w:t>הכספים</w:t>
      </w:r>
      <w:r>
        <w:rPr>
          <w:rFonts w:hint="cs"/>
          <w:rtl/>
        </w:rPr>
        <w:t>")אשר נתפסו על הנאשמת בעת מעצרה.</w:t>
      </w:r>
    </w:p>
    <w:p w14:paraId="64EB7799" w14:textId="77777777" w:rsidR="00D42709" w:rsidRDefault="00D42709" w:rsidP="00D42709">
      <w:pPr>
        <w:spacing w:line="360" w:lineRule="auto"/>
        <w:ind w:left="560"/>
        <w:jc w:val="both"/>
      </w:pPr>
    </w:p>
    <w:p w14:paraId="38580FC2" w14:textId="77777777" w:rsidR="00D42709" w:rsidRDefault="00D42709" w:rsidP="00D42709">
      <w:pPr>
        <w:spacing w:line="360" w:lineRule="auto"/>
        <w:ind w:left="560"/>
        <w:jc w:val="both"/>
        <w:rPr>
          <w:rtl/>
        </w:rPr>
      </w:pPr>
      <w:r>
        <w:rPr>
          <w:rFonts w:hint="cs"/>
          <w:rtl/>
        </w:rPr>
        <w:t>הוראות סעיפי החוק הרלוונטיות לענייננו מתוך פקודת הסמים:</w:t>
      </w:r>
    </w:p>
    <w:p w14:paraId="256163E3" w14:textId="77777777" w:rsidR="00D42709" w:rsidRDefault="00D42709" w:rsidP="00D42709">
      <w:pPr>
        <w:pStyle w:val="ac"/>
        <w:rPr>
          <w:rtl/>
        </w:rPr>
      </w:pPr>
      <w:r>
        <w:rPr>
          <w:rFonts w:hint="cs"/>
          <w:rtl/>
        </w:rPr>
        <w:t>"36א.(א)</w:t>
      </w:r>
      <w:r>
        <w:rPr>
          <w:rFonts w:hint="cs"/>
          <w:rtl/>
        </w:rPr>
        <w:tab/>
        <w:t xml:space="preserve">הורשע אדם בעבירה של </w:t>
      </w:r>
      <w:r w:rsidRPr="00E12A72">
        <w:rPr>
          <w:rFonts w:hint="cs"/>
          <w:b/>
          <w:bCs/>
          <w:rtl/>
        </w:rPr>
        <w:t>עסקת סמים</w:t>
      </w:r>
      <w:r>
        <w:rPr>
          <w:rFonts w:hint="cs"/>
          <w:rtl/>
        </w:rPr>
        <w:t>, יצווה בית המשפט, זולת אם סבר שלא לעשות כן מנימוקים מיוחדים שיפרט, כי בנוסף לכל עונש יחולט לאוצר המדינה כל רכוש שהוא –</w:t>
      </w:r>
    </w:p>
    <w:p w14:paraId="2441D036" w14:textId="77777777" w:rsidR="00D42709" w:rsidRDefault="00D42709" w:rsidP="00D42709">
      <w:pPr>
        <w:pStyle w:val="ac"/>
        <w:ind w:left="2160"/>
        <w:rPr>
          <w:rtl/>
        </w:rPr>
      </w:pPr>
      <w:r>
        <w:rPr>
          <w:rFonts w:hint="cs"/>
          <w:rtl/>
        </w:rPr>
        <w:t xml:space="preserve"> (1)</w:t>
      </w:r>
      <w:r>
        <w:rPr>
          <w:rFonts w:hint="cs"/>
          <w:rtl/>
        </w:rPr>
        <w:tab/>
        <w:t xml:space="preserve">רכוש </w:t>
      </w:r>
      <w:r>
        <w:rPr>
          <w:rFonts w:hint="cs"/>
          <w:b/>
          <w:bCs/>
          <w:rtl/>
        </w:rPr>
        <w:t>ששימש או נועד לשמש</w:t>
      </w:r>
      <w:r>
        <w:rPr>
          <w:rFonts w:hint="cs"/>
          <w:rtl/>
        </w:rPr>
        <w:t xml:space="preserve"> כאמצעי לביצוע העבירה או ששימש או נועד לשמש כדי לאפשר את ביצוע העבירה;</w:t>
      </w:r>
    </w:p>
    <w:p w14:paraId="0BDD6BCE" w14:textId="77777777" w:rsidR="00D42709" w:rsidRDefault="00D42709" w:rsidP="00D42709">
      <w:pPr>
        <w:pStyle w:val="ac"/>
        <w:ind w:left="2160"/>
        <w:rPr>
          <w:rtl/>
        </w:rPr>
      </w:pPr>
      <w:r>
        <w:rPr>
          <w:rFonts w:hint="cs"/>
          <w:rtl/>
        </w:rPr>
        <w:t xml:space="preserve"> (2)</w:t>
      </w:r>
      <w:r>
        <w:rPr>
          <w:rFonts w:hint="cs"/>
          <w:rtl/>
        </w:rPr>
        <w:tab/>
        <w:t>רכוש</w:t>
      </w:r>
      <w:r>
        <w:rPr>
          <w:rFonts w:hint="cs"/>
          <w:b/>
          <w:bCs/>
          <w:rtl/>
        </w:rPr>
        <w:t xml:space="preserve"> שהושג</w:t>
      </w:r>
      <w:r>
        <w:rPr>
          <w:rFonts w:hint="cs"/>
          <w:rtl/>
        </w:rPr>
        <w:t>, במישרין או בעקיפין, כשכר העבירה או כתוצאה מביצוע העבירה, או שיועד לכך;</w:t>
      </w:r>
    </w:p>
    <w:p w14:paraId="487D7C8D" w14:textId="77777777" w:rsidR="00D42709" w:rsidRDefault="00D42709" w:rsidP="00D42709">
      <w:pPr>
        <w:pStyle w:val="ac"/>
        <w:rPr>
          <w:rtl/>
        </w:rPr>
      </w:pPr>
      <w:r>
        <w:rPr>
          <w:rFonts w:hint="cs"/>
          <w:rtl/>
        </w:rPr>
        <w:t>(ב)</w:t>
      </w:r>
      <w:r>
        <w:rPr>
          <w:rFonts w:hint="cs"/>
          <w:rtl/>
        </w:rPr>
        <w:tab/>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w:t>
      </w:r>
      <w:r>
        <w:rPr>
          <w:rFonts w:hint="cs"/>
          <w:b/>
          <w:bCs/>
          <w:rtl/>
        </w:rPr>
        <w:t>שהוש</w:t>
      </w:r>
      <w:r>
        <w:rPr>
          <w:rFonts w:hint="cs"/>
          <w:rtl/>
        </w:rPr>
        <w:t>ג בעבירה של עסקת סמים, אלא אם כן סבר שלא לעשות כן מנימוקים מיוחדים שיפרט."</w:t>
      </w:r>
    </w:p>
    <w:p w14:paraId="11200857" w14:textId="77777777" w:rsidR="00D42709" w:rsidRDefault="00D42709" w:rsidP="00D42709">
      <w:pPr>
        <w:pStyle w:val="ab"/>
        <w:rPr>
          <w:rtl/>
        </w:rPr>
      </w:pPr>
      <w:r>
        <w:rPr>
          <w:rFonts w:hint="cs"/>
          <w:rtl/>
        </w:rPr>
        <w:t xml:space="preserve">בהתאם </w:t>
      </w:r>
      <w:hyperlink r:id="rId14" w:history="1">
        <w:r w:rsidR="00493241" w:rsidRPr="00493241">
          <w:rPr>
            <w:rStyle w:val="Hyperlink"/>
            <w:rFonts w:hint="eastAsia"/>
            <w:rtl/>
          </w:rPr>
          <w:t>לסעיף</w:t>
        </w:r>
        <w:r w:rsidR="00493241" w:rsidRPr="00493241">
          <w:rPr>
            <w:rStyle w:val="Hyperlink"/>
            <w:rtl/>
          </w:rPr>
          <w:t xml:space="preserve"> 1</w:t>
        </w:r>
      </w:hyperlink>
      <w:r>
        <w:rPr>
          <w:rFonts w:hint="cs"/>
          <w:rtl/>
        </w:rPr>
        <w:t xml:space="preserve"> לפקודה:</w:t>
      </w:r>
    </w:p>
    <w:p w14:paraId="14ECA04A" w14:textId="77777777" w:rsidR="00D42709" w:rsidRDefault="00D42709" w:rsidP="00D42709">
      <w:pPr>
        <w:pStyle w:val="ac"/>
        <w:rPr>
          <w:rtl/>
        </w:rPr>
      </w:pPr>
      <w:r>
        <w:rPr>
          <w:rFonts w:hint="cs"/>
          <w:rtl/>
        </w:rPr>
        <w:t xml:space="preserve"> "עבירה של עסקת סמים" – עבירה לפי פקודה זו שעונשה מאסר עשרים שנים או יותר.</w:t>
      </w:r>
    </w:p>
    <w:p w14:paraId="54CDF094" w14:textId="77777777" w:rsidR="00D42709" w:rsidRDefault="00493241" w:rsidP="00D42709">
      <w:pPr>
        <w:pStyle w:val="ab"/>
        <w:rPr>
          <w:rtl/>
        </w:rPr>
      </w:pPr>
      <w:hyperlink r:id="rId15" w:history="1">
        <w:r w:rsidRPr="00493241">
          <w:rPr>
            <w:rStyle w:val="Hyperlink"/>
            <w:rFonts w:hint="eastAsia"/>
            <w:rtl/>
          </w:rPr>
          <w:t>סעיף</w:t>
        </w:r>
        <w:r w:rsidRPr="00493241">
          <w:rPr>
            <w:rStyle w:val="Hyperlink"/>
            <w:rtl/>
          </w:rPr>
          <w:t xml:space="preserve"> 31(6)</w:t>
        </w:r>
      </w:hyperlink>
      <w:r w:rsidR="00D42709">
        <w:rPr>
          <w:rFonts w:hint="cs"/>
          <w:rtl/>
        </w:rPr>
        <w:t xml:space="preserve"> קובע חזקה שלשונה:</w:t>
      </w:r>
    </w:p>
    <w:p w14:paraId="7B93325B" w14:textId="77777777" w:rsidR="00D42709" w:rsidRDefault="00D42709" w:rsidP="00D42709">
      <w:pPr>
        <w:pStyle w:val="ac"/>
        <w:rPr>
          <w:rtl/>
        </w:rPr>
      </w:pPr>
      <w:r>
        <w:rPr>
          <w:rFonts w:hint="cs"/>
          <w:rtl/>
        </w:rPr>
        <w:t>"קבע בית המשפט לפי סעיף 36א(ב) שנידון הוא סוחר סמים –</w:t>
      </w:r>
    </w:p>
    <w:p w14:paraId="58FFD008" w14:textId="77777777" w:rsidR="00D42709" w:rsidRDefault="00D42709" w:rsidP="00D42709">
      <w:pPr>
        <w:pStyle w:val="ac"/>
        <w:numPr>
          <w:ilvl w:val="0"/>
          <w:numId w:val="5"/>
        </w:numPr>
        <w:rPr>
          <w:rtl/>
        </w:rPr>
      </w:pPr>
      <w:r>
        <w:rPr>
          <w:rFonts w:hint="cs"/>
          <w:rtl/>
        </w:rPr>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68DCB039" w14:textId="77777777" w:rsidR="00D42709" w:rsidRDefault="00D42709" w:rsidP="00D42709">
      <w:pPr>
        <w:pStyle w:val="ac"/>
        <w:ind w:firstLine="360"/>
        <w:rPr>
          <w:rtl/>
        </w:rPr>
      </w:pPr>
      <w:r>
        <w:rPr>
          <w:rFonts w:hint="cs"/>
          <w:rtl/>
        </w:rPr>
        <w:t>(אא)</w:t>
      </w:r>
      <w:r>
        <w:rPr>
          <w:rFonts w:hint="cs"/>
          <w:rtl/>
        </w:rPr>
        <w:tab/>
        <w:t>האמצעים להשגת הרכוש היו חוקיים;</w:t>
      </w:r>
    </w:p>
    <w:p w14:paraId="75617B6E" w14:textId="77777777" w:rsidR="00D42709" w:rsidRDefault="00D42709" w:rsidP="00D42709">
      <w:pPr>
        <w:pStyle w:val="ac"/>
        <w:ind w:left="1863"/>
        <w:rPr>
          <w:rtl/>
        </w:rPr>
      </w:pPr>
      <w:r>
        <w:rPr>
          <w:rFonts w:hint="cs"/>
          <w:rtl/>
        </w:rPr>
        <w:t>(בב)</w:t>
      </w:r>
      <w:r>
        <w:rPr>
          <w:rFonts w:hint="cs"/>
          <w:rtl/>
        </w:rPr>
        <w:tab/>
        <w:t>הרכוש הגיע לידיו או לידי בעליו לא מאוחר משמונה שנים שקדמו ליום הגשת כתב האישום בשל העבירה שעליה נדון;</w:t>
      </w:r>
    </w:p>
    <w:p w14:paraId="37C92D69" w14:textId="77777777" w:rsidR="00D42709" w:rsidRDefault="00D42709" w:rsidP="00D42709">
      <w:pPr>
        <w:pStyle w:val="ac"/>
        <w:numPr>
          <w:ilvl w:val="0"/>
          <w:numId w:val="5"/>
        </w:numPr>
        <w:rPr>
          <w:rtl/>
        </w:rPr>
      </w:pPr>
      <w:r>
        <w:rPr>
          <w:rFonts w:hint="cs"/>
          <w:rtl/>
        </w:rPr>
        <w:t>כל רכוש שנמצא בחזקתו או בחשבונו של הנידון ייראה כרכוש שלו אלא אם כן הוכיח שהרכוש הוא של זולתו, שאינו אחד האנשים המפורטים בפסקה (א)."</w:t>
      </w:r>
    </w:p>
    <w:p w14:paraId="3BDFF820" w14:textId="77777777" w:rsidR="00D42709" w:rsidRDefault="00D42709" w:rsidP="00D42709">
      <w:pPr>
        <w:spacing w:line="360" w:lineRule="auto"/>
        <w:ind w:left="560"/>
        <w:jc w:val="both"/>
        <w:rPr>
          <w:rtl/>
        </w:rPr>
      </w:pPr>
      <w:r>
        <w:rPr>
          <w:rFonts w:hint="cs"/>
          <w:rtl/>
        </w:rPr>
        <w:t xml:space="preserve">אשר לתכליות החילוט, הדברים סוכמו באופן בהיר במסגרת </w:t>
      </w:r>
      <w:hyperlink r:id="rId16" w:history="1">
        <w:r w:rsidR="00A44BAD" w:rsidRPr="00A44BAD">
          <w:rPr>
            <w:color w:val="0000FF"/>
            <w:u w:val="single"/>
            <w:rtl/>
          </w:rPr>
          <w:t>רע"פ 2675/17</w:t>
        </w:r>
      </w:hyperlink>
      <w:r>
        <w:rPr>
          <w:rFonts w:hint="cs"/>
          <w:rtl/>
        </w:rPr>
        <w:t xml:space="preserve"> </w:t>
      </w:r>
      <w:r>
        <w:rPr>
          <w:rFonts w:hint="cs"/>
          <w:b/>
          <w:bCs/>
          <w:rtl/>
        </w:rPr>
        <w:t>גיל ארצי נ' מדינת ישראל</w:t>
      </w:r>
      <w:r>
        <w:rPr>
          <w:rFonts w:hint="cs"/>
          <w:rtl/>
        </w:rPr>
        <w:t xml:space="preserve"> (נבו 23.08.2017) </w:t>
      </w:r>
    </w:p>
    <w:p w14:paraId="1A3EBB72" w14:textId="77777777" w:rsidR="00D42709" w:rsidRDefault="00D42709" w:rsidP="00D42709">
      <w:pPr>
        <w:pStyle w:val="ac"/>
        <w:rPr>
          <w:rtl/>
        </w:rPr>
      </w:pPr>
      <w:r>
        <w:rPr>
          <w:rFonts w:hint="cs"/>
          <w:rtl/>
        </w:rPr>
        <w:t>"סעיף 36א ל</w:t>
      </w:r>
      <w:hyperlink r:id="rId17" w:history="1">
        <w:r w:rsidR="00A44BAD" w:rsidRPr="00A44BAD">
          <w:rPr>
            <w:color w:val="0000FF"/>
            <w:u w:val="single"/>
            <w:rtl/>
          </w:rPr>
          <w:t>פקודת הסמים המסוכנים</w:t>
        </w:r>
      </w:hyperlink>
      <w:r>
        <w:rPr>
          <w:rFonts w:hint="cs"/>
          <w:rtl/>
        </w:rPr>
        <w:t xml:space="preserve"> מסמיך את בית המשפט להורות על חילוט רכוש, וזאת בין היתר, מקום שבו שימש הרכוש או נועד לשמש כאמצעי לביצוע עבירה. כפי שהובהר, לא אחת, בפסיקתו של בית משפט זה, תכליתה המרכזית של הוראה זו, הינה הרתעתית, במטרה לאיין "את המניע הדוחף וממריץ לביצוע עבירות הסמים: רווח עצום על רקע של סיכון קל יחסית" ... </w:t>
      </w:r>
    </w:p>
    <w:p w14:paraId="73A9B364" w14:textId="77777777" w:rsidR="00D42709" w:rsidRPr="0030235D" w:rsidRDefault="00D42709" w:rsidP="00D42709">
      <w:pPr>
        <w:pStyle w:val="ab"/>
        <w:rPr>
          <w:rtl/>
        </w:rPr>
      </w:pPr>
    </w:p>
    <w:p w14:paraId="5053FF42" w14:textId="77777777" w:rsidR="00D42709" w:rsidRDefault="00D42709" w:rsidP="00D42709">
      <w:pPr>
        <w:pStyle w:val="ab"/>
        <w:rPr>
          <w:rtl/>
        </w:rPr>
      </w:pPr>
      <w:r>
        <w:rPr>
          <w:rFonts w:hint="cs"/>
          <w:rtl/>
        </w:rPr>
        <w:t>וב</w:t>
      </w:r>
      <w:hyperlink r:id="rId18" w:history="1">
        <w:r w:rsidR="00A44BAD" w:rsidRPr="00A44BAD">
          <w:rPr>
            <w:color w:val="0000FF"/>
            <w:u w:val="single"/>
            <w:rtl/>
          </w:rPr>
          <w:t>ע"א 6702/04</w:t>
        </w:r>
      </w:hyperlink>
      <w:r>
        <w:rPr>
          <w:rFonts w:hint="cs"/>
          <w:rtl/>
        </w:rPr>
        <w:t xml:space="preserve"> </w:t>
      </w:r>
      <w:r w:rsidRPr="00D32000">
        <w:rPr>
          <w:rFonts w:hint="cs"/>
          <w:b/>
          <w:bCs/>
          <w:rtl/>
        </w:rPr>
        <w:t>מאזן נ' מדינת ישראל</w:t>
      </w:r>
      <w:r>
        <w:rPr>
          <w:rFonts w:hint="cs"/>
          <w:rtl/>
        </w:rPr>
        <w:t xml:space="preserve"> (נבו):</w:t>
      </w:r>
    </w:p>
    <w:p w14:paraId="4174719A" w14:textId="77777777" w:rsidR="00D42709" w:rsidRDefault="00D42709" w:rsidP="00D42709">
      <w:pPr>
        <w:pStyle w:val="ac"/>
        <w:rPr>
          <w:rtl/>
        </w:rPr>
      </w:pPr>
      <w:r>
        <w:rPr>
          <w:rFonts w:hint="cs"/>
          <w:rtl/>
        </w:rPr>
        <w:t>החילוט הוא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w:t>
      </w:r>
    </w:p>
    <w:p w14:paraId="2B36E6A1" w14:textId="77777777" w:rsidR="00D42709" w:rsidRPr="0097122D" w:rsidRDefault="00D42709" w:rsidP="00D42709">
      <w:pPr>
        <w:pStyle w:val="ab"/>
        <w:rPr>
          <w:rtl/>
        </w:rPr>
      </w:pPr>
      <w:r w:rsidRPr="0097122D">
        <w:rPr>
          <w:rtl/>
        </w:rPr>
        <w:t xml:space="preserve">ביחס לחילוט רכוש שהושג כתוצאה מעסקת סמים, קיימת תכלית נוספת לצד התכלית ההרתעתית, והיא "הוצאת בלעו של גזלן מפיו" (ר' </w:t>
      </w:r>
      <w:hyperlink r:id="rId19" w:history="1">
        <w:r w:rsidR="00A44BAD" w:rsidRPr="00A44BAD">
          <w:rPr>
            <w:color w:val="0000FF"/>
            <w:u w:val="single"/>
            <w:rtl/>
          </w:rPr>
          <w:t>ע"פ 7475/95</w:t>
        </w:r>
      </w:hyperlink>
      <w:r w:rsidRPr="0097122D">
        <w:rPr>
          <w:rtl/>
        </w:rPr>
        <w:t xml:space="preserve"> </w:t>
      </w:r>
      <w:r w:rsidRPr="0097122D">
        <w:rPr>
          <w:b/>
          <w:bCs/>
          <w:rtl/>
        </w:rPr>
        <w:t>מדינת ישראל נ' בן שטרית</w:t>
      </w:r>
      <w:r w:rsidRPr="0097122D">
        <w:rPr>
          <w:rtl/>
        </w:rPr>
        <w:t xml:space="preserve"> (נבו))</w:t>
      </w:r>
    </w:p>
    <w:p w14:paraId="743A857A" w14:textId="77777777" w:rsidR="00D42709" w:rsidRDefault="00D42709" w:rsidP="00D42709">
      <w:pPr>
        <w:pStyle w:val="ab"/>
        <w:rPr>
          <w:rtl/>
        </w:rPr>
      </w:pPr>
      <w:r>
        <w:rPr>
          <w:rFonts w:hint="cs"/>
          <w:rtl/>
        </w:rPr>
        <w:t>אשר לחזקה המעבירה את נטל ההוכחה לעניין מקור הרכוש המבוקש לחלט, ר ב</w:t>
      </w:r>
      <w:hyperlink r:id="rId20" w:history="1">
        <w:r w:rsidR="00A44BAD" w:rsidRPr="00A44BAD">
          <w:rPr>
            <w:color w:val="0000FF"/>
            <w:u w:val="single"/>
            <w:rtl/>
          </w:rPr>
          <w:t>ע"פ 5686/19</w:t>
        </w:r>
      </w:hyperlink>
      <w:r>
        <w:rPr>
          <w:rFonts w:hint="cs"/>
          <w:rtl/>
        </w:rPr>
        <w:t xml:space="preserve"> </w:t>
      </w:r>
      <w:r>
        <w:rPr>
          <w:rFonts w:hint="cs"/>
          <w:b/>
          <w:bCs/>
          <w:rtl/>
        </w:rPr>
        <w:t>אמיל רפאלוב נ' מדינת ישראל</w:t>
      </w:r>
      <w:r>
        <w:rPr>
          <w:rFonts w:hint="cs"/>
          <w:rtl/>
        </w:rPr>
        <w:t xml:space="preserve"> (נבו 20.06.2021):</w:t>
      </w:r>
    </w:p>
    <w:p w14:paraId="041F951B" w14:textId="77777777" w:rsidR="00D42709" w:rsidRDefault="00D42709" w:rsidP="00D42709">
      <w:pPr>
        <w:pStyle w:val="ac"/>
        <w:rPr>
          <w:rtl/>
        </w:rPr>
      </w:pPr>
      <w:r>
        <w:rPr>
          <w:rFonts w:hint="cs"/>
          <w:rtl/>
        </w:rPr>
        <w:t>"כידוע, ל"כסף אין ריח". פקודת הסמים למעשה קובעת כי די בכך שקיים כסף "שחור" כלשהו, על מנת "לצבוע" את כלל נכסיו של סוחר סמים בגוונים עברייניים, וכי הנטל יוטל על העבריין להוכיח אחרת."</w:t>
      </w:r>
    </w:p>
    <w:p w14:paraId="4AA7E2FB" w14:textId="77777777" w:rsidR="00D42709" w:rsidRDefault="00D42709" w:rsidP="00D42709">
      <w:pPr>
        <w:pStyle w:val="ab"/>
        <w:rPr>
          <w:rtl/>
        </w:rPr>
      </w:pPr>
      <w:r>
        <w:rPr>
          <w:rFonts w:hint="cs"/>
          <w:rtl/>
        </w:rPr>
        <w:t xml:space="preserve">נטל ההוכחה הנדרש מצד הנאשם הוא ברמת מאזן הסתברויות ( ר' למשל </w:t>
      </w:r>
      <w:hyperlink r:id="rId21" w:history="1">
        <w:r w:rsidR="00A44BAD" w:rsidRPr="00A44BAD">
          <w:rPr>
            <w:color w:val="0000FF"/>
            <w:u w:val="single"/>
            <w:rtl/>
          </w:rPr>
          <w:t>ע"פ 2163/17</w:t>
        </w:r>
      </w:hyperlink>
      <w:r>
        <w:rPr>
          <w:rFonts w:hint="cs"/>
          <w:rtl/>
        </w:rPr>
        <w:t xml:space="preserve"> </w:t>
      </w:r>
      <w:r>
        <w:rPr>
          <w:rFonts w:hint="cs"/>
          <w:b/>
          <w:bCs/>
          <w:rtl/>
        </w:rPr>
        <w:t>נתניאל גברילוב נ' מדינת ישראל</w:t>
      </w:r>
      <w:r>
        <w:rPr>
          <w:rFonts w:hint="cs"/>
          <w:rtl/>
        </w:rPr>
        <w:t xml:space="preserve"> (נבו 21.03.2018))</w:t>
      </w:r>
    </w:p>
    <w:p w14:paraId="25BB9D8A" w14:textId="77777777" w:rsidR="00D42709" w:rsidRDefault="00D42709" w:rsidP="00D42709">
      <w:pPr>
        <w:pStyle w:val="ab"/>
        <w:rPr>
          <w:rtl/>
        </w:rPr>
      </w:pPr>
      <w:r>
        <w:rPr>
          <w:rFonts w:hint="cs"/>
          <w:rtl/>
        </w:rPr>
        <w:t>אשר לנימוקים המיוחדים אשר יתירו לבית-המשפט שלא לחלט רכוש כמבוקש, ר' גם האמור ב</w:t>
      </w:r>
      <w:hyperlink r:id="rId22" w:history="1">
        <w:r w:rsidR="00A44BAD" w:rsidRPr="00A44BAD">
          <w:rPr>
            <w:color w:val="0000FF"/>
            <w:u w:val="single"/>
            <w:rtl/>
          </w:rPr>
          <w:t>ע"פ 6962/04</w:t>
        </w:r>
      </w:hyperlink>
      <w:r>
        <w:rPr>
          <w:rFonts w:hint="cs"/>
          <w:rtl/>
        </w:rPr>
        <w:t xml:space="preserve"> </w:t>
      </w:r>
      <w:r>
        <w:rPr>
          <w:rFonts w:hint="cs"/>
          <w:b/>
          <w:bCs/>
          <w:rtl/>
        </w:rPr>
        <w:t>מאיר אלון נ' מדינת ישראל</w:t>
      </w:r>
      <w:r>
        <w:rPr>
          <w:rFonts w:hint="cs"/>
          <w:rtl/>
        </w:rPr>
        <w:t xml:space="preserve"> (נבו 04.11.2004):</w:t>
      </w:r>
    </w:p>
    <w:p w14:paraId="29976F41" w14:textId="77777777" w:rsidR="00D42709" w:rsidRDefault="00D42709" w:rsidP="00D42709">
      <w:pPr>
        <w:pStyle w:val="ac"/>
        <w:rPr>
          <w:rtl/>
        </w:rPr>
      </w:pPr>
      <w:r>
        <w:rPr>
          <w:rFonts w:hint="cs"/>
          <w:rtl/>
        </w:rPr>
        <w:t>"אכן, בצדק קבע בית-משפט קמא כי חילוט רכוש מכוח סעיף 36א(א) ל</w:t>
      </w:r>
      <w:hyperlink r:id="rId23" w:history="1">
        <w:r w:rsidR="00A44BAD" w:rsidRPr="00A44BAD">
          <w:rPr>
            <w:color w:val="0000FF"/>
            <w:u w:val="single"/>
            <w:rtl/>
          </w:rPr>
          <w:t>פקודת הסמים המסוכנים</w:t>
        </w:r>
      </w:hyperlink>
      <w:r>
        <w:rPr>
          <w:rFonts w:hint="cs"/>
          <w:rtl/>
        </w:rPr>
        <w:t xml:space="preserve"> [נוסח חדש], התשל"ג – 1973, מקום שאותו רכוש שימש כאמצעי לביצוע עבירת סמים הוא הכלל ועל-מנת לסטות ממנו יש להצביע על </w:t>
      </w:r>
      <w:r w:rsidRPr="0030235D">
        <w:rPr>
          <w:rFonts w:hint="cs"/>
          <w:rtl/>
        </w:rPr>
        <w:t>נסיבות מיוחדות וחריגות</w:t>
      </w:r>
      <w:r>
        <w:rPr>
          <w:rFonts w:hint="cs"/>
          <w:rtl/>
        </w:rPr>
        <w:t xml:space="preserve"> אשר, כאמור, לא התקיימו במקרה דנן."</w:t>
      </w:r>
    </w:p>
    <w:p w14:paraId="3193EC54" w14:textId="77777777" w:rsidR="00D42709" w:rsidRDefault="00D42709" w:rsidP="00D42709">
      <w:pPr>
        <w:pStyle w:val="ab"/>
        <w:rPr>
          <w:rtl/>
        </w:rPr>
      </w:pPr>
      <w:r>
        <w:rPr>
          <w:rFonts w:hint="cs"/>
          <w:rtl/>
        </w:rPr>
        <w:t xml:space="preserve">ולצד זאת, הוכר גם הצורך בעריכת איזון ושיקולי מידתיות בהפעלת סנקציית החילוט נוכח הפגיעה בזכות הקנין שלצידה (ר' </w:t>
      </w:r>
      <w:hyperlink r:id="rId24" w:history="1">
        <w:r w:rsidR="00A44BAD" w:rsidRPr="00A44BAD">
          <w:rPr>
            <w:color w:val="0000FF"/>
            <w:u w:val="single"/>
            <w:rtl/>
          </w:rPr>
          <w:t>ע"פ 4496/04</w:t>
        </w:r>
      </w:hyperlink>
      <w:r>
        <w:rPr>
          <w:rFonts w:hint="cs"/>
          <w:rtl/>
        </w:rPr>
        <w:t xml:space="preserve"> </w:t>
      </w:r>
      <w:r w:rsidRPr="00BE3AE6">
        <w:rPr>
          <w:rFonts w:hint="cs"/>
          <w:b/>
          <w:bCs/>
          <w:rtl/>
        </w:rPr>
        <w:t>מוחמד עלי מחג'נה נ' מדינת ישראל</w:t>
      </w:r>
      <w:r>
        <w:rPr>
          <w:rFonts w:hint="cs"/>
          <w:rtl/>
        </w:rPr>
        <w:t xml:space="preserve"> (פורסם בנבו)).</w:t>
      </w:r>
    </w:p>
    <w:p w14:paraId="12DE1295" w14:textId="77777777" w:rsidR="00D42709" w:rsidRDefault="00D42709" w:rsidP="00D42709">
      <w:pPr>
        <w:pStyle w:val="ab"/>
        <w:rPr>
          <w:rtl/>
        </w:rPr>
      </w:pPr>
      <w:r>
        <w:rPr>
          <w:rFonts w:hint="cs"/>
          <w:rtl/>
        </w:rPr>
        <w:t xml:space="preserve">כן נפסק כי נסיבות אישיות של הנאשם עשויות במקרים מיוחדים להוות טעם אשר יצדיק הימנעות מחילוט. ר' בענין זה </w:t>
      </w:r>
      <w:hyperlink r:id="rId25" w:history="1">
        <w:r w:rsidR="00A44BAD" w:rsidRPr="00A44BAD">
          <w:rPr>
            <w:color w:val="0000FF"/>
            <w:u w:val="single"/>
            <w:rtl/>
          </w:rPr>
          <w:t>ע"פ 6339/18</w:t>
        </w:r>
      </w:hyperlink>
      <w:r>
        <w:rPr>
          <w:rFonts w:hint="cs"/>
          <w:rtl/>
        </w:rPr>
        <w:t xml:space="preserve"> </w:t>
      </w:r>
      <w:r w:rsidRPr="00393034">
        <w:rPr>
          <w:rFonts w:hint="cs"/>
          <w:b/>
          <w:bCs/>
          <w:rtl/>
        </w:rPr>
        <w:t>ירון בלווא נ' מדינת ישראל</w:t>
      </w:r>
      <w:r>
        <w:rPr>
          <w:rFonts w:hint="cs"/>
          <w:rtl/>
        </w:rPr>
        <w:t xml:space="preserve"> (פורסם בנבו)):</w:t>
      </w:r>
    </w:p>
    <w:p w14:paraId="6C7B9D37" w14:textId="77777777" w:rsidR="00D42709" w:rsidRDefault="00D42709" w:rsidP="00D42709">
      <w:pPr>
        <w:pStyle w:val="ac"/>
        <w:rPr>
          <w:rtl/>
        </w:rPr>
      </w:pPr>
      <w:r>
        <w:rPr>
          <w:rFonts w:hint="cs"/>
          <w:rtl/>
        </w:rPr>
        <w:t>"נימוקים מיוחדים יכולים לבוא גם שיקולים פרטניים הנוגעים לנאשם עצמו ולהליך שננקט בעניינו.." (שם, פסקה 46).</w:t>
      </w:r>
    </w:p>
    <w:p w14:paraId="5D4B44EF" w14:textId="77777777" w:rsidR="00D42709" w:rsidRDefault="00D42709" w:rsidP="00D42709">
      <w:pPr>
        <w:pStyle w:val="ab"/>
        <w:rPr>
          <w:rtl/>
        </w:rPr>
      </w:pPr>
    </w:p>
    <w:p w14:paraId="2BA06BB4" w14:textId="77777777" w:rsidR="00D42709" w:rsidRPr="00DF7732" w:rsidRDefault="00D42709" w:rsidP="00D42709">
      <w:pPr>
        <w:pStyle w:val="ab"/>
        <w:rPr>
          <w:u w:val="single"/>
          <w:rtl/>
        </w:rPr>
      </w:pPr>
      <w:r w:rsidRPr="00DF7732">
        <w:rPr>
          <w:rFonts w:hint="cs"/>
          <w:u w:val="single"/>
          <w:rtl/>
        </w:rPr>
        <w:t>מן הכלל אל הפרט</w:t>
      </w:r>
    </w:p>
    <w:p w14:paraId="44509AED" w14:textId="77777777" w:rsidR="00D42709" w:rsidRDefault="00D42709" w:rsidP="00D42709">
      <w:pPr>
        <w:spacing w:line="360" w:lineRule="auto"/>
        <w:ind w:left="560"/>
        <w:jc w:val="both"/>
        <w:rPr>
          <w:rtl/>
        </w:rPr>
      </w:pPr>
      <w:r>
        <w:rPr>
          <w:rFonts w:hint="cs"/>
          <w:rtl/>
        </w:rPr>
        <w:t>על פי עובדות כתב האישום המתוקן הנאשמת הורשעה בשבע עבירות של עסקת סמים.</w:t>
      </w:r>
    </w:p>
    <w:p w14:paraId="63545B53" w14:textId="77777777" w:rsidR="00D42709" w:rsidRDefault="00D42709" w:rsidP="00D42709">
      <w:pPr>
        <w:spacing w:line="360" w:lineRule="auto"/>
        <w:ind w:left="560"/>
        <w:jc w:val="both"/>
        <w:rPr>
          <w:rtl/>
        </w:rPr>
      </w:pPr>
    </w:p>
    <w:p w14:paraId="36406834" w14:textId="77777777" w:rsidR="00D42709" w:rsidRDefault="00D42709" w:rsidP="00D42709">
      <w:pPr>
        <w:spacing w:line="360" w:lineRule="auto"/>
        <w:ind w:left="560"/>
        <w:jc w:val="both"/>
        <w:rPr>
          <w:rtl/>
        </w:rPr>
      </w:pPr>
      <w:r>
        <w:rPr>
          <w:rFonts w:hint="cs"/>
          <w:rtl/>
        </w:rPr>
        <w:t xml:space="preserve">כן עולה מעובדות כתב האישום כי הנאשמת הפיקה רווחים כספיים כתוצאה מששת עבירות הסחר והתיווך בסמים בהן הורשעה. </w:t>
      </w:r>
    </w:p>
    <w:p w14:paraId="5FEA5FB1" w14:textId="77777777" w:rsidR="00D42709" w:rsidRDefault="00D42709" w:rsidP="00D42709">
      <w:pPr>
        <w:spacing w:line="360" w:lineRule="auto"/>
        <w:ind w:left="560"/>
        <w:jc w:val="both"/>
        <w:rPr>
          <w:rtl/>
        </w:rPr>
      </w:pPr>
    </w:p>
    <w:p w14:paraId="3D65EA1C" w14:textId="77777777" w:rsidR="00D42709" w:rsidRDefault="00D42709" w:rsidP="00D42709">
      <w:pPr>
        <w:spacing w:line="360" w:lineRule="auto"/>
        <w:ind w:left="560"/>
        <w:jc w:val="both"/>
      </w:pPr>
      <w:r>
        <w:rPr>
          <w:rFonts w:hint="cs"/>
          <w:rtl/>
        </w:rPr>
        <w:t>לא עולה במפורש על פי עובדות כתב האישום כי נעשה על ידי הנאשמת שימוש ברכב במהלך פעילות הסחר/תיווך בסמים .</w:t>
      </w:r>
    </w:p>
    <w:p w14:paraId="09D301BA" w14:textId="77777777" w:rsidR="00D42709" w:rsidRDefault="00D42709" w:rsidP="00D42709">
      <w:pPr>
        <w:spacing w:line="360" w:lineRule="auto"/>
        <w:ind w:left="560"/>
        <w:jc w:val="both"/>
        <w:rPr>
          <w:rtl/>
        </w:rPr>
      </w:pPr>
    </w:p>
    <w:p w14:paraId="7EF5EFF8" w14:textId="77777777" w:rsidR="00D42709" w:rsidRDefault="00D42709" w:rsidP="00D42709">
      <w:pPr>
        <w:pStyle w:val="ab"/>
        <w:rPr>
          <w:rtl/>
        </w:rPr>
      </w:pPr>
      <w:r>
        <w:rPr>
          <w:rFonts w:hint="cs"/>
          <w:rtl/>
        </w:rPr>
        <w:t xml:space="preserve">ברם, על פי עובדות האישום הראשון במסגרתו הורשעה הנאשמת בעבירה של החזקת סמים מסוכנים </w:t>
      </w:r>
      <w:r w:rsidRPr="00BB231F">
        <w:rPr>
          <w:rFonts w:hint="cs"/>
          <w:b/>
          <w:bCs/>
          <w:rtl/>
        </w:rPr>
        <w:t xml:space="preserve">שלא </w:t>
      </w:r>
      <w:r>
        <w:rPr>
          <w:rFonts w:hint="cs"/>
          <w:rtl/>
        </w:rPr>
        <w:t xml:space="preserve">לצריכתה העצמית, הנאשמת החזיקה ברכב 700 ג' סמים מסוג קנביס מחולקים ל -70 יחידות, 20 ג' סמים מסוג חשיש מחולקים ל- 2 יחידות, ו- 13 מ"ל של סם מסוכן מסוג  </w:t>
      </w:r>
      <w:r>
        <w:t>delta9-tetrahydrocannabinol</w:t>
      </w:r>
      <w:r>
        <w:rPr>
          <w:rFonts w:hint="cs"/>
          <w:rtl/>
        </w:rPr>
        <w:t>.</w:t>
      </w:r>
    </w:p>
    <w:p w14:paraId="3C03EE29" w14:textId="77777777" w:rsidR="00D42709" w:rsidRDefault="00D42709" w:rsidP="00D42709">
      <w:pPr>
        <w:pStyle w:val="ab"/>
        <w:rPr>
          <w:rtl/>
        </w:rPr>
      </w:pPr>
      <w:r>
        <w:rPr>
          <w:rFonts w:hint="cs"/>
          <w:rtl/>
        </w:rPr>
        <w:t xml:space="preserve">העבירה של החזקת סמים שלא לצריכה עצמית הינה עבירה 'עסקת סמים', ולפיכך קמה הוראת חילוט של רכוש אשר שימש או נועד לשמש כאמצעי לביצוע העבירה או רכוש שהושג במישרין או בעקיפין  כתוצאה מביצועה, זולת אם נמצאו </w:t>
      </w:r>
      <w:r w:rsidRPr="00DF7732">
        <w:rPr>
          <w:rFonts w:hint="cs"/>
          <w:rtl/>
        </w:rPr>
        <w:t>נימוקים מיוחדים</w:t>
      </w:r>
      <w:r>
        <w:rPr>
          <w:rFonts w:hint="cs"/>
          <w:b/>
          <w:bCs/>
          <w:rtl/>
        </w:rPr>
        <w:t xml:space="preserve"> </w:t>
      </w:r>
      <w:r>
        <w:rPr>
          <w:rFonts w:hint="cs"/>
          <w:rtl/>
        </w:rPr>
        <w:t>שלא לעשות כן.</w:t>
      </w:r>
    </w:p>
    <w:p w14:paraId="7DD4787A" w14:textId="77777777" w:rsidR="00D42709" w:rsidRDefault="00D42709" w:rsidP="00D42709">
      <w:pPr>
        <w:pStyle w:val="ab"/>
        <w:rPr>
          <w:rtl/>
        </w:rPr>
      </w:pPr>
      <w:r w:rsidRPr="00A71F72">
        <w:rPr>
          <w:rFonts w:hint="cs"/>
          <w:b/>
          <w:bCs/>
          <w:rtl/>
        </w:rPr>
        <w:t>לאחר ששקלתי את טיעוני הצדדים לכאן ולכאן סבורני כי יש להימנע במקרה דנן מחילוט הרכב כמבוקש ולהורות על חילוט הכספים</w:t>
      </w:r>
      <w:r>
        <w:rPr>
          <w:rFonts w:hint="cs"/>
          <w:rtl/>
        </w:rPr>
        <w:t>.</w:t>
      </w:r>
    </w:p>
    <w:p w14:paraId="5B1EDB80" w14:textId="77777777" w:rsidR="00D42709" w:rsidRPr="008515C5" w:rsidRDefault="00D42709" w:rsidP="00D42709">
      <w:pPr>
        <w:pStyle w:val="ab"/>
        <w:rPr>
          <w:u w:val="single"/>
          <w:rtl/>
        </w:rPr>
      </w:pPr>
      <w:r w:rsidRPr="008515C5">
        <w:rPr>
          <w:rFonts w:hint="cs"/>
          <w:b/>
          <w:bCs/>
          <w:u w:val="single"/>
          <w:rtl/>
        </w:rPr>
        <w:t>רכב</w:t>
      </w:r>
    </w:p>
    <w:p w14:paraId="49D7AF04" w14:textId="77777777" w:rsidR="00D42709" w:rsidRDefault="00D42709" w:rsidP="00D42709">
      <w:pPr>
        <w:pStyle w:val="ab"/>
        <w:rPr>
          <w:rtl/>
        </w:rPr>
      </w:pPr>
      <w:r>
        <w:rPr>
          <w:rFonts w:hint="cs"/>
          <w:rtl/>
        </w:rPr>
        <w:t>מדובר ברכב בשווי שוק של 32 אלף ₪, אשר נרכש על ידי המתלוננת בשנת 2017. נטען על ידי ההגנה כי הרכב נרכש מכספי הורי הנאשמת המתגוררים בחו"ל, והוצג בענין זה מסמך העברת כספים לנאשמת מיום 8.11.17, הוא יום רישום הרכב בבעלות הנאשמת.</w:t>
      </w:r>
    </w:p>
    <w:p w14:paraId="72620D68" w14:textId="77777777" w:rsidR="00D42709" w:rsidRDefault="00D42709" w:rsidP="00D42709">
      <w:pPr>
        <w:pStyle w:val="ab"/>
        <w:rPr>
          <w:rtl/>
        </w:rPr>
      </w:pPr>
      <w:r>
        <w:rPr>
          <w:rFonts w:hint="cs"/>
          <w:rtl/>
        </w:rPr>
        <w:t xml:space="preserve">על פי עובדות כתב האישום שימש הרכב מקום אחסון לסמים עובר להפצתם  בדומה לבית הנאשמת שם הוחזקו סמים נוספים שלא לצריכתה העצמית. ניתן לומר כי בנסיבות אלו שימש הרכב </w:t>
      </w:r>
      <w:r w:rsidRPr="00B31C26">
        <w:rPr>
          <w:rFonts w:hint="cs"/>
          <w:b/>
          <w:bCs/>
          <w:rtl/>
        </w:rPr>
        <w:t>כאמצעי</w:t>
      </w:r>
      <w:r>
        <w:rPr>
          <w:rFonts w:hint="cs"/>
          <w:rtl/>
        </w:rPr>
        <w:t xml:space="preserve"> להחזקתם של הסמים, אך סבורני כי בהינתן קשר זה בלבד (אף ללא אינדיקציה בדבר שינוע הסמים באמצעותו ממקום למקום), ובהינתן טעמים נוספים עליהם אעמוד, לא יהיה זה מידתי להורות במקרה זה על חילוטו. לכך מצטרפות נסיבות חייה המורכבות של הנאשמת נעדרת עבר הפלילי המתגוררת לבדה בארץ ללא מקורות תמיכה משפחתיים ואשר נלמד כי חוותה בשנים האחרונות משברים קשים והתדרדרות אישית ממשית לאחר שנים של ניהול אורח חיים נורמטיבי. כן שקלתי במישור זה את החלטתי לחלט את הכספים ולהטיל על הנאשמת סנקציה כלכלית של קנס כספי, ואת דלותה הכספית של הנאשמת על פי טיעוני באת כוחה, גם בהתייחס להוראות </w:t>
      </w:r>
      <w:hyperlink r:id="rId26" w:history="1">
        <w:r w:rsidR="00493241" w:rsidRPr="00493241">
          <w:rPr>
            <w:rStyle w:val="Hyperlink"/>
            <w:rFonts w:hint="eastAsia"/>
            <w:rtl/>
          </w:rPr>
          <w:t>סעיף</w:t>
        </w:r>
        <w:r w:rsidR="00493241" w:rsidRPr="00493241">
          <w:rPr>
            <w:rStyle w:val="Hyperlink"/>
            <w:rtl/>
          </w:rPr>
          <w:t xml:space="preserve"> 36ג(ב)</w:t>
        </w:r>
      </w:hyperlink>
      <w:r>
        <w:rPr>
          <w:rFonts w:hint="cs"/>
          <w:rtl/>
        </w:rPr>
        <w:t xml:space="preserve"> לפקודת הסמים.</w:t>
      </w:r>
    </w:p>
    <w:p w14:paraId="36A950A2" w14:textId="77777777" w:rsidR="00D42709" w:rsidRPr="008515C5" w:rsidRDefault="00D42709" w:rsidP="00D42709">
      <w:pPr>
        <w:pStyle w:val="ab"/>
        <w:rPr>
          <w:b/>
          <w:bCs/>
          <w:u w:val="single"/>
          <w:rtl/>
        </w:rPr>
      </w:pPr>
      <w:r w:rsidRPr="008515C5">
        <w:rPr>
          <w:rFonts w:hint="cs"/>
          <w:b/>
          <w:bCs/>
          <w:u w:val="single"/>
          <w:rtl/>
        </w:rPr>
        <w:t>כספים</w:t>
      </w:r>
    </w:p>
    <w:p w14:paraId="18872874" w14:textId="77777777" w:rsidR="00D42709" w:rsidRDefault="00D42709" w:rsidP="00D42709">
      <w:pPr>
        <w:spacing w:line="360" w:lineRule="auto"/>
        <w:ind w:left="560"/>
        <w:jc w:val="both"/>
      </w:pPr>
      <w:r>
        <w:rPr>
          <w:rFonts w:hint="cs"/>
          <w:rtl/>
        </w:rPr>
        <w:t>הכספים המבוקשים לחילוט נתפסו אצל המתלוננת סמוך מאוד לאחר מועד ביצוע שורת עבירות של עסקאות בסמים, ובנסיבות החזקת סמים שלא לצריכה עצמית בביתה, אשר עונה אף היא להגדרת 'עסקת סמים'.</w:t>
      </w:r>
    </w:p>
    <w:p w14:paraId="14279634" w14:textId="77777777" w:rsidR="00D42709" w:rsidRDefault="00D42709" w:rsidP="00D42709">
      <w:pPr>
        <w:spacing w:line="360" w:lineRule="auto"/>
        <w:ind w:left="560"/>
        <w:jc w:val="both"/>
      </w:pPr>
    </w:p>
    <w:p w14:paraId="4DB9F4DF" w14:textId="77777777" w:rsidR="00D42709" w:rsidRDefault="00D42709" w:rsidP="00D42709">
      <w:pPr>
        <w:pStyle w:val="a"/>
        <w:numPr>
          <w:ilvl w:val="0"/>
          <w:numId w:val="0"/>
        </w:numPr>
        <w:ind w:left="651"/>
        <w:rPr>
          <w:rtl/>
        </w:rPr>
      </w:pPr>
      <w:r>
        <w:rPr>
          <w:rFonts w:hint="cs"/>
          <w:rtl/>
        </w:rPr>
        <w:t xml:space="preserve">על פי החזקה שבפקודת הסמים (העולה במקרה זה בקנה אחד עם השכל הישר נוכח צירוף עובדות ונסיבות כתב האישום מול מועד ונסיבות תפיסת הכספים), הוכח כי הכספים </w:t>
      </w:r>
      <w:r>
        <w:rPr>
          <w:rFonts w:hint="cs"/>
          <w:b/>
          <w:bCs/>
          <w:rtl/>
        </w:rPr>
        <w:t>הושגו</w:t>
      </w:r>
      <w:r>
        <w:rPr>
          <w:rFonts w:hint="cs"/>
          <w:rtl/>
        </w:rPr>
        <w:t xml:space="preserve"> כתוצאה מביצוע עסקאות סמים על ידי הנאשמת. </w:t>
      </w:r>
    </w:p>
    <w:p w14:paraId="71F400C0" w14:textId="77777777" w:rsidR="00D42709" w:rsidRDefault="00D42709" w:rsidP="00D42709">
      <w:pPr>
        <w:pStyle w:val="a"/>
        <w:numPr>
          <w:ilvl w:val="0"/>
          <w:numId w:val="0"/>
        </w:numPr>
        <w:ind w:left="651"/>
        <w:rPr>
          <w:rtl/>
        </w:rPr>
      </w:pPr>
      <w:r>
        <w:rPr>
          <w:rFonts w:hint="cs"/>
          <w:rtl/>
        </w:rPr>
        <w:t>אינני סבור כי ב"כ הנאשמת הצליחה להוכיח אחרת במאזן הסתברויות. צורף מכתב בשפה האנגלית, לכאורה מאת אחותה והוריה של הנאשמת, אשר העבירו לנאשמת על פי הנטען סך של 3000 יורו</w:t>
      </w:r>
      <w:r w:rsidRPr="00FC241A">
        <w:rPr>
          <w:rFonts w:hint="cs"/>
          <w:rtl/>
        </w:rPr>
        <w:t xml:space="preserve"> ביום מעצרה </w:t>
      </w:r>
      <w:r>
        <w:rPr>
          <w:rFonts w:hint="cs"/>
          <w:rtl/>
        </w:rPr>
        <w:t xml:space="preserve">בעת ביקורם בארץ. בפן הפרוצדורלי סבורני כי אין לקבל מכתב זה אשר אינו ערוך כדין כתצהיר. בפן המהותי יצוין כי אין הלימה בין סך של 3000 יורו אשר שווים ביום התפיסה היה 12,000 ₪ ובין סכום הכסף שנתפס אצל הנאשמת, 9680 ש"ח. ודוק, נטען כי הכספים התקבלו באותו היום בהם נתפסו, כך שהפער של 2320 ₪ אינו מוסבר (וככל והיה מוסבר מצופה כי היה נתמך בראיות) - </w:t>
      </w:r>
      <w:r w:rsidRPr="00457A9F">
        <w:rPr>
          <w:rtl/>
        </w:rPr>
        <w:t>ר' ביחס לאופן ודרכי הפרכת החזקה, ב</w:t>
      </w:r>
      <w:hyperlink r:id="rId27" w:history="1">
        <w:r w:rsidR="00A44BAD" w:rsidRPr="00A44BAD">
          <w:rPr>
            <w:color w:val="0000FF"/>
            <w:u w:val="single"/>
            <w:rtl/>
          </w:rPr>
          <w:t>ע"פ170/07</w:t>
        </w:r>
      </w:hyperlink>
      <w:r w:rsidRPr="00457A9F">
        <w:rPr>
          <w:rtl/>
        </w:rPr>
        <w:t xml:space="preserve"> </w:t>
      </w:r>
      <w:r w:rsidRPr="00457A9F">
        <w:rPr>
          <w:b/>
          <w:bCs/>
          <w:rtl/>
        </w:rPr>
        <w:t>ליאור מטיס נ' מדינת ישראל</w:t>
      </w:r>
      <w:r w:rsidRPr="00457A9F">
        <w:rPr>
          <w:rtl/>
        </w:rPr>
        <w:t>, פסקה 11 (פורסם בנבו)</w:t>
      </w:r>
      <w:r>
        <w:rPr>
          <w:rFonts w:hint="cs"/>
          <w:rtl/>
        </w:rPr>
        <w:t>.</w:t>
      </w:r>
    </w:p>
    <w:p w14:paraId="38CDBB9D" w14:textId="77777777" w:rsidR="00D42709" w:rsidRPr="000D6656" w:rsidRDefault="00D42709" w:rsidP="00D42709">
      <w:pPr>
        <w:numPr>
          <w:ilvl w:val="0"/>
          <w:numId w:val="1"/>
        </w:numPr>
        <w:spacing w:line="360" w:lineRule="auto"/>
        <w:ind w:left="560" w:hanging="532"/>
        <w:jc w:val="both"/>
        <w:rPr>
          <w:b/>
          <w:bCs/>
        </w:rPr>
      </w:pPr>
      <w:r w:rsidRPr="000D6656">
        <w:rPr>
          <w:rFonts w:hint="cs"/>
          <w:b/>
          <w:bCs/>
          <w:rtl/>
        </w:rPr>
        <w:t>נוכח האמור אני מקבל את עתירת המאשימה להכריז על הנאשמת כסוחרת סמים, ומורה על חילוט הכספים כמבוקש לטובת  אוצר המדינה.</w:t>
      </w:r>
    </w:p>
    <w:p w14:paraId="47A3453C" w14:textId="77777777" w:rsidR="00D42709" w:rsidRDefault="00D42709" w:rsidP="00D42709">
      <w:pPr>
        <w:spacing w:line="360" w:lineRule="auto"/>
        <w:ind w:left="560"/>
        <w:jc w:val="both"/>
        <w:rPr>
          <w:rtl/>
        </w:rPr>
      </w:pPr>
    </w:p>
    <w:p w14:paraId="5DA3E869" w14:textId="77777777" w:rsidR="00D42709" w:rsidRDefault="00D42709" w:rsidP="00D42709">
      <w:pPr>
        <w:numPr>
          <w:ilvl w:val="0"/>
          <w:numId w:val="1"/>
        </w:numPr>
        <w:spacing w:line="360" w:lineRule="auto"/>
        <w:ind w:left="560" w:hanging="532"/>
        <w:jc w:val="both"/>
      </w:pPr>
      <w:r>
        <w:rPr>
          <w:rFonts w:hint="cs"/>
          <w:rtl/>
        </w:rPr>
        <w:t>נוכח האמור, אני דן את הנאשמת לעונשים הבאים:</w:t>
      </w:r>
    </w:p>
    <w:p w14:paraId="7417E746" w14:textId="77777777" w:rsidR="00D42709" w:rsidRDefault="00D42709" w:rsidP="00D42709">
      <w:pPr>
        <w:numPr>
          <w:ilvl w:val="0"/>
          <w:numId w:val="2"/>
        </w:numPr>
        <w:tabs>
          <w:tab w:val="clear" w:pos="1075"/>
          <w:tab w:val="num" w:pos="1127"/>
        </w:tabs>
        <w:spacing w:line="360" w:lineRule="auto"/>
        <w:ind w:left="1127" w:hanging="539"/>
        <w:jc w:val="both"/>
      </w:pPr>
      <w:r>
        <w:rPr>
          <w:rFonts w:hint="cs"/>
          <w:rtl/>
        </w:rPr>
        <w:t>24 חודשי מאסר בפועל, בניכוי ימי מעצרה בתיק זה.</w:t>
      </w:r>
    </w:p>
    <w:p w14:paraId="54104E2E" w14:textId="77777777" w:rsidR="00D42709" w:rsidRDefault="00D42709" w:rsidP="00D42709">
      <w:pPr>
        <w:numPr>
          <w:ilvl w:val="0"/>
          <w:numId w:val="2"/>
        </w:numPr>
        <w:tabs>
          <w:tab w:val="clear" w:pos="1075"/>
          <w:tab w:val="num" w:pos="1127"/>
        </w:tabs>
        <w:spacing w:line="360" w:lineRule="auto"/>
        <w:ind w:left="1127" w:hanging="539"/>
        <w:jc w:val="both"/>
        <w:rPr>
          <w:rtl/>
        </w:rPr>
      </w:pPr>
      <w:r>
        <w:rPr>
          <w:rFonts w:hint="cs"/>
          <w:rtl/>
        </w:rPr>
        <w:t>10 חודשי מאסר על תנאי לתקופה של 3 שנים מתום ריצוי מאסרה, שלא תעבור כל עבֵרת סמים מסוג פשע.</w:t>
      </w:r>
    </w:p>
    <w:p w14:paraId="10942E54" w14:textId="77777777" w:rsidR="00D42709" w:rsidRDefault="00D42709" w:rsidP="00D42709">
      <w:pPr>
        <w:numPr>
          <w:ilvl w:val="0"/>
          <w:numId w:val="2"/>
        </w:numPr>
        <w:tabs>
          <w:tab w:val="clear" w:pos="1075"/>
          <w:tab w:val="num" w:pos="1127"/>
        </w:tabs>
        <w:spacing w:line="360" w:lineRule="auto"/>
        <w:ind w:left="1127" w:hanging="539"/>
        <w:jc w:val="both"/>
        <w:rPr>
          <w:rtl/>
        </w:rPr>
      </w:pPr>
      <w:r>
        <w:rPr>
          <w:rFonts w:hint="cs"/>
          <w:rtl/>
        </w:rPr>
        <w:t>5 חודשי מאסר על תנאי לתקופה של 3 שנים מתום ריצוי מאסרה, שלא תעבור כל עבֵרת סמים מסוג עוון.</w:t>
      </w:r>
    </w:p>
    <w:p w14:paraId="1FC20A69" w14:textId="77777777" w:rsidR="00D42709" w:rsidRDefault="00D42709" w:rsidP="00D42709">
      <w:pPr>
        <w:numPr>
          <w:ilvl w:val="0"/>
          <w:numId w:val="2"/>
        </w:numPr>
        <w:tabs>
          <w:tab w:val="clear" w:pos="1075"/>
          <w:tab w:val="num" w:pos="1127"/>
        </w:tabs>
        <w:spacing w:line="360" w:lineRule="auto"/>
        <w:ind w:left="1127" w:hanging="539"/>
        <w:jc w:val="both"/>
      </w:pPr>
      <w:r>
        <w:rPr>
          <w:rFonts w:hint="cs"/>
          <w:rtl/>
        </w:rPr>
        <w:t>קנס כספי בסך 10,000 ₪ או 75 ימי מאסר תמורתו. הקנס ישולם ב - 15 תשלומים חודשיים שווים ורצופים, החל מיום 1.3.2025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21612F7" w14:textId="77777777" w:rsidR="00D42709" w:rsidRDefault="00D42709" w:rsidP="00D42709">
      <w:pPr>
        <w:numPr>
          <w:ilvl w:val="0"/>
          <w:numId w:val="2"/>
        </w:numPr>
        <w:tabs>
          <w:tab w:val="clear" w:pos="1075"/>
          <w:tab w:val="num" w:pos="1127"/>
        </w:tabs>
        <w:spacing w:line="360" w:lineRule="auto"/>
        <w:ind w:left="1127" w:hanging="539"/>
        <w:jc w:val="both"/>
      </w:pPr>
      <w:r>
        <w:rPr>
          <w:rFonts w:hint="cs"/>
          <w:rtl/>
        </w:rPr>
        <w:t>פסילה בפועל מלקבל או להחזיק רישיון נהיגה למשך 6 חודשים מיום השחרור מהמאסר. על הנאשמת להפקיד את רישיון הנהיגה במזכירות בית-המשפט ולחלופין למלא תצהיר מתאים במזכירות בית-המשפט. הפסילה תהיה במצטבר לכל פסילה אחרת, אם קיימת.</w:t>
      </w:r>
    </w:p>
    <w:p w14:paraId="53E2901B" w14:textId="77777777" w:rsidR="00D42709" w:rsidRDefault="00D42709" w:rsidP="00D42709">
      <w:pPr>
        <w:numPr>
          <w:ilvl w:val="0"/>
          <w:numId w:val="2"/>
        </w:numPr>
        <w:tabs>
          <w:tab w:val="clear" w:pos="1075"/>
          <w:tab w:val="num" w:pos="1127"/>
        </w:tabs>
        <w:spacing w:line="360" w:lineRule="auto"/>
        <w:ind w:left="1127" w:hanging="539"/>
        <w:jc w:val="both"/>
      </w:pPr>
      <w:r>
        <w:rPr>
          <w:rFonts w:hint="cs"/>
          <w:rtl/>
        </w:rPr>
        <w:t xml:space="preserve">פסילה מלקבל או מלהחזיק רישיון נהיגה על תנאי למשך 9 חודשים . </w:t>
      </w:r>
    </w:p>
    <w:p w14:paraId="35BF37BF" w14:textId="77777777" w:rsidR="00D42709" w:rsidRDefault="00D42709" w:rsidP="00D42709">
      <w:pPr>
        <w:spacing w:line="360" w:lineRule="auto"/>
        <w:ind w:left="1127"/>
        <w:jc w:val="both"/>
        <w:rPr>
          <w:rtl/>
        </w:rPr>
      </w:pPr>
      <w:r>
        <w:rPr>
          <w:rFonts w:hint="cs"/>
          <w:rtl/>
        </w:rPr>
        <w:t>הפסילה תופעל אם תוך תקופה של 3 שנים מיום השחרור מהמאסר, תעבור הנאשמת עבירת סמים או נהיגה בפסילה/ללא רישיון.</w:t>
      </w:r>
    </w:p>
    <w:p w14:paraId="03CA6F5C" w14:textId="77777777" w:rsidR="00D42709" w:rsidRDefault="00D42709" w:rsidP="00D42709">
      <w:pPr>
        <w:spacing w:line="360" w:lineRule="auto"/>
        <w:ind w:left="1127"/>
        <w:jc w:val="both"/>
      </w:pPr>
    </w:p>
    <w:p w14:paraId="081ECF27" w14:textId="77777777" w:rsidR="00D42709" w:rsidRDefault="00D42709" w:rsidP="00D42709">
      <w:pPr>
        <w:spacing w:line="360" w:lineRule="auto"/>
        <w:jc w:val="both"/>
        <w:rPr>
          <w:b/>
          <w:bCs/>
          <w:rtl/>
        </w:rPr>
      </w:pPr>
      <w:r>
        <w:rPr>
          <w:rFonts w:hint="cs"/>
          <w:b/>
          <w:bCs/>
          <w:rtl/>
        </w:rPr>
        <w:t>את הקנס ניתן לשלם כעבור 3 ימים מהיום באחת מהדרכים הבאות:</w:t>
      </w:r>
    </w:p>
    <w:p w14:paraId="20FDBD86" w14:textId="77777777" w:rsidR="00D42709" w:rsidRDefault="00D42709" w:rsidP="00D42709">
      <w:pPr>
        <w:numPr>
          <w:ilvl w:val="0"/>
          <w:numId w:val="3"/>
        </w:numPr>
        <w:spacing w:line="360" w:lineRule="auto"/>
        <w:jc w:val="both"/>
        <w:rPr>
          <w:b/>
          <w:bCs/>
          <w:rtl/>
        </w:rPr>
      </w:pPr>
      <w:r>
        <w:rPr>
          <w:rFonts w:hint="cs"/>
          <w:b/>
          <w:bCs/>
          <w:rtl/>
        </w:rPr>
        <w:t xml:space="preserve">תשלום בכרטיס אשראי באמצעות האתר המקוון של רשות האכיפה והגבייה בכתובת: </w:t>
      </w:r>
      <w:hyperlink r:id="rId28" w:history="1">
        <w:r>
          <w:rPr>
            <w:rStyle w:val="Hyperlink"/>
            <w:b/>
            <w:bCs/>
          </w:rPr>
          <w:t>www.eca.gov.il</w:t>
        </w:r>
      </w:hyperlink>
      <w:r>
        <w:rPr>
          <w:rFonts w:hint="cs"/>
          <w:b/>
          <w:bCs/>
          <w:rtl/>
        </w:rPr>
        <w:t>.</w:t>
      </w:r>
    </w:p>
    <w:p w14:paraId="415C738E" w14:textId="77777777" w:rsidR="00D42709" w:rsidRDefault="00D42709" w:rsidP="00D42709">
      <w:pPr>
        <w:numPr>
          <w:ilvl w:val="0"/>
          <w:numId w:val="3"/>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12C9D911" w14:textId="77777777" w:rsidR="00D42709" w:rsidRDefault="00D42709" w:rsidP="00D42709">
      <w:pPr>
        <w:numPr>
          <w:ilvl w:val="0"/>
          <w:numId w:val="3"/>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649929C8" w14:textId="77777777" w:rsidR="00D42709" w:rsidRDefault="00D42709" w:rsidP="00D42709">
      <w:pPr>
        <w:spacing w:line="360" w:lineRule="auto"/>
        <w:jc w:val="both"/>
      </w:pPr>
    </w:p>
    <w:p w14:paraId="62E4B7DE" w14:textId="77777777" w:rsidR="00D42709" w:rsidRDefault="00D42709" w:rsidP="00D42709">
      <w:pPr>
        <w:spacing w:line="360" w:lineRule="auto"/>
        <w:jc w:val="both"/>
        <w:rPr>
          <w:rtl/>
        </w:rPr>
      </w:pPr>
      <w:r>
        <w:rPr>
          <w:rFonts w:hint="cs"/>
          <w:rtl/>
        </w:rPr>
        <w:t>המוצגים יושמדו.</w:t>
      </w:r>
    </w:p>
    <w:p w14:paraId="7B6EB429" w14:textId="77777777" w:rsidR="00D42709" w:rsidRDefault="00D42709" w:rsidP="00D42709">
      <w:pPr>
        <w:spacing w:line="360" w:lineRule="auto"/>
        <w:jc w:val="both"/>
      </w:pPr>
    </w:p>
    <w:p w14:paraId="6102740A" w14:textId="77777777" w:rsidR="00D42709" w:rsidRDefault="00D42709" w:rsidP="00D42709">
      <w:pPr>
        <w:spacing w:line="360" w:lineRule="auto"/>
        <w:jc w:val="both"/>
        <w:rPr>
          <w:rtl/>
        </w:rPr>
      </w:pPr>
      <w:r>
        <w:rPr>
          <w:rFonts w:hint="cs"/>
          <w:rtl/>
        </w:rPr>
        <w:t>המזכירות תסגור את התיק.</w:t>
      </w:r>
    </w:p>
    <w:p w14:paraId="362A9A3F" w14:textId="77777777" w:rsidR="00D42709" w:rsidRDefault="00D42709" w:rsidP="00D42709">
      <w:pPr>
        <w:spacing w:line="360" w:lineRule="auto"/>
        <w:jc w:val="both"/>
        <w:rPr>
          <w:rtl/>
        </w:rPr>
      </w:pPr>
    </w:p>
    <w:p w14:paraId="1B6C2AF8" w14:textId="77777777" w:rsidR="00D42709" w:rsidRDefault="00D42709" w:rsidP="00D42709">
      <w:pPr>
        <w:spacing w:line="360" w:lineRule="auto"/>
        <w:rPr>
          <w:rtl/>
        </w:rPr>
      </w:pPr>
    </w:p>
    <w:p w14:paraId="1FB93BE5" w14:textId="77777777" w:rsidR="00D42709" w:rsidRDefault="00A44BAD" w:rsidP="00D42709">
      <w:pPr>
        <w:spacing w:line="360" w:lineRule="auto"/>
        <w:jc w:val="both"/>
        <w:rPr>
          <w:rtl/>
        </w:rPr>
      </w:pPr>
      <w:r w:rsidRPr="00A44BAD">
        <w:rPr>
          <w:b/>
          <w:bCs/>
          <w:color w:val="FFFFFF"/>
          <w:sz w:val="2"/>
          <w:szCs w:val="2"/>
          <w:rtl/>
        </w:rPr>
        <w:t>5129371</w:t>
      </w:r>
      <w:r w:rsidR="00D42709">
        <w:rPr>
          <w:rFonts w:hint="cs"/>
          <w:b/>
          <w:bCs/>
          <w:rtl/>
        </w:rPr>
        <w:t>זכות ערעור בתוך 45 יום לבית המשפט המחוזי</w:t>
      </w:r>
      <w:r w:rsidR="00D42709">
        <w:rPr>
          <w:rFonts w:hint="cs"/>
          <w:rtl/>
        </w:rPr>
        <w:t>.</w:t>
      </w:r>
    </w:p>
    <w:p w14:paraId="203B84D4" w14:textId="77777777" w:rsidR="00D42709" w:rsidRPr="00A44BAD" w:rsidRDefault="00A44BAD" w:rsidP="00D42709">
      <w:pPr>
        <w:rPr>
          <w:rFonts w:ascii="Arial" w:hAnsi="Arial"/>
          <w:b/>
          <w:bCs/>
          <w:color w:val="FFFFFF"/>
          <w:sz w:val="2"/>
          <w:szCs w:val="2"/>
          <w:rtl/>
        </w:rPr>
      </w:pPr>
      <w:r w:rsidRPr="00A44BAD">
        <w:rPr>
          <w:rFonts w:ascii="Arial" w:hAnsi="Arial"/>
          <w:b/>
          <w:bCs/>
          <w:color w:val="FFFFFF"/>
          <w:sz w:val="2"/>
          <w:szCs w:val="2"/>
          <w:rtl/>
        </w:rPr>
        <w:t>54678313</w:t>
      </w:r>
    </w:p>
    <w:p w14:paraId="26637B2E" w14:textId="77777777" w:rsidR="00D42709" w:rsidRPr="000F2247" w:rsidRDefault="00D42709" w:rsidP="00D42709">
      <w:pPr>
        <w:rPr>
          <w:rFonts w:ascii="Arial" w:hAnsi="Arial"/>
          <w:b/>
          <w:bCs/>
          <w:sz w:val="26"/>
          <w:szCs w:val="26"/>
          <w:rtl/>
        </w:rPr>
      </w:pPr>
    </w:p>
    <w:p w14:paraId="51795619" w14:textId="77777777" w:rsidR="00D42709" w:rsidRPr="000F2247" w:rsidRDefault="00A44BAD" w:rsidP="00D4270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תמוז תשפ"ד, 18 יולי 2024, בנוכחות הצדדים. </w:t>
      </w:r>
      <w:bookmarkEnd w:id="8"/>
      <w:r w:rsidR="00D42709">
        <w:rPr>
          <w:rFonts w:ascii="Arial" w:hAnsi="Arial"/>
          <w:b/>
          <w:bCs/>
          <w:sz w:val="26"/>
          <w:szCs w:val="26"/>
          <w:rtl/>
        </w:rPr>
        <w:tab/>
      </w:r>
      <w:r w:rsidR="00D42709">
        <w:rPr>
          <w:rFonts w:ascii="Arial" w:hAnsi="Arial"/>
          <w:b/>
          <w:bCs/>
          <w:sz w:val="26"/>
          <w:szCs w:val="26"/>
          <w:rtl/>
        </w:rPr>
        <w:tab/>
      </w:r>
      <w:r w:rsidR="00D42709">
        <w:rPr>
          <w:rFonts w:ascii="Arial" w:hAnsi="Arial"/>
          <w:b/>
          <w:bCs/>
          <w:sz w:val="26"/>
          <w:szCs w:val="26"/>
          <w:rtl/>
        </w:rPr>
        <w:tab/>
      </w:r>
      <w:r w:rsidR="00D42709">
        <w:rPr>
          <w:rFonts w:ascii="Arial" w:hAnsi="Arial"/>
          <w:b/>
          <w:bCs/>
          <w:sz w:val="26"/>
          <w:szCs w:val="26"/>
          <w:rtl/>
        </w:rPr>
        <w:tab/>
      </w:r>
      <w:r w:rsidR="00D42709">
        <w:rPr>
          <w:rFonts w:ascii="Arial" w:hAnsi="Arial"/>
          <w:b/>
          <w:bCs/>
          <w:sz w:val="26"/>
          <w:szCs w:val="26"/>
          <w:rtl/>
        </w:rPr>
        <w:tab/>
      </w:r>
      <w:r w:rsidR="00D42709">
        <w:rPr>
          <w:rFonts w:ascii="Arial" w:hAnsi="Arial"/>
          <w:b/>
          <w:bCs/>
          <w:sz w:val="26"/>
          <w:szCs w:val="26"/>
          <w:rtl/>
        </w:rPr>
        <w:tab/>
      </w:r>
      <w:r w:rsidR="00D42709">
        <w:rPr>
          <w:rFonts w:ascii="Arial" w:hAnsi="Arial"/>
          <w:b/>
          <w:bCs/>
          <w:sz w:val="26"/>
          <w:szCs w:val="26"/>
          <w:rtl/>
        </w:rPr>
        <w:tab/>
      </w:r>
      <w:r w:rsidR="00D42709">
        <w:rPr>
          <w:rFonts w:ascii="Arial" w:hAnsi="Arial" w:hint="cs"/>
          <w:b/>
          <w:bCs/>
          <w:sz w:val="26"/>
          <w:szCs w:val="26"/>
          <w:rtl/>
        </w:rPr>
        <w:t xml:space="preserve">         </w:t>
      </w:r>
    </w:p>
    <w:p w14:paraId="36E8D460" w14:textId="77777777" w:rsidR="00D42709" w:rsidRPr="000F2247" w:rsidRDefault="00D42709" w:rsidP="00A44BA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D2831CE" w14:textId="77777777" w:rsidR="00D42709" w:rsidRPr="000F2247" w:rsidRDefault="00D42709" w:rsidP="00D42709">
      <w:pPr>
        <w:jc w:val="center"/>
        <w:rPr>
          <w:rFonts w:ascii="Arial" w:hAnsi="Arial"/>
          <w:b/>
          <w:bCs/>
          <w:sz w:val="26"/>
          <w:szCs w:val="26"/>
          <w:rtl/>
        </w:rPr>
      </w:pPr>
    </w:p>
    <w:p w14:paraId="2A0B77E4" w14:textId="77777777" w:rsidR="008D6475" w:rsidRPr="00A44BAD" w:rsidRDefault="008D6475" w:rsidP="00A44BAD">
      <w:pPr>
        <w:keepNext/>
        <w:rPr>
          <w:rFonts w:ascii="David" w:hAnsi="David"/>
          <w:color w:val="000000"/>
          <w:sz w:val="22"/>
          <w:szCs w:val="22"/>
          <w:rtl/>
        </w:rPr>
      </w:pPr>
    </w:p>
    <w:p w14:paraId="15032752" w14:textId="77777777" w:rsidR="00A44BAD" w:rsidRPr="00A44BAD" w:rsidRDefault="00A44BAD" w:rsidP="00A44BAD">
      <w:pPr>
        <w:keepNext/>
        <w:rPr>
          <w:rFonts w:ascii="David" w:hAnsi="David"/>
          <w:color w:val="000000"/>
          <w:sz w:val="22"/>
          <w:szCs w:val="22"/>
          <w:rtl/>
        </w:rPr>
      </w:pPr>
      <w:r w:rsidRPr="00A44BAD">
        <w:rPr>
          <w:rFonts w:ascii="David" w:hAnsi="David"/>
          <w:color w:val="000000"/>
          <w:sz w:val="22"/>
          <w:szCs w:val="22"/>
          <w:rtl/>
        </w:rPr>
        <w:t>יריב בן דוד 54678313</w:t>
      </w:r>
    </w:p>
    <w:p w14:paraId="35081ED3" w14:textId="77777777" w:rsidR="00A44BAD" w:rsidRDefault="00A44BAD" w:rsidP="00A44BAD">
      <w:r w:rsidRPr="00A44BAD">
        <w:rPr>
          <w:color w:val="000000"/>
          <w:rtl/>
        </w:rPr>
        <w:t>נוסח מסמך זה כפוף לשינויי ניסוח ועריכה</w:t>
      </w:r>
    </w:p>
    <w:p w14:paraId="13935AAC" w14:textId="77777777" w:rsidR="00A44BAD" w:rsidRDefault="00A44BAD" w:rsidP="00A44BAD">
      <w:pPr>
        <w:rPr>
          <w:rtl/>
        </w:rPr>
      </w:pPr>
    </w:p>
    <w:p w14:paraId="170A400B" w14:textId="77777777" w:rsidR="00A44BAD" w:rsidRDefault="00A44BAD" w:rsidP="00A44BA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F47AB60" w14:textId="77777777" w:rsidR="00A44BAD" w:rsidRPr="00A44BAD" w:rsidRDefault="00A44BAD" w:rsidP="00A44BAD">
      <w:pPr>
        <w:jc w:val="center"/>
        <w:rPr>
          <w:color w:val="0000FF"/>
          <w:u w:val="single"/>
        </w:rPr>
      </w:pPr>
    </w:p>
    <w:sectPr w:rsidR="00A44BAD" w:rsidRPr="00A44BAD" w:rsidSect="00A44BA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356E7" w14:textId="77777777" w:rsidR="00350EB7" w:rsidRDefault="00350EB7" w:rsidP="000C30ED">
      <w:r>
        <w:separator/>
      </w:r>
    </w:p>
  </w:endnote>
  <w:endnote w:type="continuationSeparator" w:id="0">
    <w:p w14:paraId="568D0EE7" w14:textId="77777777" w:rsidR="00350EB7" w:rsidRDefault="00350EB7" w:rsidP="000C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2317" w14:textId="77777777" w:rsidR="00A44BAD" w:rsidRDefault="00A44BAD" w:rsidP="00A44BA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AE28A8" w14:textId="77777777" w:rsidR="007F10A0" w:rsidRPr="00A44BAD" w:rsidRDefault="00A44BAD" w:rsidP="00A44BA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8AA56" w14:textId="77777777" w:rsidR="00A44BAD" w:rsidRDefault="00A44BAD" w:rsidP="00A44BA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4FC3">
      <w:rPr>
        <w:rFonts w:ascii="FrankRuehl" w:hAnsi="FrankRuehl" w:cs="FrankRuehl"/>
        <w:noProof/>
        <w:rtl/>
      </w:rPr>
      <w:t>1</w:t>
    </w:r>
    <w:r>
      <w:rPr>
        <w:rFonts w:ascii="FrankRuehl" w:hAnsi="FrankRuehl" w:cs="FrankRuehl"/>
        <w:rtl/>
      </w:rPr>
      <w:fldChar w:fldCharType="end"/>
    </w:r>
  </w:p>
  <w:p w14:paraId="219B6ADA" w14:textId="77777777" w:rsidR="007F10A0" w:rsidRPr="00A44BAD" w:rsidRDefault="00A44BAD" w:rsidP="00A44BA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518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E3DD1" w14:textId="77777777" w:rsidR="00350EB7" w:rsidRDefault="00350EB7" w:rsidP="000C30ED">
      <w:r>
        <w:separator/>
      </w:r>
    </w:p>
  </w:footnote>
  <w:footnote w:type="continuationSeparator" w:id="0">
    <w:p w14:paraId="3A9AA483" w14:textId="77777777" w:rsidR="00350EB7" w:rsidRDefault="00350EB7" w:rsidP="000C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93B45" w14:textId="77777777" w:rsidR="00A44BAD" w:rsidRPr="00A44BAD" w:rsidRDefault="00A44BAD" w:rsidP="00A44BA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6766-10-23</w:t>
    </w:r>
    <w:r>
      <w:rPr>
        <w:rFonts w:ascii="David" w:hAnsi="David"/>
        <w:color w:val="000000"/>
        <w:sz w:val="22"/>
        <w:szCs w:val="22"/>
        <w:rtl/>
      </w:rPr>
      <w:tab/>
      <w:t xml:space="preserve"> מדינת ישראל תביעות נגב נ' רנטה ליטבינובה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4A584" w14:textId="77777777" w:rsidR="00A44BAD" w:rsidRPr="00A44BAD" w:rsidRDefault="00A44BAD" w:rsidP="00A44BA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6766-10-23</w:t>
    </w:r>
    <w:r>
      <w:rPr>
        <w:rFonts w:ascii="David" w:hAnsi="David"/>
        <w:color w:val="000000"/>
        <w:sz w:val="22"/>
        <w:szCs w:val="22"/>
        <w:rtl/>
      </w:rPr>
      <w:tab/>
      <w:t xml:space="preserve"> מדינת ישראל תביעות נגב נ' רנטה ליטבינובה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1" w15:restartNumberingAfterBreak="0">
    <w:nsid w:val="4A5F6FEA"/>
    <w:multiLevelType w:val="hybridMultilevel"/>
    <w:tmpl w:val="4ECE9118"/>
    <w:lvl w:ilvl="0" w:tplc="2EF0F4BC">
      <w:start w:val="1"/>
      <w:numFmt w:val="hebrew1"/>
      <w:lvlText w:val="(%1)"/>
      <w:lvlJc w:val="left"/>
      <w:pPr>
        <w:ind w:left="1863" w:hanging="360"/>
      </w:pPr>
    </w:lvl>
    <w:lvl w:ilvl="1" w:tplc="76DC409A">
      <w:start w:val="1"/>
      <w:numFmt w:val="lowerLetter"/>
      <w:lvlText w:val="%2."/>
      <w:lvlJc w:val="left"/>
      <w:pPr>
        <w:ind w:left="2583" w:hanging="360"/>
      </w:pPr>
    </w:lvl>
    <w:lvl w:ilvl="2" w:tplc="DE9EEA4C">
      <w:start w:val="1"/>
      <w:numFmt w:val="lowerRoman"/>
      <w:lvlText w:val="%3."/>
      <w:lvlJc w:val="right"/>
      <w:pPr>
        <w:ind w:left="3303" w:hanging="180"/>
      </w:pPr>
    </w:lvl>
    <w:lvl w:ilvl="3" w:tplc="1B2263A0">
      <w:start w:val="1"/>
      <w:numFmt w:val="decimal"/>
      <w:lvlText w:val="%4."/>
      <w:lvlJc w:val="left"/>
      <w:pPr>
        <w:ind w:left="4023" w:hanging="360"/>
      </w:pPr>
    </w:lvl>
    <w:lvl w:ilvl="4" w:tplc="64AC7DE6">
      <w:start w:val="1"/>
      <w:numFmt w:val="lowerLetter"/>
      <w:lvlText w:val="%5."/>
      <w:lvlJc w:val="left"/>
      <w:pPr>
        <w:ind w:left="4743" w:hanging="360"/>
      </w:pPr>
    </w:lvl>
    <w:lvl w:ilvl="5" w:tplc="3E303678">
      <w:start w:val="1"/>
      <w:numFmt w:val="lowerRoman"/>
      <w:lvlText w:val="%6."/>
      <w:lvlJc w:val="right"/>
      <w:pPr>
        <w:ind w:left="5463" w:hanging="180"/>
      </w:pPr>
    </w:lvl>
    <w:lvl w:ilvl="6" w:tplc="21169B24">
      <w:start w:val="1"/>
      <w:numFmt w:val="decimal"/>
      <w:lvlText w:val="%7."/>
      <w:lvlJc w:val="left"/>
      <w:pPr>
        <w:ind w:left="6183" w:hanging="360"/>
      </w:pPr>
    </w:lvl>
    <w:lvl w:ilvl="7" w:tplc="321CEC24">
      <w:start w:val="1"/>
      <w:numFmt w:val="lowerLetter"/>
      <w:lvlText w:val="%8."/>
      <w:lvlJc w:val="left"/>
      <w:pPr>
        <w:ind w:left="6903" w:hanging="360"/>
      </w:pPr>
    </w:lvl>
    <w:lvl w:ilvl="8" w:tplc="C882B490">
      <w:start w:val="1"/>
      <w:numFmt w:val="lowerRoman"/>
      <w:lvlText w:val="%9."/>
      <w:lvlJc w:val="right"/>
      <w:pPr>
        <w:ind w:left="7623" w:hanging="180"/>
      </w:pPr>
    </w:lvl>
  </w:abstractNum>
  <w:abstractNum w:abstractNumId="2"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3" w15:restartNumberingAfterBreak="0">
    <w:nsid w:val="5BFD4701"/>
    <w:multiLevelType w:val="hybridMultilevel"/>
    <w:tmpl w:val="4532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762884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9269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5346987">
    <w:abstractNumId w:val="3"/>
  </w:num>
  <w:num w:numId="4" w16cid:durableId="89909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9425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2709"/>
    <w:rsid w:val="000C30ED"/>
    <w:rsid w:val="00155950"/>
    <w:rsid w:val="001B5A3B"/>
    <w:rsid w:val="00221631"/>
    <w:rsid w:val="00304FC3"/>
    <w:rsid w:val="00350EB7"/>
    <w:rsid w:val="00493241"/>
    <w:rsid w:val="004D1C2D"/>
    <w:rsid w:val="005317A8"/>
    <w:rsid w:val="00716EBD"/>
    <w:rsid w:val="007F10A0"/>
    <w:rsid w:val="008610A8"/>
    <w:rsid w:val="008D6475"/>
    <w:rsid w:val="00A44BAD"/>
    <w:rsid w:val="00B85B94"/>
    <w:rsid w:val="00D27560"/>
    <w:rsid w:val="00D42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153674"/>
  <w15:chartTrackingRefBased/>
  <w15:docId w15:val="{2A7FCFED-0CD5-4422-80EC-1CCF04B4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42709"/>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42709"/>
    <w:pPr>
      <w:tabs>
        <w:tab w:val="center" w:pos="4153"/>
        <w:tab w:val="right" w:pos="8306"/>
      </w:tabs>
    </w:pPr>
  </w:style>
  <w:style w:type="character" w:customStyle="1" w:styleId="a5">
    <w:name w:val="כותרת עליונה תו"/>
    <w:link w:val="a4"/>
    <w:rsid w:val="00D42709"/>
    <w:rPr>
      <w:rFonts w:ascii="Times New Roman" w:eastAsia="Times New Roman" w:hAnsi="Times New Roman" w:cs="David"/>
      <w:sz w:val="24"/>
      <w:szCs w:val="24"/>
    </w:rPr>
  </w:style>
  <w:style w:type="paragraph" w:styleId="a6">
    <w:name w:val="footer"/>
    <w:basedOn w:val="a0"/>
    <w:link w:val="a7"/>
    <w:rsid w:val="00D42709"/>
    <w:pPr>
      <w:tabs>
        <w:tab w:val="center" w:pos="4153"/>
        <w:tab w:val="right" w:pos="8306"/>
      </w:tabs>
    </w:pPr>
  </w:style>
  <w:style w:type="character" w:customStyle="1" w:styleId="a7">
    <w:name w:val="כותרת תחתונה תו"/>
    <w:link w:val="a6"/>
    <w:rsid w:val="00D42709"/>
    <w:rPr>
      <w:rFonts w:ascii="Times New Roman" w:eastAsia="Times New Roman" w:hAnsi="Times New Roman" w:cs="David"/>
      <w:sz w:val="24"/>
      <w:szCs w:val="24"/>
    </w:rPr>
  </w:style>
  <w:style w:type="table" w:styleId="a8">
    <w:name w:val="Table Grid"/>
    <w:basedOn w:val="a2"/>
    <w:rsid w:val="00D427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42709"/>
  </w:style>
  <w:style w:type="character" w:styleId="Hyperlink">
    <w:name w:val="Hyperlink"/>
    <w:rsid w:val="00D42709"/>
    <w:rPr>
      <w:color w:val="0000FF"/>
      <w:u w:val="single"/>
    </w:rPr>
  </w:style>
  <w:style w:type="paragraph" w:styleId="aa">
    <w:name w:val="List Paragraph"/>
    <w:basedOn w:val="a0"/>
    <w:qFormat/>
    <w:rsid w:val="00D42709"/>
    <w:pPr>
      <w:ind w:left="720"/>
      <w:contextualSpacing/>
    </w:pPr>
  </w:style>
  <w:style w:type="paragraph" w:customStyle="1" w:styleId="ab">
    <w:name w:val="ללא מספור"/>
    <w:rsid w:val="00D42709"/>
    <w:pPr>
      <w:bidi/>
      <w:spacing w:after="240" w:line="360" w:lineRule="auto"/>
      <w:ind w:left="651" w:hanging="7"/>
      <w:jc w:val="both"/>
    </w:pPr>
    <w:rPr>
      <w:rFonts w:ascii="David" w:hAnsi="David" w:cs="David"/>
      <w:sz w:val="24"/>
      <w:szCs w:val="24"/>
    </w:rPr>
  </w:style>
  <w:style w:type="paragraph" w:customStyle="1" w:styleId="a">
    <w:name w:val="ממוספר"/>
    <w:basedOn w:val="aa"/>
    <w:next w:val="ab"/>
    <w:rsid w:val="00D42709"/>
    <w:pPr>
      <w:numPr>
        <w:ilvl w:val="1"/>
        <w:numId w:val="4"/>
      </w:numPr>
      <w:spacing w:after="240" w:line="360" w:lineRule="auto"/>
      <w:contextualSpacing w:val="0"/>
      <w:jc w:val="both"/>
    </w:pPr>
    <w:rPr>
      <w:rFonts w:ascii="David" w:eastAsia="David" w:hAnsi="David"/>
    </w:rPr>
  </w:style>
  <w:style w:type="paragraph" w:customStyle="1" w:styleId="ac">
    <w:name w:val="צטוט"/>
    <w:next w:val="ab"/>
    <w:rsid w:val="00D42709"/>
    <w:pPr>
      <w:bidi/>
      <w:spacing w:after="240" w:line="276" w:lineRule="auto"/>
      <w:ind w:left="1503" w:right="709"/>
      <w:jc w:val="both"/>
    </w:pPr>
    <w:rPr>
      <w:rFonts w:ascii="David" w:hAnsi="David" w:cs="David"/>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 TargetMode="External"/><Relationship Id="rId18" Type="http://schemas.openxmlformats.org/officeDocument/2006/relationships/hyperlink" Target="http://www.nevo.co.il/case/6079049" TargetMode="External"/><Relationship Id="rId26" Type="http://schemas.openxmlformats.org/officeDocument/2006/relationships/hyperlink" Target="http://www.nevo.co.il/law/4216/36c.b" TargetMode="External"/><Relationship Id="rId3" Type="http://schemas.openxmlformats.org/officeDocument/2006/relationships/settings" Target="settings.xml"/><Relationship Id="rId21" Type="http://schemas.openxmlformats.org/officeDocument/2006/relationships/hyperlink" Target="http://www.nevo.co.il/case/22312362"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161892"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96686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2505600" TargetMode="External"/><Relationship Id="rId20" Type="http://schemas.openxmlformats.org/officeDocument/2006/relationships/hyperlink" Target="http://www.nevo.co.il/case/2600708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7a" TargetMode="External"/><Relationship Id="rId24" Type="http://schemas.openxmlformats.org/officeDocument/2006/relationships/hyperlink" Target="http://www.nevo.co.il/case/596032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31.6" TargetMode="External"/><Relationship Id="rId23" Type="http://schemas.openxmlformats.org/officeDocument/2006/relationships/hyperlink" Target="http://www.nevo.co.il/law/4216" TargetMode="External"/><Relationship Id="rId28" Type="http://schemas.openxmlformats.org/officeDocument/2006/relationships/hyperlink" Target="http://www.eca.gov.il" TargetMode="External"/><Relationship Id="rId10" Type="http://schemas.openxmlformats.org/officeDocument/2006/relationships/hyperlink" Target="http://www.nevo.co.il/law/4216/36c.b" TargetMode="External"/><Relationship Id="rId19" Type="http://schemas.openxmlformats.org/officeDocument/2006/relationships/hyperlink" Target="http://www.nevo.co.il/case/610478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31.6" TargetMode="External"/><Relationship Id="rId14" Type="http://schemas.openxmlformats.org/officeDocument/2006/relationships/hyperlink" Target="http://www.nevo.co.il/law/4216/1" TargetMode="External"/><Relationship Id="rId22" Type="http://schemas.openxmlformats.org/officeDocument/2006/relationships/hyperlink" Target="http://www.nevo.co.il/case/5721590" TargetMode="External"/><Relationship Id="rId27" Type="http://schemas.openxmlformats.org/officeDocument/2006/relationships/hyperlink" Target="http://www.nevo.co.il/case/5681787"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2033</Words>
  <Characters>10166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12175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3997819</vt:i4>
      </vt:variant>
      <vt:variant>
        <vt:i4>60</vt:i4>
      </vt:variant>
      <vt:variant>
        <vt:i4>0</vt:i4>
      </vt:variant>
      <vt:variant>
        <vt:i4>5</vt:i4>
      </vt:variant>
      <vt:variant>
        <vt:lpwstr>http://www.nevo.co.il/case/5681787</vt:lpwstr>
      </vt:variant>
      <vt:variant>
        <vt:lpwstr/>
      </vt:variant>
      <vt:variant>
        <vt:i4>4980818</vt:i4>
      </vt:variant>
      <vt:variant>
        <vt:i4>57</vt:i4>
      </vt:variant>
      <vt:variant>
        <vt:i4>0</vt:i4>
      </vt:variant>
      <vt:variant>
        <vt:i4>5</vt:i4>
      </vt:variant>
      <vt:variant>
        <vt:lpwstr>http://www.nevo.co.il/law/4216/36c.b</vt:lpwstr>
      </vt:variant>
      <vt:variant>
        <vt:lpwstr/>
      </vt:variant>
      <vt:variant>
        <vt:i4>3866750</vt:i4>
      </vt:variant>
      <vt:variant>
        <vt:i4>54</vt:i4>
      </vt:variant>
      <vt:variant>
        <vt:i4>0</vt:i4>
      </vt:variant>
      <vt:variant>
        <vt:i4>5</vt:i4>
      </vt:variant>
      <vt:variant>
        <vt:lpwstr>http://www.nevo.co.il/case/24966863</vt:lpwstr>
      </vt:variant>
      <vt:variant>
        <vt:lpwstr/>
      </vt:variant>
      <vt:variant>
        <vt:i4>3407999</vt:i4>
      </vt:variant>
      <vt:variant>
        <vt:i4>51</vt:i4>
      </vt:variant>
      <vt:variant>
        <vt:i4>0</vt:i4>
      </vt:variant>
      <vt:variant>
        <vt:i4>5</vt:i4>
      </vt:variant>
      <vt:variant>
        <vt:lpwstr>http://www.nevo.co.il/case/5960324</vt:lpwstr>
      </vt:variant>
      <vt:variant>
        <vt:lpwstr/>
      </vt:variant>
      <vt:variant>
        <vt:i4>8257637</vt:i4>
      </vt:variant>
      <vt:variant>
        <vt:i4>48</vt:i4>
      </vt:variant>
      <vt:variant>
        <vt:i4>0</vt:i4>
      </vt:variant>
      <vt:variant>
        <vt:i4>5</vt:i4>
      </vt:variant>
      <vt:variant>
        <vt:lpwstr>http://www.nevo.co.il/law/4216</vt:lpwstr>
      </vt:variant>
      <vt:variant>
        <vt:lpwstr/>
      </vt:variant>
      <vt:variant>
        <vt:i4>3276923</vt:i4>
      </vt:variant>
      <vt:variant>
        <vt:i4>45</vt:i4>
      </vt:variant>
      <vt:variant>
        <vt:i4>0</vt:i4>
      </vt:variant>
      <vt:variant>
        <vt:i4>5</vt:i4>
      </vt:variant>
      <vt:variant>
        <vt:lpwstr>http://www.nevo.co.il/case/5721590</vt:lpwstr>
      </vt:variant>
      <vt:variant>
        <vt:lpwstr/>
      </vt:variant>
      <vt:variant>
        <vt:i4>3473524</vt:i4>
      </vt:variant>
      <vt:variant>
        <vt:i4>42</vt:i4>
      </vt:variant>
      <vt:variant>
        <vt:i4>0</vt:i4>
      </vt:variant>
      <vt:variant>
        <vt:i4>5</vt:i4>
      </vt:variant>
      <vt:variant>
        <vt:lpwstr>http://www.nevo.co.il/case/22312362</vt:lpwstr>
      </vt:variant>
      <vt:variant>
        <vt:lpwstr/>
      </vt:variant>
      <vt:variant>
        <vt:i4>3997810</vt:i4>
      </vt:variant>
      <vt:variant>
        <vt:i4>39</vt:i4>
      </vt:variant>
      <vt:variant>
        <vt:i4>0</vt:i4>
      </vt:variant>
      <vt:variant>
        <vt:i4>5</vt:i4>
      </vt:variant>
      <vt:variant>
        <vt:lpwstr>http://www.nevo.co.il/case/26007086</vt:lpwstr>
      </vt:variant>
      <vt:variant>
        <vt:lpwstr/>
      </vt:variant>
      <vt:variant>
        <vt:i4>3276921</vt:i4>
      </vt:variant>
      <vt:variant>
        <vt:i4>36</vt:i4>
      </vt:variant>
      <vt:variant>
        <vt:i4>0</vt:i4>
      </vt:variant>
      <vt:variant>
        <vt:i4>5</vt:i4>
      </vt:variant>
      <vt:variant>
        <vt:lpwstr>http://www.nevo.co.il/case/6104783</vt:lpwstr>
      </vt:variant>
      <vt:variant>
        <vt:lpwstr/>
      </vt:variant>
      <vt:variant>
        <vt:i4>3670137</vt:i4>
      </vt:variant>
      <vt:variant>
        <vt:i4>33</vt:i4>
      </vt:variant>
      <vt:variant>
        <vt:i4>0</vt:i4>
      </vt:variant>
      <vt:variant>
        <vt:i4>5</vt:i4>
      </vt:variant>
      <vt:variant>
        <vt:lpwstr>http://www.nevo.co.il/case/6079049</vt:lpwstr>
      </vt:variant>
      <vt:variant>
        <vt:lpwstr/>
      </vt:variant>
      <vt:variant>
        <vt:i4>8257637</vt:i4>
      </vt:variant>
      <vt:variant>
        <vt:i4>30</vt:i4>
      </vt:variant>
      <vt:variant>
        <vt:i4>0</vt:i4>
      </vt:variant>
      <vt:variant>
        <vt:i4>5</vt:i4>
      </vt:variant>
      <vt:variant>
        <vt:lpwstr>http://www.nevo.co.il/law/4216</vt:lpwstr>
      </vt:variant>
      <vt:variant>
        <vt:lpwstr/>
      </vt:variant>
      <vt:variant>
        <vt:i4>3276912</vt:i4>
      </vt:variant>
      <vt:variant>
        <vt:i4>27</vt:i4>
      </vt:variant>
      <vt:variant>
        <vt:i4>0</vt:i4>
      </vt:variant>
      <vt:variant>
        <vt:i4>5</vt:i4>
      </vt:variant>
      <vt:variant>
        <vt:lpwstr>http://www.nevo.co.il/case/22505600</vt:lpwstr>
      </vt:variant>
      <vt:variant>
        <vt:lpwstr/>
      </vt:variant>
      <vt:variant>
        <vt:i4>6488187</vt:i4>
      </vt:variant>
      <vt:variant>
        <vt:i4>24</vt:i4>
      </vt:variant>
      <vt:variant>
        <vt:i4>0</vt:i4>
      </vt:variant>
      <vt:variant>
        <vt:i4>5</vt:i4>
      </vt:variant>
      <vt:variant>
        <vt:lpwstr>http://www.nevo.co.il/law/4216/31.6</vt:lpwstr>
      </vt:variant>
      <vt:variant>
        <vt:lpwstr/>
      </vt:variant>
      <vt:variant>
        <vt:i4>5177418</vt:i4>
      </vt:variant>
      <vt:variant>
        <vt:i4>21</vt:i4>
      </vt:variant>
      <vt:variant>
        <vt:i4>0</vt:i4>
      </vt:variant>
      <vt:variant>
        <vt:i4>5</vt:i4>
      </vt:variant>
      <vt:variant>
        <vt:lpwstr>http://www.nevo.co.il/law/4216/1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589898</vt:i4>
      </vt:variant>
      <vt:variant>
        <vt:i4>15</vt:i4>
      </vt:variant>
      <vt:variant>
        <vt:i4>0</vt:i4>
      </vt:variant>
      <vt:variant>
        <vt:i4>5</vt:i4>
      </vt:variant>
      <vt:variant>
        <vt:lpwstr>http://www.nevo.co.il/case/161892</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4980818</vt:i4>
      </vt:variant>
      <vt:variant>
        <vt:i4>9</vt:i4>
      </vt:variant>
      <vt:variant>
        <vt:i4>0</vt:i4>
      </vt:variant>
      <vt:variant>
        <vt:i4>5</vt:i4>
      </vt:variant>
      <vt:variant>
        <vt:lpwstr>http://www.nevo.co.il/law/4216/36c.b</vt:lpwstr>
      </vt:variant>
      <vt:variant>
        <vt:lpwstr/>
      </vt:variant>
      <vt:variant>
        <vt:i4>6488187</vt:i4>
      </vt:variant>
      <vt:variant>
        <vt:i4>6</vt:i4>
      </vt:variant>
      <vt:variant>
        <vt:i4>0</vt:i4>
      </vt:variant>
      <vt:variant>
        <vt:i4>5</vt:i4>
      </vt:variant>
      <vt:variant>
        <vt:lpwstr>http://www.nevo.co.il/law/4216/31.6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6766</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 תביעות נגב</vt:lpwstr>
  </property>
  <property fmtid="{D5CDD505-2E9C-101B-9397-08002B2CF9AE}" pid="9" name="APPELLEE">
    <vt:lpwstr>רנטה ליטבינובה</vt:lpwstr>
  </property>
  <property fmtid="{D5CDD505-2E9C-101B-9397-08002B2CF9AE}" pid="10" name="LAWYER">
    <vt:lpwstr>רוית מוחבר</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20240718</vt:lpwstr>
  </property>
  <property fmtid="{D5CDD505-2E9C-101B-9397-08002B2CF9AE}" pid="14" name="TYPE_N_DATE">
    <vt:lpwstr>38020240718</vt:lpwstr>
  </property>
  <property fmtid="{D5CDD505-2E9C-101B-9397-08002B2CF9AE}" pid="15" name="WORDNUMPAGES">
    <vt:lpwstr>8</vt:lpwstr>
  </property>
  <property fmtid="{D5CDD505-2E9C-101B-9397-08002B2CF9AE}" pid="16" name="TYPE_ABS_DATE">
    <vt:lpwstr>380020240718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161892;22505600;6079049;6104783;26007086;22312362;5721590;5960324;24966863;5681787</vt:lpwstr>
  </property>
  <property fmtid="{D5CDD505-2E9C-101B-9397-08002B2CF9AE}" pid="36" name="LAWLISTTMP1">
    <vt:lpwstr>4216/037a;001;031.6;036c.b</vt:lpwstr>
  </property>
</Properties>
</file>