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E5A21" w:rsidRPr="00D63B0A" w14:paraId="1710D824" w14:textId="77777777" w:rsidTr="009D4A51">
        <w:trPr>
          <w:trHeight w:hRule="exact" w:val="418"/>
          <w:jc w:val="center"/>
        </w:trPr>
        <w:tc>
          <w:tcPr>
            <w:tcW w:w="8721" w:type="dxa"/>
            <w:gridSpan w:val="2"/>
          </w:tcPr>
          <w:p w14:paraId="18AF45AE" w14:textId="77777777" w:rsidR="004E5A21" w:rsidRPr="00D63B0A" w:rsidRDefault="004E5A21" w:rsidP="004C02EB">
            <w:pPr>
              <w:pStyle w:val="a4"/>
              <w:jc w:val="center"/>
              <w:rPr>
                <w:rFonts w:ascii="Tahoma" w:hAnsi="Tahoma" w:cs="Tahoma"/>
                <w:color w:val="000080"/>
                <w:rtl/>
              </w:rPr>
            </w:pPr>
            <w:bookmarkStart w:id="0" w:name="LastJudge"/>
            <w:r w:rsidRPr="00D63B0A">
              <w:rPr>
                <w:rFonts w:ascii="Tahoma" w:hAnsi="Tahoma" w:cs="Tahoma"/>
                <w:b/>
                <w:bCs/>
                <w:color w:val="000080"/>
                <w:rtl/>
              </w:rPr>
              <w:t>בית משפט השלום בתל אביב -יפו</w:t>
            </w:r>
          </w:p>
        </w:tc>
      </w:tr>
      <w:tr w:rsidR="004E5A21" w:rsidRPr="00D63B0A" w14:paraId="31A42179" w14:textId="77777777" w:rsidTr="009D4A51">
        <w:trPr>
          <w:trHeight w:val="337"/>
          <w:jc w:val="center"/>
        </w:trPr>
        <w:tc>
          <w:tcPr>
            <w:tcW w:w="5054" w:type="dxa"/>
          </w:tcPr>
          <w:p w14:paraId="7C408BD4" w14:textId="77777777" w:rsidR="004E5A21" w:rsidRPr="00D63B0A" w:rsidRDefault="004E5A21" w:rsidP="004C02EB">
            <w:pPr>
              <w:rPr>
                <w:rFonts w:cs="FrankRuehl"/>
                <w:sz w:val="28"/>
                <w:szCs w:val="28"/>
                <w:rtl/>
              </w:rPr>
            </w:pPr>
            <w:r w:rsidRPr="00D63B0A">
              <w:rPr>
                <w:rFonts w:cs="FrankRuehl"/>
                <w:sz w:val="28"/>
                <w:szCs w:val="28"/>
                <w:rtl/>
              </w:rPr>
              <w:t>ת"פ</w:t>
            </w:r>
            <w:r w:rsidRPr="00D63B0A">
              <w:rPr>
                <w:rFonts w:cs="FrankRuehl" w:hint="cs"/>
                <w:sz w:val="28"/>
                <w:szCs w:val="28"/>
                <w:rtl/>
              </w:rPr>
              <w:t xml:space="preserve"> </w:t>
            </w:r>
            <w:r w:rsidRPr="00D63B0A">
              <w:rPr>
                <w:rFonts w:cs="FrankRuehl"/>
                <w:sz w:val="28"/>
                <w:szCs w:val="28"/>
                <w:rtl/>
              </w:rPr>
              <w:t>3376-11-23</w:t>
            </w:r>
            <w:r w:rsidRPr="00D63B0A">
              <w:rPr>
                <w:rFonts w:cs="FrankRuehl" w:hint="cs"/>
                <w:sz w:val="28"/>
                <w:szCs w:val="28"/>
                <w:rtl/>
              </w:rPr>
              <w:t xml:space="preserve"> </w:t>
            </w:r>
            <w:r w:rsidRPr="00D63B0A">
              <w:rPr>
                <w:rFonts w:cs="FrankRuehl"/>
                <w:sz w:val="28"/>
                <w:szCs w:val="28"/>
                <w:rtl/>
              </w:rPr>
              <w:t>מדינת ישראל נ' ברדלי פטרק</w:t>
            </w:r>
          </w:p>
          <w:p w14:paraId="53415168" w14:textId="77777777" w:rsidR="004E5A21" w:rsidRPr="00D63B0A" w:rsidRDefault="004E5A21" w:rsidP="004C02EB">
            <w:pPr>
              <w:pStyle w:val="a4"/>
              <w:rPr>
                <w:rFonts w:cs="FrankRuehl"/>
                <w:sz w:val="28"/>
                <w:szCs w:val="28"/>
                <w:rtl/>
              </w:rPr>
            </w:pPr>
          </w:p>
        </w:tc>
        <w:tc>
          <w:tcPr>
            <w:tcW w:w="3667" w:type="dxa"/>
          </w:tcPr>
          <w:p w14:paraId="0BDCD355" w14:textId="77777777" w:rsidR="004E5A21" w:rsidRPr="00D63B0A" w:rsidRDefault="004E5A21" w:rsidP="004C02EB">
            <w:pPr>
              <w:pStyle w:val="a4"/>
              <w:jc w:val="right"/>
              <w:rPr>
                <w:rFonts w:cs="FrankRuehl"/>
                <w:sz w:val="28"/>
                <w:szCs w:val="28"/>
                <w:rtl/>
              </w:rPr>
            </w:pPr>
          </w:p>
        </w:tc>
      </w:tr>
    </w:tbl>
    <w:p w14:paraId="00A4DE47" w14:textId="77777777" w:rsidR="004E5A21" w:rsidRPr="00D63B0A" w:rsidRDefault="004E5A21" w:rsidP="004E5A21">
      <w:pPr>
        <w:pStyle w:val="a4"/>
        <w:rPr>
          <w:rtl/>
        </w:rPr>
      </w:pPr>
      <w:r w:rsidRPr="00D63B0A">
        <w:rPr>
          <w:rFonts w:hint="cs"/>
          <w:rtl/>
        </w:rPr>
        <w:t xml:space="preserve"> </w:t>
      </w:r>
    </w:p>
    <w:p w14:paraId="4FEFE990" w14:textId="77777777" w:rsidR="004E5A21" w:rsidRPr="00D63B0A" w:rsidRDefault="004E5A21" w:rsidP="004E5A21">
      <w:pPr>
        <w:rPr>
          <w:rtl/>
        </w:rPr>
      </w:pPr>
    </w:p>
    <w:p w14:paraId="41E013C1" w14:textId="77777777" w:rsidR="004E5A21" w:rsidRPr="00D63B0A" w:rsidRDefault="004E5A21" w:rsidP="004E5A2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E5A21" w:rsidRPr="00D63B0A" w14:paraId="0CB602B1" w14:textId="77777777" w:rsidTr="004E5A21">
        <w:trPr>
          <w:trHeight w:val="295"/>
          <w:jc w:val="center"/>
        </w:trPr>
        <w:tc>
          <w:tcPr>
            <w:tcW w:w="923" w:type="dxa"/>
            <w:tcBorders>
              <w:top w:val="nil"/>
              <w:left w:val="nil"/>
              <w:bottom w:val="nil"/>
              <w:right w:val="nil"/>
            </w:tcBorders>
            <w:shd w:val="clear" w:color="auto" w:fill="auto"/>
          </w:tcPr>
          <w:p w14:paraId="4C629B45" w14:textId="77777777" w:rsidR="004E5A21" w:rsidRPr="00D63B0A" w:rsidRDefault="004E5A21" w:rsidP="004E5A21">
            <w:pPr>
              <w:jc w:val="both"/>
              <w:rPr>
                <w:rFonts w:ascii="David" w:hAnsi="David"/>
                <w:sz w:val="26"/>
                <w:szCs w:val="26"/>
              </w:rPr>
            </w:pPr>
            <w:r w:rsidRPr="00D63B0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DEB7CD4" w14:textId="77777777" w:rsidR="004E5A21" w:rsidRPr="00D63B0A" w:rsidRDefault="004E5A21" w:rsidP="004C02EB">
            <w:pPr>
              <w:rPr>
                <w:rFonts w:ascii="David" w:hAnsi="David"/>
                <w:b/>
                <w:bCs/>
                <w:sz w:val="26"/>
                <w:szCs w:val="26"/>
                <w:rtl/>
              </w:rPr>
            </w:pPr>
            <w:r w:rsidRPr="00D63B0A">
              <w:rPr>
                <w:rFonts w:ascii="David" w:hAnsi="David"/>
                <w:b/>
                <w:bCs/>
                <w:sz w:val="26"/>
                <w:szCs w:val="26"/>
                <w:rtl/>
              </w:rPr>
              <w:t>כבוד השופטת  אביטל אמסלם- גלבוע</w:t>
            </w:r>
          </w:p>
          <w:p w14:paraId="4E20DE41" w14:textId="77777777" w:rsidR="004E5A21" w:rsidRPr="00D63B0A" w:rsidRDefault="004E5A21" w:rsidP="004C02EB">
            <w:pPr>
              <w:rPr>
                <w:rFonts w:ascii="David" w:hAnsi="David"/>
                <w:sz w:val="26"/>
                <w:szCs w:val="26"/>
                <w:rtl/>
              </w:rPr>
            </w:pPr>
          </w:p>
          <w:p w14:paraId="5DFB4C96" w14:textId="77777777" w:rsidR="004E5A21" w:rsidRPr="00D63B0A" w:rsidRDefault="004E5A21" w:rsidP="004E5A21">
            <w:pPr>
              <w:jc w:val="both"/>
              <w:rPr>
                <w:rFonts w:ascii="David" w:hAnsi="David"/>
                <w:sz w:val="26"/>
                <w:szCs w:val="26"/>
              </w:rPr>
            </w:pPr>
          </w:p>
        </w:tc>
      </w:tr>
      <w:tr w:rsidR="004E5A21" w:rsidRPr="00D63B0A" w14:paraId="27879DB1" w14:textId="77777777" w:rsidTr="004E5A21">
        <w:trPr>
          <w:trHeight w:val="355"/>
          <w:jc w:val="center"/>
        </w:trPr>
        <w:tc>
          <w:tcPr>
            <w:tcW w:w="923" w:type="dxa"/>
            <w:tcBorders>
              <w:top w:val="nil"/>
              <w:left w:val="nil"/>
              <w:bottom w:val="nil"/>
              <w:right w:val="nil"/>
            </w:tcBorders>
            <w:shd w:val="clear" w:color="auto" w:fill="auto"/>
          </w:tcPr>
          <w:p w14:paraId="3D91FEDE" w14:textId="77777777" w:rsidR="004E5A21" w:rsidRPr="00D63B0A" w:rsidRDefault="004E5A21" w:rsidP="004E5A21">
            <w:pPr>
              <w:jc w:val="both"/>
              <w:rPr>
                <w:rFonts w:ascii="David" w:hAnsi="David"/>
                <w:sz w:val="26"/>
                <w:szCs w:val="26"/>
              </w:rPr>
            </w:pPr>
            <w:bookmarkStart w:id="1" w:name="FirstAppellant"/>
            <w:r w:rsidRPr="00D63B0A">
              <w:rPr>
                <w:rFonts w:ascii="David" w:hAnsi="David"/>
                <w:sz w:val="26"/>
                <w:szCs w:val="26"/>
                <w:rtl/>
              </w:rPr>
              <w:t>בעניין:</w:t>
            </w:r>
          </w:p>
        </w:tc>
        <w:tc>
          <w:tcPr>
            <w:tcW w:w="3219" w:type="dxa"/>
            <w:tcBorders>
              <w:top w:val="nil"/>
              <w:left w:val="nil"/>
              <w:bottom w:val="nil"/>
              <w:right w:val="nil"/>
            </w:tcBorders>
            <w:shd w:val="clear" w:color="auto" w:fill="auto"/>
          </w:tcPr>
          <w:p w14:paraId="24EB57D4" w14:textId="77777777" w:rsidR="004E5A21" w:rsidRPr="00D63B0A" w:rsidRDefault="004E5A21" w:rsidP="004E5A21">
            <w:pPr>
              <w:suppressLineNumbers/>
            </w:pPr>
            <w:r w:rsidRPr="00D63B0A">
              <w:rPr>
                <w:rFonts w:ascii="Arial" w:hAnsi="Arial" w:hint="cs"/>
                <w:b/>
                <w:bCs/>
                <w:sz w:val="26"/>
                <w:szCs w:val="26"/>
                <w:rtl/>
              </w:rPr>
              <w:t>המאשימה:</w:t>
            </w:r>
          </w:p>
          <w:p w14:paraId="739516EF" w14:textId="77777777" w:rsidR="004E5A21" w:rsidRPr="00D63B0A" w:rsidRDefault="004E5A21" w:rsidP="004C02EB">
            <w:pPr>
              <w:rPr>
                <w:rFonts w:ascii="David" w:hAnsi="David"/>
                <w:sz w:val="26"/>
                <w:szCs w:val="26"/>
              </w:rPr>
            </w:pPr>
          </w:p>
        </w:tc>
        <w:tc>
          <w:tcPr>
            <w:tcW w:w="4678" w:type="dxa"/>
            <w:tcBorders>
              <w:top w:val="nil"/>
              <w:left w:val="nil"/>
              <w:bottom w:val="nil"/>
              <w:right w:val="nil"/>
            </w:tcBorders>
            <w:shd w:val="clear" w:color="auto" w:fill="auto"/>
            <w:vAlign w:val="center"/>
          </w:tcPr>
          <w:p w14:paraId="399DD47F" w14:textId="77777777" w:rsidR="004E5A21" w:rsidRPr="00D63B0A" w:rsidRDefault="004E5A21" w:rsidP="004E5A21">
            <w:pPr>
              <w:suppressLineNumbers/>
              <w:rPr>
                <w:rFonts w:ascii="Arial" w:hAnsi="Arial"/>
                <w:b/>
                <w:bCs/>
                <w:sz w:val="26"/>
                <w:szCs w:val="26"/>
                <w:rtl/>
              </w:rPr>
            </w:pPr>
            <w:r w:rsidRPr="00D63B0A">
              <w:rPr>
                <w:rFonts w:ascii="Arial" w:hAnsi="Arial"/>
                <w:b/>
                <w:bCs/>
                <w:sz w:val="26"/>
                <w:szCs w:val="26"/>
                <w:rtl/>
              </w:rPr>
              <w:t>מדינת ישראל</w:t>
            </w:r>
            <w:r w:rsidRPr="00D63B0A">
              <w:rPr>
                <w:rFonts w:ascii="Arial" w:hAnsi="Arial" w:hint="cs"/>
                <w:b/>
                <w:bCs/>
                <w:sz w:val="26"/>
                <w:szCs w:val="26"/>
                <w:rtl/>
              </w:rPr>
              <w:t xml:space="preserve"> </w:t>
            </w:r>
          </w:p>
          <w:p w14:paraId="76EDE7C5" w14:textId="77777777" w:rsidR="004E5A21" w:rsidRPr="00D63B0A" w:rsidRDefault="004E5A21" w:rsidP="004E5A21">
            <w:pPr>
              <w:suppressLineNumbers/>
            </w:pPr>
            <w:r w:rsidRPr="00D63B0A">
              <w:rPr>
                <w:rFonts w:ascii="Arial" w:hAnsi="Arial"/>
                <w:rtl/>
              </w:rPr>
              <w:t>ע"י ב"כ עוה"ד</w:t>
            </w:r>
          </w:p>
          <w:p w14:paraId="1FE17664" w14:textId="77777777" w:rsidR="004E5A21" w:rsidRPr="00D63B0A" w:rsidRDefault="004E5A21" w:rsidP="004C02EB">
            <w:pPr>
              <w:rPr>
                <w:rFonts w:ascii="David" w:hAnsi="David"/>
                <w:sz w:val="26"/>
                <w:szCs w:val="26"/>
              </w:rPr>
            </w:pPr>
          </w:p>
        </w:tc>
      </w:tr>
      <w:bookmarkEnd w:id="1"/>
      <w:tr w:rsidR="004E5A21" w:rsidRPr="00D63B0A" w14:paraId="26B0ECE2" w14:textId="77777777" w:rsidTr="004E5A21">
        <w:trPr>
          <w:trHeight w:val="355"/>
          <w:jc w:val="center"/>
        </w:trPr>
        <w:tc>
          <w:tcPr>
            <w:tcW w:w="923" w:type="dxa"/>
            <w:tcBorders>
              <w:top w:val="nil"/>
              <w:left w:val="nil"/>
              <w:bottom w:val="nil"/>
              <w:right w:val="nil"/>
            </w:tcBorders>
            <w:shd w:val="clear" w:color="auto" w:fill="auto"/>
          </w:tcPr>
          <w:p w14:paraId="18B94E18" w14:textId="77777777" w:rsidR="004E5A21" w:rsidRPr="00D63B0A" w:rsidRDefault="004E5A21" w:rsidP="004E5A2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7F5AA70" w14:textId="77777777" w:rsidR="004E5A21" w:rsidRPr="00D63B0A" w:rsidRDefault="004E5A21" w:rsidP="004E5A21">
            <w:pPr>
              <w:jc w:val="center"/>
              <w:rPr>
                <w:rFonts w:ascii="David" w:hAnsi="David"/>
                <w:b/>
                <w:bCs/>
                <w:sz w:val="26"/>
                <w:szCs w:val="26"/>
                <w:rtl/>
              </w:rPr>
            </w:pPr>
          </w:p>
          <w:p w14:paraId="46985B9C" w14:textId="77777777" w:rsidR="004E5A21" w:rsidRPr="00D63B0A" w:rsidRDefault="004E5A21" w:rsidP="004E5A21">
            <w:pPr>
              <w:jc w:val="center"/>
              <w:rPr>
                <w:rFonts w:ascii="David" w:hAnsi="David"/>
                <w:b/>
                <w:bCs/>
                <w:sz w:val="26"/>
                <w:szCs w:val="26"/>
                <w:rtl/>
              </w:rPr>
            </w:pPr>
            <w:r w:rsidRPr="00D63B0A">
              <w:rPr>
                <w:rFonts w:ascii="David" w:hAnsi="David"/>
                <w:b/>
                <w:bCs/>
                <w:sz w:val="26"/>
                <w:szCs w:val="26"/>
                <w:rtl/>
              </w:rPr>
              <w:t>נגד</w:t>
            </w:r>
          </w:p>
          <w:p w14:paraId="5DFF501A" w14:textId="77777777" w:rsidR="004E5A21" w:rsidRPr="00D63B0A" w:rsidRDefault="004E5A21" w:rsidP="004E5A21">
            <w:pPr>
              <w:jc w:val="both"/>
              <w:rPr>
                <w:rFonts w:ascii="David" w:hAnsi="David"/>
                <w:sz w:val="26"/>
                <w:szCs w:val="26"/>
              </w:rPr>
            </w:pPr>
          </w:p>
        </w:tc>
      </w:tr>
      <w:tr w:rsidR="004E5A21" w:rsidRPr="00D63B0A" w14:paraId="4FBA7D6D" w14:textId="77777777" w:rsidTr="004E5A21">
        <w:trPr>
          <w:trHeight w:val="355"/>
          <w:jc w:val="center"/>
        </w:trPr>
        <w:tc>
          <w:tcPr>
            <w:tcW w:w="923" w:type="dxa"/>
            <w:tcBorders>
              <w:top w:val="nil"/>
              <w:left w:val="nil"/>
              <w:bottom w:val="nil"/>
              <w:right w:val="nil"/>
            </w:tcBorders>
            <w:shd w:val="clear" w:color="auto" w:fill="auto"/>
          </w:tcPr>
          <w:p w14:paraId="6C7C621B" w14:textId="77777777" w:rsidR="004E5A21" w:rsidRPr="00D63B0A" w:rsidRDefault="004E5A21" w:rsidP="004C02EB">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ACC9500" w14:textId="77777777" w:rsidR="004E5A21" w:rsidRPr="00D63B0A" w:rsidRDefault="004E5A21" w:rsidP="004C02EB">
            <w:pPr>
              <w:rPr>
                <w:rFonts w:ascii="Arial" w:hAnsi="Arial"/>
                <w:b/>
                <w:bCs/>
                <w:sz w:val="26"/>
                <w:szCs w:val="26"/>
                <w:rtl/>
              </w:rPr>
            </w:pPr>
            <w:r w:rsidRPr="00D63B0A">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157D101F" w14:textId="77777777" w:rsidR="004E5A21" w:rsidRPr="00D63B0A" w:rsidRDefault="004E5A21" w:rsidP="004E5A21">
            <w:pPr>
              <w:suppressLineNumbers/>
              <w:rPr>
                <w:rFonts w:ascii="Arial" w:hAnsi="Arial"/>
                <w:b/>
                <w:bCs/>
                <w:sz w:val="26"/>
                <w:szCs w:val="26"/>
                <w:rtl/>
              </w:rPr>
            </w:pPr>
            <w:r w:rsidRPr="00D63B0A">
              <w:rPr>
                <w:rFonts w:ascii="Arial" w:hAnsi="Arial"/>
                <w:b/>
                <w:bCs/>
                <w:sz w:val="26"/>
                <w:szCs w:val="26"/>
                <w:rtl/>
              </w:rPr>
              <w:t>סקוט ברדלי פטרק</w:t>
            </w:r>
            <w:r w:rsidRPr="00D63B0A">
              <w:rPr>
                <w:rFonts w:ascii="Arial" w:hAnsi="Arial" w:hint="cs"/>
                <w:b/>
                <w:bCs/>
                <w:sz w:val="26"/>
                <w:szCs w:val="26"/>
                <w:rtl/>
              </w:rPr>
              <w:t xml:space="preserve"> </w:t>
            </w:r>
          </w:p>
          <w:p w14:paraId="79E0371F" w14:textId="77777777" w:rsidR="004E5A21" w:rsidRPr="00D63B0A" w:rsidRDefault="004E5A21" w:rsidP="004E5A21">
            <w:pPr>
              <w:suppressLineNumbers/>
            </w:pPr>
            <w:r w:rsidRPr="00D63B0A">
              <w:rPr>
                <w:rFonts w:ascii="Arial" w:hAnsi="Arial"/>
                <w:rtl/>
              </w:rPr>
              <w:t>ע"י ב"כ עוה"ד</w:t>
            </w:r>
            <w:r w:rsidRPr="00D63B0A">
              <w:rPr>
                <w:rFonts w:ascii="Arial" w:hAnsi="Arial" w:hint="cs"/>
                <w:rtl/>
              </w:rPr>
              <w:t xml:space="preserve"> ירון פורר</w:t>
            </w:r>
          </w:p>
          <w:p w14:paraId="29AF9381" w14:textId="77777777" w:rsidR="004E5A21" w:rsidRPr="00D63B0A" w:rsidRDefault="004E5A21" w:rsidP="004C02EB">
            <w:pPr>
              <w:rPr>
                <w:rFonts w:ascii="David" w:hAnsi="David"/>
                <w:sz w:val="26"/>
                <w:szCs w:val="26"/>
              </w:rPr>
            </w:pPr>
          </w:p>
        </w:tc>
      </w:tr>
      <w:bookmarkEnd w:id="2"/>
    </w:tbl>
    <w:p w14:paraId="406A95F7" w14:textId="77777777" w:rsidR="00D63B0A" w:rsidRPr="00D63B0A" w:rsidRDefault="00D63B0A" w:rsidP="00D63B0A">
      <w:pPr>
        <w:spacing w:before="120" w:after="120" w:line="240" w:lineRule="exact"/>
        <w:ind w:left="283" w:hanging="283"/>
        <w:jc w:val="both"/>
        <w:rPr>
          <w:rFonts w:ascii="FrankRuehl" w:hAnsi="FrankRuehl" w:cs="FrankRuehl"/>
          <w:rtl/>
        </w:rPr>
      </w:pPr>
    </w:p>
    <w:p w14:paraId="5407F6A0" w14:textId="77777777" w:rsidR="009D4A51" w:rsidRPr="009D4A51" w:rsidRDefault="009D4A51" w:rsidP="009D4A51">
      <w:pPr>
        <w:spacing w:before="120" w:after="120" w:line="240" w:lineRule="exact"/>
        <w:ind w:left="283" w:hanging="283"/>
        <w:jc w:val="both"/>
        <w:rPr>
          <w:rFonts w:ascii="FrankRuehl" w:hAnsi="FrankRuehl" w:cs="FrankRuehl"/>
          <w:rtl/>
        </w:rPr>
      </w:pPr>
      <w:bookmarkStart w:id="3" w:name="LawTable"/>
      <w:bookmarkEnd w:id="3"/>
      <w:r w:rsidRPr="009D4A51">
        <w:rPr>
          <w:rFonts w:ascii="FrankRuehl" w:hAnsi="FrankRuehl" w:cs="FrankRuehl"/>
          <w:rtl/>
        </w:rPr>
        <w:t xml:space="preserve">חקיקה שאוזכרה: </w:t>
      </w:r>
    </w:p>
    <w:p w14:paraId="508D466B" w14:textId="77777777" w:rsidR="009D4A51" w:rsidRPr="009D4A51" w:rsidRDefault="009D4A51" w:rsidP="009D4A51">
      <w:pPr>
        <w:spacing w:before="120" w:after="120" w:line="240" w:lineRule="exact"/>
        <w:ind w:left="283" w:hanging="283"/>
        <w:jc w:val="both"/>
        <w:rPr>
          <w:rFonts w:ascii="FrankRuehl" w:hAnsi="FrankRuehl" w:cs="FrankRuehl"/>
          <w:color w:val="0000FF"/>
          <w:rtl/>
        </w:rPr>
      </w:pPr>
      <w:hyperlink r:id="rId7" w:history="1">
        <w:r w:rsidRPr="009D4A51">
          <w:rPr>
            <w:rStyle w:val="Hyperlink"/>
            <w:rFonts w:ascii="FrankRuehl" w:hAnsi="FrankRuehl" w:cs="FrankRuehl"/>
            <w:u w:val="none"/>
            <w:rtl/>
          </w:rPr>
          <w:t>פקודת הסמים המסוכנים [נוסח חדש], תשל"ג-1973</w:t>
        </w:r>
      </w:hyperlink>
      <w:r w:rsidRPr="009D4A51">
        <w:rPr>
          <w:rFonts w:ascii="FrankRuehl" w:hAnsi="FrankRuehl" w:cs="FrankRuehl"/>
          <w:color w:val="0000FF"/>
          <w:rtl/>
        </w:rPr>
        <w:t xml:space="preserve">: סע'  </w:t>
      </w:r>
      <w:hyperlink r:id="rId8" w:history="1">
        <w:r w:rsidRPr="009D4A51">
          <w:rPr>
            <w:rStyle w:val="Hyperlink"/>
            <w:rFonts w:ascii="FrankRuehl" w:hAnsi="FrankRuehl" w:cs="FrankRuehl"/>
            <w:u w:val="none"/>
          </w:rPr>
          <w:t>7</w:t>
        </w:r>
      </w:hyperlink>
      <w:r w:rsidRPr="009D4A51">
        <w:rPr>
          <w:rFonts w:ascii="FrankRuehl" w:hAnsi="FrankRuehl" w:cs="FrankRuehl"/>
          <w:color w:val="0000FF"/>
          <w:rtl/>
        </w:rPr>
        <w:t xml:space="preserve">(א), </w:t>
      </w:r>
      <w:hyperlink r:id="rId9" w:history="1">
        <w:r w:rsidRPr="009D4A51">
          <w:rPr>
            <w:rStyle w:val="Hyperlink"/>
            <w:rFonts w:ascii="FrankRuehl" w:hAnsi="FrankRuehl" w:cs="FrankRuehl"/>
            <w:u w:val="none"/>
          </w:rPr>
          <w:t>7</w:t>
        </w:r>
      </w:hyperlink>
      <w:r w:rsidRPr="009D4A51">
        <w:rPr>
          <w:rFonts w:ascii="FrankRuehl" w:hAnsi="FrankRuehl" w:cs="FrankRuehl"/>
          <w:color w:val="0000FF"/>
          <w:rtl/>
        </w:rPr>
        <w:t xml:space="preserve">(ג), </w:t>
      </w:r>
      <w:hyperlink r:id="rId10" w:history="1">
        <w:r w:rsidRPr="009D4A51">
          <w:rPr>
            <w:rStyle w:val="Hyperlink"/>
            <w:rFonts w:ascii="FrankRuehl" w:hAnsi="FrankRuehl" w:cs="FrankRuehl"/>
            <w:u w:val="none"/>
          </w:rPr>
          <w:t>13</w:t>
        </w:r>
      </w:hyperlink>
      <w:r w:rsidRPr="009D4A51">
        <w:rPr>
          <w:rFonts w:ascii="FrankRuehl" w:hAnsi="FrankRuehl" w:cs="FrankRuehl"/>
          <w:color w:val="0000FF"/>
          <w:rtl/>
        </w:rPr>
        <w:t xml:space="preserve">, </w:t>
      </w:r>
      <w:hyperlink r:id="rId11" w:history="1">
        <w:r w:rsidRPr="009D4A51">
          <w:rPr>
            <w:rStyle w:val="Hyperlink"/>
            <w:rFonts w:ascii="FrankRuehl" w:hAnsi="FrankRuehl" w:cs="FrankRuehl"/>
            <w:u w:val="none"/>
          </w:rPr>
          <w:t>19</w:t>
        </w:r>
        <w:r w:rsidRPr="009D4A51">
          <w:rPr>
            <w:rStyle w:val="Hyperlink"/>
            <w:rFonts w:ascii="FrankRuehl" w:hAnsi="FrankRuehl" w:cs="FrankRuehl"/>
            <w:u w:val="none"/>
            <w:rtl/>
          </w:rPr>
          <w:t>א</w:t>
        </w:r>
      </w:hyperlink>
    </w:p>
    <w:p w14:paraId="56D35F18" w14:textId="77777777" w:rsidR="009D4A51" w:rsidRPr="009D4A51" w:rsidRDefault="009D4A51" w:rsidP="009D4A51">
      <w:pPr>
        <w:spacing w:before="120" w:after="120" w:line="240" w:lineRule="exact"/>
        <w:ind w:left="283" w:hanging="283"/>
        <w:jc w:val="both"/>
        <w:rPr>
          <w:rFonts w:ascii="FrankRuehl" w:hAnsi="FrankRuehl" w:cs="FrankRuehl"/>
          <w:color w:val="0000FF"/>
          <w:rtl/>
        </w:rPr>
      </w:pPr>
      <w:hyperlink r:id="rId12" w:history="1">
        <w:r w:rsidRPr="009D4A51">
          <w:rPr>
            <w:rStyle w:val="Hyperlink"/>
            <w:rFonts w:ascii="FrankRuehl" w:hAnsi="FrankRuehl" w:cs="FrankRuehl"/>
            <w:u w:val="none"/>
            <w:rtl/>
          </w:rPr>
          <w:t>חוק העונשין, תשל"ז-1977</w:t>
        </w:r>
      </w:hyperlink>
      <w:r w:rsidRPr="009D4A51">
        <w:rPr>
          <w:rFonts w:ascii="FrankRuehl" w:hAnsi="FrankRuehl" w:cs="FrankRuehl"/>
          <w:color w:val="0000FF"/>
          <w:rtl/>
        </w:rPr>
        <w:t xml:space="preserve">: סע'  </w:t>
      </w:r>
      <w:hyperlink r:id="rId13" w:history="1">
        <w:r w:rsidRPr="009D4A51">
          <w:rPr>
            <w:rStyle w:val="Hyperlink"/>
            <w:rFonts w:ascii="FrankRuehl" w:hAnsi="FrankRuehl" w:cs="FrankRuehl"/>
            <w:u w:val="none"/>
          </w:rPr>
          <w:t>40</w:t>
        </w:r>
        <w:r w:rsidRPr="009D4A51">
          <w:rPr>
            <w:rStyle w:val="Hyperlink"/>
            <w:rFonts w:ascii="FrankRuehl" w:hAnsi="FrankRuehl" w:cs="FrankRuehl"/>
            <w:u w:val="none"/>
            <w:rtl/>
          </w:rPr>
          <w:t>יא</w:t>
        </w:r>
      </w:hyperlink>
    </w:p>
    <w:p w14:paraId="05F40EF6" w14:textId="77777777" w:rsidR="004E5A21" w:rsidRPr="009D4A51" w:rsidRDefault="004E5A21" w:rsidP="009D4A51">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5A21" w14:paraId="02B3F423" w14:textId="77777777" w:rsidTr="004E5A21">
        <w:trPr>
          <w:trHeight w:val="355"/>
          <w:jc w:val="center"/>
        </w:trPr>
        <w:tc>
          <w:tcPr>
            <w:tcW w:w="8820" w:type="dxa"/>
            <w:tcBorders>
              <w:top w:val="nil"/>
              <w:left w:val="nil"/>
              <w:bottom w:val="nil"/>
              <w:right w:val="nil"/>
            </w:tcBorders>
            <w:shd w:val="clear" w:color="auto" w:fill="auto"/>
          </w:tcPr>
          <w:p w14:paraId="7EEEB4C7" w14:textId="77777777" w:rsidR="00D63B0A" w:rsidRPr="00D63B0A" w:rsidRDefault="00D63B0A" w:rsidP="00D63B0A">
            <w:pPr>
              <w:jc w:val="center"/>
              <w:rPr>
                <w:rFonts w:ascii="David" w:hAnsi="David"/>
                <w:b/>
                <w:bCs/>
                <w:sz w:val="36"/>
                <w:szCs w:val="36"/>
                <w:u w:val="single"/>
                <w:rtl/>
              </w:rPr>
            </w:pPr>
            <w:bookmarkStart w:id="5" w:name="PsakDin" w:colFirst="0" w:colLast="0"/>
            <w:bookmarkEnd w:id="0"/>
            <w:r w:rsidRPr="00D63B0A">
              <w:rPr>
                <w:rFonts w:ascii="David" w:hAnsi="David"/>
                <w:b/>
                <w:bCs/>
                <w:sz w:val="36"/>
                <w:szCs w:val="36"/>
                <w:u w:val="single"/>
                <w:rtl/>
              </w:rPr>
              <w:t>גזר דין</w:t>
            </w:r>
          </w:p>
          <w:p w14:paraId="269A2616" w14:textId="77777777" w:rsidR="004E5A21" w:rsidRPr="00D63B0A" w:rsidRDefault="004E5A21" w:rsidP="00D63B0A">
            <w:pPr>
              <w:jc w:val="center"/>
              <w:rPr>
                <w:rFonts w:ascii="David" w:hAnsi="David"/>
                <w:bCs/>
                <w:sz w:val="36"/>
                <w:szCs w:val="36"/>
                <w:u w:val="single"/>
                <w:rtl/>
              </w:rPr>
            </w:pPr>
          </w:p>
        </w:tc>
      </w:tr>
      <w:bookmarkEnd w:id="5"/>
    </w:tbl>
    <w:p w14:paraId="4CA98388" w14:textId="77777777" w:rsidR="004E5A21" w:rsidRPr="000F2247" w:rsidRDefault="004E5A21" w:rsidP="004E5A21">
      <w:pPr>
        <w:rPr>
          <w:rFonts w:ascii="Arial" w:hAnsi="Arial"/>
          <w:b/>
          <w:bCs/>
          <w:sz w:val="26"/>
          <w:szCs w:val="26"/>
          <w:rtl/>
        </w:rPr>
      </w:pPr>
    </w:p>
    <w:p w14:paraId="1E27E7AE" w14:textId="77777777" w:rsidR="004E5A21" w:rsidRPr="000F2247" w:rsidRDefault="004E5A21" w:rsidP="004E5A21">
      <w:pPr>
        <w:rPr>
          <w:rFonts w:ascii="Arial" w:hAnsi="Arial"/>
          <w:b/>
          <w:bCs/>
          <w:sz w:val="26"/>
          <w:szCs w:val="26"/>
          <w:rtl/>
        </w:rPr>
      </w:pPr>
    </w:p>
    <w:p w14:paraId="7BEFBE92" w14:textId="77777777" w:rsidR="004E5A21" w:rsidRDefault="004E5A21" w:rsidP="004E5A21">
      <w:pPr>
        <w:pStyle w:val="aa"/>
        <w:numPr>
          <w:ilvl w:val="0"/>
          <w:numId w:val="2"/>
        </w:numPr>
        <w:spacing w:line="360" w:lineRule="auto"/>
        <w:jc w:val="both"/>
        <w:rPr>
          <w:rFonts w:ascii="David" w:hAnsi="David" w:cs="David"/>
        </w:rPr>
      </w:pPr>
      <w:bookmarkStart w:id="6" w:name="ABSTRACT_START"/>
      <w:bookmarkEnd w:id="6"/>
      <w:r>
        <w:rPr>
          <w:rFonts w:ascii="David" w:hAnsi="David" w:cs="David"/>
          <w:rtl/>
        </w:rPr>
        <w:t xml:space="preserve">בהכרעת דין מיום 29/10/24, זוכה הנאשם מעבירה של החזקת סם שלא לצריכה עצמית והורשע בעבירה של החזקת סם לצריכה עצמית בהתאם </w:t>
      </w:r>
      <w:hyperlink r:id="rId14" w:history="1">
        <w:r w:rsidR="009D4A51" w:rsidRPr="009D4A51">
          <w:rPr>
            <w:rStyle w:val="Hyperlink"/>
            <w:rFonts w:ascii="David" w:hAnsi="David" w:cs="David"/>
            <w:color w:val="0000FF"/>
            <w:rtl/>
          </w:rPr>
          <w:t>לסעיפים 7(א)</w:t>
        </w:r>
      </w:hyperlink>
      <w:r>
        <w:rPr>
          <w:rFonts w:ascii="David" w:hAnsi="David" w:cs="David"/>
          <w:rtl/>
        </w:rPr>
        <w:t xml:space="preserve"> ו-</w:t>
      </w:r>
      <w:hyperlink r:id="rId15" w:history="1">
        <w:r w:rsidR="009D4A51" w:rsidRPr="009D4A51">
          <w:rPr>
            <w:rStyle w:val="Hyperlink"/>
            <w:rFonts w:ascii="David" w:hAnsi="David" w:cs="David"/>
            <w:color w:val="0000FF"/>
            <w:rtl/>
          </w:rPr>
          <w:t>7(ג)</w:t>
        </w:r>
      </w:hyperlink>
      <w:r>
        <w:rPr>
          <w:rFonts w:ascii="David" w:hAnsi="David" w:cs="David"/>
          <w:rtl/>
        </w:rPr>
        <w:t xml:space="preserve"> ל</w:t>
      </w:r>
      <w:hyperlink r:id="rId16" w:history="1">
        <w:r w:rsidR="00D63B0A" w:rsidRPr="00D63B0A">
          <w:rPr>
            <w:rFonts w:ascii="David" w:hAnsi="David" w:cs="David"/>
            <w:color w:val="0000FF"/>
            <w:u w:val="single"/>
            <w:rtl/>
          </w:rPr>
          <w:t>פקודת הסמים המסוכנים</w:t>
        </w:r>
      </w:hyperlink>
      <w:r>
        <w:rPr>
          <w:rFonts w:ascii="David" w:hAnsi="David" w:cs="David"/>
          <w:rtl/>
        </w:rPr>
        <w:t xml:space="preserve"> [נוסח משולב], תשל"ג – 1973</w:t>
      </w:r>
      <w:bookmarkStart w:id="7" w:name="ABSTRACT_END"/>
      <w:bookmarkEnd w:id="7"/>
      <w:r>
        <w:rPr>
          <w:rFonts w:ascii="David" w:hAnsi="David" w:cs="David"/>
          <w:rtl/>
        </w:rPr>
        <w:t xml:space="preserve"> (להלן – </w:t>
      </w:r>
      <w:r>
        <w:rPr>
          <w:rFonts w:ascii="David" w:hAnsi="David" w:cs="David"/>
          <w:b/>
          <w:bCs/>
          <w:rtl/>
        </w:rPr>
        <w:t>פקודת הסמים)</w:t>
      </w:r>
      <w:r>
        <w:rPr>
          <w:rFonts w:ascii="David" w:hAnsi="David" w:cs="David"/>
          <w:rtl/>
        </w:rPr>
        <w:t xml:space="preserve">. </w:t>
      </w:r>
    </w:p>
    <w:p w14:paraId="376EE85E" w14:textId="77777777" w:rsidR="004E5A21" w:rsidRDefault="004E5A21" w:rsidP="004E5A21">
      <w:pPr>
        <w:pStyle w:val="aa"/>
        <w:spacing w:line="360" w:lineRule="auto"/>
        <w:ind w:left="645"/>
        <w:jc w:val="both"/>
        <w:rPr>
          <w:rFonts w:ascii="David" w:hAnsi="David" w:cs="David"/>
        </w:rPr>
      </w:pPr>
    </w:p>
    <w:p w14:paraId="34D52568" w14:textId="77777777" w:rsidR="004E5A21" w:rsidRDefault="004E5A21" w:rsidP="004E5A21">
      <w:pPr>
        <w:pStyle w:val="aa"/>
        <w:numPr>
          <w:ilvl w:val="0"/>
          <w:numId w:val="2"/>
        </w:numPr>
        <w:spacing w:line="360" w:lineRule="auto"/>
        <w:jc w:val="both"/>
        <w:rPr>
          <w:rFonts w:ascii="David" w:hAnsi="David" w:cs="David"/>
        </w:rPr>
      </w:pPr>
      <w:r>
        <w:rPr>
          <w:rFonts w:ascii="David" w:hAnsi="David" w:cs="David"/>
          <w:rtl/>
        </w:rPr>
        <w:t>על פי כתב האישום המתוקן, ביום 18/10/23 בשעה 11:30, החזיק הנאשם בדירתו ברחוב ארלוזורוב 4א בגבעתיים, 5 שקיות המכילות 27.2988 גרם נטו סם מסוכן מסוג מתאמפטאמין וכן שקית המכילה 1.0087 גרם סם מסוכן מסוג קטמין. המאשימה ייחסה לנאשם עבירה של החזקת סם שלא לצריכה עצמית, לאור כמות הסם העולה על הכמות המוגדרת ככמות המשמשת לצריכה עצמית. הנאשם לא כפר ביסודות העובדתיים של העבירה, אך טען כי הסם שנתפס בביתו שייך לו ומשמש אותו לצריכתו העצמית.</w:t>
      </w:r>
    </w:p>
    <w:p w14:paraId="7008D6A7" w14:textId="77777777" w:rsidR="004E5A21" w:rsidRDefault="004E5A21" w:rsidP="004E5A21">
      <w:pPr>
        <w:pStyle w:val="aa"/>
        <w:rPr>
          <w:rFonts w:ascii="David" w:hAnsi="David" w:cs="David"/>
        </w:rPr>
      </w:pPr>
    </w:p>
    <w:p w14:paraId="1E1FB6A3" w14:textId="77777777" w:rsidR="004E5A21" w:rsidRDefault="004E5A21" w:rsidP="004E5A21">
      <w:pPr>
        <w:pStyle w:val="aa"/>
        <w:numPr>
          <w:ilvl w:val="0"/>
          <w:numId w:val="2"/>
        </w:numPr>
        <w:spacing w:line="360" w:lineRule="auto"/>
        <w:jc w:val="both"/>
        <w:rPr>
          <w:rFonts w:ascii="David" w:hAnsi="David" w:cs="David"/>
          <w:rtl/>
        </w:rPr>
      </w:pPr>
      <w:r>
        <w:rPr>
          <w:rFonts w:ascii="David" w:hAnsi="David" w:cs="David"/>
          <w:rtl/>
        </w:rPr>
        <w:t xml:space="preserve">כאמור בפתיח, לאחר שבחנתי את הראיות שהוצגו מטעם הצדדים, שמעתי את עדות הנאשם ובחנתי את סיכומי הצדדים- מצאתי לאמץ את גרסתו של הנאשם והוא זוכה מעבירה של החזקת סם שלא לצריכה עצמית והורשע בעבירה של החזקת סם לצריכה עצמית. </w:t>
      </w:r>
    </w:p>
    <w:p w14:paraId="41AE4955" w14:textId="77777777" w:rsidR="004E5A21" w:rsidRDefault="004E5A21" w:rsidP="004E5A21">
      <w:pPr>
        <w:pStyle w:val="aa"/>
        <w:rPr>
          <w:rFonts w:ascii="David" w:hAnsi="David" w:cs="David"/>
        </w:rPr>
      </w:pPr>
    </w:p>
    <w:p w14:paraId="56400B9B" w14:textId="77777777" w:rsidR="004E5A21" w:rsidRDefault="004E5A21" w:rsidP="004E5A21">
      <w:pPr>
        <w:spacing w:line="360" w:lineRule="auto"/>
        <w:jc w:val="both"/>
        <w:rPr>
          <w:rFonts w:ascii="David" w:hAnsi="David"/>
          <w:b/>
          <w:bCs/>
          <w:u w:val="single"/>
          <w:rtl/>
        </w:rPr>
      </w:pPr>
      <w:r>
        <w:rPr>
          <w:rFonts w:ascii="David" w:hAnsi="David"/>
          <w:b/>
          <w:bCs/>
          <w:u w:val="single"/>
          <w:rtl/>
        </w:rPr>
        <w:t>טיעוני ב"כ הצדדים</w:t>
      </w:r>
    </w:p>
    <w:p w14:paraId="720A2F51" w14:textId="77777777" w:rsidR="004E5A21" w:rsidRDefault="004E5A21" w:rsidP="004E5A21">
      <w:pPr>
        <w:spacing w:line="360" w:lineRule="auto"/>
        <w:jc w:val="both"/>
        <w:rPr>
          <w:rFonts w:ascii="David" w:hAnsi="David"/>
          <w:b/>
          <w:bCs/>
          <w:u w:val="single"/>
          <w:rtl/>
        </w:rPr>
      </w:pPr>
    </w:p>
    <w:p w14:paraId="0BC639DB" w14:textId="77777777" w:rsidR="004E5A21" w:rsidRDefault="004E5A21" w:rsidP="004E5A21">
      <w:pPr>
        <w:pStyle w:val="aa"/>
        <w:numPr>
          <w:ilvl w:val="0"/>
          <w:numId w:val="2"/>
        </w:numPr>
        <w:spacing w:line="360" w:lineRule="auto"/>
        <w:jc w:val="both"/>
        <w:rPr>
          <w:rFonts w:ascii="David" w:hAnsi="David" w:cs="David"/>
          <w:rtl/>
        </w:rPr>
      </w:pPr>
      <w:r>
        <w:rPr>
          <w:rFonts w:ascii="David" w:hAnsi="David" w:cs="David"/>
          <w:u w:val="single"/>
          <w:rtl/>
        </w:rPr>
        <w:t>ב"כ המאשימה</w:t>
      </w:r>
      <w:r>
        <w:rPr>
          <w:rFonts w:ascii="David" w:hAnsi="David" w:cs="David"/>
          <w:rtl/>
        </w:rPr>
        <w:t xml:space="preserve"> הפנתה לערכים המוגנים שנפגעו כתוצאה מביצוע העבירה – שמירה והגנה על שלמות הגוף, בריאותו ובטחונו של האדם והציבור. המאשימה טענה כי הפגיעה בערכים המוגנים היא ברמה גבוה שכן הנאשם עשה שימוש בסמים בדירתו יחד עם אחרים ופוטנציאל הנזק בהקשר זה הוא רחב. </w:t>
      </w:r>
    </w:p>
    <w:p w14:paraId="4EA62AC0" w14:textId="77777777" w:rsidR="004E5A21" w:rsidRDefault="004E5A21" w:rsidP="004E5A21">
      <w:pPr>
        <w:pStyle w:val="aa"/>
        <w:spacing w:line="360" w:lineRule="auto"/>
        <w:ind w:left="645"/>
        <w:jc w:val="both"/>
        <w:rPr>
          <w:rFonts w:ascii="David" w:hAnsi="David" w:cs="David"/>
        </w:rPr>
      </w:pPr>
    </w:p>
    <w:p w14:paraId="57C2D753" w14:textId="77777777" w:rsidR="004E5A21" w:rsidRDefault="004E5A21" w:rsidP="004E5A21">
      <w:pPr>
        <w:pStyle w:val="aa"/>
        <w:numPr>
          <w:ilvl w:val="0"/>
          <w:numId w:val="2"/>
        </w:numPr>
        <w:spacing w:line="360" w:lineRule="auto"/>
        <w:jc w:val="both"/>
        <w:rPr>
          <w:rFonts w:ascii="David" w:hAnsi="David" w:cs="David"/>
        </w:rPr>
      </w:pPr>
      <w:r>
        <w:rPr>
          <w:rFonts w:ascii="David" w:hAnsi="David" w:cs="David"/>
          <w:rtl/>
        </w:rPr>
        <w:t>באשר לנסיבות שאינן קשורות בביצוע העבירה, הפנתה המאשימה לעברו הפלילי של הנאשם הכולל הרשעה אחת מיום 1/2/22 בעבירה של סחר בסמים מסוכנים, על ידי בית המשפט המחוזי בתל אביב (</w:t>
      </w:r>
      <w:hyperlink r:id="rId17" w:history="1">
        <w:r w:rsidR="00D63B0A" w:rsidRPr="00D63B0A">
          <w:rPr>
            <w:rFonts w:ascii="David" w:hAnsi="David" w:cs="David"/>
            <w:color w:val="0000FF"/>
            <w:u w:val="single"/>
            <w:rtl/>
          </w:rPr>
          <w:t>ת"פ 38450-09-20</w:t>
        </w:r>
      </w:hyperlink>
      <w:r>
        <w:rPr>
          <w:rFonts w:ascii="David" w:hAnsi="David" w:cs="David"/>
          <w:rtl/>
        </w:rPr>
        <w:t>). בגין הרשעה זו נגזרו על הנאשם 9 חודשי מאסר אשר ירוצו בעבודות שירות, קנס בסך 10,000 ₪, מע"ת בן 10 חודשים למשך 3 שנים מיום מתן גזר הדין והתנאי הוא שלא יעבור עבירת סמים מלבד עבירה של החזקת סם לצריכה עצמית או שימוש עצמי. בנוסף הוטל על הנאשם צו מבחן לתקופה של 18 חודשים. המאשימה הפנתה לכך שבמסגרת ההליך בבית המשפט המחוזי, נתן ביהמ"ש אמון בנאשם, והלך לקראתו כברת דרך כאשר סטה ממתחם העונש ההולם לקולא. בעשותו כך, הסתמך בית המשפט המחוזי על תסקיר חיובי שהוגש מטעם שירות המבחן, אשר התרשם מלקיחת אחריות של הנאשם ונכונותו לערוך שינוי משמעותי בחייו. פסק דין זה אמור היה להרתיע את הנאשם מלהסתבך שוב בעבירות סמים ומלהחזיק בביתו סם מסוכן בכמות גבוה פי עשרות מונים מהכמות המותרת בחוק. מאסר על תנאי שהוטל על הנאשם במסגרת ההליך בבית המשפט המחוזי, לא חל כעת לאור הרשעתו של הנאשם בעבירה של החזקת סם לצריכה עצמית, אבל מן הראוי היה שהנאשם ייקח את ההזדמנות שניתנה לו ולא יתחיל שוב שימוש בסמים.</w:t>
      </w:r>
    </w:p>
    <w:p w14:paraId="68CB613E" w14:textId="77777777" w:rsidR="004E5A21" w:rsidRDefault="004E5A21" w:rsidP="004E5A21">
      <w:pPr>
        <w:pStyle w:val="aa"/>
        <w:rPr>
          <w:rFonts w:ascii="David" w:hAnsi="David" w:cs="David"/>
        </w:rPr>
      </w:pPr>
    </w:p>
    <w:p w14:paraId="5D5E7C69" w14:textId="77777777" w:rsidR="004E5A21" w:rsidRDefault="004E5A21" w:rsidP="004E5A21">
      <w:pPr>
        <w:pStyle w:val="aa"/>
        <w:numPr>
          <w:ilvl w:val="0"/>
          <w:numId w:val="2"/>
        </w:numPr>
        <w:spacing w:line="360" w:lineRule="auto"/>
        <w:jc w:val="both"/>
        <w:rPr>
          <w:rFonts w:ascii="David" w:hAnsi="David" w:cs="David"/>
          <w:rtl/>
        </w:rPr>
      </w:pPr>
      <w:r>
        <w:rPr>
          <w:rFonts w:ascii="David" w:hAnsi="David" w:cs="David"/>
          <w:rtl/>
        </w:rPr>
        <w:t xml:space="preserve">המאשימה ציינה כי התקשתה למצוא פסיקה אשר תואמת את נסיבות התיק דנן שכן מדובר בסם מסוכן בכמות גבוהה, אך סעיף העבירה הינו לשימוש עצמי. בנוסף, מרבית גזרי הדין הרלוונטים לסם נשוא כתב האישום, הם בעבירות סחר בסם מסוכן. תחת הסתייגות זו הציגה המאשימה פסיקה ועתרה לקבוע בעניינו של הנאשם מתחם עונש הנע בין 15 ל-30 חודשי מאסר לריצוי בפועל, ולמקם את הנאשם באמצע המתחם. בנוסף עתרה להשית על הנאשם ענישה נלווית בדמות קנס ומאסר על תנאי. </w:t>
      </w:r>
    </w:p>
    <w:p w14:paraId="0CD7AFC6" w14:textId="77777777" w:rsidR="004E5A21" w:rsidRDefault="004E5A21" w:rsidP="004E5A21">
      <w:pPr>
        <w:pStyle w:val="aa"/>
        <w:rPr>
          <w:rFonts w:ascii="David" w:hAnsi="David" w:cs="David"/>
        </w:rPr>
      </w:pPr>
    </w:p>
    <w:p w14:paraId="497EFA6C" w14:textId="77777777" w:rsidR="004E5A21" w:rsidRDefault="004E5A21" w:rsidP="004E5A21">
      <w:pPr>
        <w:pStyle w:val="aa"/>
        <w:numPr>
          <w:ilvl w:val="0"/>
          <w:numId w:val="2"/>
        </w:numPr>
        <w:spacing w:line="360" w:lineRule="auto"/>
        <w:jc w:val="both"/>
        <w:rPr>
          <w:rFonts w:ascii="David" w:hAnsi="David" w:cs="David"/>
          <w:rtl/>
        </w:rPr>
      </w:pPr>
      <w:r>
        <w:rPr>
          <w:rFonts w:ascii="David" w:hAnsi="David" w:cs="David"/>
          <w:u w:val="single"/>
          <w:rtl/>
        </w:rPr>
        <w:t>ב"כ הנאשם</w:t>
      </w:r>
      <w:r>
        <w:rPr>
          <w:rFonts w:ascii="David" w:hAnsi="David" w:cs="David"/>
          <w:rtl/>
        </w:rPr>
        <w:t xml:space="preserve">, בטיעוניו לעונש, עתר להשית על הנאשם עונש בדמות מאסר על תנאי וקנס ולא לאמץ את מתחם העונש לו עותרת המאשימה, שכן הוא מתעלם מן הקביעה ולפיה לא מדובר בהחזקת סם שלא לצריכה עצמית. הפסיקה אליה הפנתה המאשימה עוסקת בענישה בגין ביצוע עבירות חמורות יותר, אשר בית המשפט מתייחס אליהן באופן שונה דרמטית ואין לאמץ את הגישה ולפיה הנאשם פגע באחרים. </w:t>
      </w:r>
    </w:p>
    <w:p w14:paraId="2759E39E" w14:textId="77777777" w:rsidR="004E5A21" w:rsidRDefault="004E5A21" w:rsidP="004E5A21">
      <w:pPr>
        <w:pStyle w:val="aa"/>
        <w:rPr>
          <w:rFonts w:ascii="David" w:hAnsi="David" w:cs="David"/>
        </w:rPr>
      </w:pPr>
    </w:p>
    <w:p w14:paraId="3E7DEAD5" w14:textId="77777777" w:rsidR="004E5A21" w:rsidRDefault="004E5A21" w:rsidP="004E5A21">
      <w:pPr>
        <w:pStyle w:val="aa"/>
        <w:numPr>
          <w:ilvl w:val="0"/>
          <w:numId w:val="2"/>
        </w:numPr>
        <w:spacing w:line="360" w:lineRule="auto"/>
        <w:jc w:val="both"/>
        <w:rPr>
          <w:rFonts w:ascii="David" w:hAnsi="David" w:cs="David"/>
          <w:rtl/>
        </w:rPr>
      </w:pPr>
      <w:r>
        <w:rPr>
          <w:rFonts w:ascii="David" w:hAnsi="David" w:cs="David"/>
          <w:rtl/>
        </w:rPr>
        <w:t>ההגנה הפנתה לכך שהנאשם היה עצור בגין המעשה שבבסיס כתב האישום בין התאריכים 19/10/23-24/10/23 ולאחר מכן שוחרר בתנאים של מעצר בית בו שהה עד ליום 25/6/24. הנאשם שוחרר למעצר בבית ללא פיקוח, לאור העובדה שלא יכול היה להציג פיקוח שכזה, אך דווקא נסיבות אלה, בדידותו של הנאשם והעובדה שהיה צפון בביתו משך חודשים ארוכים, לבד, מבלי שנעזר או נתמך בקרובי משפחתו- אלה מלמדים על תנאים קשים בהם שהה משך חודשים ארוכים. עוד צוין כי הנאשם סובל ממצב רפואי מורכב כפי שעלה גם מפסק דינו של בית המשפט המחוזי בדיון הקודם (לא אשוב על האבחון על מנת שלא לפגוע יתר על המידה בפרטיותו של הנאשם). הנאשם נעזר בשליחים לצורך הספקת מוצרים יומיומיים.</w:t>
      </w:r>
    </w:p>
    <w:p w14:paraId="7FA6BD53" w14:textId="77777777" w:rsidR="004E5A21" w:rsidRDefault="004E5A21" w:rsidP="004E5A21">
      <w:pPr>
        <w:pStyle w:val="aa"/>
        <w:rPr>
          <w:rFonts w:ascii="David" w:hAnsi="David" w:cs="David"/>
        </w:rPr>
      </w:pPr>
    </w:p>
    <w:p w14:paraId="3ABA1216" w14:textId="77777777" w:rsidR="004E5A21" w:rsidRDefault="004E5A21" w:rsidP="004E5A21">
      <w:pPr>
        <w:pStyle w:val="aa"/>
        <w:numPr>
          <w:ilvl w:val="0"/>
          <w:numId w:val="2"/>
        </w:numPr>
        <w:spacing w:line="360" w:lineRule="auto"/>
        <w:jc w:val="both"/>
        <w:rPr>
          <w:rFonts w:ascii="David" w:hAnsi="David" w:cs="David"/>
          <w:rtl/>
        </w:rPr>
      </w:pPr>
      <w:r>
        <w:rPr>
          <w:rFonts w:ascii="David" w:hAnsi="David" w:cs="David"/>
          <w:rtl/>
        </w:rPr>
        <w:t>ההגנה ביקשה לקחת בחשבון את גילו המתקדם של הנאשם, היותו גרוש ואב ל-3 בנות, סב לנכדות, אשר הצטיין לאורך חייו בתחום האקדמי והגיע להישגים נאים בתחום המקצועי. ברקע הדברים נטייתו המינית של הנאשם, גירושיו, ההסתרה בה נאלץ לחיות במשך שנים והייסורים שחווה עקב הנתק ממשפחתו, מבנותיו, החשובות לו כל כך. הנאשם התייסר עקב מעשיו ומבכה על אורח חייו.</w:t>
      </w:r>
    </w:p>
    <w:p w14:paraId="0F54B66E" w14:textId="77777777" w:rsidR="004E5A21" w:rsidRDefault="004E5A21" w:rsidP="004E5A21">
      <w:pPr>
        <w:pStyle w:val="aa"/>
        <w:rPr>
          <w:rFonts w:ascii="David" w:hAnsi="David" w:cs="David"/>
        </w:rPr>
      </w:pPr>
    </w:p>
    <w:p w14:paraId="3FE744AC" w14:textId="77777777" w:rsidR="004E5A21" w:rsidRDefault="004E5A21" w:rsidP="004E5A21">
      <w:pPr>
        <w:pStyle w:val="aa"/>
        <w:numPr>
          <w:ilvl w:val="0"/>
          <w:numId w:val="2"/>
        </w:numPr>
        <w:spacing w:line="360" w:lineRule="auto"/>
        <w:jc w:val="both"/>
        <w:rPr>
          <w:rFonts w:ascii="David" w:hAnsi="David" w:cs="David"/>
          <w:rtl/>
        </w:rPr>
      </w:pPr>
      <w:r>
        <w:rPr>
          <w:rFonts w:ascii="David" w:hAnsi="David" w:cs="David"/>
          <w:u w:val="single"/>
          <w:rtl/>
        </w:rPr>
        <w:t xml:space="preserve">הנאשם </w:t>
      </w:r>
      <w:r>
        <w:rPr>
          <w:rFonts w:ascii="David" w:hAnsi="David" w:cs="David"/>
          <w:rtl/>
        </w:rPr>
        <w:t>בדברו האחרון לעונש הביע חרטה על מעשיו, התחבר לדברי המאשימה בכך שלמד לקח, שאפשר להגיד לא, ולסלק מסביבתו ומביתו חומרים אשר אינם צריכים להיות בקרבתו. ביום 17/12/24 התקבל מכתבו של הנאשם, בהסכמת הצדדים, בו הוא מבקש להוסיף מספר מילים לעניין העונש. הנאשם ציין כי שהה במעצר בית מוחלט מחודש נובמבר ועד לסוף חודש אפריל ולאחר מכן שהה עוד חודשיים במעצר בית לילי. העדר חופש מוחלט לצאת מביתו היה בעבורו עונש כבד מאוד וגרם לו לדיכאון. הנאשם ציין כי עד מתן הכרעת הדין, בנותיו שוחחו עמו לעתים רחוקות מאוד, שכן סברו שימצא אשם בסעיף העבירה החמור ולא היו מוכנות לסלוח לו על כך. משכך, סבור הנאשם, כי על אף ששהה במעצר בית משך תקופה ארוכה, בעבורו היה זה עונש מאסר בפועל ממש ועל כן הוא מבקש להימנע לחלוטין מלגזור עליו עונש מאסר ואפילו עונש מאסר צופה פני עתיד.</w:t>
      </w:r>
    </w:p>
    <w:p w14:paraId="2642427E" w14:textId="77777777" w:rsidR="004E5A21" w:rsidRDefault="004E5A21" w:rsidP="004E5A21">
      <w:pPr>
        <w:pStyle w:val="aa"/>
        <w:rPr>
          <w:rFonts w:ascii="David" w:hAnsi="David" w:cs="David"/>
        </w:rPr>
      </w:pPr>
    </w:p>
    <w:p w14:paraId="56FDA49A" w14:textId="77777777" w:rsidR="004E5A21" w:rsidRDefault="004E5A21" w:rsidP="004E5A21">
      <w:pPr>
        <w:spacing w:line="360" w:lineRule="auto"/>
        <w:jc w:val="both"/>
        <w:rPr>
          <w:rFonts w:ascii="David" w:hAnsi="David"/>
          <w:b/>
          <w:bCs/>
          <w:u w:val="single"/>
          <w:rtl/>
        </w:rPr>
      </w:pPr>
      <w:r>
        <w:rPr>
          <w:rFonts w:ascii="David" w:hAnsi="David"/>
          <w:b/>
          <w:bCs/>
          <w:u w:val="single"/>
          <w:rtl/>
        </w:rPr>
        <w:t>דיון</w:t>
      </w:r>
    </w:p>
    <w:p w14:paraId="5BA09710" w14:textId="77777777" w:rsidR="004E5A21" w:rsidRDefault="004E5A21" w:rsidP="004E5A21">
      <w:pPr>
        <w:spacing w:line="360" w:lineRule="auto"/>
        <w:jc w:val="both"/>
        <w:rPr>
          <w:rFonts w:ascii="David" w:hAnsi="David"/>
          <w:b/>
          <w:bCs/>
          <w:u w:val="single"/>
          <w:rtl/>
        </w:rPr>
      </w:pPr>
    </w:p>
    <w:p w14:paraId="3AD028F7" w14:textId="77777777" w:rsidR="004E5A21" w:rsidRDefault="004E5A21" w:rsidP="004E5A21">
      <w:pPr>
        <w:pStyle w:val="a"/>
        <w:numPr>
          <w:ilvl w:val="0"/>
          <w:numId w:val="0"/>
        </w:numPr>
        <w:tabs>
          <w:tab w:val="left" w:pos="720"/>
        </w:tabs>
        <w:ind w:left="720" w:hanging="720"/>
        <w:rPr>
          <w:rtl/>
        </w:rPr>
      </w:pPr>
      <w:r>
        <w:rPr>
          <w:rFonts w:hint="cs"/>
          <w:rtl/>
        </w:rPr>
        <w:t>8.</w:t>
      </w:r>
      <w:r>
        <w:rPr>
          <w:rFonts w:hint="cs"/>
          <w:rtl/>
        </w:rPr>
        <w:tab/>
        <w:t>בהתאם לתיקון 113 ל</w:t>
      </w:r>
      <w:hyperlink r:id="rId18" w:history="1">
        <w:r w:rsidR="00D63B0A" w:rsidRPr="00D63B0A">
          <w:rPr>
            <w:color w:val="0000FF"/>
            <w:u w:val="single"/>
            <w:rtl/>
          </w:rPr>
          <w:t>חוק העונשין</w:t>
        </w:r>
      </w:hyperlink>
      <w:r>
        <w:rPr>
          <w:rFonts w:hint="cs"/>
          <w:rtl/>
        </w:rPr>
        <w:t>, התשל"ז – 1977, העיקרון המנחה בענישה הנו קיומו של יחס הולם בין חומרת מעשה העבירה בנסיבותיו ומידת אשמו של הנאשם ובין סוג ומידת העונש המוטל עליו. לצורך קביעת מתחם העונש ההולם, יתחשב בית המשפט בערך החברתי המוגן אשר נפגע מביצוע העבירה, במידת הפגיעה בערך החברתי, במדיניות הענישה הנהוגה ובנסיבות הקשורות בביצוע העבירה.</w:t>
      </w:r>
    </w:p>
    <w:p w14:paraId="5EC051A3" w14:textId="77777777" w:rsidR="004E5A21" w:rsidRDefault="004E5A21" w:rsidP="004E5A21">
      <w:pPr>
        <w:spacing w:line="360" w:lineRule="auto"/>
        <w:ind w:left="720" w:hanging="720"/>
        <w:jc w:val="both"/>
        <w:rPr>
          <w:rFonts w:ascii="David" w:hAnsi="David"/>
        </w:rPr>
      </w:pPr>
    </w:p>
    <w:p w14:paraId="1308C61D" w14:textId="77777777" w:rsidR="004E5A21" w:rsidRDefault="004E5A21" w:rsidP="004E5A21">
      <w:pPr>
        <w:spacing w:line="360" w:lineRule="auto"/>
        <w:ind w:left="720" w:hanging="720"/>
        <w:jc w:val="both"/>
        <w:rPr>
          <w:rFonts w:ascii="David" w:hAnsi="David"/>
          <w:rtl/>
        </w:rPr>
      </w:pPr>
      <w:r>
        <w:rPr>
          <w:rFonts w:ascii="David" w:hAnsi="David"/>
          <w:rtl/>
        </w:rPr>
        <w:t>9.        הערכים החברתיים שנפגעו כתוצאה מהעבירה בה הורשע הנאשם נוגעים לשלמות הגוף, וכאשר מדובר בכמות גבוהה של סמים, קיימת גם פגיעה בשלום הציבור. הנאשם החזיק בסמים מסוג קטאמין ומטאמפטמין, האחרון הוא סם ממריץ ומסוכן והכמות הגבוהה גורמת לכך שהפגיעה בערכים החברתיים, בשים גם לסוג העבירה המיוחסת לנאשם, היא נמוכה עד בינונית.</w:t>
      </w:r>
    </w:p>
    <w:p w14:paraId="52A50F97" w14:textId="77777777" w:rsidR="004E5A21" w:rsidRDefault="004E5A21" w:rsidP="004E5A21">
      <w:pPr>
        <w:spacing w:line="360" w:lineRule="auto"/>
        <w:ind w:left="720" w:hanging="720"/>
        <w:jc w:val="both"/>
        <w:rPr>
          <w:rFonts w:ascii="David" w:hAnsi="David"/>
          <w:rtl/>
        </w:rPr>
      </w:pPr>
    </w:p>
    <w:p w14:paraId="2153F185" w14:textId="77777777" w:rsidR="004E5A21" w:rsidRDefault="004E5A21" w:rsidP="004E5A21">
      <w:pPr>
        <w:spacing w:line="360" w:lineRule="auto"/>
        <w:ind w:left="720" w:hanging="720"/>
        <w:jc w:val="both"/>
        <w:rPr>
          <w:rFonts w:ascii="David" w:hAnsi="David"/>
          <w:rtl/>
        </w:rPr>
      </w:pPr>
      <w:r>
        <w:rPr>
          <w:rFonts w:ascii="David" w:hAnsi="David"/>
          <w:rtl/>
        </w:rPr>
        <w:tab/>
        <w:t xml:space="preserve"> </w:t>
      </w:r>
    </w:p>
    <w:p w14:paraId="2C6530BE" w14:textId="77777777" w:rsidR="004E5A21" w:rsidRDefault="004E5A21" w:rsidP="004E5A21">
      <w:pPr>
        <w:spacing w:line="360" w:lineRule="auto"/>
        <w:jc w:val="both"/>
        <w:rPr>
          <w:rFonts w:ascii="David" w:hAnsi="David"/>
          <w:b/>
          <w:bCs/>
          <w:u w:val="single"/>
          <w:rtl/>
        </w:rPr>
      </w:pPr>
      <w:r>
        <w:rPr>
          <w:rFonts w:ascii="David" w:hAnsi="David"/>
          <w:b/>
          <w:bCs/>
          <w:u w:val="single"/>
          <w:rtl/>
        </w:rPr>
        <w:t>מדיניות הענישה הנהוגה</w:t>
      </w:r>
    </w:p>
    <w:p w14:paraId="410BB00E" w14:textId="77777777" w:rsidR="004E5A21" w:rsidRDefault="004E5A21" w:rsidP="004E5A21">
      <w:pPr>
        <w:spacing w:line="360" w:lineRule="auto"/>
        <w:jc w:val="both"/>
        <w:rPr>
          <w:rFonts w:ascii="David" w:hAnsi="David"/>
          <w:rtl/>
        </w:rPr>
      </w:pPr>
    </w:p>
    <w:p w14:paraId="786DEA6A" w14:textId="77777777" w:rsidR="004E5A21" w:rsidRDefault="004E5A21" w:rsidP="004E5A21">
      <w:pPr>
        <w:spacing w:line="360" w:lineRule="auto"/>
        <w:ind w:left="720" w:hanging="720"/>
        <w:jc w:val="both"/>
        <w:rPr>
          <w:rFonts w:ascii="David" w:hAnsi="David"/>
          <w:rtl/>
        </w:rPr>
      </w:pPr>
      <w:r>
        <w:rPr>
          <w:rFonts w:ascii="David" w:hAnsi="David"/>
          <w:rtl/>
        </w:rPr>
        <w:t>10.</w:t>
      </w:r>
      <w:r>
        <w:rPr>
          <w:rFonts w:ascii="David" w:hAnsi="David"/>
          <w:rtl/>
        </w:rPr>
        <w:tab/>
        <w:t xml:space="preserve">בבחינת מדיניות הענישה ההולמת בעבירות מסוג זה, יש לקחת בחשבון את הקושי באיתור פסיקה רלוונטית, שכן הנאשם הורשע בעבירה קלה יותר של החזקת סם לצריכה עצמית ובפועל החזיק כמות גדולה של סם. משום כך, בבחינת מדיניות הענישה, תוצג פסיקה בעניין עבירה של החזקת סם שלא לצריכה עצמית, כאשר ההבדל המהותי בין סעיפי העבירה יילקח בחשבון בעת קביעת מתחם העונש לנאשם.  </w:t>
      </w:r>
    </w:p>
    <w:p w14:paraId="2BC6E2D7" w14:textId="77777777" w:rsidR="004E5A21" w:rsidRDefault="004E5A21" w:rsidP="004E5A21">
      <w:pPr>
        <w:spacing w:line="360" w:lineRule="auto"/>
        <w:jc w:val="both"/>
        <w:rPr>
          <w:rFonts w:ascii="David" w:hAnsi="David"/>
          <w:rtl/>
        </w:rPr>
      </w:pPr>
    </w:p>
    <w:p w14:paraId="07F90F2D" w14:textId="77777777" w:rsidR="004E5A21" w:rsidRDefault="00D63B0A" w:rsidP="004E5A21">
      <w:pPr>
        <w:pStyle w:val="aa"/>
        <w:numPr>
          <w:ilvl w:val="0"/>
          <w:numId w:val="3"/>
        </w:numPr>
        <w:spacing w:line="360" w:lineRule="auto"/>
        <w:jc w:val="both"/>
        <w:rPr>
          <w:rFonts w:ascii="David" w:hAnsi="David" w:cs="David"/>
          <w:rtl/>
        </w:rPr>
      </w:pPr>
      <w:hyperlink r:id="rId19" w:history="1">
        <w:r w:rsidRPr="00D63B0A">
          <w:rPr>
            <w:rFonts w:ascii="David" w:hAnsi="David" w:cs="David"/>
            <w:color w:val="0000FF"/>
            <w:u w:val="single"/>
            <w:rtl/>
          </w:rPr>
          <w:t>ת"פ 60015-02-23</w:t>
        </w:r>
      </w:hyperlink>
      <w:r w:rsidR="004E5A21">
        <w:rPr>
          <w:rFonts w:ascii="David" w:hAnsi="David" w:cs="David"/>
          <w:rtl/>
        </w:rPr>
        <w:t xml:space="preserve"> (אילת) </w:t>
      </w:r>
      <w:r w:rsidR="004E5A21">
        <w:rPr>
          <w:rFonts w:ascii="David" w:hAnsi="David" w:cs="David"/>
          <w:b/>
          <w:bCs/>
          <w:rtl/>
        </w:rPr>
        <w:t>מדינת ישראל נ' בוחבוט</w:t>
      </w:r>
      <w:r w:rsidR="004E5A21">
        <w:rPr>
          <w:rFonts w:ascii="David" w:hAnsi="David" w:cs="David"/>
          <w:rtl/>
        </w:rPr>
        <w:t xml:space="preserve"> (21.9.2023): הנאשם, נעדר עבר פלילי, הורשע בעבירה של החזקה ושימוש בסמים לצריכה עצמית וזוכה מעבירה של החזקה ושימוש בסמים שלא לצריכה עצמית. הנאשם החזיק בסם מסוג קוקאין במשקל של 19.73 גר' ובית המשפט קבע כי מתחם העונש ההולם נע בין מספר חודשי מאסר, שניתן לרצות בדרך של עבודות שירות ועד 12 חודשי מאסר בפועל. על הנאשם הושתו 190 ימים של מאסר בפועל אותם כבר ריצה, וכן מאסרים על תנאי.</w:t>
      </w:r>
    </w:p>
    <w:p w14:paraId="78C7E63E" w14:textId="77777777" w:rsidR="004E5A21" w:rsidRDefault="00D63B0A" w:rsidP="004E5A21">
      <w:pPr>
        <w:pStyle w:val="aa"/>
        <w:numPr>
          <w:ilvl w:val="0"/>
          <w:numId w:val="3"/>
        </w:numPr>
        <w:spacing w:line="360" w:lineRule="auto"/>
        <w:jc w:val="both"/>
        <w:rPr>
          <w:rFonts w:ascii="David" w:hAnsi="David" w:cs="David"/>
        </w:rPr>
      </w:pPr>
      <w:hyperlink r:id="rId20" w:history="1">
        <w:r w:rsidRPr="00D63B0A">
          <w:rPr>
            <w:rFonts w:ascii="David" w:hAnsi="David" w:cs="David"/>
            <w:color w:val="0000FF"/>
            <w:u w:val="single"/>
            <w:rtl/>
          </w:rPr>
          <w:t>ת"פ 8510-08-20</w:t>
        </w:r>
      </w:hyperlink>
      <w:r w:rsidR="004E5A21">
        <w:rPr>
          <w:rFonts w:ascii="David" w:hAnsi="David" w:cs="David"/>
          <w:rtl/>
        </w:rPr>
        <w:t xml:space="preserve"> (תל אביב-יפו) </w:t>
      </w:r>
      <w:r w:rsidR="004E5A21">
        <w:rPr>
          <w:rFonts w:ascii="David" w:hAnsi="David" w:cs="David"/>
          <w:b/>
          <w:bCs/>
          <w:rtl/>
        </w:rPr>
        <w:t>מדינת ישראל נ' דמסאש</w:t>
      </w:r>
      <w:r w:rsidR="004E5A21">
        <w:rPr>
          <w:rFonts w:ascii="David" w:hAnsi="David" w:cs="David"/>
          <w:rtl/>
        </w:rPr>
        <w:t xml:space="preserve"> (20.6.2024): הנאשם הורשע על יסוד הודאתו בשני כתבי אישום. האחד, בעבירה של החזקת סם מסוכן מסוג קנאביס שלא לצריכתו העצמית, בו קבע בית המשפט מתחם עונש הנע בין מאסר צופה פני עתיד ל-12 חודשי מאסר בפועל. בכתב האישום השני, הנאשם הורשע בעבירה של החזקת סם קנאביס לצריכה עצמית ובית המשפט קבע שמתחם העונש נע בין מאסר צופה פני עתיד ל-6 חודשי מאסר בפועל. על הנאשם נגזרו 6 חודשי מאסר על תנאי וענישה נלווית.</w:t>
      </w:r>
    </w:p>
    <w:p w14:paraId="27D8E1DE" w14:textId="77777777" w:rsidR="004E5A21" w:rsidRDefault="00D63B0A" w:rsidP="004E5A21">
      <w:pPr>
        <w:pStyle w:val="aa"/>
        <w:numPr>
          <w:ilvl w:val="0"/>
          <w:numId w:val="3"/>
        </w:numPr>
        <w:spacing w:line="360" w:lineRule="auto"/>
        <w:jc w:val="both"/>
        <w:rPr>
          <w:rFonts w:ascii="David" w:hAnsi="David" w:cs="David"/>
        </w:rPr>
      </w:pPr>
      <w:hyperlink r:id="rId21" w:history="1">
        <w:r w:rsidRPr="00D63B0A">
          <w:rPr>
            <w:rFonts w:ascii="David" w:hAnsi="David" w:cs="David"/>
            <w:color w:val="0000FF"/>
            <w:u w:val="single"/>
            <w:rtl/>
          </w:rPr>
          <w:t>ת"פ 5714-08-24</w:t>
        </w:r>
      </w:hyperlink>
      <w:r w:rsidR="004E5A21">
        <w:rPr>
          <w:rFonts w:ascii="David" w:hAnsi="David" w:cs="David"/>
          <w:rtl/>
        </w:rPr>
        <w:t xml:space="preserve"> (רמלה) </w:t>
      </w:r>
      <w:r w:rsidR="004E5A21">
        <w:rPr>
          <w:rFonts w:ascii="David" w:hAnsi="David" w:cs="David"/>
          <w:b/>
          <w:bCs/>
          <w:rtl/>
        </w:rPr>
        <w:t>מדינת ישראל נ' נתנאל דיעי</w:t>
      </w:r>
      <w:r w:rsidR="004E5A21">
        <w:rPr>
          <w:rFonts w:ascii="David" w:hAnsi="David" w:cs="David"/>
          <w:rtl/>
        </w:rPr>
        <w:t xml:space="preserve"> (24/12/24): הנאשם, בעל עבר פלילי ומאסרים מותנים בתחום הסמים, הורשע בעבירה של החזקת סם מסוג קוקאין שלא לצריכה עצמית. בית המשפט קבע כי מתחם העונש ההולם נע בין 9-20 חודשי מאסר בפועל וגזר על הנאשם עונש של 13 חודשי מאסר בפועל, תוך הפעלת המאסרים על תנאי (חופפים זה לזה ובמצטבר לעונש בתיק הנדון)</w:t>
      </w:r>
      <w:r w:rsidR="004E5A21">
        <w:rPr>
          <w:rFonts w:ascii="David" w:hAnsi="David" w:cs="David"/>
        </w:rPr>
        <w:t xml:space="preserve">. </w:t>
      </w:r>
    </w:p>
    <w:p w14:paraId="465DD98A" w14:textId="77777777" w:rsidR="004E5A21" w:rsidRDefault="00D63B0A" w:rsidP="004E5A21">
      <w:pPr>
        <w:pStyle w:val="aa"/>
        <w:numPr>
          <w:ilvl w:val="0"/>
          <w:numId w:val="3"/>
        </w:numPr>
        <w:spacing w:line="360" w:lineRule="auto"/>
        <w:jc w:val="both"/>
        <w:rPr>
          <w:rFonts w:ascii="David" w:hAnsi="David" w:cs="David"/>
        </w:rPr>
      </w:pPr>
      <w:hyperlink r:id="rId22" w:history="1">
        <w:r w:rsidRPr="00D63B0A">
          <w:rPr>
            <w:rFonts w:ascii="David" w:hAnsi="David" w:cs="David"/>
            <w:color w:val="0000FF"/>
            <w:u w:val="single"/>
            <w:rtl/>
          </w:rPr>
          <w:t>ת"פ 37722-08-17</w:t>
        </w:r>
      </w:hyperlink>
      <w:r w:rsidR="004E5A21">
        <w:rPr>
          <w:rFonts w:ascii="David" w:hAnsi="David" w:cs="David"/>
          <w:rtl/>
        </w:rPr>
        <w:t xml:space="preserve"> (תל אביב-יפו) </w:t>
      </w:r>
      <w:r w:rsidR="004E5A21">
        <w:rPr>
          <w:rFonts w:ascii="David" w:hAnsi="David" w:cs="David"/>
          <w:b/>
          <w:bCs/>
          <w:rtl/>
        </w:rPr>
        <w:t>מדינת ישראל נ' לוגסי ואח'</w:t>
      </w:r>
      <w:r w:rsidR="004E5A21">
        <w:rPr>
          <w:rFonts w:ascii="David" w:hAnsi="David" w:cs="David"/>
          <w:rtl/>
        </w:rPr>
        <w:t xml:space="preserve"> (7.3.2022): הנאשם, בעל עבר פלילי, הורשע על יסוד הודאתו בשתי עבירות של אספקת סם מסוכן והחזקת סם לצריכה עצמית. בית המשפט קבע כי מדובר באירוע אחד וכי מתחם העונש ההולם נע בין מספר חודשי מאסר שיכול וירוצו בעבודות שירות ועד 12 חודשי מאסר, לצד ענישה נלווית. על הנאשם נגזרו 4 חודשי מאסר בפועל, מאסר על תנאי וקנס.</w:t>
      </w:r>
    </w:p>
    <w:p w14:paraId="196F5F72" w14:textId="77777777" w:rsidR="004E5A21" w:rsidRDefault="004E5A21" w:rsidP="004E5A21">
      <w:pPr>
        <w:pStyle w:val="aa"/>
        <w:numPr>
          <w:ilvl w:val="0"/>
          <w:numId w:val="3"/>
        </w:numPr>
        <w:spacing w:line="360" w:lineRule="auto"/>
        <w:jc w:val="both"/>
        <w:rPr>
          <w:rFonts w:ascii="David" w:hAnsi="David" w:cs="David"/>
        </w:rPr>
      </w:pPr>
      <w:r>
        <w:rPr>
          <w:rFonts w:ascii="David" w:hAnsi="David" w:cs="David"/>
          <w:rtl/>
        </w:rPr>
        <w:t xml:space="preserve"> </w:t>
      </w:r>
      <w:hyperlink r:id="rId23" w:history="1">
        <w:r w:rsidR="00D63B0A" w:rsidRPr="00D63B0A">
          <w:rPr>
            <w:rFonts w:ascii="David" w:hAnsi="David" w:cs="David"/>
            <w:color w:val="0000FF"/>
            <w:u w:val="single"/>
            <w:rtl/>
          </w:rPr>
          <w:t>ת"פ 72806-02-19</w:t>
        </w:r>
      </w:hyperlink>
      <w:r>
        <w:rPr>
          <w:rFonts w:ascii="David" w:hAnsi="David" w:cs="David" w:hint="cs"/>
          <w:rtl/>
        </w:rPr>
        <w:t xml:space="preserve"> (אילת) </w:t>
      </w:r>
      <w:r>
        <w:rPr>
          <w:rFonts w:ascii="David" w:hAnsi="David" w:cs="David" w:hint="cs"/>
          <w:b/>
          <w:bCs/>
          <w:rtl/>
        </w:rPr>
        <w:t>מדינת ישראל נ' דניאל טובול</w:t>
      </w:r>
      <w:r>
        <w:rPr>
          <w:rFonts w:ascii="David" w:hAnsi="David" w:cs="David" w:hint="cs"/>
          <w:rtl/>
        </w:rPr>
        <w:t xml:space="preserve"> (23/12/21): הנאשם הורשע בעבירה של החזקת סם מסוג קנאביס במשקל של 253 ג' שלא לצריכתו העצמית. בית המשפט קבע כי מתחם העונש נע בין מאסר על תנאי בתוספת קנס ועד למספר חודשי מאסר אשר ניתן לרצותם בעבודות שירות. בית המשפט אימץ את עתירת ההגנה וביטל את הרשעתו של הנאשם, חרג לקולא ממתחם העונש והטיל עליו של"צ בהיקף של 200 שעות ופיצוי לעמותת אל-סם בסך של 2,000 ₪.</w:t>
      </w:r>
    </w:p>
    <w:p w14:paraId="60AD69DC" w14:textId="77777777" w:rsidR="004E5A21" w:rsidRDefault="004E5A21" w:rsidP="004E5A21">
      <w:pPr>
        <w:spacing w:line="360" w:lineRule="auto"/>
        <w:jc w:val="both"/>
        <w:rPr>
          <w:rFonts w:ascii="David" w:hAnsi="David"/>
          <w:b/>
          <w:bCs/>
          <w:u w:val="single"/>
        </w:rPr>
      </w:pPr>
    </w:p>
    <w:p w14:paraId="77C307C4" w14:textId="77777777" w:rsidR="004E5A21" w:rsidRDefault="004E5A21" w:rsidP="004E5A21">
      <w:pPr>
        <w:pStyle w:val="aa"/>
        <w:numPr>
          <w:ilvl w:val="0"/>
          <w:numId w:val="2"/>
        </w:numPr>
        <w:spacing w:line="360" w:lineRule="auto"/>
        <w:jc w:val="both"/>
        <w:rPr>
          <w:rFonts w:ascii="David" w:hAnsi="David" w:cs="David"/>
          <w:b/>
          <w:bCs/>
          <w:rtl/>
        </w:rPr>
      </w:pPr>
      <w:r>
        <w:rPr>
          <w:rFonts w:ascii="David" w:hAnsi="David" w:cs="David"/>
          <w:b/>
          <w:bCs/>
          <w:rtl/>
        </w:rPr>
        <w:t>בהתחשב בכלל האמור לעיל אני קובעת כי מתחם העונש ההולם בעניינו של הנאשם נע בין מאסר צופה פני עתיד ל-9 חודשי מאסר בפועל שיכול וירוצו בעבודות שירות.</w:t>
      </w:r>
    </w:p>
    <w:p w14:paraId="100DEB28" w14:textId="77777777" w:rsidR="004E5A21" w:rsidRDefault="004E5A21" w:rsidP="004E5A21">
      <w:pPr>
        <w:pStyle w:val="aa"/>
        <w:spacing w:line="360" w:lineRule="auto"/>
        <w:ind w:left="645"/>
        <w:jc w:val="both"/>
        <w:rPr>
          <w:rFonts w:ascii="David" w:hAnsi="David" w:cs="David"/>
          <w:b/>
          <w:bCs/>
        </w:rPr>
      </w:pPr>
    </w:p>
    <w:p w14:paraId="0103283D" w14:textId="77777777" w:rsidR="004E5A21" w:rsidRDefault="004E5A21" w:rsidP="004E5A21">
      <w:pPr>
        <w:pStyle w:val="aa"/>
        <w:numPr>
          <w:ilvl w:val="0"/>
          <w:numId w:val="2"/>
        </w:numPr>
        <w:spacing w:line="360" w:lineRule="auto"/>
        <w:jc w:val="both"/>
        <w:rPr>
          <w:rFonts w:ascii="David" w:hAnsi="David" w:cs="David"/>
        </w:rPr>
      </w:pPr>
      <w:r>
        <w:rPr>
          <w:rFonts w:ascii="David" w:hAnsi="David" w:cs="David"/>
          <w:rtl/>
        </w:rPr>
        <w:t>בתוך מתחם העונש יש להתחשב בנסיבות הקשורות בביצוע העבירה:</w:t>
      </w:r>
    </w:p>
    <w:p w14:paraId="712B634E" w14:textId="77777777" w:rsidR="004E5A21" w:rsidRDefault="004E5A21" w:rsidP="004E5A21">
      <w:pPr>
        <w:pStyle w:val="aa"/>
        <w:rPr>
          <w:rFonts w:ascii="David" w:hAnsi="David" w:cs="David"/>
        </w:rPr>
      </w:pPr>
    </w:p>
    <w:p w14:paraId="288D9B8D" w14:textId="77777777" w:rsidR="004E5A21" w:rsidRDefault="004E5A21" w:rsidP="004E5A21">
      <w:pPr>
        <w:pStyle w:val="aa"/>
        <w:numPr>
          <w:ilvl w:val="0"/>
          <w:numId w:val="4"/>
        </w:numPr>
        <w:spacing w:line="360" w:lineRule="auto"/>
        <w:jc w:val="both"/>
        <w:rPr>
          <w:rFonts w:ascii="David" w:hAnsi="David" w:cs="David"/>
          <w:b/>
          <w:bCs/>
          <w:rtl/>
        </w:rPr>
      </w:pPr>
      <w:r>
        <w:rPr>
          <w:rFonts w:ascii="David" w:hAnsi="David" w:cs="David"/>
          <w:b/>
          <w:bCs/>
          <w:rtl/>
        </w:rPr>
        <w:t xml:space="preserve">התכנון שקדם לביצוע העבירה והנזק שנגרם </w:t>
      </w:r>
    </w:p>
    <w:p w14:paraId="5B954B1C" w14:textId="77777777" w:rsidR="004E5A21" w:rsidRDefault="004E5A21" w:rsidP="004E5A21">
      <w:pPr>
        <w:spacing w:line="360" w:lineRule="auto"/>
        <w:ind w:left="1005"/>
        <w:jc w:val="both"/>
        <w:rPr>
          <w:rFonts w:ascii="David" w:hAnsi="David"/>
          <w:rtl/>
        </w:rPr>
      </w:pPr>
      <w:r>
        <w:rPr>
          <w:rFonts w:ascii="David" w:hAnsi="David"/>
          <w:rtl/>
        </w:rPr>
        <w:t xml:space="preserve">הנאשם החזיק סמים בכמות גבוה בדירתו, אך לאחר שמיעת עדותו ובחינת חומרי החקירה, קיבלתי את גרסתו ולפיה הסמים הובאו לדירה על ידי שני תיירים שביקרו אצלו לצורך מפגש מיני מזדמן והם נותרו בדירה. הנאשם הוביל את השוטרים למקום הימצאות הסמים וסיפר בהזדמנות הראשונה את נסיבות הגעת הסמים לביתו, התרשמתי מעדותו של הנאשם שהותיר אותם בביתו כפי שעושה בחפצים רבים אחרים, גם כאלה שאין בהם שימוש. משכך, איני סבורה שקיים תכנון מקדים לביצוע העבירה. </w:t>
      </w:r>
    </w:p>
    <w:p w14:paraId="096F57AD" w14:textId="77777777" w:rsidR="004E5A21" w:rsidRDefault="004E5A21" w:rsidP="004E5A21">
      <w:pPr>
        <w:spacing w:line="360" w:lineRule="auto"/>
        <w:jc w:val="both"/>
        <w:rPr>
          <w:rFonts w:ascii="David" w:hAnsi="David"/>
          <w:b/>
          <w:bCs/>
          <w:rtl/>
        </w:rPr>
      </w:pPr>
    </w:p>
    <w:p w14:paraId="0F834DE9" w14:textId="77777777" w:rsidR="004E5A21" w:rsidRDefault="004E5A21" w:rsidP="004E5A21">
      <w:pPr>
        <w:pStyle w:val="aa"/>
        <w:numPr>
          <w:ilvl w:val="0"/>
          <w:numId w:val="4"/>
        </w:numPr>
        <w:spacing w:line="360" w:lineRule="auto"/>
        <w:jc w:val="both"/>
        <w:rPr>
          <w:rFonts w:ascii="David" w:hAnsi="David" w:cs="David"/>
          <w:b/>
          <w:bCs/>
          <w:rtl/>
        </w:rPr>
      </w:pPr>
      <w:r>
        <w:rPr>
          <w:rFonts w:ascii="David" w:hAnsi="David" w:cs="David"/>
          <w:b/>
          <w:bCs/>
          <w:rtl/>
        </w:rPr>
        <w:t>רישומו הפלילי של הנאשם</w:t>
      </w:r>
    </w:p>
    <w:p w14:paraId="3B5090C1" w14:textId="77777777" w:rsidR="004E5A21" w:rsidRDefault="004E5A21" w:rsidP="004E5A21">
      <w:pPr>
        <w:spacing w:line="360" w:lineRule="auto"/>
        <w:ind w:left="1005"/>
        <w:jc w:val="both"/>
        <w:rPr>
          <w:rFonts w:ascii="David" w:hAnsi="David"/>
          <w:rtl/>
        </w:rPr>
      </w:pPr>
      <w:r>
        <w:rPr>
          <w:rFonts w:ascii="David" w:hAnsi="David"/>
          <w:rtl/>
        </w:rPr>
        <w:t xml:space="preserve">לחובת הנאשם עבר פלילי- הרשעה מיום 1.2.2022 בעבירה של יצוא, יבוא, מסחר, הספקה סמים מסוכנים, עבירה לפי </w:t>
      </w:r>
      <w:hyperlink r:id="rId24" w:history="1">
        <w:r w:rsidR="009D4A51" w:rsidRPr="009D4A51">
          <w:rPr>
            <w:rStyle w:val="Hyperlink"/>
            <w:rFonts w:ascii="David" w:hAnsi="David"/>
            <w:color w:val="0000FF"/>
            <w:rtl/>
          </w:rPr>
          <w:t>סעיף 13</w:t>
        </w:r>
      </w:hyperlink>
      <w:r>
        <w:rPr>
          <w:rFonts w:ascii="David" w:hAnsi="David"/>
          <w:rtl/>
        </w:rPr>
        <w:t xml:space="preserve"> + </w:t>
      </w:r>
      <w:hyperlink r:id="rId25" w:history="1">
        <w:r w:rsidR="009D4A51" w:rsidRPr="009D4A51">
          <w:rPr>
            <w:rStyle w:val="Hyperlink"/>
            <w:rFonts w:ascii="David" w:hAnsi="David"/>
            <w:color w:val="0000FF"/>
            <w:rtl/>
          </w:rPr>
          <w:t>19א</w:t>
        </w:r>
      </w:hyperlink>
      <w:r>
        <w:rPr>
          <w:rFonts w:ascii="David" w:hAnsi="David"/>
          <w:rtl/>
        </w:rPr>
        <w:t xml:space="preserve"> לפקודת הסמים. הנאשם נדון על ידי בית המשפט המחוזי בתל אביב לעונש של 9 חודשי מאסר לריצוי בדרך של עבודות שירות, 10 חודשי מאסר על תנאי למשך 3 שנים, קנס בסך 10,000 ש"ח וצו מבחן לתקופה של 18 חודשים.</w:t>
      </w:r>
    </w:p>
    <w:p w14:paraId="1CCDFCEE" w14:textId="77777777" w:rsidR="004E5A21" w:rsidRDefault="004E5A21" w:rsidP="004E5A21">
      <w:pPr>
        <w:pStyle w:val="aa"/>
        <w:spacing w:line="360" w:lineRule="auto"/>
        <w:ind w:left="645"/>
        <w:jc w:val="both"/>
        <w:rPr>
          <w:rFonts w:ascii="David" w:hAnsi="David" w:cs="David"/>
          <w:rtl/>
        </w:rPr>
      </w:pPr>
    </w:p>
    <w:p w14:paraId="256CEE82" w14:textId="77777777" w:rsidR="004E5A21" w:rsidRDefault="004E5A21" w:rsidP="004E5A21">
      <w:pPr>
        <w:pStyle w:val="aa"/>
        <w:rPr>
          <w:rFonts w:ascii="David" w:hAnsi="David" w:cs="David"/>
        </w:rPr>
      </w:pPr>
    </w:p>
    <w:p w14:paraId="5F06C5F8" w14:textId="77777777" w:rsidR="004E5A21" w:rsidRDefault="004E5A21" w:rsidP="004E5A21">
      <w:pPr>
        <w:pStyle w:val="aa"/>
        <w:numPr>
          <w:ilvl w:val="0"/>
          <w:numId w:val="2"/>
        </w:numPr>
        <w:spacing w:line="360" w:lineRule="auto"/>
        <w:ind w:left="720" w:hanging="720"/>
        <w:jc w:val="both"/>
        <w:rPr>
          <w:rFonts w:ascii="David" w:hAnsi="David" w:cs="David"/>
          <w:rtl/>
        </w:rPr>
      </w:pPr>
      <w:r>
        <w:rPr>
          <w:rFonts w:ascii="David" w:hAnsi="David" w:cs="David"/>
          <w:rtl/>
        </w:rPr>
        <w:t xml:space="preserve">בהתאם </w:t>
      </w:r>
      <w:hyperlink r:id="rId26" w:history="1">
        <w:r w:rsidR="009D4A51" w:rsidRPr="009D4A51">
          <w:rPr>
            <w:rStyle w:val="Hyperlink"/>
            <w:rFonts w:ascii="David" w:hAnsi="David" w:cs="David"/>
            <w:color w:val="0000FF"/>
            <w:rtl/>
          </w:rPr>
          <w:t>לסעיף 40יא</w:t>
        </w:r>
      </w:hyperlink>
      <w:r>
        <w:rPr>
          <w:rFonts w:ascii="David" w:hAnsi="David" w:cs="David"/>
          <w:rtl/>
        </w:rPr>
        <w:t xml:space="preserve"> ל</w:t>
      </w:r>
      <w:hyperlink r:id="rId27" w:history="1">
        <w:r w:rsidR="00D63B0A" w:rsidRPr="00D63B0A">
          <w:rPr>
            <w:rFonts w:ascii="David" w:hAnsi="David" w:cs="David"/>
            <w:color w:val="0000FF"/>
            <w:u w:val="single"/>
            <w:rtl/>
          </w:rPr>
          <w:t>חוק העונשין</w:t>
        </w:r>
      </w:hyperlink>
      <w:r>
        <w:rPr>
          <w:rFonts w:ascii="David" w:hAnsi="David" w:cs="David"/>
          <w:rtl/>
        </w:rPr>
        <w:t xml:space="preserve">, יש לקחת בחשבון נסיבות שאינן קשורות בביצוע העבירה: </w:t>
      </w:r>
    </w:p>
    <w:p w14:paraId="21E5A5A5" w14:textId="77777777" w:rsidR="004E5A21" w:rsidRDefault="004E5A21" w:rsidP="004E5A21">
      <w:pPr>
        <w:spacing w:line="360" w:lineRule="auto"/>
        <w:jc w:val="both"/>
        <w:rPr>
          <w:rFonts w:ascii="David" w:hAnsi="David"/>
          <w:b/>
          <w:bCs/>
          <w:rtl/>
        </w:rPr>
      </w:pPr>
    </w:p>
    <w:p w14:paraId="021069A9" w14:textId="77777777" w:rsidR="004E5A21" w:rsidRDefault="004E5A21" w:rsidP="004E5A21">
      <w:pPr>
        <w:pStyle w:val="aa"/>
        <w:numPr>
          <w:ilvl w:val="0"/>
          <w:numId w:val="5"/>
        </w:numPr>
        <w:spacing w:line="360" w:lineRule="auto"/>
        <w:jc w:val="both"/>
        <w:rPr>
          <w:rFonts w:ascii="David" w:hAnsi="David" w:cs="David"/>
          <w:b/>
          <w:bCs/>
          <w:rtl/>
        </w:rPr>
      </w:pPr>
      <w:r>
        <w:rPr>
          <w:rFonts w:ascii="David" w:hAnsi="David" w:cs="David"/>
          <w:b/>
          <w:bCs/>
          <w:rtl/>
        </w:rPr>
        <w:t>נסיבותיו האישיות של הנאשם</w:t>
      </w:r>
    </w:p>
    <w:p w14:paraId="4AB22D25" w14:textId="77777777" w:rsidR="004E5A21" w:rsidRDefault="004E5A21" w:rsidP="004E5A21">
      <w:pPr>
        <w:spacing w:line="360" w:lineRule="auto"/>
        <w:ind w:left="720"/>
        <w:jc w:val="both"/>
        <w:rPr>
          <w:rFonts w:ascii="David" w:hAnsi="David"/>
          <w:rtl/>
        </w:rPr>
      </w:pPr>
      <w:r>
        <w:rPr>
          <w:rFonts w:ascii="David" w:hAnsi="David"/>
          <w:rtl/>
        </w:rPr>
        <w:t xml:space="preserve">הנאשם בן 64, יליד ארה"ב, בעל תואר שני ושלישי במתמטיקה, גרוש ואב ל -3 בנות. הנאשם סובל ממחלה כרונית </w:t>
      </w:r>
      <w:r>
        <w:rPr>
          <w:rFonts w:ascii="David" w:hAnsi="David" w:hint="cs"/>
          <w:rtl/>
        </w:rPr>
        <w:t>ומתמודד עם סרטן העור</w:t>
      </w:r>
      <w:r>
        <w:rPr>
          <w:rFonts w:ascii="David" w:hAnsi="David"/>
          <w:rtl/>
        </w:rPr>
        <w:t xml:space="preserve">. היה מחלוצי ענף התקשורת באינטרנט, הקים חברת סטארט אפ ובהמשך גם שימש כראש מחלקה בחברת סקייפ. הצלחתו בפן העסקי והמקצועי הביאה להישגים אישיים וכלכליים משמעותיים, אך בד בבד, לצד ההצלחה, החל הנאשם להשתמש בסמים מסוכנים ולהתמכר להם. הנאשם סיפר כי בקרב הקהילה הגאה משמשים הסמים ברקע מפגשים מיניים והשימוש הפך להיות תכוף. עם הסתבכותו של הנאשם בפלילים חלה פגיעה ונתק ביחסיו עם בנותיו, אשר הביעו אכזבה רבה ממנו. הנאשם סיפר כי לאחר תקופה ארוכה של ניקיון ושיקום, גילה להפתעתו שמשפחתו התכנסה לחגוג יחד את חגי תשרי והוא לא הוזמן. המשבר שפקד אותו, הוא שעמד ברקע המפגש עם התיירים, והשימוש בסם. </w:t>
      </w:r>
    </w:p>
    <w:p w14:paraId="307AB97D" w14:textId="77777777" w:rsidR="004E5A21" w:rsidRDefault="004E5A21" w:rsidP="004E5A21">
      <w:pPr>
        <w:spacing w:line="360" w:lineRule="auto"/>
        <w:jc w:val="both"/>
        <w:rPr>
          <w:rFonts w:ascii="David" w:hAnsi="David"/>
          <w:b/>
          <w:bCs/>
          <w:rtl/>
        </w:rPr>
      </w:pPr>
    </w:p>
    <w:p w14:paraId="6F2AC11B" w14:textId="77777777" w:rsidR="004E5A21" w:rsidRDefault="004E5A21" w:rsidP="004E5A21">
      <w:pPr>
        <w:pStyle w:val="aa"/>
        <w:numPr>
          <w:ilvl w:val="0"/>
          <w:numId w:val="5"/>
        </w:numPr>
        <w:spacing w:line="360" w:lineRule="auto"/>
        <w:jc w:val="both"/>
        <w:rPr>
          <w:rFonts w:ascii="David" w:hAnsi="David" w:cs="David"/>
          <w:b/>
          <w:bCs/>
          <w:rtl/>
        </w:rPr>
      </w:pPr>
      <w:r>
        <w:rPr>
          <w:rFonts w:ascii="David" w:hAnsi="David" w:cs="David"/>
          <w:b/>
          <w:bCs/>
          <w:rtl/>
        </w:rPr>
        <w:t>הפגיעה של העונש בנאשם ומשפחתו</w:t>
      </w:r>
    </w:p>
    <w:p w14:paraId="563F1AB3" w14:textId="77777777" w:rsidR="004E5A21" w:rsidRDefault="004E5A21" w:rsidP="004E5A21">
      <w:pPr>
        <w:spacing w:line="360" w:lineRule="auto"/>
        <w:ind w:left="720"/>
        <w:jc w:val="both"/>
        <w:rPr>
          <w:rFonts w:ascii="David" w:hAnsi="David"/>
          <w:rtl/>
        </w:rPr>
      </w:pPr>
      <w:r>
        <w:rPr>
          <w:rFonts w:ascii="David" w:hAnsi="David"/>
          <w:rtl/>
        </w:rPr>
        <w:t>הנאשם סיפר כי הסתבכותו הנוספת בפלילים הביאה לכך שבנותיו ומשפחתו התרחקו ממנו. לדבריו, שיקום הקשרים המשפחתיים, תלוי במידה רבה באופן שבו יסתיים ההליך. יש לקחת בחשבון בהקשר זה גם את מעצר הבית הארוך בו שהה הנאשם, בתנאים של ניתוק מוחלט מחברים ומשפחה, ללא מעגל תומך ובבדידות קשה.</w:t>
      </w:r>
    </w:p>
    <w:p w14:paraId="4DF02276" w14:textId="77777777" w:rsidR="004E5A21" w:rsidRDefault="004E5A21" w:rsidP="004E5A21">
      <w:pPr>
        <w:spacing w:line="360" w:lineRule="auto"/>
        <w:jc w:val="both"/>
        <w:rPr>
          <w:rFonts w:ascii="David" w:hAnsi="David"/>
          <w:rtl/>
        </w:rPr>
      </w:pPr>
    </w:p>
    <w:p w14:paraId="1066F61E" w14:textId="77777777" w:rsidR="004E5A21" w:rsidRDefault="004E5A21" w:rsidP="004E5A21">
      <w:pPr>
        <w:pStyle w:val="aa"/>
        <w:numPr>
          <w:ilvl w:val="0"/>
          <w:numId w:val="5"/>
        </w:numPr>
        <w:spacing w:line="360" w:lineRule="auto"/>
        <w:jc w:val="both"/>
        <w:rPr>
          <w:rFonts w:ascii="David" w:hAnsi="David" w:cs="David"/>
          <w:b/>
          <w:bCs/>
          <w:rtl/>
        </w:rPr>
      </w:pPr>
      <w:r>
        <w:rPr>
          <w:rFonts w:ascii="David" w:hAnsi="David" w:cs="David"/>
          <w:b/>
          <w:bCs/>
          <w:rtl/>
        </w:rPr>
        <w:t>נטילת אחריות, חזרתו למוטב או מאמציו לחזור למוטב;</w:t>
      </w:r>
    </w:p>
    <w:p w14:paraId="58FC89EE" w14:textId="77777777" w:rsidR="004E5A21" w:rsidRDefault="004E5A21" w:rsidP="004E5A21">
      <w:pPr>
        <w:spacing w:line="360" w:lineRule="auto"/>
        <w:ind w:left="720"/>
        <w:jc w:val="both"/>
        <w:rPr>
          <w:rFonts w:ascii="David" w:hAnsi="David"/>
          <w:rtl/>
        </w:rPr>
      </w:pPr>
      <w:r>
        <w:rPr>
          <w:rFonts w:ascii="David" w:hAnsi="David"/>
          <w:rtl/>
        </w:rPr>
        <w:t xml:space="preserve">הנאשם הביע צער ממשי על הסתבכותו הפלילי. הנאשם הבין, כפי שטען, כי הימצאותו של סם מסוכן בקרבתו, כמי שהיה מכור לסמים, היא בבחינת פרצה קוראת לגנב. הנאשם סיפר כי המשיך במאמצי הניקיון והטיפול, עבר הליך גמילה ארוך בעבר והבין את ההשלכות הקשות של שימוש והחזקת סם על מהלך חייו. </w:t>
      </w:r>
    </w:p>
    <w:p w14:paraId="6B444FAB" w14:textId="77777777" w:rsidR="004E5A21" w:rsidRDefault="004E5A21" w:rsidP="004E5A21">
      <w:pPr>
        <w:spacing w:line="360" w:lineRule="auto"/>
        <w:jc w:val="both"/>
        <w:rPr>
          <w:rFonts w:ascii="David" w:hAnsi="David"/>
          <w:rtl/>
        </w:rPr>
      </w:pPr>
    </w:p>
    <w:p w14:paraId="36B135A7" w14:textId="77777777" w:rsidR="004E5A21" w:rsidRDefault="004E5A21" w:rsidP="004E5A21">
      <w:pPr>
        <w:spacing w:line="360" w:lineRule="auto"/>
        <w:ind w:left="720" w:hanging="720"/>
        <w:jc w:val="both"/>
        <w:rPr>
          <w:rFonts w:ascii="David" w:hAnsi="David"/>
        </w:rPr>
      </w:pPr>
      <w:r>
        <w:rPr>
          <w:rFonts w:ascii="David" w:hAnsi="David"/>
          <w:rtl/>
        </w:rPr>
        <w:t>15.</w:t>
      </w:r>
      <w:r>
        <w:rPr>
          <w:rFonts w:ascii="David" w:hAnsi="David"/>
          <w:rtl/>
        </w:rPr>
        <w:tab/>
        <w:t>בהתחשב בכלל הנתונים והשיקולים שהובאו לעיל, אני מטילה על הנאשם את העונשים הבאים:</w:t>
      </w:r>
    </w:p>
    <w:p w14:paraId="47641C1D" w14:textId="77777777" w:rsidR="004E5A21" w:rsidRDefault="004E5A21" w:rsidP="004E5A21">
      <w:pPr>
        <w:numPr>
          <w:ilvl w:val="0"/>
          <w:numId w:val="6"/>
        </w:numPr>
        <w:spacing w:line="360" w:lineRule="auto"/>
        <w:jc w:val="both"/>
        <w:rPr>
          <w:rFonts w:ascii="David" w:hAnsi="David"/>
          <w:rtl/>
        </w:rPr>
      </w:pPr>
      <w:r>
        <w:rPr>
          <w:rFonts w:ascii="David" w:hAnsi="David"/>
          <w:u w:val="single"/>
          <w:rtl/>
        </w:rPr>
        <w:t>מאסר על תנאי</w:t>
      </w:r>
      <w:r>
        <w:rPr>
          <w:rFonts w:ascii="David" w:hAnsi="David"/>
          <w:rtl/>
        </w:rPr>
        <w:t xml:space="preserve"> בן 9 חודשים; הנאשם לא יישא עונש זה אלא אם בתקופה של 3 שנים מהיום יעבור עבירת סמים מסוג פשע.</w:t>
      </w:r>
    </w:p>
    <w:p w14:paraId="66975335" w14:textId="77777777" w:rsidR="004E5A21" w:rsidRDefault="004E5A21" w:rsidP="004E5A21">
      <w:pPr>
        <w:numPr>
          <w:ilvl w:val="0"/>
          <w:numId w:val="6"/>
        </w:numPr>
        <w:spacing w:line="360" w:lineRule="auto"/>
        <w:jc w:val="both"/>
        <w:rPr>
          <w:rFonts w:ascii="David" w:hAnsi="David"/>
        </w:rPr>
      </w:pPr>
      <w:r>
        <w:rPr>
          <w:rFonts w:ascii="David" w:hAnsi="David"/>
          <w:u w:val="single"/>
          <w:rtl/>
        </w:rPr>
        <w:t>מאסר על תנאי</w:t>
      </w:r>
      <w:r>
        <w:rPr>
          <w:rFonts w:ascii="David" w:hAnsi="David"/>
          <w:rtl/>
        </w:rPr>
        <w:t xml:space="preserve"> בן 6 חודשים, הנאשם לא יישא עונש זה אלא אם בתקופה של 3 שנים מהיום יעבור עבירת סמים מסוג עוון.</w:t>
      </w:r>
    </w:p>
    <w:p w14:paraId="56600DD1" w14:textId="77777777" w:rsidR="004E5A21" w:rsidRDefault="004E5A21" w:rsidP="004E5A21">
      <w:pPr>
        <w:numPr>
          <w:ilvl w:val="0"/>
          <w:numId w:val="6"/>
        </w:numPr>
        <w:spacing w:line="360" w:lineRule="auto"/>
        <w:jc w:val="both"/>
        <w:rPr>
          <w:rFonts w:ascii="David" w:hAnsi="David"/>
        </w:rPr>
      </w:pPr>
      <w:r>
        <w:rPr>
          <w:rFonts w:ascii="David" w:hAnsi="David"/>
          <w:u w:val="single"/>
          <w:rtl/>
        </w:rPr>
        <w:t>קנס</w:t>
      </w:r>
      <w:r>
        <w:rPr>
          <w:rFonts w:ascii="David" w:hAnsi="David"/>
          <w:rtl/>
        </w:rPr>
        <w:t xml:space="preserve"> בסך של 5,000 ₪. ככל</w:t>
      </w:r>
      <w:r>
        <w:rPr>
          <w:rFonts w:ascii="David" w:hAnsi="David"/>
          <w:noProof/>
        </w:rPr>
        <w:t xml:space="preserve"> </w:t>
      </w:r>
      <w:r>
        <w:rPr>
          <w:rFonts w:ascii="David" w:hAnsi="David"/>
          <w:rtl/>
        </w:rPr>
        <w:t>שהופקד</w:t>
      </w:r>
      <w:r>
        <w:rPr>
          <w:rFonts w:ascii="David" w:hAnsi="David"/>
          <w:noProof/>
        </w:rPr>
        <w:t xml:space="preserve"> </w:t>
      </w:r>
      <w:r>
        <w:rPr>
          <w:rFonts w:ascii="David" w:hAnsi="David"/>
          <w:rtl/>
        </w:rPr>
        <w:t>פיקדון</w:t>
      </w:r>
      <w:r>
        <w:rPr>
          <w:rFonts w:ascii="David" w:hAnsi="David"/>
          <w:noProof/>
        </w:rPr>
        <w:t xml:space="preserve"> </w:t>
      </w:r>
      <w:r>
        <w:rPr>
          <w:rFonts w:ascii="David" w:hAnsi="David"/>
          <w:rtl/>
        </w:rPr>
        <w:t>בתיק</w:t>
      </w:r>
      <w:r>
        <w:rPr>
          <w:rFonts w:ascii="David" w:hAnsi="David"/>
          <w:noProof/>
        </w:rPr>
        <w:t xml:space="preserve"> </w:t>
      </w:r>
      <w:r>
        <w:rPr>
          <w:rFonts w:ascii="David" w:hAnsi="David"/>
          <w:rtl/>
        </w:rPr>
        <w:t>על-ידי</w:t>
      </w:r>
      <w:r>
        <w:rPr>
          <w:rFonts w:ascii="David" w:hAnsi="David"/>
          <w:noProof/>
        </w:rPr>
        <w:t xml:space="preserve"> </w:t>
      </w:r>
      <w:r>
        <w:rPr>
          <w:rFonts w:ascii="David" w:hAnsi="David"/>
          <w:rtl/>
        </w:rPr>
        <w:t xml:space="preserve">הנאשם, </w:t>
      </w:r>
      <w:r>
        <w:rPr>
          <w:rFonts w:ascii="David" w:hAnsi="David"/>
          <w:rtl/>
          <w:lang w:eastAsia="he-IL"/>
        </w:rPr>
        <w:t xml:space="preserve">הקנס יקוזז מהפיקדון ויתרה </w:t>
      </w:r>
      <w:r>
        <w:rPr>
          <w:rFonts w:ascii="David" w:hAnsi="David"/>
          <w:rtl/>
        </w:rPr>
        <w:t>תוחזר לנאשם</w:t>
      </w:r>
      <w:r>
        <w:rPr>
          <w:rFonts w:ascii="David" w:hAnsi="David"/>
          <w:noProof/>
        </w:rPr>
        <w:t xml:space="preserve"> </w:t>
      </w:r>
      <w:r>
        <w:rPr>
          <w:rFonts w:ascii="David" w:hAnsi="David"/>
          <w:rtl/>
        </w:rPr>
        <w:t>או</w:t>
      </w:r>
      <w:r>
        <w:rPr>
          <w:rFonts w:ascii="David" w:hAnsi="David"/>
          <w:noProof/>
        </w:rPr>
        <w:t xml:space="preserve"> </w:t>
      </w:r>
      <w:r>
        <w:rPr>
          <w:rFonts w:ascii="David" w:hAnsi="David"/>
          <w:rtl/>
        </w:rPr>
        <w:t>לגורם</w:t>
      </w:r>
      <w:r>
        <w:rPr>
          <w:rFonts w:ascii="David" w:hAnsi="David"/>
          <w:noProof/>
        </w:rPr>
        <w:t xml:space="preserve"> </w:t>
      </w:r>
      <w:r>
        <w:rPr>
          <w:rFonts w:ascii="David" w:hAnsi="David"/>
          <w:rtl/>
        </w:rPr>
        <w:t>אחר</w:t>
      </w:r>
      <w:r>
        <w:rPr>
          <w:rFonts w:ascii="David" w:hAnsi="David"/>
          <w:noProof/>
        </w:rPr>
        <w:t xml:space="preserve"> </w:t>
      </w:r>
      <w:r>
        <w:rPr>
          <w:rFonts w:ascii="David" w:hAnsi="David"/>
          <w:rtl/>
        </w:rPr>
        <w:t>לפי</w:t>
      </w:r>
      <w:r>
        <w:rPr>
          <w:rFonts w:ascii="David" w:hAnsi="David"/>
          <w:noProof/>
        </w:rPr>
        <w:t xml:space="preserve"> </w:t>
      </w:r>
      <w:r>
        <w:rPr>
          <w:rFonts w:ascii="David" w:hAnsi="David"/>
          <w:rtl/>
        </w:rPr>
        <w:t>בקשת</w:t>
      </w:r>
      <w:r>
        <w:rPr>
          <w:rFonts w:ascii="David" w:hAnsi="David"/>
          <w:noProof/>
        </w:rPr>
        <w:t xml:space="preserve"> </w:t>
      </w:r>
      <w:r>
        <w:rPr>
          <w:rFonts w:ascii="David" w:hAnsi="David"/>
          <w:rtl/>
        </w:rPr>
        <w:t>הנאשם, בהיעדר</w:t>
      </w:r>
      <w:r>
        <w:rPr>
          <w:rFonts w:ascii="David" w:hAnsi="David"/>
          <w:noProof/>
        </w:rPr>
        <w:t xml:space="preserve"> </w:t>
      </w:r>
      <w:r>
        <w:rPr>
          <w:rFonts w:ascii="David" w:hAnsi="David"/>
          <w:rtl/>
        </w:rPr>
        <w:t>מניעה</w:t>
      </w:r>
      <w:r>
        <w:rPr>
          <w:rFonts w:ascii="David" w:hAnsi="David"/>
          <w:noProof/>
        </w:rPr>
        <w:t xml:space="preserve"> </w:t>
      </w:r>
      <w:r>
        <w:rPr>
          <w:rFonts w:ascii="David" w:hAnsi="David"/>
          <w:rtl/>
        </w:rPr>
        <w:t>על-פי</w:t>
      </w:r>
      <w:r>
        <w:rPr>
          <w:rFonts w:ascii="David" w:hAnsi="David"/>
          <w:noProof/>
        </w:rPr>
        <w:t xml:space="preserve"> </w:t>
      </w:r>
      <w:r>
        <w:rPr>
          <w:rFonts w:ascii="David" w:hAnsi="David"/>
          <w:rtl/>
        </w:rPr>
        <w:t xml:space="preserve">דין. במידה ולא ניתן לקזז את ההפקדה, הקנס ישולם ב--- תשלומים שווים ורצופים, החל מיום --- וב-1 לחודש שלאחריו.  </w:t>
      </w:r>
    </w:p>
    <w:p w14:paraId="3DFEE48A" w14:textId="77777777" w:rsidR="004E5A21" w:rsidRDefault="004E5A21" w:rsidP="004E5A21">
      <w:pPr>
        <w:spacing w:line="360" w:lineRule="auto"/>
        <w:ind w:left="360" w:firstLine="720"/>
        <w:jc w:val="both"/>
        <w:rPr>
          <w:rFonts w:ascii="David" w:hAnsi="David"/>
          <w:rtl/>
        </w:rPr>
      </w:pPr>
      <w:r>
        <w:rPr>
          <w:rFonts w:ascii="David" w:hAnsi="David"/>
          <w:rtl/>
        </w:rPr>
        <w:t xml:space="preserve">באם תשלום אחד מן התשלומים לא יפרע במועדו, יעמוד כל הקנס לפירעון מידי.  </w:t>
      </w:r>
    </w:p>
    <w:p w14:paraId="76926543" w14:textId="77777777" w:rsidR="004E5A21" w:rsidRDefault="004E5A21" w:rsidP="004E5A21">
      <w:pPr>
        <w:spacing w:line="360" w:lineRule="auto"/>
        <w:ind w:left="360" w:firstLine="720"/>
        <w:jc w:val="both"/>
        <w:rPr>
          <w:rFonts w:ascii="David" w:hAnsi="David"/>
          <w:rtl/>
        </w:rPr>
      </w:pPr>
    </w:p>
    <w:p w14:paraId="6943A117" w14:textId="77777777" w:rsidR="004E5A21" w:rsidRDefault="004E5A21" w:rsidP="004E5A21">
      <w:pPr>
        <w:spacing w:line="360" w:lineRule="auto"/>
        <w:ind w:left="1080"/>
        <w:jc w:val="both"/>
        <w:rPr>
          <w:rFonts w:ascii="David" w:hAnsi="David"/>
          <w:rtl/>
          <w:lang w:eastAsia="he-IL"/>
        </w:rPr>
      </w:pPr>
      <w:r>
        <w:rPr>
          <w:rFonts w:ascii="David" w:hAnsi="David"/>
          <w:rtl/>
          <w:lang w:eastAsia="he-IL"/>
        </w:rPr>
        <w:t>ניתן יהיה לשלם את הקנס/ פיצוי/ ההוצאות כעבור שלושה ימים מיום מתן ההחלטה/  גזר הדין לחשבון המרכז לגביית קנסות, אגרות והוצאות ברשות האכיפה והגבייה באחת מהדרכים הבאות:</w:t>
      </w:r>
    </w:p>
    <w:p w14:paraId="6287E2F8" w14:textId="77777777" w:rsidR="004E5A21" w:rsidRDefault="004E5A21" w:rsidP="004E5A21">
      <w:pPr>
        <w:spacing w:line="360" w:lineRule="auto"/>
        <w:ind w:firstLine="720"/>
        <w:jc w:val="both"/>
        <w:rPr>
          <w:rFonts w:ascii="David" w:hAnsi="David"/>
          <w:rtl/>
          <w:lang w:eastAsia="he-IL"/>
        </w:rPr>
      </w:pPr>
      <w:r>
        <w:rPr>
          <w:rFonts w:ascii="David" w:hAnsi="David"/>
          <w:rtl/>
          <w:lang w:eastAsia="he-IL"/>
        </w:rPr>
        <w:t>•</w:t>
      </w:r>
      <w:r>
        <w:rPr>
          <w:rFonts w:ascii="David" w:hAnsi="David"/>
          <w:rtl/>
          <w:lang w:eastAsia="he-IL"/>
        </w:rPr>
        <w:tab/>
        <w:t xml:space="preserve">בכרטיס אשראי – באתר המקוון של רשות האכיפה והגבייה, </w:t>
      </w:r>
      <w:hyperlink r:id="rId28" w:history="1">
        <w:r>
          <w:rPr>
            <w:rStyle w:val="Hyperlink"/>
            <w:rFonts w:ascii="David" w:hAnsi="David"/>
            <w:lang w:eastAsia="he-IL"/>
          </w:rPr>
          <w:t>www.eca.gov.il</w:t>
        </w:r>
      </w:hyperlink>
      <w:r>
        <w:rPr>
          <w:rFonts w:ascii="David" w:hAnsi="David"/>
          <w:rtl/>
          <w:lang w:eastAsia="he-IL"/>
        </w:rPr>
        <w:t xml:space="preserve">  </w:t>
      </w:r>
    </w:p>
    <w:p w14:paraId="121B285A" w14:textId="77777777" w:rsidR="004E5A21" w:rsidRDefault="004E5A21" w:rsidP="004E5A21">
      <w:pPr>
        <w:spacing w:line="360" w:lineRule="auto"/>
        <w:ind w:left="1440" w:hanging="720"/>
        <w:jc w:val="both"/>
        <w:rPr>
          <w:rFonts w:ascii="David" w:hAnsi="David"/>
          <w:rtl/>
          <w:lang w:eastAsia="he-IL"/>
        </w:rPr>
      </w:pPr>
      <w:r>
        <w:rPr>
          <w:rFonts w:ascii="David" w:hAnsi="David"/>
          <w:rtl/>
          <w:lang w:eastAsia="he-IL"/>
        </w:rPr>
        <w:t>•</w:t>
      </w:r>
      <w:r>
        <w:rPr>
          <w:rFonts w:ascii="David" w:hAnsi="David"/>
          <w:rtl/>
          <w:lang w:eastAsia="he-IL"/>
        </w:rPr>
        <w:tab/>
        <w:t>מוקד שירות טלפוני בשרות עצמי (מרכז גבייה)  – בטלפון 35592* או בטלפון 073-2055000</w:t>
      </w:r>
    </w:p>
    <w:p w14:paraId="36E7B985" w14:textId="77777777" w:rsidR="004E5A21" w:rsidRDefault="004E5A21" w:rsidP="004E5A21">
      <w:pPr>
        <w:spacing w:line="360" w:lineRule="auto"/>
        <w:ind w:left="1440" w:hanging="720"/>
        <w:jc w:val="both"/>
        <w:rPr>
          <w:rFonts w:ascii="David" w:hAnsi="David"/>
          <w:lang w:eastAsia="he-IL"/>
        </w:rPr>
      </w:pPr>
      <w:r>
        <w:rPr>
          <w:rFonts w:ascii="David" w:hAnsi="David"/>
          <w:rtl/>
          <w:lang w:eastAsia="he-IL"/>
        </w:rPr>
        <w:t>•</w:t>
      </w:r>
      <w:r>
        <w:rPr>
          <w:rFonts w:ascii="David" w:hAnsi="David"/>
          <w:rtl/>
          <w:lang w:eastAsia="he-IL"/>
        </w:rPr>
        <w:tab/>
        <w:t>במזומן בכל סניף של בנק הדואר – בהצגת תעודת זהות בלבד (אין צורך בשוברי תשלום).</w:t>
      </w:r>
    </w:p>
    <w:p w14:paraId="72C4FF53" w14:textId="77777777" w:rsidR="004E5A21" w:rsidRDefault="004E5A21" w:rsidP="004E5A21">
      <w:pPr>
        <w:spacing w:line="360" w:lineRule="auto"/>
        <w:ind w:left="1080"/>
        <w:jc w:val="both"/>
        <w:rPr>
          <w:rFonts w:ascii="David" w:hAnsi="David"/>
          <w:rtl/>
        </w:rPr>
      </w:pPr>
    </w:p>
    <w:p w14:paraId="0A841575" w14:textId="77777777" w:rsidR="004E5A21" w:rsidRDefault="004E5A21" w:rsidP="004E5A21">
      <w:pPr>
        <w:numPr>
          <w:ilvl w:val="0"/>
          <w:numId w:val="6"/>
        </w:numPr>
        <w:spacing w:line="360" w:lineRule="auto"/>
        <w:jc w:val="both"/>
        <w:rPr>
          <w:rFonts w:ascii="David" w:hAnsi="David"/>
          <w:noProof/>
          <w:rtl/>
        </w:rPr>
      </w:pPr>
      <w:r>
        <w:rPr>
          <w:rFonts w:ascii="David" w:hAnsi="David"/>
          <w:rtl/>
        </w:rPr>
        <w:t xml:space="preserve">מוטלת על הנאשם </w:t>
      </w:r>
      <w:r>
        <w:rPr>
          <w:rFonts w:ascii="David" w:hAnsi="David"/>
          <w:u w:val="single"/>
          <w:rtl/>
        </w:rPr>
        <w:t xml:space="preserve">התחייבות </w:t>
      </w:r>
      <w:r>
        <w:rPr>
          <w:rFonts w:ascii="David" w:hAnsi="David"/>
          <w:rtl/>
        </w:rPr>
        <w:t>בסך של 10,000 ש"ח ₪ שלא יעבור בתוך שנתיים מהיום עבירה לפי פקודת הסמים מסוג פשע.</w:t>
      </w:r>
    </w:p>
    <w:p w14:paraId="0837D830" w14:textId="77777777" w:rsidR="004E5A21" w:rsidRDefault="004E5A21" w:rsidP="004E5A21">
      <w:pPr>
        <w:spacing w:line="360" w:lineRule="auto"/>
        <w:ind w:left="1080"/>
        <w:jc w:val="both"/>
        <w:rPr>
          <w:rFonts w:ascii="David" w:hAnsi="David"/>
          <w:noProof/>
          <w:rtl/>
        </w:rPr>
      </w:pPr>
      <w:r>
        <w:rPr>
          <w:rFonts w:ascii="David" w:hAnsi="David"/>
          <w:rtl/>
        </w:rPr>
        <w:t xml:space="preserve">הנאשם התחייב בפניי. </w:t>
      </w:r>
    </w:p>
    <w:p w14:paraId="616D6321" w14:textId="77777777" w:rsidR="004E5A21" w:rsidRDefault="004E5A21" w:rsidP="004E5A21">
      <w:pPr>
        <w:spacing w:line="360" w:lineRule="auto"/>
        <w:ind w:left="360" w:firstLine="720"/>
        <w:jc w:val="both"/>
        <w:rPr>
          <w:rFonts w:ascii="David" w:hAnsi="David"/>
        </w:rPr>
      </w:pPr>
    </w:p>
    <w:p w14:paraId="3C80E3F2" w14:textId="77777777" w:rsidR="004E5A21" w:rsidRDefault="004E5A21" w:rsidP="004E5A21">
      <w:pPr>
        <w:spacing w:line="360" w:lineRule="auto"/>
        <w:jc w:val="both"/>
        <w:rPr>
          <w:rFonts w:ascii="David" w:hAnsi="David"/>
          <w:b/>
          <w:bCs/>
          <w:rtl/>
        </w:rPr>
      </w:pPr>
    </w:p>
    <w:p w14:paraId="37B59787" w14:textId="77777777" w:rsidR="004E5A21" w:rsidRDefault="004E5A21" w:rsidP="004E5A21">
      <w:pPr>
        <w:spacing w:line="360" w:lineRule="auto"/>
        <w:jc w:val="both"/>
        <w:rPr>
          <w:rFonts w:ascii="David" w:hAnsi="David"/>
          <w:b/>
          <w:bCs/>
          <w:u w:val="single"/>
          <w:rtl/>
        </w:rPr>
      </w:pPr>
      <w:r>
        <w:rPr>
          <w:rFonts w:ascii="David" w:hAnsi="David"/>
          <w:b/>
          <w:bCs/>
          <w:u w:val="single"/>
          <w:rtl/>
        </w:rPr>
        <w:t>מוצגים – יוחזרו לבעלים ובהעדרם יחולטו או יושמדו לפי החלטת קצין ממונה.</w:t>
      </w:r>
    </w:p>
    <w:p w14:paraId="4C82DD00" w14:textId="77777777" w:rsidR="004E5A21" w:rsidRDefault="004E5A21" w:rsidP="004E5A21">
      <w:pPr>
        <w:snapToGrid w:val="0"/>
        <w:spacing w:line="360" w:lineRule="auto"/>
        <w:jc w:val="both"/>
        <w:rPr>
          <w:rFonts w:ascii="David" w:hAnsi="David"/>
          <w:b/>
          <w:bCs/>
          <w:u w:val="single"/>
          <w:rtl/>
        </w:rPr>
      </w:pPr>
    </w:p>
    <w:p w14:paraId="5365235D" w14:textId="77777777" w:rsidR="004E5A21" w:rsidRDefault="00D63B0A" w:rsidP="004E5A21">
      <w:pPr>
        <w:rPr>
          <w:rFonts w:ascii="David" w:hAnsi="David"/>
        </w:rPr>
      </w:pPr>
      <w:r w:rsidRPr="00D63B0A">
        <w:rPr>
          <w:rFonts w:ascii="David" w:hAnsi="David"/>
          <w:b/>
          <w:bCs/>
          <w:color w:val="FFFFFF"/>
          <w:sz w:val="2"/>
          <w:szCs w:val="2"/>
          <w:u w:val="single"/>
          <w:rtl/>
        </w:rPr>
        <w:t>5129371</w:t>
      </w:r>
      <w:r w:rsidR="004E5A21">
        <w:rPr>
          <w:rFonts w:ascii="David" w:hAnsi="David"/>
          <w:b/>
          <w:bCs/>
          <w:u w:val="single"/>
          <w:rtl/>
        </w:rPr>
        <w:t>זכות ערעור לבית המשפט המחוזי בתל-אביב תוך 45 יום מהיום</w:t>
      </w:r>
    </w:p>
    <w:p w14:paraId="6A0A82DF" w14:textId="77777777" w:rsidR="004E5A21" w:rsidRPr="00D63B0A" w:rsidRDefault="00D63B0A" w:rsidP="004E5A21">
      <w:pPr>
        <w:rPr>
          <w:rFonts w:ascii="Arial" w:hAnsi="Arial"/>
          <w:b/>
          <w:bCs/>
          <w:color w:val="FFFFFF"/>
          <w:sz w:val="2"/>
          <w:szCs w:val="2"/>
          <w:rtl/>
        </w:rPr>
      </w:pPr>
      <w:r w:rsidRPr="00D63B0A">
        <w:rPr>
          <w:rFonts w:ascii="Arial" w:hAnsi="Arial"/>
          <w:b/>
          <w:bCs/>
          <w:color w:val="FFFFFF"/>
          <w:sz w:val="2"/>
          <w:szCs w:val="2"/>
          <w:rtl/>
        </w:rPr>
        <w:t>54678313</w:t>
      </w:r>
    </w:p>
    <w:p w14:paraId="304B87EB" w14:textId="77777777" w:rsidR="004E5A21" w:rsidRPr="000F2247" w:rsidRDefault="004E5A21" w:rsidP="004E5A21">
      <w:pPr>
        <w:rPr>
          <w:rFonts w:ascii="Arial" w:hAnsi="Arial"/>
          <w:b/>
          <w:bCs/>
          <w:sz w:val="26"/>
          <w:szCs w:val="26"/>
          <w:rtl/>
        </w:rPr>
      </w:pPr>
    </w:p>
    <w:p w14:paraId="5CAA1338" w14:textId="77777777" w:rsidR="004E5A21" w:rsidRPr="000F2247" w:rsidRDefault="00D63B0A" w:rsidP="004E5A2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טבת תשפ"ה, 07 ינואר 2025, במעמד הצדדים. </w:t>
      </w:r>
      <w:bookmarkEnd w:id="8"/>
      <w:r w:rsidR="004E5A21">
        <w:rPr>
          <w:rFonts w:ascii="Arial" w:hAnsi="Arial"/>
          <w:b/>
          <w:bCs/>
          <w:sz w:val="26"/>
          <w:szCs w:val="26"/>
          <w:rtl/>
        </w:rPr>
        <w:tab/>
      </w:r>
      <w:r w:rsidR="004E5A21">
        <w:rPr>
          <w:rFonts w:ascii="Arial" w:hAnsi="Arial"/>
          <w:b/>
          <w:bCs/>
          <w:sz w:val="26"/>
          <w:szCs w:val="26"/>
          <w:rtl/>
        </w:rPr>
        <w:tab/>
      </w:r>
      <w:r w:rsidR="004E5A21">
        <w:rPr>
          <w:rFonts w:ascii="Arial" w:hAnsi="Arial"/>
          <w:b/>
          <w:bCs/>
          <w:sz w:val="26"/>
          <w:szCs w:val="26"/>
          <w:rtl/>
        </w:rPr>
        <w:tab/>
      </w:r>
      <w:r w:rsidR="004E5A21">
        <w:rPr>
          <w:rFonts w:ascii="Arial" w:hAnsi="Arial"/>
          <w:b/>
          <w:bCs/>
          <w:sz w:val="26"/>
          <w:szCs w:val="26"/>
          <w:rtl/>
        </w:rPr>
        <w:tab/>
      </w:r>
      <w:r w:rsidR="004E5A21">
        <w:rPr>
          <w:rFonts w:ascii="Arial" w:hAnsi="Arial"/>
          <w:b/>
          <w:bCs/>
          <w:sz w:val="26"/>
          <w:szCs w:val="26"/>
          <w:rtl/>
        </w:rPr>
        <w:tab/>
      </w:r>
      <w:r w:rsidR="004E5A21">
        <w:rPr>
          <w:rFonts w:ascii="Arial" w:hAnsi="Arial"/>
          <w:b/>
          <w:bCs/>
          <w:sz w:val="26"/>
          <w:szCs w:val="26"/>
          <w:rtl/>
        </w:rPr>
        <w:tab/>
      </w:r>
      <w:r w:rsidR="004E5A21">
        <w:rPr>
          <w:rFonts w:ascii="Arial" w:hAnsi="Arial"/>
          <w:b/>
          <w:bCs/>
          <w:sz w:val="26"/>
          <w:szCs w:val="26"/>
          <w:rtl/>
        </w:rPr>
        <w:tab/>
      </w:r>
      <w:r w:rsidR="004E5A21">
        <w:rPr>
          <w:rFonts w:ascii="Arial" w:hAnsi="Arial" w:hint="cs"/>
          <w:b/>
          <w:bCs/>
          <w:sz w:val="26"/>
          <w:szCs w:val="26"/>
          <w:rtl/>
        </w:rPr>
        <w:t xml:space="preserve">         </w:t>
      </w:r>
    </w:p>
    <w:p w14:paraId="03B024D0" w14:textId="77777777" w:rsidR="004E5A21" w:rsidRPr="000F2247" w:rsidRDefault="004E5A21" w:rsidP="00D63B0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780EE65" w14:textId="77777777" w:rsidR="004E5A21" w:rsidRPr="000F2247" w:rsidRDefault="004E5A21" w:rsidP="004E5A21">
      <w:pPr>
        <w:jc w:val="center"/>
        <w:rPr>
          <w:rFonts w:ascii="Arial" w:hAnsi="Arial"/>
          <w:b/>
          <w:bCs/>
          <w:sz w:val="26"/>
          <w:szCs w:val="26"/>
          <w:rtl/>
        </w:rPr>
      </w:pPr>
    </w:p>
    <w:p w14:paraId="48466053" w14:textId="77777777" w:rsidR="00C21D24" w:rsidRPr="00D63B0A" w:rsidRDefault="00C21D24" w:rsidP="00D63B0A">
      <w:pPr>
        <w:keepNext/>
        <w:rPr>
          <w:rFonts w:ascii="David" w:hAnsi="David"/>
          <w:color w:val="000000"/>
          <w:sz w:val="22"/>
          <w:szCs w:val="22"/>
          <w:rtl/>
        </w:rPr>
      </w:pPr>
    </w:p>
    <w:p w14:paraId="4EEA1C81" w14:textId="77777777" w:rsidR="00D63B0A" w:rsidRPr="00D63B0A" w:rsidRDefault="00D63B0A" w:rsidP="00D63B0A">
      <w:pPr>
        <w:keepNext/>
        <w:rPr>
          <w:rFonts w:ascii="David" w:hAnsi="David"/>
          <w:color w:val="000000"/>
          <w:sz w:val="22"/>
          <w:szCs w:val="22"/>
          <w:rtl/>
        </w:rPr>
      </w:pPr>
      <w:r w:rsidRPr="00D63B0A">
        <w:rPr>
          <w:rFonts w:ascii="David" w:hAnsi="David"/>
          <w:color w:val="000000"/>
          <w:sz w:val="22"/>
          <w:szCs w:val="22"/>
          <w:rtl/>
        </w:rPr>
        <w:t>אביטל אמסלם  גלבוע 54678313</w:t>
      </w:r>
    </w:p>
    <w:p w14:paraId="06545E3A" w14:textId="77777777" w:rsidR="00D63B0A" w:rsidRDefault="00D63B0A" w:rsidP="00D63B0A">
      <w:r w:rsidRPr="00D63B0A">
        <w:rPr>
          <w:color w:val="000000"/>
          <w:rtl/>
        </w:rPr>
        <w:t>נוסח מסמך זה כפוף לשינויי ניסוח ועריכה</w:t>
      </w:r>
    </w:p>
    <w:p w14:paraId="6DAF96FB" w14:textId="77777777" w:rsidR="00D63B0A" w:rsidRDefault="00D63B0A" w:rsidP="00D63B0A">
      <w:pPr>
        <w:rPr>
          <w:rtl/>
        </w:rPr>
      </w:pPr>
    </w:p>
    <w:p w14:paraId="04401911" w14:textId="77777777" w:rsidR="00D63B0A" w:rsidRDefault="00D63B0A" w:rsidP="00D63B0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A0E5AA6" w14:textId="77777777" w:rsidR="00D63B0A" w:rsidRPr="00D63B0A" w:rsidRDefault="00D63B0A" w:rsidP="00D63B0A">
      <w:pPr>
        <w:jc w:val="center"/>
        <w:rPr>
          <w:color w:val="0000FF"/>
          <w:u w:val="single"/>
        </w:rPr>
      </w:pPr>
    </w:p>
    <w:sectPr w:rsidR="00D63B0A" w:rsidRPr="00D63B0A" w:rsidSect="00D63B0A">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2E8C7" w14:textId="77777777" w:rsidR="002B07FB" w:rsidRDefault="002B07FB" w:rsidP="00CE0776">
      <w:r>
        <w:separator/>
      </w:r>
    </w:p>
  </w:endnote>
  <w:endnote w:type="continuationSeparator" w:id="0">
    <w:p w14:paraId="3FDE098E" w14:textId="77777777" w:rsidR="002B07FB" w:rsidRDefault="002B07FB" w:rsidP="00CE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B7397" w14:textId="77777777" w:rsidR="00D63B0A" w:rsidRDefault="00D63B0A" w:rsidP="00D63B0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BE6B95" w14:textId="77777777" w:rsidR="004C02EB" w:rsidRPr="00D63B0A" w:rsidRDefault="00D63B0A" w:rsidP="00D63B0A">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B8441" w14:textId="77777777" w:rsidR="00D63B0A" w:rsidRDefault="00D63B0A" w:rsidP="00D63B0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362D">
      <w:rPr>
        <w:rFonts w:ascii="FrankRuehl" w:hAnsi="FrankRuehl" w:cs="FrankRuehl"/>
        <w:noProof/>
        <w:rtl/>
      </w:rPr>
      <w:t>1</w:t>
    </w:r>
    <w:r>
      <w:rPr>
        <w:rFonts w:ascii="FrankRuehl" w:hAnsi="FrankRuehl" w:cs="FrankRuehl"/>
        <w:rtl/>
      </w:rPr>
      <w:fldChar w:fldCharType="end"/>
    </w:r>
  </w:p>
  <w:p w14:paraId="141D8935" w14:textId="77777777" w:rsidR="004C02EB" w:rsidRPr="00D63B0A" w:rsidRDefault="00D63B0A" w:rsidP="00D63B0A">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D5E2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E663F" w14:textId="77777777" w:rsidR="002B07FB" w:rsidRDefault="002B07FB" w:rsidP="00CE0776">
      <w:r>
        <w:separator/>
      </w:r>
    </w:p>
  </w:footnote>
  <w:footnote w:type="continuationSeparator" w:id="0">
    <w:p w14:paraId="5CB9E98E" w14:textId="77777777" w:rsidR="002B07FB" w:rsidRDefault="002B07FB" w:rsidP="00CE0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F059F" w14:textId="77777777" w:rsidR="00D63B0A" w:rsidRPr="00D63B0A" w:rsidRDefault="00D63B0A" w:rsidP="00D63B0A">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3376-11-23</w:t>
    </w:r>
    <w:r>
      <w:rPr>
        <w:rFonts w:ascii="David" w:hAnsi="David"/>
        <w:color w:val="000000"/>
        <w:sz w:val="22"/>
        <w:szCs w:val="22"/>
        <w:rtl/>
      </w:rPr>
      <w:tab/>
      <w:t xml:space="preserve"> מדינת ישראל נ' סקוט ברדלי פטרק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24C43" w14:textId="77777777" w:rsidR="00D63B0A" w:rsidRPr="00D63B0A" w:rsidRDefault="00D63B0A" w:rsidP="00D63B0A">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3376-11-23</w:t>
    </w:r>
    <w:r>
      <w:rPr>
        <w:rFonts w:ascii="David" w:hAnsi="David"/>
        <w:color w:val="000000"/>
        <w:sz w:val="22"/>
        <w:szCs w:val="22"/>
        <w:rtl/>
      </w:rPr>
      <w:tab/>
      <w:t xml:space="preserve"> מדינת ישראל נ' סקוט ברדלי פטרק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D1B"/>
    <w:multiLevelType w:val="hybridMultilevel"/>
    <w:tmpl w:val="B4941036"/>
    <w:lvl w:ilvl="0" w:tplc="E70AFAF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A4A76DB"/>
    <w:multiLevelType w:val="hybridMultilevel"/>
    <w:tmpl w:val="85E07722"/>
    <w:lvl w:ilvl="0" w:tplc="3E2C7FAC">
      <w:start w:val="1"/>
      <w:numFmt w:val="decimal"/>
      <w:lvlText w:val="%1."/>
      <w:lvlJc w:val="left"/>
      <w:pPr>
        <w:ind w:left="645" w:hanging="495"/>
      </w:p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start w:val="1"/>
      <w:numFmt w:val="decimal"/>
      <w:lvlText w:val="%4."/>
      <w:lvlJc w:val="left"/>
      <w:pPr>
        <w:ind w:left="2670" w:hanging="360"/>
      </w:pPr>
    </w:lvl>
    <w:lvl w:ilvl="4" w:tplc="04090019">
      <w:start w:val="1"/>
      <w:numFmt w:val="lowerLetter"/>
      <w:lvlText w:val="%5."/>
      <w:lvlJc w:val="left"/>
      <w:pPr>
        <w:ind w:left="3390" w:hanging="360"/>
      </w:pPr>
    </w:lvl>
    <w:lvl w:ilvl="5" w:tplc="0409001B">
      <w:start w:val="1"/>
      <w:numFmt w:val="lowerRoman"/>
      <w:lvlText w:val="%6."/>
      <w:lvlJc w:val="right"/>
      <w:pPr>
        <w:ind w:left="4110" w:hanging="180"/>
      </w:pPr>
    </w:lvl>
    <w:lvl w:ilvl="6" w:tplc="0409000F">
      <w:start w:val="1"/>
      <w:numFmt w:val="decimal"/>
      <w:lvlText w:val="%7."/>
      <w:lvlJc w:val="left"/>
      <w:pPr>
        <w:ind w:left="4830" w:hanging="360"/>
      </w:pPr>
    </w:lvl>
    <w:lvl w:ilvl="7" w:tplc="04090019">
      <w:start w:val="1"/>
      <w:numFmt w:val="lowerLetter"/>
      <w:lvlText w:val="%8."/>
      <w:lvlJc w:val="left"/>
      <w:pPr>
        <w:ind w:left="5550" w:hanging="360"/>
      </w:pPr>
    </w:lvl>
    <w:lvl w:ilvl="8" w:tplc="0409001B">
      <w:start w:val="1"/>
      <w:numFmt w:val="lowerRoman"/>
      <w:lvlText w:val="%9."/>
      <w:lvlJc w:val="right"/>
      <w:pPr>
        <w:ind w:left="6270" w:hanging="180"/>
      </w:pPr>
    </w:lvl>
  </w:abstractNum>
  <w:abstractNum w:abstractNumId="2" w15:restartNumberingAfterBreak="0">
    <w:nsid w:val="1C5E6DF5"/>
    <w:multiLevelType w:val="hybridMultilevel"/>
    <w:tmpl w:val="A4061C52"/>
    <w:lvl w:ilvl="0" w:tplc="F3E071D8">
      <w:start w:val="1"/>
      <w:numFmt w:val="decimal"/>
      <w:pStyle w:val="a"/>
      <w:lvlText w:val="%1."/>
      <w:lvlJc w:val="left"/>
      <w:pPr>
        <w:tabs>
          <w:tab w:val="num" w:pos="720"/>
        </w:tabs>
        <w:ind w:left="720" w:hanging="720"/>
      </w:pPr>
      <w:rPr>
        <w:rFonts w:ascii="David" w:hAnsi="David" w:cs="David" w:hint="default"/>
        <w:b w:val="0"/>
        <w:bCs w:val="0"/>
        <w:lang w:bidi="he-IL"/>
      </w:rPr>
    </w:lvl>
    <w:lvl w:ilvl="1" w:tplc="CA9672F2">
      <w:start w:val="1"/>
      <w:numFmt w:val="hebrew1"/>
      <w:lvlText w:val="%2."/>
      <w:lvlJc w:val="left"/>
      <w:pPr>
        <w:tabs>
          <w:tab w:val="num" w:pos="1620"/>
        </w:tabs>
        <w:ind w:left="1620" w:hanging="360"/>
      </w:pPr>
      <w:rPr>
        <w:rFonts w:cs="David"/>
        <w:b w:val="0"/>
        <w:bCs w:val="0"/>
        <w:sz w:val="24"/>
        <w:szCs w:val="24"/>
      </w:rPr>
    </w:lvl>
    <w:lvl w:ilvl="2" w:tplc="2E6C5D9A">
      <w:start w:val="1"/>
      <w:numFmt w:val="decimal"/>
      <w:lvlText w:val="(%3)"/>
      <w:lvlJc w:val="left"/>
      <w:pPr>
        <w:tabs>
          <w:tab w:val="num" w:pos="2340"/>
        </w:tabs>
        <w:ind w:left="2340" w:hanging="360"/>
      </w:pPr>
      <w:rPr>
        <w:rFonts w:cs="Times New Roman"/>
      </w:rPr>
    </w:lvl>
    <w:lvl w:ilvl="3" w:tplc="38DA4C1A">
      <w:start w:val="1"/>
      <w:numFmt w:val="decimal"/>
      <w:lvlText w:val="%4."/>
      <w:lvlJc w:val="left"/>
      <w:pPr>
        <w:tabs>
          <w:tab w:val="num" w:pos="2880"/>
        </w:tabs>
        <w:ind w:left="2880" w:hanging="360"/>
      </w:pPr>
      <w:rPr>
        <w:rFonts w:cs="Times New Roman"/>
      </w:rPr>
    </w:lvl>
    <w:lvl w:ilvl="4" w:tplc="E57427F0">
      <w:start w:val="1"/>
      <w:numFmt w:val="lowerLetter"/>
      <w:lvlText w:val="%5."/>
      <w:lvlJc w:val="left"/>
      <w:pPr>
        <w:tabs>
          <w:tab w:val="num" w:pos="3600"/>
        </w:tabs>
        <w:ind w:left="3600" w:hanging="360"/>
      </w:pPr>
      <w:rPr>
        <w:rFonts w:cs="Times New Roman"/>
      </w:rPr>
    </w:lvl>
    <w:lvl w:ilvl="5" w:tplc="94702A02">
      <w:start w:val="1"/>
      <w:numFmt w:val="lowerRoman"/>
      <w:lvlText w:val="%6."/>
      <w:lvlJc w:val="right"/>
      <w:pPr>
        <w:tabs>
          <w:tab w:val="num" w:pos="4320"/>
        </w:tabs>
        <w:ind w:left="4320" w:hanging="180"/>
      </w:pPr>
      <w:rPr>
        <w:rFonts w:cs="Times New Roman"/>
      </w:rPr>
    </w:lvl>
    <w:lvl w:ilvl="6" w:tplc="06428E56">
      <w:start w:val="1"/>
      <w:numFmt w:val="decimal"/>
      <w:lvlText w:val="%7."/>
      <w:lvlJc w:val="left"/>
      <w:pPr>
        <w:tabs>
          <w:tab w:val="num" w:pos="5040"/>
        </w:tabs>
        <w:ind w:left="5040" w:hanging="360"/>
      </w:pPr>
      <w:rPr>
        <w:rFonts w:cs="Times New Roman"/>
      </w:rPr>
    </w:lvl>
    <w:lvl w:ilvl="7" w:tplc="DB304CE4">
      <w:start w:val="1"/>
      <w:numFmt w:val="lowerLetter"/>
      <w:lvlText w:val="%8."/>
      <w:lvlJc w:val="left"/>
      <w:pPr>
        <w:tabs>
          <w:tab w:val="num" w:pos="5760"/>
        </w:tabs>
        <w:ind w:left="5760" w:hanging="360"/>
      </w:pPr>
      <w:rPr>
        <w:rFonts w:cs="Times New Roman"/>
      </w:rPr>
    </w:lvl>
    <w:lvl w:ilvl="8" w:tplc="47AE749C">
      <w:start w:val="1"/>
      <w:numFmt w:val="lowerRoman"/>
      <w:lvlText w:val="%9."/>
      <w:lvlJc w:val="right"/>
      <w:pPr>
        <w:tabs>
          <w:tab w:val="num" w:pos="6480"/>
        </w:tabs>
        <w:ind w:left="6480" w:hanging="180"/>
      </w:pPr>
      <w:rPr>
        <w:rFonts w:cs="Times New Roman"/>
      </w:rPr>
    </w:lvl>
  </w:abstractNum>
  <w:abstractNum w:abstractNumId="3" w15:restartNumberingAfterBreak="0">
    <w:nsid w:val="36A35578"/>
    <w:multiLevelType w:val="hybridMultilevel"/>
    <w:tmpl w:val="8A0696FA"/>
    <w:lvl w:ilvl="0" w:tplc="4E9A042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D7B07E5"/>
    <w:multiLevelType w:val="hybridMultilevel"/>
    <w:tmpl w:val="87FEB53A"/>
    <w:lvl w:ilvl="0" w:tplc="CFB847CA">
      <w:start w:val="1"/>
      <w:numFmt w:val="hebrew1"/>
      <w:lvlText w:val="%1."/>
      <w:lvlJc w:val="left"/>
      <w:pPr>
        <w:ind w:left="1005" w:hanging="360"/>
      </w:pPr>
    </w:lvl>
    <w:lvl w:ilvl="1" w:tplc="04090019">
      <w:start w:val="1"/>
      <w:numFmt w:val="lowerLetter"/>
      <w:lvlText w:val="%2."/>
      <w:lvlJc w:val="left"/>
      <w:pPr>
        <w:ind w:left="1725" w:hanging="360"/>
      </w:pPr>
    </w:lvl>
    <w:lvl w:ilvl="2" w:tplc="0409001B">
      <w:start w:val="1"/>
      <w:numFmt w:val="lowerRoman"/>
      <w:lvlText w:val="%3."/>
      <w:lvlJc w:val="right"/>
      <w:pPr>
        <w:ind w:left="2445" w:hanging="180"/>
      </w:pPr>
    </w:lvl>
    <w:lvl w:ilvl="3" w:tplc="0409000F">
      <w:start w:val="1"/>
      <w:numFmt w:val="decimal"/>
      <w:lvlText w:val="%4."/>
      <w:lvlJc w:val="left"/>
      <w:pPr>
        <w:ind w:left="3165" w:hanging="360"/>
      </w:pPr>
    </w:lvl>
    <w:lvl w:ilvl="4" w:tplc="04090019">
      <w:start w:val="1"/>
      <w:numFmt w:val="lowerLetter"/>
      <w:lvlText w:val="%5."/>
      <w:lvlJc w:val="left"/>
      <w:pPr>
        <w:ind w:left="3885" w:hanging="360"/>
      </w:pPr>
    </w:lvl>
    <w:lvl w:ilvl="5" w:tplc="0409001B">
      <w:start w:val="1"/>
      <w:numFmt w:val="lowerRoman"/>
      <w:lvlText w:val="%6."/>
      <w:lvlJc w:val="right"/>
      <w:pPr>
        <w:ind w:left="4605" w:hanging="180"/>
      </w:pPr>
    </w:lvl>
    <w:lvl w:ilvl="6" w:tplc="0409000F">
      <w:start w:val="1"/>
      <w:numFmt w:val="decimal"/>
      <w:lvlText w:val="%7."/>
      <w:lvlJc w:val="left"/>
      <w:pPr>
        <w:ind w:left="5325" w:hanging="360"/>
      </w:pPr>
    </w:lvl>
    <w:lvl w:ilvl="7" w:tplc="04090019">
      <w:start w:val="1"/>
      <w:numFmt w:val="lowerLetter"/>
      <w:lvlText w:val="%8."/>
      <w:lvlJc w:val="left"/>
      <w:pPr>
        <w:ind w:left="6045" w:hanging="360"/>
      </w:pPr>
    </w:lvl>
    <w:lvl w:ilvl="8" w:tplc="0409001B">
      <w:start w:val="1"/>
      <w:numFmt w:val="lowerRoman"/>
      <w:lvlText w:val="%9."/>
      <w:lvlJc w:val="right"/>
      <w:pPr>
        <w:ind w:left="6765" w:hanging="180"/>
      </w:pPr>
    </w:lvl>
  </w:abstractNum>
  <w:abstractNum w:abstractNumId="5" w15:restartNumberingAfterBreak="0">
    <w:nsid w:val="7B5F50E9"/>
    <w:multiLevelType w:val="hybridMultilevel"/>
    <w:tmpl w:val="E332B4C0"/>
    <w:lvl w:ilvl="0" w:tplc="99A26E7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074311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5489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043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2335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1828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3757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5A21"/>
    <w:rsid w:val="002B07FB"/>
    <w:rsid w:val="004C02EB"/>
    <w:rsid w:val="004E5A21"/>
    <w:rsid w:val="009B362D"/>
    <w:rsid w:val="009D4A51"/>
    <w:rsid w:val="00B92735"/>
    <w:rsid w:val="00C21D24"/>
    <w:rsid w:val="00CE0776"/>
    <w:rsid w:val="00D63B0A"/>
    <w:rsid w:val="00E66F3F"/>
    <w:rsid w:val="00F532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FB6833"/>
  <w15:chartTrackingRefBased/>
  <w15:docId w15:val="{D276E461-40A0-4ADE-8C82-C6AB1B61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E5A21"/>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4E5A21"/>
    <w:pPr>
      <w:tabs>
        <w:tab w:val="center" w:pos="4153"/>
        <w:tab w:val="right" w:pos="8306"/>
      </w:tabs>
    </w:pPr>
  </w:style>
  <w:style w:type="character" w:customStyle="1" w:styleId="a5">
    <w:name w:val="כותרת עליונה תו"/>
    <w:link w:val="a4"/>
    <w:rsid w:val="004E5A21"/>
    <w:rPr>
      <w:rFonts w:ascii="Times New Roman" w:eastAsia="Times New Roman" w:hAnsi="Times New Roman" w:cs="David"/>
      <w:sz w:val="24"/>
      <w:szCs w:val="24"/>
    </w:rPr>
  </w:style>
  <w:style w:type="paragraph" w:styleId="a6">
    <w:name w:val="footer"/>
    <w:basedOn w:val="a0"/>
    <w:link w:val="a7"/>
    <w:rsid w:val="004E5A21"/>
    <w:pPr>
      <w:tabs>
        <w:tab w:val="center" w:pos="4153"/>
        <w:tab w:val="right" w:pos="8306"/>
      </w:tabs>
    </w:pPr>
  </w:style>
  <w:style w:type="character" w:customStyle="1" w:styleId="a7">
    <w:name w:val="כותרת תחתונה תו"/>
    <w:link w:val="a6"/>
    <w:rsid w:val="004E5A21"/>
    <w:rPr>
      <w:rFonts w:ascii="Times New Roman" w:eastAsia="Times New Roman" w:hAnsi="Times New Roman" w:cs="David"/>
      <w:sz w:val="24"/>
      <w:szCs w:val="24"/>
    </w:rPr>
  </w:style>
  <w:style w:type="table" w:styleId="a8">
    <w:name w:val="Table Grid"/>
    <w:basedOn w:val="a2"/>
    <w:rsid w:val="004E5A2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4E5A21"/>
  </w:style>
  <w:style w:type="character" w:styleId="Hyperlink">
    <w:name w:val="Hyperlink"/>
    <w:rsid w:val="004E5A21"/>
    <w:rPr>
      <w:color w:val="0563C1"/>
      <w:u w:val="single"/>
    </w:rPr>
  </w:style>
  <w:style w:type="paragraph" w:styleId="aa">
    <w:name w:val="List Paragraph"/>
    <w:basedOn w:val="a0"/>
    <w:qFormat/>
    <w:rsid w:val="004E5A21"/>
    <w:pPr>
      <w:ind w:left="720"/>
      <w:contextualSpacing/>
    </w:pPr>
    <w:rPr>
      <w:rFonts w:cs="Times New Roman"/>
    </w:rPr>
  </w:style>
  <w:style w:type="paragraph" w:customStyle="1" w:styleId="a">
    <w:name w:val="ממוספר"/>
    <w:basedOn w:val="a0"/>
    <w:rsid w:val="004E5A21"/>
    <w:pPr>
      <w:numPr>
        <w:numId w:val="1"/>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case/32750986"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7008959" TargetMode="External"/><Relationship Id="rId25" Type="http://schemas.openxmlformats.org/officeDocument/2006/relationships/hyperlink" Target="http://www.nevo.co.il/law/4216/19a"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689835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13"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5496997" TargetMode="External"/><Relationship Id="rId28" Type="http://schemas.openxmlformats.org/officeDocument/2006/relationships/hyperlink" Target="http://www.eca.gov.il"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943486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2925443" TargetMode="External"/><Relationship Id="rId27" Type="http://schemas.openxmlformats.org/officeDocument/2006/relationships/hyperlink" Target="http://www.nevo.co.il/law/7030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2190</Words>
  <Characters>10955</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13119</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7864368</vt:i4>
      </vt:variant>
      <vt:variant>
        <vt:i4>63</vt:i4>
      </vt:variant>
      <vt:variant>
        <vt:i4>0</vt:i4>
      </vt:variant>
      <vt:variant>
        <vt:i4>5</vt:i4>
      </vt:variant>
      <vt:variant>
        <vt:lpwstr>http://www.eca.gov.il/</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3735665</vt:i4>
      </vt:variant>
      <vt:variant>
        <vt:i4>48</vt:i4>
      </vt:variant>
      <vt:variant>
        <vt:i4>0</vt:i4>
      </vt:variant>
      <vt:variant>
        <vt:i4>5</vt:i4>
      </vt:variant>
      <vt:variant>
        <vt:lpwstr>http://www.nevo.co.il/case/25496997</vt:lpwstr>
      </vt:variant>
      <vt:variant>
        <vt:lpwstr/>
      </vt:variant>
      <vt:variant>
        <vt:i4>3801200</vt:i4>
      </vt:variant>
      <vt:variant>
        <vt:i4>45</vt:i4>
      </vt:variant>
      <vt:variant>
        <vt:i4>0</vt:i4>
      </vt:variant>
      <vt:variant>
        <vt:i4>5</vt:i4>
      </vt:variant>
      <vt:variant>
        <vt:lpwstr>http://www.nevo.co.il/case/22925443</vt:lpwstr>
      </vt:variant>
      <vt:variant>
        <vt:lpwstr/>
      </vt:variant>
      <vt:variant>
        <vt:i4>3932282</vt:i4>
      </vt:variant>
      <vt:variant>
        <vt:i4>42</vt:i4>
      </vt:variant>
      <vt:variant>
        <vt:i4>0</vt:i4>
      </vt:variant>
      <vt:variant>
        <vt:i4>5</vt:i4>
      </vt:variant>
      <vt:variant>
        <vt:lpwstr>http://www.nevo.co.il/case/32750986</vt:lpwstr>
      </vt:variant>
      <vt:variant>
        <vt:lpwstr/>
      </vt:variant>
      <vt:variant>
        <vt:i4>3604600</vt:i4>
      </vt:variant>
      <vt:variant>
        <vt:i4>39</vt:i4>
      </vt:variant>
      <vt:variant>
        <vt:i4>0</vt:i4>
      </vt:variant>
      <vt:variant>
        <vt:i4>5</vt:i4>
      </vt:variant>
      <vt:variant>
        <vt:lpwstr>http://www.nevo.co.il/case/26898357</vt:lpwstr>
      </vt:variant>
      <vt:variant>
        <vt:lpwstr/>
      </vt:variant>
      <vt:variant>
        <vt:i4>3407990</vt:i4>
      </vt:variant>
      <vt:variant>
        <vt:i4>36</vt:i4>
      </vt:variant>
      <vt:variant>
        <vt:i4>0</vt:i4>
      </vt:variant>
      <vt:variant>
        <vt:i4>5</vt:i4>
      </vt:variant>
      <vt:variant>
        <vt:lpwstr>http://www.nevo.co.il/case/29434861</vt:lpwstr>
      </vt:variant>
      <vt:variant>
        <vt:lpwstr/>
      </vt:variant>
      <vt:variant>
        <vt:i4>7995492</vt:i4>
      </vt:variant>
      <vt:variant>
        <vt:i4>33</vt:i4>
      </vt:variant>
      <vt:variant>
        <vt:i4>0</vt:i4>
      </vt:variant>
      <vt:variant>
        <vt:i4>5</vt:i4>
      </vt:variant>
      <vt:variant>
        <vt:lpwstr>http://www.nevo.co.il/law/70301</vt:lpwstr>
      </vt:variant>
      <vt:variant>
        <vt:lpwstr/>
      </vt:variant>
      <vt:variant>
        <vt:i4>4128890</vt:i4>
      </vt:variant>
      <vt:variant>
        <vt:i4>30</vt:i4>
      </vt:variant>
      <vt:variant>
        <vt:i4>0</vt:i4>
      </vt:variant>
      <vt:variant>
        <vt:i4>5</vt:i4>
      </vt:variant>
      <vt:variant>
        <vt:lpwstr>http://www.nevo.co.il/case/27008959</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3376</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סקוט ברדלי פטרק</vt:lpwstr>
  </property>
  <property fmtid="{D5CDD505-2E9C-101B-9397-08002B2CF9AE}" pid="10" name="LAWYER">
    <vt:lpwstr>ירון פורר</vt:lpwstr>
  </property>
  <property fmtid="{D5CDD505-2E9C-101B-9397-08002B2CF9AE}" pid="11" name="JUDGE">
    <vt:lpwstr>אביטל אמסלם  גלבוע</vt:lpwstr>
  </property>
  <property fmtid="{D5CDD505-2E9C-101B-9397-08002B2CF9AE}" pid="12" name="CITY">
    <vt:lpwstr>ת"א</vt:lpwstr>
  </property>
  <property fmtid="{D5CDD505-2E9C-101B-9397-08002B2CF9AE}" pid="13" name="DATE">
    <vt:lpwstr>20250107</vt:lpwstr>
  </property>
  <property fmtid="{D5CDD505-2E9C-101B-9397-08002B2CF9AE}" pid="14" name="TYPE_N_DATE">
    <vt:lpwstr>38020250107</vt:lpwstr>
  </property>
  <property fmtid="{D5CDD505-2E9C-101B-9397-08002B2CF9AE}" pid="15" name="CASESLISTTMP1">
    <vt:lpwstr>27008959;29434861;26898357;32750986;22925443;25496997</vt:lpwstr>
  </property>
  <property fmtid="{D5CDD505-2E9C-101B-9397-08002B2CF9AE}" pid="16" name="WORDNUMPAGES">
    <vt:lpwstr>7</vt:lpwstr>
  </property>
  <property fmtid="{D5CDD505-2E9C-101B-9397-08002B2CF9AE}" pid="17" name="TYPE_ABS_DATE">
    <vt:lpwstr>380020250107</vt:lpwstr>
  </property>
  <property fmtid="{D5CDD505-2E9C-101B-9397-08002B2CF9AE}" pid="18" name="ISABSTRACT">
    <vt:lpwstr>Y</vt:lpwstr>
  </property>
  <property fmtid="{D5CDD505-2E9C-101B-9397-08002B2CF9AE}" pid="19" name="LAWLISTTMP1">
    <vt:lpwstr>4216/007.a;007.c;013;019a</vt:lpwstr>
  </property>
  <property fmtid="{D5CDD505-2E9C-101B-9397-08002B2CF9AE}" pid="20" name="LAWLISTTMP2">
    <vt:lpwstr>70301/40ja</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