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04F50" w:rsidRPr="00E539EF" w14:paraId="3D4521FA" w14:textId="77777777" w:rsidTr="00026D48">
        <w:trPr>
          <w:trHeight w:hRule="exact" w:val="418"/>
          <w:jc w:val="center"/>
        </w:trPr>
        <w:tc>
          <w:tcPr>
            <w:tcW w:w="8721" w:type="dxa"/>
            <w:gridSpan w:val="2"/>
          </w:tcPr>
          <w:p w14:paraId="3E64D4D1" w14:textId="77777777" w:rsidR="00D04F50" w:rsidRPr="00E539EF" w:rsidRDefault="00D04F50" w:rsidP="00074D3D">
            <w:pPr>
              <w:pStyle w:val="a3"/>
              <w:jc w:val="center"/>
              <w:rPr>
                <w:rFonts w:ascii="Tahoma" w:hAnsi="Tahoma" w:cs="Tahoma"/>
                <w:color w:val="000080"/>
                <w:rtl/>
              </w:rPr>
            </w:pPr>
            <w:r w:rsidRPr="00E539EF">
              <w:rPr>
                <w:rFonts w:ascii="Tahoma" w:hAnsi="Tahoma" w:cs="Tahoma"/>
                <w:b/>
                <w:bCs/>
                <w:color w:val="000080"/>
                <w:rtl/>
              </w:rPr>
              <w:t>בית משפט השלום בתל אביב -יפו</w:t>
            </w:r>
          </w:p>
        </w:tc>
      </w:tr>
      <w:tr w:rsidR="00D04F50" w:rsidRPr="00E539EF" w14:paraId="72ED5DD1" w14:textId="77777777" w:rsidTr="00026D48">
        <w:trPr>
          <w:trHeight w:val="337"/>
          <w:jc w:val="center"/>
        </w:trPr>
        <w:tc>
          <w:tcPr>
            <w:tcW w:w="5054" w:type="dxa"/>
          </w:tcPr>
          <w:p w14:paraId="20355BAC" w14:textId="77777777" w:rsidR="00D04F50" w:rsidRPr="00E539EF" w:rsidRDefault="00D04F50" w:rsidP="00074D3D">
            <w:pPr>
              <w:rPr>
                <w:rFonts w:cs="FrankRuehl"/>
                <w:sz w:val="28"/>
                <w:szCs w:val="28"/>
                <w:rtl/>
              </w:rPr>
            </w:pPr>
            <w:r w:rsidRPr="00E539EF">
              <w:rPr>
                <w:rFonts w:cs="FrankRuehl"/>
                <w:sz w:val="28"/>
                <w:szCs w:val="28"/>
                <w:rtl/>
              </w:rPr>
              <w:t>ת"פ</w:t>
            </w:r>
            <w:r w:rsidRPr="00E539EF">
              <w:rPr>
                <w:rFonts w:cs="FrankRuehl" w:hint="cs"/>
                <w:sz w:val="28"/>
                <w:szCs w:val="28"/>
                <w:rtl/>
              </w:rPr>
              <w:t xml:space="preserve"> </w:t>
            </w:r>
            <w:r w:rsidRPr="00E539EF">
              <w:rPr>
                <w:rFonts w:cs="FrankRuehl"/>
                <w:sz w:val="28"/>
                <w:szCs w:val="28"/>
                <w:rtl/>
              </w:rPr>
              <w:t>38910-11-23</w:t>
            </w:r>
            <w:r w:rsidRPr="00E539EF">
              <w:rPr>
                <w:rFonts w:cs="FrankRuehl" w:hint="cs"/>
                <w:sz w:val="28"/>
                <w:szCs w:val="28"/>
                <w:rtl/>
              </w:rPr>
              <w:t xml:space="preserve"> </w:t>
            </w:r>
            <w:r w:rsidRPr="00E539EF">
              <w:rPr>
                <w:rFonts w:cs="FrankRuehl"/>
                <w:sz w:val="28"/>
                <w:szCs w:val="28"/>
                <w:rtl/>
              </w:rPr>
              <w:t>מדינת ישראל נ' יעקב</w:t>
            </w:r>
          </w:p>
          <w:p w14:paraId="3A0AA5E2" w14:textId="77777777" w:rsidR="00D04F50" w:rsidRPr="00E539EF" w:rsidRDefault="00D04F50" w:rsidP="00074D3D">
            <w:pPr>
              <w:pStyle w:val="a3"/>
              <w:rPr>
                <w:rFonts w:cs="FrankRuehl"/>
                <w:sz w:val="28"/>
                <w:szCs w:val="28"/>
                <w:rtl/>
              </w:rPr>
            </w:pPr>
          </w:p>
        </w:tc>
        <w:tc>
          <w:tcPr>
            <w:tcW w:w="3667" w:type="dxa"/>
          </w:tcPr>
          <w:p w14:paraId="458AA51F" w14:textId="77777777" w:rsidR="00D04F50" w:rsidRPr="00E539EF" w:rsidRDefault="00D04F50" w:rsidP="00074D3D">
            <w:pPr>
              <w:pStyle w:val="a3"/>
              <w:jc w:val="right"/>
              <w:rPr>
                <w:rFonts w:cs="FrankRuehl"/>
                <w:sz w:val="28"/>
                <w:szCs w:val="28"/>
                <w:rtl/>
              </w:rPr>
            </w:pPr>
          </w:p>
        </w:tc>
      </w:tr>
    </w:tbl>
    <w:p w14:paraId="173506AD" w14:textId="77777777" w:rsidR="00D04F50" w:rsidRPr="00E539EF" w:rsidRDefault="00D04F50" w:rsidP="00026D48">
      <w:pPr>
        <w:pStyle w:val="a3"/>
        <w:rPr>
          <w:rtl/>
        </w:rPr>
      </w:pPr>
      <w:r w:rsidRPr="00E539E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04F50" w:rsidRPr="00E539EF" w14:paraId="0314A3D7" w14:textId="77777777" w:rsidTr="00D04F50">
        <w:trPr>
          <w:trHeight w:val="295"/>
          <w:jc w:val="center"/>
        </w:trPr>
        <w:tc>
          <w:tcPr>
            <w:tcW w:w="923" w:type="dxa"/>
            <w:tcBorders>
              <w:top w:val="nil"/>
              <w:left w:val="nil"/>
              <w:bottom w:val="nil"/>
              <w:right w:val="nil"/>
            </w:tcBorders>
            <w:shd w:val="clear" w:color="auto" w:fill="auto"/>
          </w:tcPr>
          <w:p w14:paraId="684DD61D" w14:textId="77777777" w:rsidR="00D04F50" w:rsidRPr="00E539EF" w:rsidRDefault="00D04F50" w:rsidP="00D04F50">
            <w:pPr>
              <w:jc w:val="both"/>
              <w:rPr>
                <w:rFonts w:ascii="David" w:hAnsi="David"/>
                <w:sz w:val="26"/>
                <w:szCs w:val="26"/>
              </w:rPr>
            </w:pPr>
            <w:r w:rsidRPr="00E539E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D1C0A61" w14:textId="77777777" w:rsidR="00D04F50" w:rsidRPr="00E539EF" w:rsidRDefault="00D04F50" w:rsidP="00074D3D">
            <w:pPr>
              <w:rPr>
                <w:rFonts w:ascii="David" w:hAnsi="David"/>
                <w:b/>
                <w:bCs/>
                <w:sz w:val="26"/>
                <w:szCs w:val="26"/>
                <w:rtl/>
              </w:rPr>
            </w:pPr>
            <w:r w:rsidRPr="00E539EF">
              <w:rPr>
                <w:rFonts w:ascii="David" w:hAnsi="David"/>
                <w:b/>
                <w:bCs/>
                <w:sz w:val="26"/>
                <w:szCs w:val="26"/>
                <w:rtl/>
              </w:rPr>
              <w:t>כבוד השופט, סגן הנשיאה  רועי פרי</w:t>
            </w:r>
          </w:p>
          <w:p w14:paraId="07C6D7AD" w14:textId="77777777" w:rsidR="00D04F50" w:rsidRPr="00E539EF" w:rsidRDefault="00D04F50" w:rsidP="00074D3D">
            <w:pPr>
              <w:rPr>
                <w:rFonts w:ascii="David" w:hAnsi="David"/>
                <w:sz w:val="26"/>
                <w:szCs w:val="26"/>
                <w:rtl/>
              </w:rPr>
            </w:pPr>
          </w:p>
          <w:p w14:paraId="724CB04E" w14:textId="77777777" w:rsidR="00D04F50" w:rsidRPr="00E539EF" w:rsidRDefault="00D04F50" w:rsidP="00D04F50">
            <w:pPr>
              <w:jc w:val="both"/>
              <w:rPr>
                <w:rFonts w:ascii="David" w:hAnsi="David"/>
                <w:sz w:val="26"/>
                <w:szCs w:val="26"/>
              </w:rPr>
            </w:pPr>
          </w:p>
        </w:tc>
      </w:tr>
      <w:tr w:rsidR="00D04F50" w:rsidRPr="00E539EF" w14:paraId="2BD4ADC8" w14:textId="77777777" w:rsidTr="00D04F50">
        <w:trPr>
          <w:trHeight w:val="355"/>
          <w:jc w:val="center"/>
        </w:trPr>
        <w:tc>
          <w:tcPr>
            <w:tcW w:w="923" w:type="dxa"/>
            <w:tcBorders>
              <w:top w:val="nil"/>
              <w:left w:val="nil"/>
              <w:bottom w:val="nil"/>
              <w:right w:val="nil"/>
            </w:tcBorders>
            <w:shd w:val="clear" w:color="auto" w:fill="auto"/>
          </w:tcPr>
          <w:p w14:paraId="49DE1A30" w14:textId="77777777" w:rsidR="00D04F50" w:rsidRPr="00E539EF" w:rsidRDefault="00D04F50" w:rsidP="00D04F50">
            <w:pPr>
              <w:jc w:val="both"/>
              <w:rPr>
                <w:rFonts w:ascii="David" w:hAnsi="David"/>
                <w:sz w:val="26"/>
                <w:szCs w:val="26"/>
              </w:rPr>
            </w:pPr>
            <w:bookmarkStart w:id="0" w:name="FirstAppellant"/>
            <w:bookmarkStart w:id="1" w:name="FirstLawyer"/>
            <w:bookmarkStart w:id="2" w:name="LastJudge"/>
            <w:bookmarkEnd w:id="2"/>
            <w:r w:rsidRPr="00E539EF">
              <w:rPr>
                <w:rFonts w:ascii="David" w:hAnsi="David"/>
                <w:sz w:val="26"/>
                <w:szCs w:val="26"/>
                <w:rtl/>
              </w:rPr>
              <w:t>בעניין:</w:t>
            </w:r>
          </w:p>
        </w:tc>
        <w:tc>
          <w:tcPr>
            <w:tcW w:w="3219" w:type="dxa"/>
            <w:tcBorders>
              <w:top w:val="nil"/>
              <w:left w:val="nil"/>
              <w:bottom w:val="nil"/>
              <w:right w:val="nil"/>
            </w:tcBorders>
            <w:shd w:val="clear" w:color="auto" w:fill="auto"/>
          </w:tcPr>
          <w:p w14:paraId="689F8E49" w14:textId="77777777" w:rsidR="00D04F50" w:rsidRPr="00E539EF" w:rsidRDefault="00D04F50" w:rsidP="00D04F50">
            <w:pPr>
              <w:suppressLineNumbers/>
            </w:pPr>
            <w:r w:rsidRPr="00E539EF">
              <w:rPr>
                <w:rFonts w:ascii="Arial" w:hAnsi="Arial" w:hint="cs"/>
                <w:b/>
                <w:bCs/>
                <w:sz w:val="26"/>
                <w:szCs w:val="26"/>
                <w:rtl/>
              </w:rPr>
              <w:t>המאשימה:</w:t>
            </w:r>
          </w:p>
          <w:p w14:paraId="4C22781C" w14:textId="77777777" w:rsidR="00D04F50" w:rsidRPr="00E539EF" w:rsidRDefault="00D04F50" w:rsidP="00074D3D">
            <w:pPr>
              <w:rPr>
                <w:rFonts w:ascii="David" w:hAnsi="David"/>
                <w:sz w:val="26"/>
                <w:szCs w:val="26"/>
              </w:rPr>
            </w:pPr>
          </w:p>
        </w:tc>
        <w:tc>
          <w:tcPr>
            <w:tcW w:w="4678" w:type="dxa"/>
            <w:tcBorders>
              <w:top w:val="nil"/>
              <w:left w:val="nil"/>
              <w:bottom w:val="nil"/>
              <w:right w:val="nil"/>
            </w:tcBorders>
            <w:shd w:val="clear" w:color="auto" w:fill="auto"/>
            <w:vAlign w:val="center"/>
          </w:tcPr>
          <w:p w14:paraId="6166B218" w14:textId="77777777" w:rsidR="00D04F50" w:rsidRPr="00E539EF" w:rsidRDefault="00D04F50" w:rsidP="00D04F50">
            <w:pPr>
              <w:suppressLineNumbers/>
              <w:rPr>
                <w:rFonts w:ascii="Arial" w:hAnsi="Arial"/>
                <w:b/>
                <w:bCs/>
                <w:sz w:val="26"/>
                <w:szCs w:val="26"/>
                <w:rtl/>
              </w:rPr>
            </w:pPr>
            <w:r w:rsidRPr="00E539EF">
              <w:rPr>
                <w:rFonts w:ascii="Arial" w:hAnsi="Arial"/>
                <w:b/>
                <w:bCs/>
                <w:sz w:val="26"/>
                <w:szCs w:val="26"/>
                <w:rtl/>
              </w:rPr>
              <w:t>מדינת ישראל</w:t>
            </w:r>
            <w:r w:rsidRPr="00E539EF">
              <w:rPr>
                <w:rFonts w:ascii="Arial" w:hAnsi="Arial" w:hint="cs"/>
                <w:b/>
                <w:bCs/>
                <w:sz w:val="26"/>
                <w:szCs w:val="26"/>
                <w:rtl/>
              </w:rPr>
              <w:t xml:space="preserve"> </w:t>
            </w:r>
          </w:p>
          <w:p w14:paraId="3BCB4073" w14:textId="77777777" w:rsidR="00D04F50" w:rsidRPr="00E539EF" w:rsidRDefault="00D04F50" w:rsidP="00D04F50">
            <w:pPr>
              <w:suppressLineNumbers/>
            </w:pPr>
            <w:r w:rsidRPr="00E539EF">
              <w:rPr>
                <w:rFonts w:ascii="Arial" w:hAnsi="Arial"/>
                <w:rtl/>
              </w:rPr>
              <w:t>ע"י ב"כ עוה"ד</w:t>
            </w:r>
            <w:r w:rsidRPr="00E539EF">
              <w:rPr>
                <w:rFonts w:hint="cs"/>
                <w:rtl/>
              </w:rPr>
              <w:t xml:space="preserve"> מיכל כהן; מר עידו גניש, מתמחה </w:t>
            </w:r>
          </w:p>
          <w:p w14:paraId="7F744DAC" w14:textId="77777777" w:rsidR="00D04F50" w:rsidRPr="00E539EF" w:rsidRDefault="00D04F50" w:rsidP="00074D3D">
            <w:pPr>
              <w:rPr>
                <w:rFonts w:ascii="David" w:hAnsi="David"/>
                <w:sz w:val="26"/>
                <w:szCs w:val="26"/>
              </w:rPr>
            </w:pPr>
          </w:p>
        </w:tc>
      </w:tr>
      <w:bookmarkEnd w:id="0"/>
      <w:bookmarkEnd w:id="1"/>
      <w:tr w:rsidR="00D04F50" w:rsidRPr="00E539EF" w14:paraId="103E344E" w14:textId="77777777" w:rsidTr="00D04F50">
        <w:trPr>
          <w:trHeight w:val="355"/>
          <w:jc w:val="center"/>
        </w:trPr>
        <w:tc>
          <w:tcPr>
            <w:tcW w:w="923" w:type="dxa"/>
            <w:tcBorders>
              <w:top w:val="nil"/>
              <w:left w:val="nil"/>
              <w:bottom w:val="nil"/>
              <w:right w:val="nil"/>
            </w:tcBorders>
            <w:shd w:val="clear" w:color="auto" w:fill="auto"/>
          </w:tcPr>
          <w:p w14:paraId="191B9385" w14:textId="77777777" w:rsidR="00D04F50" w:rsidRPr="00E539EF" w:rsidRDefault="00D04F50" w:rsidP="00D04F5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1F72231" w14:textId="77777777" w:rsidR="00D04F50" w:rsidRPr="00E539EF" w:rsidRDefault="00D04F50" w:rsidP="00D04F50">
            <w:pPr>
              <w:jc w:val="center"/>
              <w:rPr>
                <w:rFonts w:ascii="David" w:hAnsi="David"/>
                <w:b/>
                <w:bCs/>
                <w:sz w:val="26"/>
                <w:szCs w:val="26"/>
                <w:rtl/>
              </w:rPr>
            </w:pPr>
          </w:p>
          <w:p w14:paraId="10E79994" w14:textId="77777777" w:rsidR="00D04F50" w:rsidRPr="00E539EF" w:rsidRDefault="00D04F50" w:rsidP="00D04F50">
            <w:pPr>
              <w:jc w:val="center"/>
              <w:rPr>
                <w:rFonts w:ascii="David" w:hAnsi="David"/>
                <w:b/>
                <w:bCs/>
                <w:sz w:val="26"/>
                <w:szCs w:val="26"/>
                <w:rtl/>
              </w:rPr>
            </w:pPr>
            <w:r w:rsidRPr="00E539EF">
              <w:rPr>
                <w:rFonts w:ascii="David" w:hAnsi="David"/>
                <w:b/>
                <w:bCs/>
                <w:sz w:val="26"/>
                <w:szCs w:val="26"/>
                <w:rtl/>
              </w:rPr>
              <w:t>נגד</w:t>
            </w:r>
          </w:p>
          <w:p w14:paraId="1FFB8C33" w14:textId="77777777" w:rsidR="00D04F50" w:rsidRPr="00E539EF" w:rsidRDefault="00D04F50" w:rsidP="00D04F50">
            <w:pPr>
              <w:jc w:val="both"/>
              <w:rPr>
                <w:rFonts w:ascii="David" w:hAnsi="David"/>
                <w:sz w:val="26"/>
                <w:szCs w:val="26"/>
              </w:rPr>
            </w:pPr>
          </w:p>
        </w:tc>
      </w:tr>
      <w:tr w:rsidR="00D04F50" w:rsidRPr="00E539EF" w14:paraId="08FEECF7" w14:textId="77777777" w:rsidTr="00D04F50">
        <w:trPr>
          <w:trHeight w:val="355"/>
          <w:jc w:val="center"/>
        </w:trPr>
        <w:tc>
          <w:tcPr>
            <w:tcW w:w="923" w:type="dxa"/>
            <w:tcBorders>
              <w:top w:val="nil"/>
              <w:left w:val="nil"/>
              <w:bottom w:val="nil"/>
              <w:right w:val="nil"/>
            </w:tcBorders>
            <w:shd w:val="clear" w:color="auto" w:fill="auto"/>
          </w:tcPr>
          <w:p w14:paraId="3D695B85" w14:textId="77777777" w:rsidR="00D04F50" w:rsidRPr="00E539EF" w:rsidRDefault="00D04F50" w:rsidP="00074D3D">
            <w:pPr>
              <w:rPr>
                <w:rFonts w:ascii="David" w:hAnsi="David"/>
                <w:sz w:val="26"/>
                <w:szCs w:val="26"/>
                <w:rtl/>
              </w:rPr>
            </w:pPr>
          </w:p>
        </w:tc>
        <w:tc>
          <w:tcPr>
            <w:tcW w:w="3219" w:type="dxa"/>
            <w:tcBorders>
              <w:top w:val="nil"/>
              <w:left w:val="nil"/>
              <w:bottom w:val="nil"/>
              <w:right w:val="nil"/>
            </w:tcBorders>
            <w:shd w:val="clear" w:color="auto" w:fill="auto"/>
          </w:tcPr>
          <w:p w14:paraId="0DE8C63A" w14:textId="77777777" w:rsidR="00D04F50" w:rsidRPr="00E539EF" w:rsidRDefault="00D04F50" w:rsidP="00074D3D">
            <w:pPr>
              <w:rPr>
                <w:rFonts w:ascii="Arial" w:hAnsi="Arial"/>
                <w:b/>
                <w:bCs/>
                <w:sz w:val="26"/>
                <w:szCs w:val="26"/>
                <w:rtl/>
              </w:rPr>
            </w:pPr>
            <w:r w:rsidRPr="00E539EF">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3609486F" w14:textId="77777777" w:rsidR="00D04F50" w:rsidRPr="00E539EF" w:rsidRDefault="00D04F50" w:rsidP="00D04F50">
            <w:pPr>
              <w:suppressLineNumbers/>
              <w:rPr>
                <w:rFonts w:ascii="Arial" w:hAnsi="Arial"/>
                <w:b/>
                <w:bCs/>
                <w:sz w:val="26"/>
                <w:szCs w:val="26"/>
                <w:rtl/>
              </w:rPr>
            </w:pPr>
            <w:r w:rsidRPr="00E539EF">
              <w:rPr>
                <w:rFonts w:ascii="Arial" w:hAnsi="Arial"/>
                <w:b/>
                <w:bCs/>
                <w:sz w:val="26"/>
                <w:szCs w:val="26"/>
                <w:rtl/>
              </w:rPr>
              <w:t>נהוראי יעקב</w:t>
            </w:r>
            <w:r w:rsidRPr="00E539EF">
              <w:rPr>
                <w:rFonts w:ascii="Arial" w:hAnsi="Arial" w:hint="cs"/>
                <w:b/>
                <w:bCs/>
                <w:sz w:val="26"/>
                <w:szCs w:val="26"/>
                <w:rtl/>
              </w:rPr>
              <w:t xml:space="preserve"> </w:t>
            </w:r>
          </w:p>
          <w:p w14:paraId="1D2C87FE" w14:textId="77777777" w:rsidR="00D04F50" w:rsidRPr="00E539EF" w:rsidRDefault="00D04F50" w:rsidP="00D04F50">
            <w:pPr>
              <w:suppressLineNumbers/>
            </w:pPr>
            <w:r w:rsidRPr="00E539EF">
              <w:rPr>
                <w:rFonts w:ascii="Arial" w:hAnsi="Arial"/>
                <w:rtl/>
              </w:rPr>
              <w:t>ע"י ב"כ עוה"ד</w:t>
            </w:r>
            <w:r w:rsidRPr="00E539EF">
              <w:rPr>
                <w:rFonts w:hint="cs"/>
                <w:rtl/>
              </w:rPr>
              <w:t xml:space="preserve"> שני מורן </w:t>
            </w:r>
          </w:p>
          <w:p w14:paraId="5069E18E" w14:textId="77777777" w:rsidR="00D04F50" w:rsidRPr="00E539EF" w:rsidRDefault="00D04F50" w:rsidP="00074D3D">
            <w:pPr>
              <w:rPr>
                <w:rFonts w:ascii="David" w:hAnsi="David"/>
                <w:sz w:val="26"/>
                <w:szCs w:val="26"/>
              </w:rPr>
            </w:pPr>
          </w:p>
        </w:tc>
      </w:tr>
    </w:tbl>
    <w:p w14:paraId="36D5742E" w14:textId="77777777" w:rsidR="00E539EF" w:rsidRPr="00E539EF" w:rsidRDefault="00E539EF" w:rsidP="00E539EF">
      <w:pPr>
        <w:spacing w:before="120" w:after="120" w:line="240" w:lineRule="exact"/>
        <w:ind w:left="283" w:hanging="283"/>
        <w:jc w:val="both"/>
        <w:rPr>
          <w:rFonts w:ascii="FrankRuehl" w:hAnsi="FrankRuehl" w:cs="FrankRuehl"/>
          <w:rtl/>
        </w:rPr>
      </w:pPr>
    </w:p>
    <w:p w14:paraId="35D6E83F" w14:textId="77777777" w:rsidR="00E539EF" w:rsidRPr="00E539EF" w:rsidRDefault="00E539EF" w:rsidP="00E539EF">
      <w:pPr>
        <w:rPr>
          <w:sz w:val="26"/>
          <w:szCs w:val="26"/>
          <w:rtl/>
        </w:rPr>
      </w:pPr>
    </w:p>
    <w:p w14:paraId="10988312" w14:textId="77777777" w:rsidR="00026D48" w:rsidRPr="00026D48" w:rsidRDefault="00026D48" w:rsidP="00026D48">
      <w:pPr>
        <w:spacing w:before="120" w:after="120" w:line="240" w:lineRule="exact"/>
        <w:ind w:left="283" w:hanging="283"/>
        <w:jc w:val="both"/>
        <w:rPr>
          <w:rFonts w:ascii="FrankRuehl" w:hAnsi="FrankRuehl" w:cs="FrankRuehl"/>
          <w:rtl/>
        </w:rPr>
      </w:pPr>
      <w:bookmarkStart w:id="3" w:name="LawTable"/>
      <w:bookmarkEnd w:id="3"/>
    </w:p>
    <w:p w14:paraId="45E8F645" w14:textId="77777777" w:rsidR="00026D48" w:rsidRPr="00026D48" w:rsidRDefault="00026D48" w:rsidP="00026D48">
      <w:pPr>
        <w:spacing w:before="120" w:after="120" w:line="240" w:lineRule="exact"/>
        <w:ind w:left="283" w:hanging="283"/>
        <w:jc w:val="both"/>
        <w:rPr>
          <w:rFonts w:ascii="FrankRuehl" w:hAnsi="FrankRuehl" w:cs="FrankRuehl"/>
          <w:rtl/>
        </w:rPr>
      </w:pPr>
      <w:r w:rsidRPr="00026D48">
        <w:rPr>
          <w:rFonts w:ascii="FrankRuehl" w:hAnsi="FrankRuehl" w:cs="FrankRuehl"/>
          <w:rtl/>
        </w:rPr>
        <w:t xml:space="preserve">חקיקה שאוזכרה: </w:t>
      </w:r>
    </w:p>
    <w:p w14:paraId="153C9FC4" w14:textId="77777777" w:rsidR="00026D48" w:rsidRPr="00026D48" w:rsidRDefault="00026D48" w:rsidP="00026D48">
      <w:pPr>
        <w:spacing w:before="120" w:after="120" w:line="240" w:lineRule="exact"/>
        <w:ind w:left="283" w:hanging="283"/>
        <w:jc w:val="both"/>
        <w:rPr>
          <w:rFonts w:ascii="FrankRuehl" w:hAnsi="FrankRuehl" w:cs="FrankRuehl"/>
          <w:color w:val="0000FF"/>
          <w:rtl/>
        </w:rPr>
      </w:pPr>
      <w:hyperlink r:id="rId7" w:history="1">
        <w:r w:rsidRPr="00026D48">
          <w:rPr>
            <w:rStyle w:val="Hyperlink"/>
            <w:rFonts w:ascii="FrankRuehl" w:hAnsi="FrankRuehl" w:cs="FrankRuehl"/>
            <w:u w:val="none"/>
            <w:rtl/>
          </w:rPr>
          <w:t>פקודת הסמים המסוכנים [נוסח חדש], תשל"ג-1973</w:t>
        </w:r>
      </w:hyperlink>
      <w:r w:rsidRPr="00026D48">
        <w:rPr>
          <w:rFonts w:ascii="FrankRuehl" w:hAnsi="FrankRuehl" w:cs="FrankRuehl"/>
          <w:color w:val="0000FF"/>
          <w:rtl/>
        </w:rPr>
        <w:t xml:space="preserve">: סע'  </w:t>
      </w:r>
      <w:hyperlink r:id="rId8" w:history="1">
        <w:r w:rsidRPr="00026D48">
          <w:rPr>
            <w:rStyle w:val="Hyperlink"/>
            <w:rFonts w:ascii="FrankRuehl" w:hAnsi="FrankRuehl" w:cs="FrankRuehl"/>
            <w:u w:val="none"/>
          </w:rPr>
          <w:t>6</w:t>
        </w:r>
      </w:hyperlink>
      <w:r w:rsidRPr="00026D48">
        <w:rPr>
          <w:rFonts w:ascii="FrankRuehl" w:hAnsi="FrankRuehl" w:cs="FrankRuehl"/>
          <w:color w:val="0000FF"/>
          <w:rtl/>
        </w:rPr>
        <w:t xml:space="preserve">, </w:t>
      </w:r>
      <w:hyperlink r:id="rId9" w:history="1">
        <w:r w:rsidRPr="00026D48">
          <w:rPr>
            <w:rStyle w:val="Hyperlink"/>
            <w:rFonts w:ascii="FrankRuehl" w:hAnsi="FrankRuehl" w:cs="FrankRuehl"/>
            <w:u w:val="none"/>
          </w:rPr>
          <w:t>7</w:t>
        </w:r>
      </w:hyperlink>
      <w:r w:rsidRPr="00026D48">
        <w:rPr>
          <w:rFonts w:ascii="FrankRuehl" w:hAnsi="FrankRuehl" w:cs="FrankRuehl"/>
          <w:color w:val="0000FF"/>
          <w:rtl/>
        </w:rPr>
        <w:t xml:space="preserve">(א), </w:t>
      </w:r>
      <w:hyperlink r:id="rId10" w:history="1">
        <w:r w:rsidRPr="00026D48">
          <w:rPr>
            <w:rStyle w:val="Hyperlink"/>
            <w:rFonts w:ascii="FrankRuehl" w:hAnsi="FrankRuehl" w:cs="FrankRuehl"/>
            <w:u w:val="none"/>
          </w:rPr>
          <w:t>7</w:t>
        </w:r>
      </w:hyperlink>
      <w:r w:rsidRPr="00026D48">
        <w:rPr>
          <w:rFonts w:ascii="FrankRuehl" w:hAnsi="FrankRuehl" w:cs="FrankRuehl"/>
          <w:color w:val="0000FF"/>
          <w:rtl/>
        </w:rPr>
        <w:t xml:space="preserve">(ג), </w:t>
      </w:r>
      <w:hyperlink r:id="rId11" w:history="1">
        <w:r w:rsidRPr="00026D48">
          <w:rPr>
            <w:rStyle w:val="Hyperlink"/>
            <w:rFonts w:ascii="FrankRuehl" w:hAnsi="FrankRuehl" w:cs="FrankRuehl"/>
            <w:u w:val="none"/>
          </w:rPr>
          <w:t>10</w:t>
        </w:r>
      </w:hyperlink>
      <w:r w:rsidRPr="00026D48">
        <w:rPr>
          <w:rFonts w:ascii="FrankRuehl" w:hAnsi="FrankRuehl" w:cs="FrankRuehl"/>
          <w:color w:val="0000FF"/>
          <w:rtl/>
        </w:rPr>
        <w:t xml:space="preserve">, </w:t>
      </w:r>
      <w:hyperlink r:id="rId12" w:history="1">
        <w:r w:rsidRPr="00026D48">
          <w:rPr>
            <w:rStyle w:val="Hyperlink"/>
            <w:rFonts w:ascii="FrankRuehl" w:hAnsi="FrankRuehl" w:cs="FrankRuehl"/>
            <w:u w:val="none"/>
          </w:rPr>
          <w:t>36</w:t>
        </w:r>
        <w:r w:rsidRPr="00026D48">
          <w:rPr>
            <w:rStyle w:val="Hyperlink"/>
            <w:rFonts w:ascii="FrankRuehl" w:hAnsi="FrankRuehl" w:cs="FrankRuehl"/>
            <w:u w:val="none"/>
            <w:rtl/>
          </w:rPr>
          <w:t>א</w:t>
        </w:r>
      </w:hyperlink>
    </w:p>
    <w:p w14:paraId="51C9EEDB" w14:textId="77777777" w:rsidR="00026D48" w:rsidRPr="00026D48" w:rsidRDefault="00026D48" w:rsidP="00026D48">
      <w:pPr>
        <w:spacing w:before="120" w:after="120" w:line="240" w:lineRule="exact"/>
        <w:ind w:left="283" w:hanging="283"/>
        <w:jc w:val="both"/>
        <w:rPr>
          <w:rFonts w:ascii="FrankRuehl" w:hAnsi="FrankRuehl" w:cs="FrankRuehl"/>
          <w:color w:val="0000FF"/>
          <w:rtl/>
        </w:rPr>
      </w:pPr>
      <w:hyperlink r:id="rId13" w:history="1">
        <w:r w:rsidRPr="00026D48">
          <w:rPr>
            <w:rStyle w:val="Hyperlink"/>
            <w:rFonts w:ascii="FrankRuehl" w:hAnsi="FrankRuehl" w:cs="FrankRuehl"/>
            <w:u w:val="none"/>
            <w:rtl/>
          </w:rPr>
          <w:t>חוק העונשין, תשל"ז-1977</w:t>
        </w:r>
      </w:hyperlink>
      <w:r w:rsidRPr="00026D48">
        <w:rPr>
          <w:rFonts w:ascii="FrankRuehl" w:hAnsi="FrankRuehl" w:cs="FrankRuehl"/>
          <w:color w:val="0000FF"/>
          <w:rtl/>
        </w:rPr>
        <w:t xml:space="preserve">: סע'  </w:t>
      </w:r>
      <w:hyperlink r:id="rId14" w:history="1">
        <w:r w:rsidRPr="00026D48">
          <w:rPr>
            <w:rStyle w:val="Hyperlink"/>
            <w:rFonts w:ascii="FrankRuehl" w:hAnsi="FrankRuehl" w:cs="FrankRuehl"/>
            <w:u w:val="none"/>
          </w:rPr>
          <w:t>40</w:t>
        </w:r>
        <w:r w:rsidRPr="00026D48">
          <w:rPr>
            <w:rStyle w:val="Hyperlink"/>
            <w:rFonts w:ascii="FrankRuehl" w:hAnsi="FrankRuehl" w:cs="FrankRuehl"/>
            <w:u w:val="none"/>
            <w:rtl/>
          </w:rPr>
          <w:t>ד</w:t>
        </w:r>
      </w:hyperlink>
      <w:r w:rsidRPr="00026D48">
        <w:rPr>
          <w:rFonts w:ascii="FrankRuehl" w:hAnsi="FrankRuehl" w:cs="FrankRuehl"/>
          <w:color w:val="0000FF"/>
          <w:rtl/>
        </w:rPr>
        <w:t xml:space="preserve">, </w:t>
      </w:r>
      <w:hyperlink r:id="rId15" w:history="1">
        <w:r w:rsidRPr="00026D48">
          <w:rPr>
            <w:rStyle w:val="Hyperlink"/>
            <w:rFonts w:ascii="FrankRuehl" w:hAnsi="FrankRuehl" w:cs="FrankRuehl"/>
            <w:u w:val="none"/>
          </w:rPr>
          <w:t>400</w:t>
        </w:r>
      </w:hyperlink>
    </w:p>
    <w:p w14:paraId="4ADD1A6E" w14:textId="77777777" w:rsidR="00D04F50" w:rsidRDefault="00D04F50" w:rsidP="00026D48">
      <w:pPr>
        <w:rPr>
          <w:rFonts w:hint="cs"/>
          <w:sz w:val="26"/>
          <w:szCs w:val="26"/>
          <w:rtl/>
        </w:rPr>
      </w:pPr>
      <w:bookmarkStart w:id="4" w:name="LawTable_End"/>
      <w:bookmarkEnd w:id="4"/>
    </w:p>
    <w:p w14:paraId="1F4BC3C2" w14:textId="77777777" w:rsidR="00026D48" w:rsidRDefault="00026D48" w:rsidP="00026D48">
      <w:pPr>
        <w:rPr>
          <w:rFonts w:hint="cs"/>
          <w:sz w:val="26"/>
          <w:szCs w:val="26"/>
          <w:rtl/>
        </w:rPr>
      </w:pPr>
    </w:p>
    <w:p w14:paraId="38A19C21" w14:textId="77777777" w:rsidR="00026D48" w:rsidRPr="00026D48" w:rsidRDefault="00026D48" w:rsidP="00026D48">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4F50" w14:paraId="5CC87A22" w14:textId="77777777" w:rsidTr="00D04F50">
        <w:trPr>
          <w:trHeight w:val="355"/>
          <w:jc w:val="center"/>
        </w:trPr>
        <w:tc>
          <w:tcPr>
            <w:tcW w:w="8820" w:type="dxa"/>
            <w:tcBorders>
              <w:top w:val="nil"/>
              <w:left w:val="nil"/>
              <w:bottom w:val="nil"/>
              <w:right w:val="nil"/>
            </w:tcBorders>
            <w:shd w:val="clear" w:color="auto" w:fill="auto"/>
          </w:tcPr>
          <w:p w14:paraId="2AEF6FBD" w14:textId="77777777" w:rsidR="00E539EF" w:rsidRPr="00E539EF" w:rsidRDefault="00E539EF" w:rsidP="00E539EF">
            <w:pPr>
              <w:jc w:val="center"/>
              <w:rPr>
                <w:rFonts w:ascii="David" w:hAnsi="David"/>
                <w:b/>
                <w:bCs/>
                <w:sz w:val="36"/>
                <w:szCs w:val="36"/>
                <w:u w:val="single"/>
                <w:rtl/>
              </w:rPr>
            </w:pPr>
            <w:bookmarkStart w:id="5" w:name="PsakDin" w:colFirst="0" w:colLast="0"/>
            <w:r w:rsidRPr="00E539EF">
              <w:rPr>
                <w:rFonts w:ascii="David" w:hAnsi="David"/>
                <w:b/>
                <w:bCs/>
                <w:sz w:val="36"/>
                <w:szCs w:val="36"/>
                <w:u w:val="single"/>
                <w:rtl/>
              </w:rPr>
              <w:t>גזר דין</w:t>
            </w:r>
          </w:p>
          <w:p w14:paraId="3E9E5FA8" w14:textId="77777777" w:rsidR="00D04F50" w:rsidRPr="00E539EF" w:rsidRDefault="00D04F50" w:rsidP="00E539EF">
            <w:pPr>
              <w:jc w:val="center"/>
              <w:rPr>
                <w:rFonts w:ascii="David" w:hAnsi="David"/>
                <w:bCs/>
                <w:sz w:val="36"/>
                <w:szCs w:val="36"/>
                <w:u w:val="single"/>
                <w:rtl/>
              </w:rPr>
            </w:pPr>
          </w:p>
        </w:tc>
      </w:tr>
      <w:bookmarkEnd w:id="5"/>
    </w:tbl>
    <w:p w14:paraId="12025CD8" w14:textId="77777777" w:rsidR="00D04F50" w:rsidRPr="000F2247" w:rsidRDefault="00D04F50" w:rsidP="00D04F50">
      <w:pPr>
        <w:rPr>
          <w:rFonts w:ascii="Arial" w:hAnsi="Arial"/>
          <w:b/>
          <w:bCs/>
          <w:sz w:val="26"/>
          <w:szCs w:val="26"/>
          <w:rtl/>
        </w:rPr>
      </w:pPr>
    </w:p>
    <w:p w14:paraId="7FB092EC" w14:textId="77777777" w:rsidR="00D04F50" w:rsidRDefault="00D04F50" w:rsidP="00D04F50">
      <w:pPr>
        <w:pStyle w:val="aa"/>
        <w:numPr>
          <w:ilvl w:val="0"/>
          <w:numId w:val="2"/>
        </w:numPr>
        <w:spacing w:line="360" w:lineRule="auto"/>
        <w:jc w:val="both"/>
        <w:rPr>
          <w:rFonts w:ascii="David" w:hAnsi="David" w:cs="David"/>
          <w:sz w:val="24"/>
          <w:szCs w:val="24"/>
        </w:rPr>
      </w:pPr>
      <w:bookmarkStart w:id="6" w:name="ABSTRACT_START"/>
      <w:bookmarkEnd w:id="6"/>
      <w:r w:rsidRPr="00033C74">
        <w:rPr>
          <w:rFonts w:ascii="David" w:hAnsi="David" w:cs="David"/>
          <w:sz w:val="24"/>
          <w:szCs w:val="24"/>
          <w:rtl/>
        </w:rPr>
        <w:t xml:space="preserve">הנאשם הורשע על יסוד הודאתו בעובדות כתב האישום המתוקן, במסגרת הסדר טיעון, בעבירות של גידול סמים, עבירה לפי </w:t>
      </w:r>
      <w:hyperlink r:id="rId16" w:history="1">
        <w:r w:rsidR="00026D48" w:rsidRPr="00026D48">
          <w:rPr>
            <w:rStyle w:val="Hyperlink"/>
            <w:rFonts w:ascii="David" w:hAnsi="David" w:cs="David"/>
            <w:color w:val="0000FF"/>
            <w:sz w:val="24"/>
            <w:szCs w:val="24"/>
            <w:rtl/>
          </w:rPr>
          <w:t>סעיף 6</w:t>
        </w:r>
      </w:hyperlink>
      <w:r w:rsidRPr="00033C74">
        <w:rPr>
          <w:rFonts w:ascii="David" w:hAnsi="David" w:cs="David"/>
          <w:sz w:val="24"/>
          <w:szCs w:val="24"/>
          <w:rtl/>
        </w:rPr>
        <w:t xml:space="preserve"> ל</w:t>
      </w:r>
      <w:hyperlink r:id="rId17" w:history="1">
        <w:r w:rsidR="00E539EF" w:rsidRPr="00E539EF">
          <w:rPr>
            <w:rFonts w:ascii="David" w:hAnsi="David" w:cs="David"/>
            <w:color w:val="0000FF"/>
            <w:sz w:val="24"/>
            <w:szCs w:val="24"/>
            <w:u w:val="single"/>
            <w:rtl/>
          </w:rPr>
          <w:t>פקודת הסמים המסוכנים</w:t>
        </w:r>
      </w:hyperlink>
      <w:r w:rsidRPr="00033C74">
        <w:rPr>
          <w:rFonts w:ascii="David" w:hAnsi="David" w:cs="David"/>
          <w:sz w:val="24"/>
          <w:szCs w:val="24"/>
          <w:rtl/>
        </w:rPr>
        <w:t xml:space="preserve"> (נוסח חדש), תשל"ג – 1973 (</w:t>
      </w:r>
      <w:r w:rsidRPr="00033C74">
        <w:rPr>
          <w:rFonts w:ascii="David" w:hAnsi="David" w:cs="David"/>
          <w:b/>
          <w:bCs/>
          <w:sz w:val="24"/>
          <w:szCs w:val="24"/>
          <w:rtl/>
        </w:rPr>
        <w:t>להלן: "הפקודה")</w:t>
      </w:r>
      <w:r w:rsidRPr="00033C74">
        <w:rPr>
          <w:rFonts w:ascii="David" w:hAnsi="David" w:cs="David"/>
          <w:sz w:val="24"/>
          <w:szCs w:val="24"/>
          <w:rtl/>
        </w:rPr>
        <w:t>,</w:t>
      </w:r>
      <w:r w:rsidRPr="00033C74">
        <w:rPr>
          <w:rFonts w:ascii="David" w:hAnsi="David" w:cs="David"/>
          <w:b/>
          <w:bCs/>
          <w:sz w:val="24"/>
          <w:szCs w:val="24"/>
          <w:rtl/>
        </w:rPr>
        <w:t xml:space="preserve"> </w:t>
      </w:r>
      <w:r w:rsidRPr="00033C74">
        <w:rPr>
          <w:rFonts w:ascii="David" w:hAnsi="David" w:cs="David"/>
          <w:sz w:val="24"/>
          <w:szCs w:val="24"/>
          <w:rtl/>
        </w:rPr>
        <w:t xml:space="preserve">החזקת סם שלא לצריכה עצמית – עבירה לפי </w:t>
      </w:r>
      <w:hyperlink r:id="rId18" w:history="1">
        <w:r w:rsidR="00026D48" w:rsidRPr="00026D48">
          <w:rPr>
            <w:rStyle w:val="Hyperlink"/>
            <w:rFonts w:ascii="David" w:hAnsi="David" w:cs="David"/>
            <w:color w:val="0000FF"/>
            <w:sz w:val="24"/>
            <w:szCs w:val="24"/>
            <w:rtl/>
          </w:rPr>
          <w:t>סעיף 7(א)</w:t>
        </w:r>
      </w:hyperlink>
      <w:r w:rsidRPr="00033C74">
        <w:rPr>
          <w:rFonts w:ascii="David" w:hAnsi="David" w:cs="David"/>
          <w:sz w:val="24"/>
          <w:szCs w:val="24"/>
          <w:rtl/>
        </w:rPr>
        <w:t xml:space="preserve"> ביחד עם </w:t>
      </w:r>
      <w:hyperlink r:id="rId19" w:history="1">
        <w:r w:rsidR="00026D48" w:rsidRPr="00026D48">
          <w:rPr>
            <w:rStyle w:val="Hyperlink"/>
            <w:rFonts w:ascii="David" w:hAnsi="David" w:cs="David"/>
            <w:color w:val="0000FF"/>
            <w:sz w:val="24"/>
            <w:szCs w:val="24"/>
            <w:rtl/>
          </w:rPr>
          <w:t>סעיף 7(ג)</w:t>
        </w:r>
      </w:hyperlink>
      <w:r w:rsidRPr="00033C74">
        <w:rPr>
          <w:rFonts w:ascii="David" w:hAnsi="David" w:cs="David"/>
          <w:sz w:val="24"/>
          <w:szCs w:val="24"/>
          <w:rtl/>
        </w:rPr>
        <w:t xml:space="preserve"> רישא לפקודה, החזקת כלים להכנת סם – עבירה לפי </w:t>
      </w:r>
      <w:hyperlink r:id="rId20" w:history="1">
        <w:r w:rsidR="00026D48" w:rsidRPr="00026D48">
          <w:rPr>
            <w:rStyle w:val="Hyperlink"/>
            <w:rFonts w:ascii="David" w:hAnsi="David" w:cs="David"/>
            <w:color w:val="0000FF"/>
            <w:sz w:val="24"/>
            <w:szCs w:val="24"/>
            <w:rtl/>
          </w:rPr>
          <w:t>סעיף 10</w:t>
        </w:r>
      </w:hyperlink>
      <w:r w:rsidRPr="00033C74">
        <w:rPr>
          <w:rFonts w:ascii="David" w:hAnsi="David" w:cs="David"/>
          <w:sz w:val="24"/>
          <w:szCs w:val="24"/>
          <w:rtl/>
        </w:rPr>
        <w:t xml:space="preserve"> רישא לפקודה ונטילת חשמל, עבירה לפי </w:t>
      </w:r>
      <w:hyperlink r:id="rId21" w:history="1">
        <w:r w:rsidR="00026D48" w:rsidRPr="00026D48">
          <w:rPr>
            <w:rStyle w:val="Hyperlink"/>
            <w:rFonts w:ascii="David" w:hAnsi="David" w:cs="David"/>
            <w:color w:val="0000FF"/>
            <w:sz w:val="24"/>
            <w:szCs w:val="24"/>
            <w:rtl/>
          </w:rPr>
          <w:t>סעיף 400</w:t>
        </w:r>
      </w:hyperlink>
      <w:r w:rsidRPr="00033C74">
        <w:rPr>
          <w:rFonts w:ascii="David" w:hAnsi="David" w:cs="David"/>
          <w:sz w:val="24"/>
          <w:szCs w:val="24"/>
          <w:rtl/>
        </w:rPr>
        <w:t xml:space="preserve"> ל</w:t>
      </w:r>
      <w:hyperlink r:id="rId22" w:history="1">
        <w:r w:rsidR="00E539EF" w:rsidRPr="00E539EF">
          <w:rPr>
            <w:rFonts w:ascii="David" w:hAnsi="David" w:cs="David"/>
            <w:color w:val="0000FF"/>
            <w:sz w:val="24"/>
            <w:szCs w:val="24"/>
            <w:u w:val="single"/>
            <w:rtl/>
          </w:rPr>
          <w:t>חוק העונשין</w:t>
        </w:r>
      </w:hyperlink>
      <w:r w:rsidRPr="00033C74">
        <w:rPr>
          <w:rFonts w:ascii="David" w:hAnsi="David" w:cs="David"/>
          <w:sz w:val="24"/>
          <w:szCs w:val="24"/>
          <w:rtl/>
        </w:rPr>
        <w:t>, תשל"ז – 1977</w:t>
      </w:r>
      <w:bookmarkStart w:id="7" w:name="ABSTRACT_END"/>
      <w:bookmarkEnd w:id="7"/>
      <w:r w:rsidRPr="00033C74">
        <w:rPr>
          <w:rFonts w:ascii="David" w:hAnsi="David" w:cs="David"/>
          <w:sz w:val="24"/>
          <w:szCs w:val="24"/>
          <w:rtl/>
        </w:rPr>
        <w:t>.</w:t>
      </w:r>
    </w:p>
    <w:p w14:paraId="34015A60" w14:textId="77777777" w:rsidR="00D04F50" w:rsidRDefault="00D04F50" w:rsidP="00D04F50">
      <w:pPr>
        <w:pStyle w:val="aa"/>
        <w:spacing w:line="360" w:lineRule="auto"/>
        <w:ind w:left="360"/>
        <w:jc w:val="both"/>
        <w:rPr>
          <w:rFonts w:ascii="David" w:hAnsi="David" w:cs="David"/>
          <w:sz w:val="24"/>
          <w:szCs w:val="24"/>
        </w:rPr>
      </w:pPr>
    </w:p>
    <w:p w14:paraId="32F4EB6B" w14:textId="77777777" w:rsidR="00D04F50" w:rsidRDefault="00D04F50" w:rsidP="00D04F50">
      <w:pPr>
        <w:pStyle w:val="aa"/>
        <w:numPr>
          <w:ilvl w:val="0"/>
          <w:numId w:val="2"/>
        </w:numPr>
        <w:spacing w:line="360" w:lineRule="auto"/>
        <w:jc w:val="both"/>
        <w:rPr>
          <w:rFonts w:ascii="David" w:hAnsi="David" w:cs="David"/>
          <w:sz w:val="24"/>
          <w:szCs w:val="24"/>
        </w:rPr>
      </w:pPr>
      <w:r w:rsidRPr="00033C74">
        <w:rPr>
          <w:rFonts w:ascii="David" w:hAnsi="David" w:cs="David"/>
          <w:sz w:val="24"/>
          <w:szCs w:val="24"/>
          <w:rtl/>
        </w:rPr>
        <w:t xml:space="preserve">למקרא עובדות כתב האישום המתוקן עולה, כי </w:t>
      </w:r>
      <w:r>
        <w:rPr>
          <w:rFonts w:ascii="David" w:hAnsi="David" w:cs="David" w:hint="cs"/>
          <w:sz w:val="24"/>
          <w:szCs w:val="24"/>
          <w:rtl/>
        </w:rPr>
        <w:t xml:space="preserve">הנאשם גידל בדירתו ברחוב כובשי החרמון בבת ים, זאת ביום 14.11.2023, 103 שתילי סם מסוג קנאביס במשקל כולל של 12 קילוגרם נטו. </w:t>
      </w:r>
    </w:p>
    <w:p w14:paraId="78F839D7"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החזיק בדירה 5 שקיות ובהן סם מסוג קנאביס המחולק לאריזות, במשקל כולל של כ- 4 קילוגרם נטו. </w:t>
      </w:r>
    </w:p>
    <w:p w14:paraId="65CFE25E"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החזיק בציוד רב לגידול סמים, ובין היתר מזגנים, מאווררים, שנאים, מפוחים, נורות עם שנאי, נורות חימום ומדי טמפרטורה לצד חומרי דישון. </w:t>
      </w:r>
    </w:p>
    <w:p w14:paraId="732C1453" w14:textId="77777777" w:rsidR="00D04F50" w:rsidRDefault="00D04F50" w:rsidP="00D04F50">
      <w:pPr>
        <w:pStyle w:val="aa"/>
        <w:spacing w:line="360" w:lineRule="auto"/>
        <w:ind w:left="360"/>
        <w:jc w:val="both"/>
        <w:rPr>
          <w:rFonts w:ascii="David" w:hAnsi="David" w:cs="David"/>
          <w:sz w:val="24"/>
          <w:szCs w:val="24"/>
        </w:rPr>
      </w:pPr>
      <w:r>
        <w:rPr>
          <w:rFonts w:ascii="David" w:hAnsi="David" w:cs="David" w:hint="cs"/>
          <w:sz w:val="24"/>
          <w:szCs w:val="24"/>
          <w:rtl/>
        </w:rPr>
        <w:lastRenderedPageBreak/>
        <w:t xml:space="preserve">עוד נטען בכתב האישום המתוקן, כי הנאשם נטל חשמל שלא כדין באמצעות כבל מעקף בלתי חוקי. </w:t>
      </w:r>
    </w:p>
    <w:p w14:paraId="7D14AEBB" w14:textId="77777777" w:rsidR="00D04F50" w:rsidRPr="00E942AD" w:rsidRDefault="00D04F50" w:rsidP="00D04F50">
      <w:pPr>
        <w:pStyle w:val="aa"/>
        <w:rPr>
          <w:rFonts w:ascii="David" w:hAnsi="David" w:cs="David"/>
          <w:sz w:val="24"/>
          <w:szCs w:val="24"/>
          <w:rtl/>
        </w:rPr>
      </w:pPr>
    </w:p>
    <w:p w14:paraId="1D80426F" w14:textId="77777777" w:rsidR="00D04F50" w:rsidRPr="00E942AD" w:rsidRDefault="00D04F50" w:rsidP="00D04F50">
      <w:pPr>
        <w:pStyle w:val="aa"/>
        <w:numPr>
          <w:ilvl w:val="0"/>
          <w:numId w:val="2"/>
        </w:numPr>
        <w:spacing w:line="360" w:lineRule="auto"/>
        <w:jc w:val="both"/>
        <w:rPr>
          <w:rFonts w:ascii="David" w:hAnsi="David" w:cs="David"/>
          <w:sz w:val="26"/>
          <w:szCs w:val="26"/>
        </w:rPr>
      </w:pPr>
      <w:r w:rsidRPr="00E942AD">
        <w:rPr>
          <w:rFonts w:ascii="David" w:hAnsi="David" w:cs="David"/>
          <w:sz w:val="24"/>
          <w:szCs w:val="24"/>
          <w:rtl/>
        </w:rPr>
        <w:t>בין הצדדים לא נקשר הסדר עונשי והנאשם נשלח לקבלת תסקיר מאת שירות המבחן וחוות דעת  הממונה על עבודות השירות.</w:t>
      </w:r>
    </w:p>
    <w:p w14:paraId="5C815199" w14:textId="77777777" w:rsidR="00D04F50" w:rsidRDefault="00D04F50" w:rsidP="00D04F50">
      <w:pPr>
        <w:pStyle w:val="aa"/>
        <w:spacing w:line="360" w:lineRule="auto"/>
        <w:ind w:left="360"/>
        <w:jc w:val="both"/>
        <w:rPr>
          <w:rFonts w:ascii="David" w:hAnsi="David" w:cs="David"/>
          <w:sz w:val="24"/>
          <w:szCs w:val="24"/>
        </w:rPr>
      </w:pPr>
    </w:p>
    <w:p w14:paraId="68243A0A" w14:textId="77777777" w:rsidR="00D04F50" w:rsidRDefault="00D04F50" w:rsidP="00D04F50">
      <w:pPr>
        <w:pStyle w:val="aa"/>
        <w:numPr>
          <w:ilvl w:val="0"/>
          <w:numId w:val="2"/>
        </w:numPr>
        <w:spacing w:line="360" w:lineRule="auto"/>
        <w:jc w:val="both"/>
        <w:rPr>
          <w:rFonts w:ascii="David" w:hAnsi="David" w:cs="David"/>
          <w:sz w:val="26"/>
          <w:szCs w:val="26"/>
        </w:rPr>
      </w:pPr>
      <w:r w:rsidRPr="00E942AD">
        <w:rPr>
          <w:rFonts w:ascii="David" w:hAnsi="David" w:cs="David"/>
          <w:b/>
          <w:bCs/>
          <w:sz w:val="24"/>
          <w:szCs w:val="24"/>
          <w:rtl/>
        </w:rPr>
        <w:t>התובעת המלומדת</w:t>
      </w:r>
      <w:r w:rsidRPr="00E942AD">
        <w:rPr>
          <w:rFonts w:ascii="David" w:hAnsi="David" w:cs="David"/>
          <w:sz w:val="24"/>
          <w:szCs w:val="24"/>
          <w:rtl/>
        </w:rPr>
        <w:t xml:space="preserve"> עמדה על נסיבות ביצוע העבירות, </w:t>
      </w:r>
      <w:r w:rsidRPr="00E942AD">
        <w:rPr>
          <w:rFonts w:ascii="David" w:hAnsi="David" w:cs="David" w:hint="cs"/>
          <w:sz w:val="24"/>
          <w:szCs w:val="24"/>
          <w:rtl/>
        </w:rPr>
        <w:t>כמויות הסמים, ציוד המעבדה הרב,</w:t>
      </w:r>
      <w:r>
        <w:rPr>
          <w:rFonts w:ascii="David" w:hAnsi="David" w:cs="David" w:hint="cs"/>
          <w:sz w:val="24"/>
          <w:szCs w:val="24"/>
          <w:rtl/>
        </w:rPr>
        <w:t xml:space="preserve"> הפנתה לתמונות המעבדה (ת/2), </w:t>
      </w:r>
      <w:r w:rsidRPr="00E942AD">
        <w:rPr>
          <w:rFonts w:ascii="David" w:hAnsi="David" w:cs="David" w:hint="cs"/>
          <w:sz w:val="24"/>
          <w:szCs w:val="24"/>
          <w:rtl/>
        </w:rPr>
        <w:t>העובדה כי הנאשם אף נטל חשמל שלא כדין, אופן החזקת הסמים, ובתוך כך הפנתה ל</w:t>
      </w:r>
      <w:r w:rsidRPr="00E942AD">
        <w:rPr>
          <w:rFonts w:ascii="David" w:hAnsi="David" w:cs="David"/>
          <w:sz w:val="24"/>
          <w:szCs w:val="24"/>
          <w:rtl/>
        </w:rPr>
        <w:t xml:space="preserve">ערכים המוגנים והפגיעה בהם, </w:t>
      </w:r>
      <w:r w:rsidRPr="00E942AD">
        <w:rPr>
          <w:rFonts w:ascii="David" w:hAnsi="David" w:cs="David" w:hint="cs"/>
          <w:sz w:val="24"/>
          <w:szCs w:val="24"/>
          <w:rtl/>
        </w:rPr>
        <w:t xml:space="preserve">העובדה כי מעבדות ביתיות הפכו לחזון נפרץ במקומותינו, </w:t>
      </w:r>
      <w:r w:rsidRPr="00E942AD">
        <w:rPr>
          <w:rFonts w:ascii="David" w:hAnsi="David" w:cs="David"/>
          <w:sz w:val="24"/>
          <w:szCs w:val="24"/>
          <w:rtl/>
        </w:rPr>
        <w:t>הפנתה לפסיקה ועתרה לקביעת מתחם</w:t>
      </w:r>
      <w:r w:rsidRPr="00E942AD">
        <w:rPr>
          <w:rFonts w:ascii="David" w:hAnsi="David" w:cs="David" w:hint="cs"/>
          <w:sz w:val="24"/>
          <w:szCs w:val="24"/>
          <w:rtl/>
        </w:rPr>
        <w:t xml:space="preserve"> עונשי הולם למעשיו של הנאשם, הנע בין </w:t>
      </w:r>
      <w:r>
        <w:rPr>
          <w:rFonts w:ascii="David" w:hAnsi="David" w:cs="David" w:hint="cs"/>
          <w:sz w:val="24"/>
          <w:szCs w:val="24"/>
          <w:rtl/>
        </w:rPr>
        <w:t>15 - 20</w:t>
      </w:r>
      <w:r w:rsidRPr="00E942AD">
        <w:rPr>
          <w:rFonts w:ascii="David" w:hAnsi="David" w:cs="David" w:hint="cs"/>
          <w:sz w:val="24"/>
          <w:szCs w:val="24"/>
          <w:rtl/>
        </w:rPr>
        <w:t xml:space="preserve"> חודשי מאסר לריצוי בפועל לצד ענישה נלווית. </w:t>
      </w:r>
    </w:p>
    <w:p w14:paraId="50D37B35" w14:textId="77777777" w:rsidR="00D04F50" w:rsidRPr="00E942AD" w:rsidRDefault="00D04F50" w:rsidP="00D04F50">
      <w:pPr>
        <w:pStyle w:val="aa"/>
        <w:rPr>
          <w:rFonts w:ascii="David" w:hAnsi="David" w:cs="David"/>
          <w:sz w:val="26"/>
          <w:szCs w:val="26"/>
          <w:rtl/>
        </w:rPr>
      </w:pPr>
    </w:p>
    <w:p w14:paraId="5C2A7778" w14:textId="77777777" w:rsidR="00D04F50" w:rsidRDefault="00D04F50" w:rsidP="00D04F50">
      <w:pPr>
        <w:pStyle w:val="aa"/>
        <w:spacing w:line="360" w:lineRule="auto"/>
        <w:ind w:left="360"/>
        <w:jc w:val="both"/>
        <w:rPr>
          <w:rFonts w:ascii="David" w:hAnsi="David" w:cs="David"/>
          <w:sz w:val="24"/>
          <w:szCs w:val="24"/>
          <w:rtl/>
        </w:rPr>
      </w:pPr>
      <w:r w:rsidRPr="00E942AD">
        <w:rPr>
          <w:rFonts w:ascii="David" w:hAnsi="David" w:cs="David" w:hint="cs"/>
          <w:sz w:val="24"/>
          <w:szCs w:val="24"/>
          <w:rtl/>
        </w:rPr>
        <w:t>התובעת ביקשה למקם א</w:t>
      </w:r>
      <w:r>
        <w:rPr>
          <w:rFonts w:ascii="David" w:hAnsi="David" w:cs="David" w:hint="cs"/>
          <w:sz w:val="24"/>
          <w:szCs w:val="24"/>
          <w:rtl/>
        </w:rPr>
        <w:t xml:space="preserve">ת הנאשם בתחתית מתחם העונש ההולם, בהינתן האמור בתסקיר שירות המבחן והעובדה כי לנאשם אין עבר רלוונטי ובתוך כך ביקשה להשית עליו 15 חודשי מאסר לריצוי בפועל לצד ענישה נלווית. </w:t>
      </w:r>
    </w:p>
    <w:p w14:paraId="643620EA" w14:textId="77777777" w:rsidR="00D04F50" w:rsidRDefault="00D04F50" w:rsidP="00D04F50">
      <w:pPr>
        <w:spacing w:line="360" w:lineRule="auto"/>
        <w:jc w:val="both"/>
        <w:rPr>
          <w:rFonts w:ascii="David" w:hAnsi="David"/>
          <w:rtl/>
        </w:rPr>
      </w:pPr>
    </w:p>
    <w:p w14:paraId="0B99A78C" w14:textId="77777777" w:rsidR="00D04F50" w:rsidRPr="00E942AD" w:rsidRDefault="00D04F50" w:rsidP="00D04F50">
      <w:pPr>
        <w:pStyle w:val="aa"/>
        <w:numPr>
          <w:ilvl w:val="0"/>
          <w:numId w:val="2"/>
        </w:numPr>
        <w:spacing w:line="360" w:lineRule="auto"/>
        <w:jc w:val="both"/>
        <w:rPr>
          <w:rFonts w:ascii="David" w:hAnsi="David"/>
          <w:sz w:val="24"/>
          <w:szCs w:val="24"/>
        </w:rPr>
      </w:pPr>
      <w:r w:rsidRPr="00E942AD">
        <w:rPr>
          <w:rFonts w:ascii="David" w:hAnsi="David" w:cs="David"/>
          <w:b/>
          <w:bCs/>
          <w:sz w:val="24"/>
          <w:szCs w:val="24"/>
          <w:rtl/>
        </w:rPr>
        <w:t>הסנגור</w:t>
      </w:r>
      <w:r w:rsidRPr="00E942AD">
        <w:rPr>
          <w:rFonts w:ascii="David" w:hAnsi="David" w:cs="David" w:hint="cs"/>
          <w:b/>
          <w:bCs/>
          <w:sz w:val="24"/>
          <w:szCs w:val="24"/>
          <w:rtl/>
        </w:rPr>
        <w:t>ית</w:t>
      </w:r>
      <w:r w:rsidRPr="00E942AD">
        <w:rPr>
          <w:rFonts w:ascii="David" w:hAnsi="David" w:cs="David"/>
          <w:b/>
          <w:bCs/>
          <w:sz w:val="24"/>
          <w:szCs w:val="24"/>
          <w:rtl/>
        </w:rPr>
        <w:t xml:space="preserve"> המלומד</w:t>
      </w:r>
      <w:r w:rsidRPr="00E942AD">
        <w:rPr>
          <w:rFonts w:ascii="David" w:hAnsi="David" w:cs="David" w:hint="cs"/>
          <w:b/>
          <w:bCs/>
          <w:sz w:val="24"/>
          <w:szCs w:val="24"/>
          <w:rtl/>
        </w:rPr>
        <w:t>ת</w:t>
      </w:r>
      <w:r w:rsidRPr="00E942AD">
        <w:rPr>
          <w:rFonts w:ascii="David" w:hAnsi="David" w:cs="David"/>
          <w:sz w:val="24"/>
          <w:szCs w:val="24"/>
          <w:rtl/>
        </w:rPr>
        <w:t xml:space="preserve"> עש</w:t>
      </w:r>
      <w:r w:rsidRPr="00E942AD">
        <w:rPr>
          <w:rFonts w:ascii="David" w:hAnsi="David" w:cs="David" w:hint="cs"/>
          <w:sz w:val="24"/>
          <w:szCs w:val="24"/>
          <w:rtl/>
        </w:rPr>
        <w:t>ת</w:t>
      </w:r>
      <w:r w:rsidRPr="00E942AD">
        <w:rPr>
          <w:rFonts w:ascii="David" w:hAnsi="David" w:cs="David"/>
          <w:sz w:val="24"/>
          <w:szCs w:val="24"/>
          <w:rtl/>
        </w:rPr>
        <w:t>ה כל שניתן לטובת מרש</w:t>
      </w:r>
      <w:r w:rsidRPr="00E942AD">
        <w:rPr>
          <w:rFonts w:ascii="David" w:hAnsi="David" w:cs="David" w:hint="cs"/>
          <w:sz w:val="24"/>
          <w:szCs w:val="24"/>
          <w:rtl/>
        </w:rPr>
        <w:t xml:space="preserve">ה, תוך שלימדה עליו סנגוריה רהוטה. </w:t>
      </w:r>
    </w:p>
    <w:p w14:paraId="20BD66F9" w14:textId="77777777" w:rsidR="00D04F50" w:rsidRDefault="00D04F50" w:rsidP="00D04F50">
      <w:pPr>
        <w:pStyle w:val="aa"/>
        <w:spacing w:line="360" w:lineRule="auto"/>
        <w:ind w:left="360"/>
        <w:jc w:val="both"/>
        <w:rPr>
          <w:rFonts w:ascii="David" w:hAnsi="David" w:cs="David"/>
          <w:sz w:val="24"/>
          <w:szCs w:val="24"/>
          <w:rtl/>
        </w:rPr>
      </w:pPr>
      <w:r w:rsidRPr="00E942AD">
        <w:rPr>
          <w:rFonts w:ascii="David" w:hAnsi="David" w:cs="David" w:hint="cs"/>
          <w:sz w:val="24"/>
          <w:szCs w:val="24"/>
          <w:rtl/>
        </w:rPr>
        <w:t xml:space="preserve">הסנגורית </w:t>
      </w:r>
      <w:r>
        <w:rPr>
          <w:rFonts w:ascii="David" w:hAnsi="David" w:cs="David" w:hint="cs"/>
          <w:sz w:val="24"/>
          <w:szCs w:val="24"/>
          <w:rtl/>
        </w:rPr>
        <w:t>לא ביקשה להקל במעשיו של הנאשם ו</w:t>
      </w:r>
      <w:r w:rsidRPr="00E942AD">
        <w:rPr>
          <w:rFonts w:ascii="David" w:hAnsi="David" w:cs="David" w:hint="cs"/>
          <w:sz w:val="24"/>
          <w:szCs w:val="24"/>
          <w:rtl/>
        </w:rPr>
        <w:t xml:space="preserve">התרכזה </w:t>
      </w:r>
      <w:r>
        <w:rPr>
          <w:rFonts w:ascii="David" w:hAnsi="David" w:cs="David" w:hint="cs"/>
          <w:sz w:val="24"/>
          <w:szCs w:val="24"/>
          <w:rtl/>
        </w:rPr>
        <w:t xml:space="preserve">בנסיבותיו האישיות, הרקע המשפחתי המורכב בו גדל הנאשם, בן שביעי מתוך משפחה בת 10 ילדים וילדות, מאופקים, האלימות אותה חווה הנאשם בילדותו, אליבא דטיעוני ההגנה והוצאתו למסגרת חוץ ביתית בגיל 9. </w:t>
      </w:r>
    </w:p>
    <w:p w14:paraId="1D243261"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קשיי הנאשם במהלך שירותו הצבאי והעובדה כי 7 מחבריו הקרובים ביותר נרצחו במסיבת הנובה, דבר שהוביל את הנאשם להמשיך ולצרוך סמים ביתר שאת. </w:t>
      </w:r>
    </w:p>
    <w:p w14:paraId="10AD7780"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הסנגורית הפנתה לפסיקה רבה ומגוונת וסבורה כי מתחם העונש ההולם נע בין מספר חודשי מאסר שניתן לרצותם בדרך של עבודות שירות ועד לתקופה של מאסר בפועל. </w:t>
      </w:r>
    </w:p>
    <w:p w14:paraId="69CE2F2E"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הסנגורית הפנתה לגילו הצעיר של הנאשם, לעובדה כי שהה במעצר ממש 7 ימים ולאחר מכן תקופה ניכרת בה שהה בתנאים מגבילים, ללא הפרות וללא פתיחת תיקי מב"ד חדשים. </w:t>
      </w:r>
    </w:p>
    <w:p w14:paraId="25F4F511"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הסנגורית הפנתה לתסקירו של שירות המבחן, הסוקר את נסיבותיו האישיות של הנאשם לרבות המורכבות המשפטית, הפנתה לעדותה של אמו של הנאשם במהלך הטיעונים לעונש היום וביקשה לבכר את הפן השיקומי עליו עמד שירות המבחן, בשים לב לטיפול שעבר ועובר הנאשם. </w:t>
      </w:r>
    </w:p>
    <w:p w14:paraId="416A6298"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הסנגורית ביקשה לאמץ את המלצות שירות המבחן ובתוך כך להשית על הנאשם צו של"צ בהיקף של 300 שעות לצד צו מבחן לשנה ובתוך כך לסטות ממתחם העונש ההולם, מטעמי שיקום. </w:t>
      </w:r>
    </w:p>
    <w:p w14:paraId="29553DC2" w14:textId="77777777" w:rsidR="00D04F50" w:rsidRPr="004023D1" w:rsidRDefault="00D04F50" w:rsidP="00D04F50">
      <w:pPr>
        <w:spacing w:line="360" w:lineRule="auto"/>
        <w:jc w:val="both"/>
        <w:rPr>
          <w:rFonts w:ascii="David" w:hAnsi="David"/>
          <w:rtl/>
        </w:rPr>
      </w:pPr>
    </w:p>
    <w:p w14:paraId="462EFB77" w14:textId="77777777" w:rsidR="00D04F50" w:rsidRDefault="00D04F50" w:rsidP="00D04F50">
      <w:pPr>
        <w:pStyle w:val="aa"/>
        <w:numPr>
          <w:ilvl w:val="0"/>
          <w:numId w:val="2"/>
        </w:numPr>
        <w:spacing w:line="360" w:lineRule="auto"/>
        <w:jc w:val="both"/>
        <w:rPr>
          <w:rFonts w:ascii="David" w:hAnsi="David" w:cs="David"/>
          <w:sz w:val="24"/>
          <w:szCs w:val="24"/>
        </w:rPr>
      </w:pPr>
      <w:r w:rsidRPr="004023D1">
        <w:rPr>
          <w:rFonts w:ascii="David" w:hAnsi="David" w:cs="David" w:hint="cs"/>
          <w:b/>
          <w:bCs/>
          <w:sz w:val="24"/>
          <w:szCs w:val="24"/>
          <w:rtl/>
        </w:rPr>
        <w:t>הנאשם בדברו האחרון</w:t>
      </w:r>
      <w:r>
        <w:rPr>
          <w:rFonts w:ascii="David" w:hAnsi="David" w:cs="David" w:hint="cs"/>
          <w:sz w:val="24"/>
          <w:szCs w:val="24"/>
          <w:rtl/>
        </w:rPr>
        <w:t xml:space="preserve"> הביע צער וחרטה על מעשיו, עמד על הטיפול שעבר ועובר, על ניקיונו מסמים ובתוך כך על התמיכה באמו, חזרתו להתגורר בביתה באופקים ויציבותו התעסוקתית בתור טבח במסעדה בעיר. </w:t>
      </w:r>
    </w:p>
    <w:p w14:paraId="1371E2B8" w14:textId="77777777" w:rsidR="00D04F50" w:rsidRDefault="00D04F50" w:rsidP="00D04F50">
      <w:pPr>
        <w:pStyle w:val="aa"/>
        <w:spacing w:line="360" w:lineRule="auto"/>
        <w:ind w:left="360"/>
        <w:jc w:val="both"/>
        <w:rPr>
          <w:rFonts w:ascii="David" w:hAnsi="David" w:cs="David"/>
          <w:sz w:val="24"/>
          <w:szCs w:val="24"/>
        </w:rPr>
      </w:pPr>
    </w:p>
    <w:p w14:paraId="13136232" w14:textId="77777777" w:rsidR="00D04F50" w:rsidRPr="003C2666" w:rsidRDefault="00D04F50" w:rsidP="00D04F50">
      <w:pPr>
        <w:spacing w:line="360" w:lineRule="auto"/>
        <w:jc w:val="both"/>
        <w:rPr>
          <w:rFonts w:ascii="David" w:hAnsi="David"/>
          <w:rtl/>
        </w:rPr>
      </w:pPr>
      <w:r w:rsidRPr="003C2666">
        <w:rPr>
          <w:rFonts w:ascii="David" w:hAnsi="David"/>
          <w:b/>
          <w:bCs/>
          <w:u w:val="single"/>
          <w:rtl/>
        </w:rPr>
        <w:t>דיון והכרעה</w:t>
      </w:r>
    </w:p>
    <w:p w14:paraId="69AAD83A" w14:textId="77777777" w:rsidR="00D04F50" w:rsidRPr="003C2666" w:rsidRDefault="00D04F50" w:rsidP="00D04F50">
      <w:pPr>
        <w:pStyle w:val="aa"/>
        <w:numPr>
          <w:ilvl w:val="0"/>
          <w:numId w:val="2"/>
        </w:numPr>
        <w:spacing w:line="360" w:lineRule="auto"/>
        <w:jc w:val="both"/>
        <w:rPr>
          <w:rFonts w:ascii="David" w:hAnsi="David" w:cs="David"/>
          <w:sz w:val="24"/>
          <w:szCs w:val="24"/>
          <w:rtl/>
        </w:rPr>
      </w:pPr>
      <w:r w:rsidRPr="003C2666">
        <w:rPr>
          <w:rFonts w:ascii="David" w:hAnsi="David" w:cs="David"/>
          <w:sz w:val="24"/>
          <w:szCs w:val="24"/>
          <w:rtl/>
        </w:rPr>
        <w:t>על פי תיקון 113 ל</w:t>
      </w:r>
      <w:hyperlink r:id="rId23" w:history="1">
        <w:r w:rsidR="00E539EF" w:rsidRPr="00E539EF">
          <w:rPr>
            <w:rFonts w:ascii="David" w:hAnsi="David" w:cs="David"/>
            <w:color w:val="0000FF"/>
            <w:sz w:val="24"/>
            <w:szCs w:val="24"/>
            <w:u w:val="single"/>
            <w:rtl/>
          </w:rPr>
          <w:t>חוק העונשין</w:t>
        </w:r>
      </w:hyperlink>
      <w:r w:rsidRPr="003C2666">
        <w:rPr>
          <w:rFonts w:ascii="David" w:hAnsi="David" w:cs="David"/>
          <w:sz w:val="24"/>
          <w:szCs w:val="24"/>
          <w:rtl/>
        </w:rPr>
        <w:t xml:space="preserve">, העיקרון המנחה בענישה הוא עיקרון ההלימה, אשר מכוון ליצירת יחס הולם בין חומרת מעשי העבירה בנסיבותיה, מידת אשמו של הנאשם ובין סוג ומידת העונש שיוטל עליו. </w:t>
      </w:r>
    </w:p>
    <w:p w14:paraId="5A360E86" w14:textId="77777777" w:rsidR="00D04F50" w:rsidRPr="003C2666" w:rsidRDefault="00D04F50" w:rsidP="00D04F50">
      <w:pPr>
        <w:spacing w:line="360" w:lineRule="auto"/>
        <w:jc w:val="both"/>
        <w:rPr>
          <w:rFonts w:ascii="David" w:hAnsi="David"/>
          <w:rtl/>
        </w:rPr>
      </w:pPr>
    </w:p>
    <w:p w14:paraId="66D80245" w14:textId="77777777" w:rsidR="00D04F50" w:rsidRPr="003C2666" w:rsidRDefault="00D04F50" w:rsidP="00D04F50">
      <w:pPr>
        <w:spacing w:line="360" w:lineRule="auto"/>
        <w:ind w:left="360"/>
        <w:jc w:val="both"/>
        <w:rPr>
          <w:rFonts w:ascii="David" w:hAnsi="David"/>
          <w:rtl/>
        </w:rPr>
      </w:pPr>
      <w:r w:rsidRPr="003C2666">
        <w:rPr>
          <w:rFonts w:ascii="David" w:hAnsi="David"/>
          <w:rtl/>
        </w:rPr>
        <w:t>על בית המשפט, בקביעת מתחם העונש ההולם, להתייחס לנסיבות ביצוע העבירות, הערך המוגן שבבסיסן, מידת הפגיעה בו ובמדיניות הענישה הנוהגת.</w:t>
      </w:r>
    </w:p>
    <w:p w14:paraId="07DBF7DF" w14:textId="77777777" w:rsidR="00D04F50" w:rsidRPr="003C2666" w:rsidRDefault="00D04F50" w:rsidP="00D04F50">
      <w:pPr>
        <w:spacing w:line="360" w:lineRule="auto"/>
        <w:jc w:val="both"/>
        <w:rPr>
          <w:rFonts w:ascii="David" w:hAnsi="David"/>
          <w:rtl/>
        </w:rPr>
      </w:pPr>
    </w:p>
    <w:p w14:paraId="1CC0E195" w14:textId="77777777" w:rsidR="00D04F50" w:rsidRDefault="00D04F50" w:rsidP="00D04F50">
      <w:pPr>
        <w:spacing w:line="360" w:lineRule="auto"/>
        <w:ind w:firstLine="360"/>
        <w:jc w:val="both"/>
        <w:rPr>
          <w:rFonts w:ascii="David" w:hAnsi="David"/>
          <w:rtl/>
        </w:rPr>
      </w:pPr>
      <w:r w:rsidRPr="003C2666">
        <w:rPr>
          <w:rFonts w:ascii="David" w:hAnsi="David"/>
          <w:rtl/>
        </w:rPr>
        <w:t>מעש</w:t>
      </w:r>
      <w:r w:rsidRPr="00A857DB">
        <w:rPr>
          <w:rFonts w:ascii="David" w:hAnsi="David"/>
          <w:rtl/>
        </w:rPr>
        <w:t xml:space="preserve">יו של הנאשם מלמדים על </w:t>
      </w:r>
      <w:r>
        <w:rPr>
          <w:rFonts w:ascii="David" w:hAnsi="David" w:hint="cs"/>
          <w:rtl/>
        </w:rPr>
        <w:t xml:space="preserve">חומרה לא מבוטלת. </w:t>
      </w:r>
    </w:p>
    <w:p w14:paraId="2E9AD41E" w14:textId="77777777" w:rsidR="00D04F50" w:rsidRDefault="00D04F50" w:rsidP="00D04F50">
      <w:pPr>
        <w:spacing w:line="360" w:lineRule="auto"/>
        <w:ind w:left="360"/>
        <w:jc w:val="both"/>
        <w:rPr>
          <w:rFonts w:ascii="David" w:hAnsi="David"/>
          <w:rtl/>
        </w:rPr>
      </w:pPr>
      <w:r>
        <w:rPr>
          <w:rFonts w:ascii="David" w:hAnsi="David" w:hint="cs"/>
          <w:rtl/>
        </w:rPr>
        <w:t xml:space="preserve">הנאשם גידל בדירתו בבת ים סמים מסוכנים בהיקף ניכר, תוך שהפעיל במקום מעבדה לגידול סמים, עם ציוד רב שכלל מזגנים, שנאים, נורות חימום, מפוחים, מאווררים, מדי טמפרטורה, משטחי גידול לצד חומרי דישון, תוך נטילת חשמל לטובת המעבדה שלא כדין, בהתקנת מעקף. </w:t>
      </w:r>
    </w:p>
    <w:p w14:paraId="04C84537" w14:textId="77777777" w:rsidR="00D04F50" w:rsidRDefault="00D04F50" w:rsidP="00D04F50">
      <w:pPr>
        <w:spacing w:line="360" w:lineRule="auto"/>
        <w:ind w:left="360"/>
        <w:jc w:val="both"/>
        <w:rPr>
          <w:rFonts w:ascii="David" w:hAnsi="David"/>
          <w:rtl/>
        </w:rPr>
      </w:pPr>
      <w:r>
        <w:rPr>
          <w:rFonts w:ascii="David" w:hAnsi="David" w:hint="cs"/>
          <w:rtl/>
        </w:rPr>
        <w:t xml:space="preserve">הנאשם גידל סם מסוג קנאביס בדמות 103 שתילים, במשקל כולל של 12 קילוגרם נטו והחזיק בעוד 4 קילוגרם קנאביס ב- 5 שקיות, והכל שלא לצריכה עצמית. </w:t>
      </w:r>
    </w:p>
    <w:p w14:paraId="1213F8F2" w14:textId="77777777" w:rsidR="00D04F50" w:rsidRDefault="00D04F50" w:rsidP="00D04F50">
      <w:pPr>
        <w:spacing w:line="360" w:lineRule="auto"/>
        <w:ind w:left="360"/>
        <w:jc w:val="both"/>
        <w:rPr>
          <w:rFonts w:ascii="David" w:hAnsi="David"/>
          <w:rtl/>
        </w:rPr>
      </w:pPr>
    </w:p>
    <w:p w14:paraId="2342049A" w14:textId="77777777" w:rsidR="00D04F50" w:rsidRDefault="00D04F50" w:rsidP="00D04F50">
      <w:pPr>
        <w:spacing w:after="160" w:line="360" w:lineRule="auto"/>
        <w:ind w:left="360"/>
        <w:contextualSpacing/>
        <w:jc w:val="both"/>
        <w:rPr>
          <w:rFonts w:ascii="David" w:hAnsi="David"/>
          <w:rtl/>
        </w:rPr>
      </w:pPr>
      <w:r>
        <w:rPr>
          <w:rFonts w:ascii="David" w:hAnsi="David"/>
          <w:rtl/>
        </w:rPr>
        <w:t>לעניין הערכים המוגנים, כידוע נזקי הסמים ופגיעתם בחברה, משתרעים על מרחבים ניכרים. נראה כי עבירות הס</w:t>
      </w:r>
      <w:r>
        <w:rPr>
          <w:rFonts w:ascii="David" w:hAnsi="David" w:hint="cs"/>
          <w:rtl/>
        </w:rPr>
        <w:t>מי</w:t>
      </w:r>
      <w:r>
        <w:rPr>
          <w:rFonts w:ascii="David" w:hAnsi="David"/>
          <w:rtl/>
        </w:rPr>
        <w:t>ם מכלות כל חלקה טובה בחברתנו.</w:t>
      </w:r>
    </w:p>
    <w:p w14:paraId="36B753A0" w14:textId="77777777" w:rsidR="00D04F50" w:rsidRDefault="00D04F50" w:rsidP="00D04F50">
      <w:pPr>
        <w:spacing w:after="160" w:line="360" w:lineRule="auto"/>
        <w:contextualSpacing/>
        <w:jc w:val="both"/>
        <w:rPr>
          <w:rFonts w:ascii="David" w:hAnsi="David"/>
        </w:rPr>
      </w:pPr>
    </w:p>
    <w:p w14:paraId="320FE623" w14:textId="77777777" w:rsidR="00D04F50" w:rsidRDefault="00D04F50" w:rsidP="00D04F50">
      <w:pPr>
        <w:spacing w:after="160" w:line="360" w:lineRule="auto"/>
        <w:ind w:left="360"/>
        <w:contextualSpacing/>
        <w:jc w:val="both"/>
        <w:rPr>
          <w:rFonts w:ascii="David" w:hAnsi="David"/>
          <w:rtl/>
        </w:rPr>
      </w:pPr>
      <w:r>
        <w:rPr>
          <w:rFonts w:ascii="David" w:hAnsi="David"/>
          <w:rtl/>
        </w:rPr>
        <w:t>פגיעתם של הסמים בחברה רחב היקף, הן באשר למשתמש הבודד, משפחתו והמעגל קרוב והן באשר לחברה כולה</w:t>
      </w:r>
      <w:r>
        <w:rPr>
          <w:rFonts w:ascii="David" w:hAnsi="David" w:hint="cs"/>
          <w:rtl/>
        </w:rPr>
        <w:t>,</w:t>
      </w:r>
      <w:r>
        <w:rPr>
          <w:rFonts w:ascii="David" w:hAnsi="David"/>
          <w:rtl/>
        </w:rPr>
        <w:t xml:space="preserve"> לאור הפעילות הפלילית של הצרכן המבקש לספק את הדחף לסם ומבצע, לעיתים, </w:t>
      </w:r>
      <w:r>
        <w:rPr>
          <w:rFonts w:ascii="David" w:hAnsi="David" w:hint="cs"/>
          <w:rtl/>
        </w:rPr>
        <w:t>"</w:t>
      </w:r>
      <w:r>
        <w:rPr>
          <w:rFonts w:ascii="David" w:hAnsi="David"/>
          <w:rtl/>
        </w:rPr>
        <w:t>על הדרך</w:t>
      </w:r>
      <w:r>
        <w:rPr>
          <w:rFonts w:ascii="David" w:hAnsi="David" w:hint="cs"/>
          <w:rtl/>
        </w:rPr>
        <w:t xml:space="preserve">" </w:t>
      </w:r>
      <w:r>
        <w:rPr>
          <w:rFonts w:ascii="David" w:hAnsi="David"/>
          <w:rtl/>
        </w:rPr>
        <w:t>עבירות נוספות, בעיקר מתח</w:t>
      </w:r>
      <w:r>
        <w:rPr>
          <w:rFonts w:ascii="David" w:hAnsi="David" w:hint="cs"/>
          <w:rtl/>
        </w:rPr>
        <w:t>ו</w:t>
      </w:r>
      <w:r>
        <w:rPr>
          <w:rFonts w:ascii="David" w:hAnsi="David"/>
          <w:rtl/>
        </w:rPr>
        <w:t xml:space="preserve">ם הרכוש. </w:t>
      </w:r>
    </w:p>
    <w:p w14:paraId="26FC8B5B" w14:textId="77777777" w:rsidR="00D04F50" w:rsidRDefault="00D04F50" w:rsidP="00D04F50">
      <w:pPr>
        <w:spacing w:after="160" w:line="360" w:lineRule="auto"/>
        <w:ind w:firstLine="360"/>
        <w:contextualSpacing/>
        <w:jc w:val="both"/>
        <w:rPr>
          <w:rFonts w:ascii="David" w:hAnsi="David"/>
          <w:rtl/>
        </w:rPr>
      </w:pPr>
      <w:r>
        <w:rPr>
          <w:rFonts w:ascii="David" w:hAnsi="David"/>
          <w:rtl/>
        </w:rPr>
        <w:t>בנוסף</w:t>
      </w:r>
      <w:r>
        <w:rPr>
          <w:rFonts w:ascii="David" w:hAnsi="David" w:hint="cs"/>
          <w:rtl/>
        </w:rPr>
        <w:t>,</w:t>
      </w:r>
      <w:r>
        <w:rPr>
          <w:rFonts w:ascii="David" w:hAnsi="David"/>
          <w:rtl/>
        </w:rPr>
        <w:t xml:space="preserve"> מעגלי הייצור והשיווק של הסם מייצרים</w:t>
      </w:r>
      <w:r>
        <w:rPr>
          <w:rFonts w:ascii="David" w:hAnsi="David" w:hint="cs"/>
          <w:rtl/>
        </w:rPr>
        <w:t>,</w:t>
      </w:r>
      <w:r>
        <w:rPr>
          <w:rFonts w:ascii="David" w:hAnsi="David"/>
          <w:rtl/>
        </w:rPr>
        <w:t xml:space="preserve"> כשלעצמם</w:t>
      </w:r>
      <w:r>
        <w:rPr>
          <w:rFonts w:ascii="David" w:hAnsi="David" w:hint="cs"/>
          <w:rtl/>
        </w:rPr>
        <w:t>,</w:t>
      </w:r>
      <w:r>
        <w:rPr>
          <w:rFonts w:ascii="David" w:hAnsi="David"/>
          <w:rtl/>
        </w:rPr>
        <w:t xml:space="preserve"> פעילות עבריינית נרחבת.</w:t>
      </w:r>
    </w:p>
    <w:p w14:paraId="417AF634" w14:textId="77777777" w:rsidR="00D04F50" w:rsidRDefault="00D04F50" w:rsidP="00D04F50">
      <w:pPr>
        <w:spacing w:after="160" w:line="360" w:lineRule="auto"/>
        <w:ind w:firstLine="360"/>
        <w:contextualSpacing/>
        <w:jc w:val="both"/>
        <w:rPr>
          <w:rFonts w:ascii="David" w:hAnsi="David"/>
          <w:rtl/>
        </w:rPr>
      </w:pPr>
    </w:p>
    <w:p w14:paraId="2544020F" w14:textId="77777777" w:rsidR="00D04F50" w:rsidRDefault="00D04F50" w:rsidP="00D04F50">
      <w:pPr>
        <w:spacing w:after="160" w:line="360" w:lineRule="auto"/>
        <w:ind w:firstLine="360"/>
        <w:contextualSpacing/>
        <w:jc w:val="both"/>
        <w:rPr>
          <w:rFonts w:ascii="David" w:hAnsi="David"/>
          <w:rtl/>
        </w:rPr>
      </w:pPr>
      <w:r>
        <w:rPr>
          <w:rFonts w:ascii="David" w:hAnsi="David" w:hint="cs"/>
          <w:rtl/>
        </w:rPr>
        <w:t xml:space="preserve">גידולי סמים במעבדות גידול ביתיות הפכו למכת מדינה ולחזון נפרץ במקומותינו. </w:t>
      </w:r>
    </w:p>
    <w:p w14:paraId="3D0FB2C5" w14:textId="77777777" w:rsidR="00D04F50" w:rsidRDefault="00D04F50" w:rsidP="00D04F50">
      <w:pPr>
        <w:spacing w:after="160" w:line="360" w:lineRule="auto"/>
        <w:ind w:left="360"/>
        <w:contextualSpacing/>
        <w:jc w:val="both"/>
        <w:rPr>
          <w:rFonts w:ascii="David" w:hAnsi="David"/>
          <w:b/>
          <w:bCs/>
          <w:rtl/>
        </w:rPr>
      </w:pPr>
      <w:r>
        <w:rPr>
          <w:rFonts w:ascii="David" w:hAnsi="David" w:hint="cs"/>
          <w:rtl/>
        </w:rPr>
        <w:t xml:space="preserve">בעניין זה אפנה לפסיקתו של בית המשפט המחוזי בתל אביב במסגרת </w:t>
      </w:r>
      <w:hyperlink r:id="rId24" w:history="1">
        <w:r w:rsidR="00E539EF" w:rsidRPr="00E539EF">
          <w:rPr>
            <w:rFonts w:ascii="David" w:hAnsi="David"/>
            <w:b/>
            <w:bCs/>
            <w:color w:val="0000FF"/>
            <w:u w:val="single"/>
            <w:rtl/>
          </w:rPr>
          <w:t>עפ"ג 31126-05-14</w:t>
        </w:r>
      </w:hyperlink>
      <w:r>
        <w:rPr>
          <w:rFonts w:ascii="David" w:hAnsi="David" w:hint="cs"/>
          <w:b/>
          <w:bCs/>
          <w:rtl/>
        </w:rPr>
        <w:t xml:space="preserve"> מדינת ישראל נגד חריט (12.1.15): "בהינתן המציאות הנוכחית שבה גידול הסמים הפך להיות מכת מדינה, יש להילחם בו בחומרה כאשר הביטוי לכך יהיה בעליית רף הענישה. המגדלים והמפיצים מצויים באותו מקום עצמו מבחינה ערכית ומעשית גם יחד". </w:t>
      </w:r>
    </w:p>
    <w:p w14:paraId="1E4A07AF" w14:textId="77777777" w:rsidR="00D04F50" w:rsidRDefault="00D04F50" w:rsidP="00D04F50">
      <w:pPr>
        <w:spacing w:after="160" w:line="360" w:lineRule="auto"/>
        <w:ind w:left="360"/>
        <w:contextualSpacing/>
        <w:jc w:val="both"/>
        <w:rPr>
          <w:rFonts w:ascii="David" w:hAnsi="David"/>
          <w:b/>
          <w:bCs/>
          <w:rtl/>
        </w:rPr>
      </w:pPr>
    </w:p>
    <w:p w14:paraId="19158F6E" w14:textId="77777777" w:rsidR="00D04F50" w:rsidRDefault="00D04F50" w:rsidP="00D04F50">
      <w:pPr>
        <w:spacing w:after="160" w:line="360" w:lineRule="auto"/>
        <w:ind w:left="360"/>
        <w:contextualSpacing/>
        <w:jc w:val="both"/>
        <w:rPr>
          <w:rFonts w:ascii="David" w:hAnsi="David"/>
          <w:b/>
          <w:bCs/>
          <w:rtl/>
        </w:rPr>
      </w:pPr>
      <w:r w:rsidRPr="00342FDD">
        <w:rPr>
          <w:rFonts w:ascii="David" w:hAnsi="David" w:hint="cs"/>
          <w:rtl/>
        </w:rPr>
        <w:t>כמו כן, ראו:</w:t>
      </w:r>
      <w:r>
        <w:rPr>
          <w:rFonts w:ascii="David" w:hAnsi="David" w:hint="cs"/>
          <w:b/>
          <w:bCs/>
          <w:rtl/>
        </w:rPr>
        <w:t xml:space="preserve"> </w:t>
      </w:r>
      <w:hyperlink r:id="rId25" w:history="1">
        <w:r w:rsidR="00E539EF" w:rsidRPr="00E539EF">
          <w:rPr>
            <w:rFonts w:ascii="David" w:hAnsi="David"/>
            <w:b/>
            <w:bCs/>
            <w:color w:val="0000FF"/>
            <w:u w:val="single"/>
            <w:rtl/>
          </w:rPr>
          <w:t>עפ"ג (תל אביב) 12819-11-15</w:t>
        </w:r>
      </w:hyperlink>
      <w:r>
        <w:rPr>
          <w:rFonts w:ascii="David" w:hAnsi="David" w:hint="cs"/>
          <w:b/>
          <w:bCs/>
          <w:rtl/>
        </w:rPr>
        <w:t xml:space="preserve"> מדינת ישראל נגד בן צבי (16.12.15). </w:t>
      </w:r>
    </w:p>
    <w:p w14:paraId="6B2C340B" w14:textId="77777777" w:rsidR="00D04F50" w:rsidRDefault="00D04F50" w:rsidP="00D04F50">
      <w:pPr>
        <w:spacing w:after="160" w:line="360" w:lineRule="auto"/>
        <w:ind w:left="360"/>
        <w:contextualSpacing/>
        <w:jc w:val="both"/>
        <w:rPr>
          <w:rFonts w:ascii="David" w:hAnsi="David"/>
          <w:b/>
          <w:bCs/>
          <w:rtl/>
        </w:rPr>
      </w:pPr>
    </w:p>
    <w:p w14:paraId="19D575F8" w14:textId="77777777" w:rsidR="00D04F50" w:rsidRDefault="00D04F50" w:rsidP="00D04F50">
      <w:pPr>
        <w:spacing w:after="160" w:line="360" w:lineRule="auto"/>
        <w:ind w:left="360"/>
        <w:contextualSpacing/>
        <w:jc w:val="both"/>
        <w:rPr>
          <w:rFonts w:ascii="David" w:hAnsi="David"/>
          <w:b/>
          <w:bCs/>
          <w:rtl/>
        </w:rPr>
      </w:pPr>
      <w:r w:rsidRPr="00342FDD">
        <w:rPr>
          <w:rFonts w:ascii="David" w:hAnsi="David" w:hint="cs"/>
          <w:rtl/>
        </w:rPr>
        <w:t xml:space="preserve">לאחר </w:t>
      </w:r>
      <w:r>
        <w:rPr>
          <w:rFonts w:ascii="David" w:hAnsi="David" w:hint="cs"/>
          <w:rtl/>
        </w:rPr>
        <w:t xml:space="preserve">ששמעתי ברוב קשב טיעוני הצדדים, עמדתי על נסיבות ביצוע העבירות, הערכים המוגנים והפגיעה בהם כמו גם מדיניות הפסיקה הנוהגת, כאשר הצדדים הפנו לפסיקה מגוונת, מצאתי לקבוע מתחם עונשי הולם </w:t>
      </w:r>
      <w:r>
        <w:rPr>
          <w:rFonts w:ascii="David" w:hAnsi="David" w:hint="cs"/>
          <w:b/>
          <w:bCs/>
          <w:rtl/>
        </w:rPr>
        <w:t xml:space="preserve">הנע בין 9 </w:t>
      </w:r>
      <w:r>
        <w:rPr>
          <w:rFonts w:ascii="David" w:hAnsi="David"/>
          <w:b/>
          <w:bCs/>
          <w:rtl/>
        </w:rPr>
        <w:t>–</w:t>
      </w:r>
      <w:r>
        <w:rPr>
          <w:rFonts w:ascii="David" w:hAnsi="David" w:hint="cs"/>
          <w:b/>
          <w:bCs/>
          <w:rtl/>
        </w:rPr>
        <w:t xml:space="preserve"> 20 חודשי מאסר לצד ענישה נלווית. </w:t>
      </w:r>
    </w:p>
    <w:p w14:paraId="2D1B7B32" w14:textId="77777777" w:rsidR="00D04F50" w:rsidRDefault="00D04F50" w:rsidP="00D04F50">
      <w:pPr>
        <w:spacing w:after="160" w:line="360" w:lineRule="auto"/>
        <w:ind w:left="360"/>
        <w:contextualSpacing/>
        <w:jc w:val="both"/>
        <w:rPr>
          <w:rFonts w:ascii="David" w:hAnsi="David"/>
          <w:b/>
          <w:bCs/>
          <w:rtl/>
        </w:rPr>
      </w:pPr>
    </w:p>
    <w:p w14:paraId="1251E750" w14:textId="77777777" w:rsidR="00D04F50" w:rsidRDefault="00D04F50" w:rsidP="00D04F50">
      <w:pPr>
        <w:spacing w:after="160" w:line="360" w:lineRule="auto"/>
        <w:ind w:left="360"/>
        <w:contextualSpacing/>
        <w:jc w:val="both"/>
        <w:rPr>
          <w:rFonts w:ascii="David" w:hAnsi="David"/>
          <w:b/>
          <w:bCs/>
          <w:rtl/>
        </w:rPr>
      </w:pPr>
      <w:r w:rsidRPr="00342FDD">
        <w:rPr>
          <w:rFonts w:ascii="David" w:hAnsi="David" w:hint="cs"/>
          <w:rtl/>
        </w:rPr>
        <w:t xml:space="preserve">אציין, </w:t>
      </w:r>
      <w:r>
        <w:rPr>
          <w:rFonts w:ascii="David" w:hAnsi="David" w:hint="cs"/>
          <w:rtl/>
        </w:rPr>
        <w:t xml:space="preserve">כי בתיק אחר בו גידל נאשם בדירת מגורים קנאביס במשקל כולל של 17 קילוגרם, עתרה התביעה למתחם עונשי הולם הנע בין 10 </w:t>
      </w:r>
      <w:r>
        <w:rPr>
          <w:rFonts w:ascii="David" w:hAnsi="David"/>
          <w:rtl/>
        </w:rPr>
        <w:t>–</w:t>
      </w:r>
      <w:r>
        <w:rPr>
          <w:rFonts w:ascii="David" w:hAnsi="David" w:hint="cs"/>
          <w:rtl/>
        </w:rPr>
        <w:t xml:space="preserve"> 24 חודשי מאסר לצד ענישה נלווית, אפנה בעניין זה ל</w:t>
      </w:r>
      <w:hyperlink r:id="rId26" w:history="1">
        <w:r w:rsidR="00E539EF" w:rsidRPr="00E539EF">
          <w:rPr>
            <w:rFonts w:ascii="David" w:hAnsi="David"/>
            <w:b/>
            <w:bCs/>
            <w:color w:val="0000FF"/>
            <w:u w:val="single"/>
            <w:rtl/>
          </w:rPr>
          <w:t>ת"פ 5672-11-18</w:t>
        </w:r>
      </w:hyperlink>
      <w:r>
        <w:rPr>
          <w:rFonts w:ascii="David" w:hAnsi="David" w:hint="cs"/>
          <w:b/>
          <w:bCs/>
          <w:rtl/>
        </w:rPr>
        <w:t xml:space="preserve"> מדינת ישראל נגד לנקרי (20.1.21). </w:t>
      </w:r>
    </w:p>
    <w:p w14:paraId="6B2399BD" w14:textId="77777777" w:rsidR="00D04F50" w:rsidRDefault="00D04F50" w:rsidP="00D04F50">
      <w:pPr>
        <w:spacing w:after="160" w:line="360" w:lineRule="auto"/>
        <w:ind w:left="360"/>
        <w:contextualSpacing/>
        <w:jc w:val="both"/>
        <w:rPr>
          <w:rFonts w:ascii="David" w:hAnsi="David"/>
          <w:b/>
          <w:bCs/>
          <w:rtl/>
        </w:rPr>
      </w:pPr>
    </w:p>
    <w:p w14:paraId="4FCDD1E8" w14:textId="77777777" w:rsidR="00D04F50" w:rsidRDefault="00D04F50" w:rsidP="00D04F50">
      <w:pPr>
        <w:spacing w:after="160" w:line="360" w:lineRule="auto"/>
        <w:ind w:left="360"/>
        <w:contextualSpacing/>
        <w:jc w:val="both"/>
        <w:rPr>
          <w:rFonts w:ascii="David" w:hAnsi="David"/>
          <w:rtl/>
        </w:rPr>
      </w:pPr>
      <w:r>
        <w:rPr>
          <w:rFonts w:ascii="David" w:hAnsi="David" w:hint="cs"/>
          <w:rtl/>
        </w:rPr>
        <w:t xml:space="preserve">עוד ראו </w:t>
      </w:r>
      <w:hyperlink r:id="rId27" w:history="1">
        <w:r w:rsidR="00E539EF" w:rsidRPr="00E539EF">
          <w:rPr>
            <w:rFonts w:ascii="David" w:hAnsi="David"/>
            <w:b/>
            <w:bCs/>
            <w:color w:val="0000FF"/>
            <w:u w:val="single"/>
            <w:rtl/>
          </w:rPr>
          <w:t>עפ"ג (תל אביב) 44763-08-19</w:t>
        </w:r>
      </w:hyperlink>
      <w:r>
        <w:rPr>
          <w:rFonts w:ascii="David" w:hAnsi="David" w:hint="cs"/>
          <w:b/>
          <w:bCs/>
          <w:rtl/>
        </w:rPr>
        <w:t xml:space="preserve"> אוחנה נגד מדינת ישראל (16.12.19)</w:t>
      </w:r>
      <w:r>
        <w:rPr>
          <w:rFonts w:ascii="David" w:hAnsi="David" w:hint="cs"/>
          <w:rtl/>
        </w:rPr>
        <w:t xml:space="preserve">, שם נקבעה במסגרת הערעור ענישה של 9 חודשי מאסר בדרך של עבודות שירות, על מי שגידל בדירתו בבת ים 14 קילוגרם של סם קנאביס והחזיק ב- 280 גרם שלא לצריכה עצמית. </w:t>
      </w:r>
    </w:p>
    <w:p w14:paraId="25FAA100" w14:textId="77777777" w:rsidR="00D04F50" w:rsidRDefault="00D04F50" w:rsidP="00D04F50">
      <w:pPr>
        <w:spacing w:after="160" w:line="360" w:lineRule="auto"/>
        <w:ind w:left="360"/>
        <w:contextualSpacing/>
        <w:jc w:val="both"/>
        <w:rPr>
          <w:rFonts w:ascii="David" w:hAnsi="David"/>
          <w:rtl/>
        </w:rPr>
      </w:pPr>
    </w:p>
    <w:p w14:paraId="1AFF502C" w14:textId="77777777" w:rsidR="00D04F50" w:rsidRPr="00AE1A75" w:rsidRDefault="00D04F50" w:rsidP="00D04F50">
      <w:pPr>
        <w:spacing w:after="160" w:line="360" w:lineRule="auto"/>
        <w:ind w:left="360"/>
        <w:contextualSpacing/>
        <w:jc w:val="both"/>
        <w:rPr>
          <w:rFonts w:ascii="David" w:hAnsi="David"/>
          <w:b/>
          <w:bCs/>
          <w:rtl/>
        </w:rPr>
      </w:pPr>
      <w:r>
        <w:rPr>
          <w:rFonts w:ascii="David" w:hAnsi="David" w:hint="cs"/>
          <w:rtl/>
        </w:rPr>
        <w:t xml:space="preserve">עוד ראו: </w:t>
      </w:r>
      <w:hyperlink r:id="rId28" w:history="1">
        <w:r w:rsidR="00E539EF" w:rsidRPr="00E539EF">
          <w:rPr>
            <w:rFonts w:ascii="David" w:hAnsi="David"/>
            <w:b/>
            <w:bCs/>
            <w:color w:val="0000FF"/>
            <w:u w:val="single"/>
            <w:rtl/>
          </w:rPr>
          <w:t>עפ"ג (תל אביב) 16064-05-21</w:t>
        </w:r>
      </w:hyperlink>
      <w:r>
        <w:rPr>
          <w:rFonts w:ascii="David" w:hAnsi="David" w:hint="cs"/>
          <w:b/>
          <w:bCs/>
          <w:rtl/>
        </w:rPr>
        <w:t xml:space="preserve"> מדינת ישראל נגד סאלי צפריר (20.10.21); </w:t>
      </w:r>
      <w:hyperlink r:id="rId29" w:history="1">
        <w:r w:rsidR="00E539EF" w:rsidRPr="00E539EF">
          <w:rPr>
            <w:rFonts w:ascii="David" w:hAnsi="David"/>
            <w:b/>
            <w:bCs/>
            <w:color w:val="0000FF"/>
            <w:u w:val="single"/>
            <w:rtl/>
          </w:rPr>
          <w:t>עפ"ג (חיפה) 49266-02-17</w:t>
        </w:r>
      </w:hyperlink>
      <w:r>
        <w:rPr>
          <w:rFonts w:ascii="David" w:hAnsi="David" w:hint="cs"/>
          <w:b/>
          <w:bCs/>
          <w:rtl/>
        </w:rPr>
        <w:t xml:space="preserve"> מדינת ישראל נגד דן אוחיון (16.3.17); </w:t>
      </w:r>
      <w:hyperlink r:id="rId30" w:history="1">
        <w:r w:rsidR="00E539EF" w:rsidRPr="00E539EF">
          <w:rPr>
            <w:rFonts w:ascii="David" w:hAnsi="David"/>
            <w:b/>
            <w:bCs/>
            <w:color w:val="0000FF"/>
            <w:u w:val="single"/>
            <w:rtl/>
          </w:rPr>
          <w:t>עפ"ג (תל אביב) 21920-08-19</w:t>
        </w:r>
      </w:hyperlink>
      <w:r>
        <w:rPr>
          <w:rFonts w:ascii="David" w:hAnsi="David" w:hint="cs"/>
          <w:b/>
          <w:bCs/>
          <w:rtl/>
        </w:rPr>
        <w:t xml:space="preserve"> בוקרא נגד מדינת ישראל (30.10.19); עפ"ג (באר שבע) 28031-02-20 ישראלוב נגד מדינת ישראל (9.9.20). </w:t>
      </w:r>
    </w:p>
    <w:p w14:paraId="4FB37349" w14:textId="77777777" w:rsidR="00D04F50" w:rsidRDefault="00D04F50" w:rsidP="00D04F50">
      <w:pPr>
        <w:spacing w:after="160" w:line="360" w:lineRule="auto"/>
        <w:contextualSpacing/>
        <w:jc w:val="both"/>
        <w:rPr>
          <w:rFonts w:ascii="David" w:hAnsi="David"/>
          <w:rtl/>
        </w:rPr>
      </w:pPr>
    </w:p>
    <w:p w14:paraId="325AA66A" w14:textId="77777777" w:rsidR="00D04F50" w:rsidRPr="00A857DB" w:rsidRDefault="00D04F50" w:rsidP="00D04F50">
      <w:pPr>
        <w:spacing w:line="360" w:lineRule="auto"/>
        <w:jc w:val="both"/>
        <w:rPr>
          <w:rFonts w:ascii="David" w:hAnsi="David"/>
          <w:b/>
          <w:bCs/>
          <w:u w:val="single"/>
          <w:rtl/>
        </w:rPr>
      </w:pPr>
      <w:r w:rsidRPr="00A857DB">
        <w:rPr>
          <w:rFonts w:ascii="David" w:hAnsi="David"/>
          <w:b/>
          <w:bCs/>
          <w:u w:val="single"/>
          <w:rtl/>
        </w:rPr>
        <w:t>מיקומו של הנאשם בתוך המתחם</w:t>
      </w:r>
    </w:p>
    <w:p w14:paraId="5AAF03C0" w14:textId="77777777" w:rsidR="00D04F50" w:rsidRDefault="00D04F50" w:rsidP="00D04F50">
      <w:pPr>
        <w:pStyle w:val="aa"/>
        <w:numPr>
          <w:ilvl w:val="0"/>
          <w:numId w:val="2"/>
        </w:numPr>
        <w:spacing w:line="360" w:lineRule="auto"/>
        <w:jc w:val="both"/>
        <w:rPr>
          <w:rFonts w:ascii="David" w:hAnsi="David"/>
          <w:sz w:val="24"/>
          <w:szCs w:val="24"/>
        </w:rPr>
      </w:pPr>
      <w:r w:rsidRPr="00C5218E">
        <w:rPr>
          <w:rFonts w:ascii="David" w:hAnsi="David" w:cs="David"/>
          <w:sz w:val="24"/>
          <w:szCs w:val="24"/>
          <w:rtl/>
        </w:rPr>
        <w:t xml:space="preserve">הנאשם </w:t>
      </w:r>
      <w:r w:rsidRPr="00C5218E">
        <w:rPr>
          <w:rFonts w:ascii="David" w:hAnsi="David" w:cs="David" w:hint="cs"/>
          <w:sz w:val="24"/>
          <w:szCs w:val="24"/>
          <w:rtl/>
        </w:rPr>
        <w:t>צעיר לימים, בן 24, לחובתו עבר שאינו רלוונטי מתקופת שירותו הצבאי,</w:t>
      </w:r>
      <w:r>
        <w:rPr>
          <w:rFonts w:ascii="David" w:hAnsi="David" w:cs="David" w:hint="cs"/>
          <w:sz w:val="24"/>
          <w:szCs w:val="24"/>
          <w:rtl/>
        </w:rPr>
        <w:t xml:space="preserve"> הודה בפתח משפטו במסגרת דיון מקדמי באולם המוקד וחסך בזמן שיפוטי ניכר. </w:t>
      </w:r>
    </w:p>
    <w:p w14:paraId="072FD563" w14:textId="77777777" w:rsidR="00D04F50" w:rsidRPr="00C5218E" w:rsidRDefault="00D04F50" w:rsidP="00D04F50">
      <w:pPr>
        <w:pStyle w:val="aa"/>
        <w:spacing w:line="360" w:lineRule="auto"/>
        <w:ind w:left="360"/>
        <w:jc w:val="both"/>
        <w:rPr>
          <w:rFonts w:ascii="David" w:hAnsi="David"/>
          <w:sz w:val="24"/>
          <w:szCs w:val="24"/>
        </w:rPr>
      </w:pPr>
    </w:p>
    <w:p w14:paraId="5119FB60" w14:textId="77777777" w:rsidR="00D04F50" w:rsidRPr="00C5218E" w:rsidRDefault="00D04F50" w:rsidP="00D04F50">
      <w:pPr>
        <w:pStyle w:val="aa"/>
        <w:numPr>
          <w:ilvl w:val="0"/>
          <w:numId w:val="2"/>
        </w:numPr>
        <w:spacing w:line="360" w:lineRule="auto"/>
        <w:jc w:val="both"/>
        <w:rPr>
          <w:rFonts w:ascii="David" w:hAnsi="David"/>
          <w:sz w:val="24"/>
          <w:szCs w:val="24"/>
        </w:rPr>
      </w:pPr>
      <w:r>
        <w:rPr>
          <w:rFonts w:ascii="David" w:hAnsi="David" w:cs="David" w:hint="cs"/>
          <w:sz w:val="24"/>
          <w:szCs w:val="24"/>
          <w:rtl/>
        </w:rPr>
        <w:t xml:space="preserve">הנאשם שהה במעצר ממש 7 ימים ולאחר מכן תקופה ניכרת בתנאים מגבילים, ללא הפרות וללא פתיחת תיקי מב"ד חדשים. </w:t>
      </w:r>
    </w:p>
    <w:p w14:paraId="6CCD657E" w14:textId="77777777" w:rsidR="00D04F50" w:rsidRPr="00C5218E" w:rsidRDefault="00D04F50" w:rsidP="00D04F50">
      <w:pPr>
        <w:pStyle w:val="aa"/>
        <w:rPr>
          <w:rFonts w:ascii="David" w:hAnsi="David" w:cs="David"/>
          <w:sz w:val="24"/>
          <w:szCs w:val="24"/>
          <w:rtl/>
        </w:rPr>
      </w:pPr>
    </w:p>
    <w:p w14:paraId="1EBB87E4"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נסיבותיו האישיות של הנאשם אינן פשוטות ובעניין זה אפנה לטיעוני ההגנה והאמור בתסקיר שירות המבחן, ומפאת צנעת הפרט לא אחזור על הדברים. </w:t>
      </w:r>
    </w:p>
    <w:p w14:paraId="1B58E5B6" w14:textId="77777777" w:rsidR="00D04F50" w:rsidRDefault="00D04F50" w:rsidP="00D04F50">
      <w:pPr>
        <w:pStyle w:val="aa"/>
        <w:spacing w:line="360" w:lineRule="auto"/>
        <w:ind w:left="360"/>
        <w:jc w:val="both"/>
        <w:rPr>
          <w:rFonts w:ascii="David" w:hAnsi="David" w:cs="David"/>
          <w:sz w:val="24"/>
          <w:szCs w:val="24"/>
          <w:rtl/>
        </w:rPr>
      </w:pPr>
    </w:p>
    <w:p w14:paraId="3C712D37"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הוצא מביתו בגיל 9 למסגרת חוץ ביתית, ובתוך כך התגלו קשיים במהלך שירותו הצבאי. </w:t>
      </w:r>
    </w:p>
    <w:p w14:paraId="5CE0765D"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כיום גמול מסמים ומשולב בטיפול במסגרת שירות המבחן. </w:t>
      </w:r>
    </w:p>
    <w:p w14:paraId="2A29B064" w14:textId="77777777" w:rsidR="00D04F50" w:rsidRPr="00C5218E" w:rsidRDefault="00D04F50" w:rsidP="00D04F50">
      <w:pPr>
        <w:pStyle w:val="aa"/>
        <w:spacing w:line="360" w:lineRule="auto"/>
        <w:ind w:left="360"/>
        <w:jc w:val="both"/>
        <w:rPr>
          <w:rFonts w:ascii="David" w:hAnsi="David"/>
          <w:sz w:val="24"/>
          <w:szCs w:val="24"/>
        </w:rPr>
      </w:pPr>
    </w:p>
    <w:p w14:paraId="1C60C7AB" w14:textId="77777777" w:rsidR="00D04F50" w:rsidRDefault="00D04F50" w:rsidP="00D04F50">
      <w:pPr>
        <w:pStyle w:val="aa"/>
        <w:numPr>
          <w:ilvl w:val="0"/>
          <w:numId w:val="2"/>
        </w:numPr>
        <w:spacing w:line="360" w:lineRule="auto"/>
        <w:jc w:val="both"/>
        <w:rPr>
          <w:rFonts w:ascii="David" w:hAnsi="David" w:cs="David"/>
          <w:sz w:val="24"/>
          <w:szCs w:val="24"/>
        </w:rPr>
      </w:pPr>
      <w:r w:rsidRPr="00C5218E">
        <w:rPr>
          <w:rFonts w:ascii="David" w:hAnsi="David" w:cs="David"/>
          <w:sz w:val="24"/>
          <w:szCs w:val="24"/>
          <w:rtl/>
        </w:rPr>
        <w:t>לתיק הוגש תסקיר מאת</w:t>
      </w:r>
      <w:r>
        <w:rPr>
          <w:rFonts w:ascii="David" w:hAnsi="David" w:cs="David"/>
          <w:sz w:val="24"/>
          <w:szCs w:val="24"/>
          <w:rtl/>
        </w:rPr>
        <w:t xml:space="preserve"> הגורם המקצועי הוא שירות המבחן</w:t>
      </w:r>
      <w:r>
        <w:rPr>
          <w:rFonts w:ascii="David" w:hAnsi="David" w:cs="David" w:hint="cs"/>
          <w:sz w:val="24"/>
          <w:szCs w:val="24"/>
          <w:rtl/>
        </w:rPr>
        <w:t xml:space="preserve">, הסוקר את נסיבות חייו של הנאשם, המורכבות המשפחתית בה גדל, גירושי הוריו, האלימות שחווה הנאשם, המעבר בין המסגרות, שירותו הצבאי של הנאשם וצריכת הסמים מאז היה הנאשם בגיל 18. </w:t>
      </w:r>
    </w:p>
    <w:p w14:paraId="47D8AEB5" w14:textId="77777777" w:rsidR="00D04F50" w:rsidRDefault="00D04F50" w:rsidP="00D04F50">
      <w:pPr>
        <w:pStyle w:val="aa"/>
        <w:spacing w:line="360" w:lineRule="auto"/>
        <w:ind w:left="360"/>
        <w:jc w:val="both"/>
        <w:rPr>
          <w:rFonts w:ascii="David" w:hAnsi="David" w:cs="David"/>
          <w:sz w:val="24"/>
          <w:szCs w:val="24"/>
          <w:rtl/>
        </w:rPr>
      </w:pPr>
    </w:p>
    <w:p w14:paraId="5EB32972"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שולב בטיפול במסגרת שירות המבחן, לאחר שחרורו מהמעצר ובמסגרת צו פיקוח על מעצרים. </w:t>
      </w:r>
    </w:p>
    <w:p w14:paraId="1A49F67F"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שיתף פעולה עם השירות באופן קבוע ורציף ומסר בדיקות שתן הנקיות משרידי סמים. </w:t>
      </w:r>
    </w:p>
    <w:p w14:paraId="2282382F"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שיתף במהלך הטיפול כי איבד חברים קרובים מאז תחילת המלחמה. </w:t>
      </w:r>
    </w:p>
    <w:p w14:paraId="78B238F0" w14:textId="77777777" w:rsidR="00D04F50" w:rsidRDefault="00D04F50" w:rsidP="00D04F50">
      <w:pPr>
        <w:pStyle w:val="aa"/>
        <w:spacing w:line="360" w:lineRule="auto"/>
        <w:ind w:left="360"/>
        <w:jc w:val="both"/>
        <w:rPr>
          <w:rFonts w:ascii="David" w:hAnsi="David" w:cs="David"/>
          <w:sz w:val="24"/>
          <w:szCs w:val="24"/>
          <w:rtl/>
        </w:rPr>
      </w:pPr>
      <w:r>
        <w:rPr>
          <w:rFonts w:ascii="David" w:hAnsi="David" w:cs="David" w:hint="cs"/>
          <w:sz w:val="24"/>
          <w:szCs w:val="24"/>
          <w:rtl/>
        </w:rPr>
        <w:t xml:space="preserve">שירות המבחן מתרשם כי הנאשם עורך מאמצים להימנע ממצאי סיכון ומזהה נזקקות טיפולית ביחס לנאשם ובתוך כך ממליץ השירות לבכר את הפן השיקומי ולשלב את הנאשם ביחידה להתמכרויות לצד הוצאת צו מבחן למשך שנה וצו שירות לתועלת הציבור בהיקף של 300 שעות כענישה חינוכית. </w:t>
      </w:r>
    </w:p>
    <w:p w14:paraId="683F5588" w14:textId="77777777" w:rsidR="00D04F50" w:rsidRDefault="00D04F50" w:rsidP="00D04F50">
      <w:pPr>
        <w:pStyle w:val="aa"/>
        <w:spacing w:line="360" w:lineRule="auto"/>
        <w:ind w:left="360"/>
        <w:jc w:val="both"/>
        <w:rPr>
          <w:rFonts w:ascii="David" w:hAnsi="David" w:cs="David"/>
          <w:sz w:val="24"/>
          <w:szCs w:val="24"/>
          <w:rtl/>
        </w:rPr>
      </w:pPr>
    </w:p>
    <w:p w14:paraId="60C13678" w14:textId="77777777" w:rsidR="00D04F50" w:rsidRPr="0087542D" w:rsidRDefault="00D04F50" w:rsidP="00D04F50">
      <w:pPr>
        <w:pStyle w:val="aa"/>
        <w:numPr>
          <w:ilvl w:val="0"/>
          <w:numId w:val="2"/>
        </w:numPr>
        <w:spacing w:line="360" w:lineRule="auto"/>
        <w:jc w:val="both"/>
        <w:rPr>
          <w:rFonts w:ascii="David" w:hAnsi="David" w:cs="David"/>
          <w:sz w:val="24"/>
          <w:szCs w:val="24"/>
        </w:rPr>
      </w:pPr>
      <w:r w:rsidRPr="0087542D">
        <w:rPr>
          <w:rFonts w:ascii="David" w:hAnsi="David" w:cs="David"/>
          <w:sz w:val="24"/>
          <w:szCs w:val="24"/>
          <w:rtl/>
        </w:rPr>
        <w:t xml:space="preserve">אכן, האינטרס הנוגע לשיקומו של הנאשם אינו מהווה אינטרס שלו בלבד, אלא משרת גם את החברה בכללותה. יחד עם זאת, אינטרס זה מהווה </w:t>
      </w:r>
      <w:r w:rsidRPr="0087542D">
        <w:rPr>
          <w:rFonts w:ascii="David" w:hAnsi="David" w:cs="David"/>
          <w:b/>
          <w:bCs/>
          <w:sz w:val="24"/>
          <w:szCs w:val="24"/>
          <w:rtl/>
        </w:rPr>
        <w:t>שיקול אחד</w:t>
      </w:r>
      <w:r w:rsidRPr="0087542D">
        <w:rPr>
          <w:rFonts w:ascii="David" w:hAnsi="David" w:cs="David"/>
          <w:sz w:val="24"/>
          <w:szCs w:val="24"/>
          <w:rtl/>
        </w:rPr>
        <w:t xml:space="preserve"> מבין מכלול השיקולים העומדים בפני בית המשפט בבואו לגזור את עונשו של הנאשם – ראו והשוו </w:t>
      </w:r>
      <w:hyperlink r:id="rId31" w:history="1">
        <w:r w:rsidR="00E539EF" w:rsidRPr="00E539EF">
          <w:rPr>
            <w:rFonts w:ascii="David" w:hAnsi="David" w:cs="David"/>
            <w:b/>
            <w:bCs/>
            <w:color w:val="0000FF"/>
            <w:sz w:val="24"/>
            <w:szCs w:val="24"/>
            <w:u w:val="single"/>
            <w:rtl/>
          </w:rPr>
          <w:t>רע"פ 1787/15</w:t>
        </w:r>
      </w:hyperlink>
      <w:r w:rsidRPr="0087542D">
        <w:rPr>
          <w:rFonts w:ascii="David" w:hAnsi="David" w:cs="David"/>
          <w:sz w:val="24"/>
          <w:szCs w:val="24"/>
          <w:rtl/>
        </w:rPr>
        <w:t xml:space="preserve"> </w:t>
      </w:r>
      <w:r w:rsidRPr="0087542D">
        <w:rPr>
          <w:rFonts w:ascii="David" w:hAnsi="David" w:cs="David"/>
          <w:b/>
          <w:bCs/>
          <w:sz w:val="24"/>
          <w:szCs w:val="24"/>
          <w:rtl/>
        </w:rPr>
        <w:t>עמר נ' מדינת ישראל</w:t>
      </w:r>
      <w:r w:rsidRPr="0087542D">
        <w:rPr>
          <w:rFonts w:ascii="David" w:hAnsi="David" w:cs="David"/>
          <w:sz w:val="24"/>
          <w:szCs w:val="24"/>
          <w:rtl/>
        </w:rPr>
        <w:t xml:space="preserve"> </w:t>
      </w:r>
      <w:r w:rsidRPr="0087542D">
        <w:rPr>
          <w:rFonts w:ascii="David" w:hAnsi="David" w:cs="David"/>
          <w:b/>
          <w:bCs/>
          <w:sz w:val="24"/>
          <w:szCs w:val="24"/>
          <w:rtl/>
        </w:rPr>
        <w:t>(24/03/15)</w:t>
      </w:r>
      <w:r w:rsidRPr="0087542D">
        <w:rPr>
          <w:rFonts w:ascii="David" w:hAnsi="David" w:cs="David"/>
          <w:sz w:val="24"/>
          <w:szCs w:val="24"/>
          <w:rtl/>
        </w:rPr>
        <w:t>.</w:t>
      </w:r>
    </w:p>
    <w:p w14:paraId="6F53814B" w14:textId="77777777" w:rsidR="00D04F50" w:rsidRPr="0087542D" w:rsidRDefault="00D04F50" w:rsidP="00D04F50">
      <w:pPr>
        <w:spacing w:line="360" w:lineRule="auto"/>
        <w:jc w:val="both"/>
        <w:rPr>
          <w:rFonts w:ascii="David" w:hAnsi="David"/>
          <w:rtl/>
        </w:rPr>
      </w:pPr>
    </w:p>
    <w:p w14:paraId="71940311" w14:textId="77777777" w:rsidR="00D04F50" w:rsidRDefault="00D04F50" w:rsidP="00D04F50">
      <w:pPr>
        <w:spacing w:line="360" w:lineRule="auto"/>
        <w:ind w:left="360"/>
        <w:jc w:val="both"/>
        <w:rPr>
          <w:rFonts w:ascii="David" w:hAnsi="David"/>
          <w:rtl/>
        </w:rPr>
      </w:pPr>
      <w:r w:rsidRPr="0087542D">
        <w:rPr>
          <w:rFonts w:ascii="David" w:hAnsi="David"/>
          <w:rtl/>
        </w:rPr>
        <w:t xml:space="preserve">בהינתן כך, ולאחר ששמעתי טיעוני הצדדים, לא מצאתי כי תיק זה מצדיק סטייה ממתחם העונש ההולם אליבא דסעיף </w:t>
      </w:r>
      <w:hyperlink r:id="rId32" w:history="1">
        <w:r w:rsidR="00026D48" w:rsidRPr="00026D48">
          <w:rPr>
            <w:rStyle w:val="Hyperlink"/>
            <w:rFonts w:ascii="David" w:hAnsi="David"/>
            <w:color w:val="0000FF"/>
            <w:rtl/>
          </w:rPr>
          <w:t>40ד</w:t>
        </w:r>
      </w:hyperlink>
      <w:r w:rsidRPr="0087542D">
        <w:rPr>
          <w:rFonts w:ascii="David" w:hAnsi="David"/>
          <w:rtl/>
        </w:rPr>
        <w:t xml:space="preserve"> ל</w:t>
      </w:r>
      <w:hyperlink r:id="rId33" w:history="1">
        <w:r w:rsidR="00E539EF" w:rsidRPr="00E539EF">
          <w:rPr>
            <w:rFonts w:ascii="David" w:hAnsi="David"/>
            <w:color w:val="0000FF"/>
            <w:u w:val="single"/>
            <w:rtl/>
          </w:rPr>
          <w:t>חוק העונשין</w:t>
        </w:r>
      </w:hyperlink>
      <w:r w:rsidRPr="0087542D">
        <w:rPr>
          <w:rFonts w:ascii="David" w:hAnsi="David"/>
          <w:rtl/>
        </w:rPr>
        <w:t>.</w:t>
      </w:r>
    </w:p>
    <w:p w14:paraId="5646A7DF" w14:textId="77777777" w:rsidR="00D04F50" w:rsidRDefault="00D04F50" w:rsidP="00D04F50">
      <w:pPr>
        <w:spacing w:line="360" w:lineRule="auto"/>
        <w:ind w:left="360"/>
        <w:jc w:val="both"/>
        <w:rPr>
          <w:rFonts w:ascii="David" w:hAnsi="David"/>
          <w:rtl/>
        </w:rPr>
      </w:pPr>
    </w:p>
    <w:p w14:paraId="6FA30A39" w14:textId="77777777" w:rsidR="00D04F50" w:rsidRDefault="00D04F50" w:rsidP="00D04F50">
      <w:pPr>
        <w:spacing w:line="360" w:lineRule="auto"/>
        <w:ind w:left="360"/>
        <w:jc w:val="both"/>
        <w:rPr>
          <w:rFonts w:ascii="David" w:hAnsi="David"/>
          <w:rtl/>
        </w:rPr>
      </w:pPr>
      <w:r>
        <w:rPr>
          <w:rFonts w:ascii="David" w:hAnsi="David" w:hint="cs"/>
          <w:rtl/>
        </w:rPr>
        <w:t xml:space="preserve">הנאשם אכן עבר ועובר טיפול במסגרת שירות המבחן, אך אין המדובר, עדיין, בטיפול משמעותי, כל שכן נסיבות ביצוע העבירות מושא תיקנו מלמדות על חומרה שאינה יכולה לדור עם ענישה בדמות צו של"צ. </w:t>
      </w:r>
    </w:p>
    <w:p w14:paraId="5CCC2258" w14:textId="77777777" w:rsidR="00D04F50" w:rsidRDefault="00D04F50" w:rsidP="00D04F50">
      <w:pPr>
        <w:spacing w:line="360" w:lineRule="auto"/>
        <w:ind w:left="360"/>
        <w:jc w:val="both"/>
        <w:rPr>
          <w:rFonts w:ascii="David" w:hAnsi="David"/>
          <w:rtl/>
        </w:rPr>
      </w:pPr>
    </w:p>
    <w:p w14:paraId="1E4E6AB4" w14:textId="77777777" w:rsidR="00D04F50" w:rsidRPr="00064D40" w:rsidRDefault="00D04F50" w:rsidP="00D04F50">
      <w:pPr>
        <w:spacing w:line="360" w:lineRule="auto"/>
        <w:ind w:left="360"/>
        <w:jc w:val="both"/>
        <w:rPr>
          <w:rFonts w:ascii="David" w:hAnsi="David"/>
          <w:b/>
          <w:bCs/>
          <w:rtl/>
        </w:rPr>
      </w:pPr>
      <w:r>
        <w:rPr>
          <w:rFonts w:ascii="David" w:hAnsi="David" w:hint="cs"/>
          <w:rtl/>
        </w:rPr>
        <w:t xml:space="preserve">לאחר ששמעתי ברוב קשב טיעוני הצדדים ועמדתי על כלל הטעמים הצריכים לעניין, לרבות הטיפול שעבר ועובר הנאשם, ניקיונו מסמים, יציבותו התעסוקתית כיום עת עובד במסעדה באופקים ומסייע לאמו, חיסכון בזמן שיפוטי ונטילת אחריות מלאה, מצאתי למקם את הנאשם, </w:t>
      </w:r>
      <w:r w:rsidRPr="00064D40">
        <w:rPr>
          <w:rFonts w:ascii="David" w:hAnsi="David" w:hint="cs"/>
          <w:b/>
          <w:bCs/>
          <w:rtl/>
        </w:rPr>
        <w:t xml:space="preserve"> בתחתית מתחם העונש ההולם אותו קבעתי בתיק. </w:t>
      </w:r>
    </w:p>
    <w:p w14:paraId="416041F9" w14:textId="77777777" w:rsidR="00D04F50" w:rsidRDefault="00D04F50" w:rsidP="00D04F50">
      <w:pPr>
        <w:spacing w:line="360" w:lineRule="auto"/>
        <w:ind w:left="360"/>
        <w:jc w:val="both"/>
        <w:rPr>
          <w:rFonts w:ascii="David" w:hAnsi="David"/>
          <w:rtl/>
        </w:rPr>
      </w:pPr>
    </w:p>
    <w:p w14:paraId="24CFCB58" w14:textId="77777777" w:rsidR="00D04F50" w:rsidRDefault="00D04F50" w:rsidP="00D04F50">
      <w:pPr>
        <w:spacing w:line="360" w:lineRule="auto"/>
        <w:ind w:left="360"/>
        <w:jc w:val="both"/>
        <w:rPr>
          <w:rFonts w:ascii="David" w:hAnsi="David"/>
          <w:rtl/>
        </w:rPr>
      </w:pPr>
      <w:r>
        <w:rPr>
          <w:rFonts w:ascii="David" w:hAnsi="David" w:hint="cs"/>
          <w:rtl/>
        </w:rPr>
        <w:t xml:space="preserve">בין יתר השיקולים שלקחתי בחשבון ניצב השיקול של מצב הכליאה בישראל כיום, בתי הסוהר העמוסים לעייפה והצורך במקומות כליאה לצורכי ביטחון והמאמץ המלחמתי. </w:t>
      </w:r>
    </w:p>
    <w:p w14:paraId="52B8B94C" w14:textId="77777777" w:rsidR="00D04F50" w:rsidRDefault="00D04F50" w:rsidP="00D04F50">
      <w:pPr>
        <w:spacing w:line="360" w:lineRule="auto"/>
        <w:ind w:left="360"/>
        <w:jc w:val="both"/>
        <w:rPr>
          <w:rFonts w:ascii="David" w:hAnsi="David"/>
          <w:rtl/>
        </w:rPr>
      </w:pPr>
      <w:r>
        <w:rPr>
          <w:rFonts w:ascii="David" w:hAnsi="David" w:hint="cs"/>
          <w:rtl/>
        </w:rPr>
        <w:t xml:space="preserve">סבורני, לאחר ששקלתי את כלל הנימוקים, כי ניתן להסתפק בתיקנו בהטלת מאסר לריצוי בדרך של עבודות שירות ברף העליון לצד ענישה נלווית. </w:t>
      </w:r>
    </w:p>
    <w:p w14:paraId="13A979A5" w14:textId="77777777" w:rsidR="00D04F50" w:rsidRPr="0087542D" w:rsidRDefault="00D04F50" w:rsidP="00D04F50">
      <w:pPr>
        <w:spacing w:line="360" w:lineRule="auto"/>
        <w:ind w:left="360"/>
        <w:jc w:val="both"/>
        <w:rPr>
          <w:rFonts w:ascii="David" w:hAnsi="David"/>
          <w:rtl/>
        </w:rPr>
      </w:pPr>
    </w:p>
    <w:p w14:paraId="67AC6B08" w14:textId="77777777" w:rsidR="00D04F50" w:rsidRPr="00064D40" w:rsidRDefault="00D04F50" w:rsidP="00D04F50">
      <w:pPr>
        <w:pStyle w:val="aa"/>
        <w:numPr>
          <w:ilvl w:val="0"/>
          <w:numId w:val="2"/>
        </w:numPr>
        <w:spacing w:line="360" w:lineRule="auto"/>
        <w:jc w:val="both"/>
        <w:rPr>
          <w:rFonts w:ascii="David" w:hAnsi="David" w:cs="David"/>
          <w:sz w:val="24"/>
          <w:szCs w:val="24"/>
          <w:rtl/>
        </w:rPr>
      </w:pPr>
      <w:r w:rsidRPr="00C5218E">
        <w:rPr>
          <w:rFonts w:ascii="David" w:hAnsi="David" w:cs="David"/>
          <w:sz w:val="24"/>
          <w:szCs w:val="24"/>
          <w:rtl/>
        </w:rPr>
        <w:t xml:space="preserve"> </w:t>
      </w:r>
      <w:r w:rsidRPr="00064D40">
        <w:rPr>
          <w:rFonts w:ascii="David" w:hAnsi="David" w:cs="David"/>
          <w:b/>
          <w:bCs/>
          <w:rtl/>
        </w:rPr>
        <w:t>אשר על כן</w:t>
      </w:r>
      <w:r w:rsidRPr="00064D40">
        <w:rPr>
          <w:rFonts w:ascii="David" w:hAnsi="David" w:cs="David" w:hint="cs"/>
          <w:b/>
          <w:bCs/>
          <w:rtl/>
        </w:rPr>
        <w:t>,</w:t>
      </w:r>
      <w:r w:rsidRPr="00064D40">
        <w:rPr>
          <w:rFonts w:ascii="David" w:hAnsi="David" w:cs="David"/>
          <w:b/>
          <w:bCs/>
          <w:rtl/>
        </w:rPr>
        <w:t xml:space="preserve"> אני גוזר על הנאשם את העונשים הבאים:</w:t>
      </w:r>
    </w:p>
    <w:p w14:paraId="5C9305AB" w14:textId="77777777" w:rsidR="00D04F50" w:rsidRPr="00A857DB" w:rsidRDefault="00D04F50" w:rsidP="00D04F50">
      <w:pPr>
        <w:spacing w:line="360" w:lineRule="auto"/>
        <w:jc w:val="both"/>
        <w:rPr>
          <w:rFonts w:ascii="David" w:hAnsi="David"/>
        </w:rPr>
      </w:pPr>
    </w:p>
    <w:p w14:paraId="0F4D6351" w14:textId="77777777" w:rsidR="00D04F50" w:rsidRPr="00A857DB" w:rsidRDefault="00D04F50" w:rsidP="00D04F50">
      <w:pPr>
        <w:pStyle w:val="aa"/>
        <w:numPr>
          <w:ilvl w:val="0"/>
          <w:numId w:val="1"/>
        </w:numPr>
        <w:spacing w:line="360" w:lineRule="auto"/>
        <w:ind w:left="992" w:hanging="425"/>
        <w:contextualSpacing/>
        <w:jc w:val="both"/>
        <w:rPr>
          <w:rFonts w:ascii="David" w:hAnsi="David" w:cs="David"/>
          <w:sz w:val="24"/>
          <w:szCs w:val="24"/>
          <w:rtl/>
        </w:rPr>
      </w:pPr>
      <w:r>
        <w:rPr>
          <w:rFonts w:ascii="David" w:hAnsi="David" w:cs="David" w:hint="cs"/>
          <w:sz w:val="24"/>
          <w:szCs w:val="24"/>
          <w:rtl/>
        </w:rPr>
        <w:t xml:space="preserve">9 </w:t>
      </w:r>
      <w:r w:rsidRPr="00A857DB">
        <w:rPr>
          <w:rFonts w:ascii="David" w:hAnsi="David" w:cs="David"/>
          <w:sz w:val="24"/>
          <w:szCs w:val="24"/>
          <w:rtl/>
        </w:rPr>
        <w:t>חודשי מאסר</w:t>
      </w:r>
      <w:r>
        <w:rPr>
          <w:rFonts w:ascii="David" w:hAnsi="David" w:cs="David" w:hint="cs"/>
          <w:sz w:val="24"/>
          <w:szCs w:val="24"/>
          <w:rtl/>
        </w:rPr>
        <w:t>, ללא ניכוי ימי המעצר</w:t>
      </w:r>
      <w:r w:rsidRPr="00A857DB">
        <w:rPr>
          <w:rFonts w:ascii="David" w:hAnsi="David" w:cs="David"/>
          <w:sz w:val="24"/>
          <w:szCs w:val="24"/>
          <w:rtl/>
        </w:rPr>
        <w:t xml:space="preserve">, </w:t>
      </w:r>
      <w:r>
        <w:rPr>
          <w:rFonts w:ascii="David" w:hAnsi="David" w:cs="David" w:hint="cs"/>
          <w:sz w:val="24"/>
          <w:szCs w:val="24"/>
          <w:rtl/>
        </w:rPr>
        <w:t>א</w:t>
      </w:r>
      <w:r w:rsidRPr="00A857DB">
        <w:rPr>
          <w:rFonts w:ascii="David" w:hAnsi="David" w:cs="David"/>
          <w:sz w:val="24"/>
          <w:szCs w:val="24"/>
          <w:rtl/>
        </w:rPr>
        <w:t>ש</w:t>
      </w:r>
      <w:r>
        <w:rPr>
          <w:rFonts w:ascii="David" w:hAnsi="David" w:cs="David" w:hint="cs"/>
          <w:sz w:val="24"/>
          <w:szCs w:val="24"/>
          <w:rtl/>
        </w:rPr>
        <w:t xml:space="preserve">ר </w:t>
      </w:r>
      <w:r w:rsidRPr="00A857DB">
        <w:rPr>
          <w:rFonts w:ascii="David" w:hAnsi="David" w:cs="David"/>
          <w:sz w:val="24"/>
          <w:szCs w:val="24"/>
          <w:rtl/>
        </w:rPr>
        <w:t>ירוצו בדרך של עבודות שירות</w:t>
      </w:r>
      <w:r>
        <w:rPr>
          <w:rFonts w:ascii="David" w:hAnsi="David" w:cs="David" w:hint="cs"/>
          <w:sz w:val="24"/>
          <w:szCs w:val="24"/>
          <w:rtl/>
        </w:rPr>
        <w:t>,</w:t>
      </w:r>
      <w:r w:rsidRPr="00A857DB">
        <w:rPr>
          <w:rFonts w:ascii="David" w:hAnsi="David" w:cs="David"/>
          <w:sz w:val="24"/>
          <w:szCs w:val="24"/>
          <w:rtl/>
        </w:rPr>
        <w:t xml:space="preserve"> בהתאם לחוות דעת הממונה שהוגשה לתיק.</w:t>
      </w:r>
    </w:p>
    <w:p w14:paraId="26E7C703" w14:textId="77777777" w:rsidR="00D04F50" w:rsidRDefault="00D04F50" w:rsidP="00D04F50">
      <w:pPr>
        <w:spacing w:line="360" w:lineRule="auto"/>
        <w:ind w:left="992"/>
        <w:jc w:val="both"/>
        <w:rPr>
          <w:rFonts w:ascii="David" w:hAnsi="David"/>
          <w:b/>
          <w:bCs/>
          <w:rtl/>
        </w:rPr>
      </w:pPr>
    </w:p>
    <w:p w14:paraId="24CA747D" w14:textId="77777777" w:rsidR="00D04F50" w:rsidRPr="00A857DB" w:rsidRDefault="00D04F50" w:rsidP="00D04F50">
      <w:pPr>
        <w:spacing w:line="360" w:lineRule="auto"/>
        <w:ind w:left="992"/>
        <w:jc w:val="both"/>
        <w:rPr>
          <w:rFonts w:ascii="David" w:hAnsi="David"/>
          <w:rtl/>
        </w:rPr>
      </w:pPr>
      <w:r w:rsidRPr="00A857DB">
        <w:rPr>
          <w:rFonts w:ascii="David" w:hAnsi="David"/>
          <w:b/>
          <w:bCs/>
          <w:rtl/>
        </w:rPr>
        <w:t>על הנאשם להתייצב לתחילת ריצוי עבודות השירות ביום</w:t>
      </w:r>
      <w:r w:rsidR="00E539EF">
        <w:rPr>
          <w:rFonts w:ascii="David" w:hAnsi="David"/>
          <w:b/>
          <w:bCs/>
          <w:rtl/>
        </w:rPr>
        <w:t xml:space="preserve"> </w:t>
      </w:r>
      <w:r>
        <w:rPr>
          <w:rFonts w:ascii="David" w:hAnsi="David" w:hint="cs"/>
          <w:b/>
          <w:bCs/>
          <w:rtl/>
        </w:rPr>
        <w:t>22.12.2024</w:t>
      </w:r>
      <w:r w:rsidRPr="00A857DB">
        <w:rPr>
          <w:rFonts w:ascii="David" w:hAnsi="David"/>
          <w:b/>
          <w:bCs/>
          <w:rtl/>
        </w:rPr>
        <w:t xml:space="preserve"> עד </w:t>
      </w:r>
      <w:r>
        <w:rPr>
          <w:rFonts w:ascii="David" w:hAnsi="David" w:hint="cs"/>
          <w:b/>
          <w:bCs/>
          <w:rtl/>
        </w:rPr>
        <w:t>ה</w:t>
      </w:r>
      <w:r w:rsidRPr="00A857DB">
        <w:rPr>
          <w:rFonts w:ascii="David" w:hAnsi="David"/>
          <w:b/>
          <w:bCs/>
          <w:rtl/>
        </w:rPr>
        <w:t>שעה 08:30</w:t>
      </w:r>
      <w:r>
        <w:rPr>
          <w:rFonts w:ascii="David" w:hAnsi="David" w:hint="cs"/>
          <w:rtl/>
        </w:rPr>
        <w:t>,</w:t>
      </w:r>
      <w:r w:rsidRPr="00A857DB">
        <w:rPr>
          <w:rFonts w:ascii="David" w:hAnsi="David"/>
          <w:rtl/>
        </w:rPr>
        <w:t xml:space="preserve"> </w:t>
      </w:r>
      <w:r>
        <w:rPr>
          <w:rFonts w:ascii="David" w:hAnsi="David" w:hint="cs"/>
          <w:rtl/>
        </w:rPr>
        <w:t xml:space="preserve">במפקדת שב"ס, שלוחת הדרום </w:t>
      </w:r>
      <w:r>
        <w:rPr>
          <w:rFonts w:ascii="David" w:hAnsi="David"/>
          <w:rtl/>
        </w:rPr>
        <w:t>–</w:t>
      </w:r>
      <w:r>
        <w:rPr>
          <w:rFonts w:ascii="David" w:hAnsi="David" w:hint="cs"/>
          <w:rtl/>
        </w:rPr>
        <w:t xml:space="preserve"> בסמוך לכלא באר שבע, </w:t>
      </w:r>
      <w:r w:rsidRPr="00A857DB">
        <w:rPr>
          <w:rFonts w:ascii="David" w:hAnsi="David"/>
          <w:rtl/>
        </w:rPr>
        <w:t>כשהוא מצויד בתעודת זהות.</w:t>
      </w:r>
    </w:p>
    <w:p w14:paraId="05E3B44F" w14:textId="77777777" w:rsidR="00D04F50" w:rsidRDefault="00D04F50" w:rsidP="00D04F50">
      <w:pPr>
        <w:spacing w:line="360" w:lineRule="auto"/>
        <w:ind w:left="992"/>
        <w:jc w:val="both"/>
        <w:rPr>
          <w:rFonts w:ascii="David" w:hAnsi="David"/>
          <w:b/>
          <w:bCs/>
          <w:rtl/>
        </w:rPr>
      </w:pPr>
    </w:p>
    <w:p w14:paraId="0B88E676" w14:textId="77777777" w:rsidR="00D04F50" w:rsidRPr="00A857DB" w:rsidRDefault="00D04F50" w:rsidP="00D04F50">
      <w:pPr>
        <w:spacing w:line="360" w:lineRule="auto"/>
        <w:ind w:left="992"/>
        <w:jc w:val="both"/>
        <w:rPr>
          <w:rFonts w:ascii="David" w:hAnsi="David"/>
          <w:b/>
          <w:bCs/>
          <w:rtl/>
        </w:rPr>
      </w:pPr>
      <w:r w:rsidRPr="00A857DB">
        <w:rPr>
          <w:rFonts w:ascii="David" w:hAnsi="David"/>
          <w:b/>
          <w:bCs/>
          <w:rtl/>
        </w:rPr>
        <w:t>אני מזהיר את הנאשם, כי אי מילוי עבודות השירות עלול להוביל להפסקתן וריצוי יתרת התקופה מאחורי סורג ובריח.</w:t>
      </w:r>
    </w:p>
    <w:p w14:paraId="1DFDF358" w14:textId="77777777" w:rsidR="00D04F50" w:rsidRPr="00A857DB" w:rsidRDefault="00D04F50" w:rsidP="00D04F50">
      <w:pPr>
        <w:pStyle w:val="aa"/>
        <w:spacing w:line="360" w:lineRule="auto"/>
        <w:ind w:left="992" w:hanging="425"/>
        <w:jc w:val="both"/>
        <w:rPr>
          <w:rFonts w:ascii="David" w:hAnsi="David" w:cs="David"/>
          <w:sz w:val="24"/>
          <w:szCs w:val="24"/>
          <w:rtl/>
        </w:rPr>
      </w:pPr>
    </w:p>
    <w:p w14:paraId="326D2C78" w14:textId="77777777" w:rsidR="00D04F50" w:rsidRPr="00A857DB" w:rsidRDefault="00D04F50" w:rsidP="00D04F50">
      <w:pPr>
        <w:pStyle w:val="aa"/>
        <w:numPr>
          <w:ilvl w:val="0"/>
          <w:numId w:val="1"/>
        </w:numPr>
        <w:spacing w:line="360" w:lineRule="auto"/>
        <w:ind w:left="992" w:hanging="425"/>
        <w:contextualSpacing/>
        <w:jc w:val="both"/>
        <w:rPr>
          <w:rFonts w:ascii="David" w:hAnsi="David" w:cs="David"/>
          <w:sz w:val="24"/>
          <w:szCs w:val="24"/>
        </w:rPr>
      </w:pPr>
      <w:r w:rsidRPr="00A857DB">
        <w:rPr>
          <w:rFonts w:ascii="David" w:hAnsi="David" w:cs="David"/>
          <w:sz w:val="24"/>
          <w:szCs w:val="24"/>
          <w:rtl/>
        </w:rPr>
        <w:t xml:space="preserve">מאסר על תנאי בן 6 חודשים למשך 3 שנים, והתנאי שהנאשם לא יעבור בתקופה זו כל עבירה </w:t>
      </w:r>
      <w:r>
        <w:rPr>
          <w:rFonts w:ascii="David" w:hAnsi="David" w:cs="David" w:hint="cs"/>
          <w:sz w:val="24"/>
          <w:szCs w:val="24"/>
          <w:rtl/>
        </w:rPr>
        <w:t xml:space="preserve">על פקודת הסמים מסוג פשע. </w:t>
      </w:r>
    </w:p>
    <w:p w14:paraId="214FC599" w14:textId="77777777" w:rsidR="00D04F50" w:rsidRPr="00A857DB" w:rsidRDefault="00D04F50" w:rsidP="00D04F50">
      <w:pPr>
        <w:pStyle w:val="aa"/>
        <w:spacing w:line="360" w:lineRule="auto"/>
        <w:ind w:left="992" w:hanging="425"/>
        <w:jc w:val="both"/>
        <w:rPr>
          <w:rFonts w:ascii="David" w:hAnsi="David" w:cs="David"/>
          <w:sz w:val="24"/>
          <w:szCs w:val="24"/>
        </w:rPr>
      </w:pPr>
    </w:p>
    <w:p w14:paraId="0C5C356F" w14:textId="77777777" w:rsidR="00D04F50" w:rsidRPr="00AC7FCE" w:rsidRDefault="00D04F50" w:rsidP="00D04F50">
      <w:pPr>
        <w:pStyle w:val="aa"/>
        <w:numPr>
          <w:ilvl w:val="0"/>
          <w:numId w:val="1"/>
        </w:numPr>
        <w:spacing w:line="360" w:lineRule="auto"/>
        <w:ind w:left="992" w:hanging="425"/>
        <w:contextualSpacing/>
        <w:jc w:val="both"/>
        <w:rPr>
          <w:rFonts w:ascii="David" w:hAnsi="David" w:cs="David"/>
          <w:sz w:val="24"/>
          <w:szCs w:val="24"/>
          <w:rtl/>
        </w:rPr>
      </w:pPr>
      <w:r w:rsidRPr="00AC7FCE">
        <w:rPr>
          <w:rFonts w:ascii="David" w:hAnsi="David" w:cs="David"/>
          <w:sz w:val="24"/>
          <w:szCs w:val="24"/>
          <w:rtl/>
        </w:rPr>
        <w:t xml:space="preserve">קנס כספי בסך </w:t>
      </w:r>
      <w:r>
        <w:rPr>
          <w:rFonts w:ascii="David" w:hAnsi="David" w:cs="David" w:hint="cs"/>
          <w:sz w:val="24"/>
          <w:szCs w:val="24"/>
          <w:rtl/>
        </w:rPr>
        <w:t xml:space="preserve">של 5,000 ₪ </w:t>
      </w:r>
      <w:r w:rsidRPr="00AC7FCE">
        <w:rPr>
          <w:rFonts w:ascii="David" w:hAnsi="David" w:cs="David"/>
          <w:sz w:val="24"/>
          <w:szCs w:val="24"/>
          <w:rtl/>
        </w:rPr>
        <w:t xml:space="preserve">או </w:t>
      </w:r>
      <w:r>
        <w:rPr>
          <w:rFonts w:ascii="David" w:hAnsi="David" w:cs="David" w:hint="cs"/>
          <w:sz w:val="24"/>
          <w:szCs w:val="24"/>
          <w:rtl/>
        </w:rPr>
        <w:t>50</w:t>
      </w:r>
      <w:r w:rsidRPr="00AC7FCE">
        <w:rPr>
          <w:rFonts w:ascii="David" w:hAnsi="David" w:cs="David"/>
          <w:sz w:val="24"/>
          <w:szCs w:val="24"/>
          <w:rtl/>
        </w:rPr>
        <w:t xml:space="preserve"> ימי מאסר תמורתם. </w:t>
      </w:r>
      <w:r w:rsidRPr="00AC7FCE">
        <w:rPr>
          <w:rFonts w:ascii="David" w:hAnsi="David" w:cs="David"/>
          <w:sz w:val="24"/>
          <w:szCs w:val="24"/>
          <w:u w:val="single"/>
          <w:rtl/>
        </w:rPr>
        <w:t xml:space="preserve">הקנס ישולם עד ולא יאוחר מיום </w:t>
      </w:r>
      <w:r>
        <w:rPr>
          <w:rFonts w:ascii="David" w:hAnsi="David" w:cs="David" w:hint="cs"/>
          <w:sz w:val="24"/>
          <w:szCs w:val="24"/>
          <w:u w:val="single"/>
          <w:rtl/>
        </w:rPr>
        <w:t>08.01.2025</w:t>
      </w:r>
      <w:r w:rsidRPr="00AC7FCE">
        <w:rPr>
          <w:rFonts w:ascii="David" w:hAnsi="David" w:cs="David" w:hint="cs"/>
          <w:sz w:val="24"/>
          <w:szCs w:val="24"/>
          <w:rtl/>
        </w:rPr>
        <w:t>.</w:t>
      </w:r>
    </w:p>
    <w:p w14:paraId="487A954D" w14:textId="77777777" w:rsidR="00D04F50" w:rsidRPr="008E1A01" w:rsidRDefault="00D04F50" w:rsidP="00D04F50">
      <w:pPr>
        <w:pStyle w:val="a9"/>
        <w:spacing w:line="360" w:lineRule="auto"/>
        <w:ind w:left="992" w:hanging="425"/>
        <w:jc w:val="both"/>
        <w:rPr>
          <w:rFonts w:ascii="David" w:hAnsi="David" w:cs="David"/>
          <w:sz w:val="22"/>
          <w:szCs w:val="22"/>
          <w:rtl/>
        </w:rPr>
      </w:pPr>
    </w:p>
    <w:p w14:paraId="21BE8ABC" w14:textId="77777777" w:rsidR="00D04F50" w:rsidRDefault="00D04F50" w:rsidP="00D04F50">
      <w:pPr>
        <w:pStyle w:val="a9"/>
        <w:spacing w:line="360" w:lineRule="auto"/>
        <w:ind w:left="992"/>
        <w:jc w:val="both"/>
        <w:rPr>
          <w:rFonts w:ascii="David" w:hAnsi="David" w:cs="David"/>
          <w:rtl/>
        </w:rPr>
      </w:pPr>
      <w:r w:rsidRPr="00A857DB">
        <w:rPr>
          <w:rFonts w:ascii="David" w:hAnsi="David" w:cs="David"/>
          <w:rtl/>
        </w:rPr>
        <w:t>ניתן לשלם את הקנס כעבור שלושה ימים מיום מתן גזר הדין לחשבון המרכז לגביית קנסות ברשות האכיפה והגבייה</w:t>
      </w:r>
      <w:r>
        <w:rPr>
          <w:rFonts w:ascii="David" w:hAnsi="David" w:cs="David" w:hint="cs"/>
          <w:rtl/>
        </w:rPr>
        <w:t>,</w:t>
      </w:r>
      <w:r w:rsidRPr="00A857DB">
        <w:rPr>
          <w:rFonts w:ascii="David" w:hAnsi="David" w:cs="David"/>
          <w:rtl/>
        </w:rPr>
        <w:t xml:space="preserve"> באחת מהדרכים הבא</w:t>
      </w:r>
      <w:r>
        <w:rPr>
          <w:rFonts w:ascii="David" w:hAnsi="David" w:cs="David" w:hint="cs"/>
          <w:rtl/>
        </w:rPr>
        <w:t>ות</w:t>
      </w:r>
      <w:r w:rsidRPr="00A857DB">
        <w:rPr>
          <w:rFonts w:ascii="David" w:hAnsi="David" w:cs="David"/>
          <w:rtl/>
        </w:rPr>
        <w:t>:</w:t>
      </w:r>
      <w:r>
        <w:rPr>
          <w:rFonts w:ascii="David" w:hAnsi="David" w:cs="David" w:hint="cs"/>
          <w:rtl/>
        </w:rPr>
        <w:t xml:space="preserve"> </w:t>
      </w:r>
    </w:p>
    <w:p w14:paraId="25DD0705" w14:textId="77777777" w:rsidR="00D04F50" w:rsidRPr="00AC7FCE" w:rsidRDefault="00D04F50" w:rsidP="00D04F50">
      <w:pPr>
        <w:pStyle w:val="a9"/>
        <w:spacing w:line="360" w:lineRule="auto"/>
        <w:ind w:left="992"/>
        <w:jc w:val="both"/>
        <w:rPr>
          <w:rFonts w:ascii="David" w:hAnsi="David" w:cs="David"/>
          <w:rtl/>
        </w:rPr>
      </w:pPr>
      <w:r w:rsidRPr="00AC7FCE">
        <w:rPr>
          <w:rFonts w:ascii="David" w:hAnsi="David" w:cs="David"/>
          <w:rtl/>
        </w:rPr>
        <w:t>בכרטיס אשראי</w:t>
      </w:r>
      <w:r>
        <w:rPr>
          <w:rFonts w:ascii="David" w:hAnsi="David" w:cs="David" w:hint="cs"/>
          <w:rtl/>
        </w:rPr>
        <w:t>;</w:t>
      </w:r>
      <w:r w:rsidRPr="00AC7FCE">
        <w:rPr>
          <w:rFonts w:ascii="David" w:hAnsi="David" w:cs="David"/>
          <w:rtl/>
        </w:rPr>
        <w:t xml:space="preserve"> באתר המקוון </w:t>
      </w:r>
      <w:hyperlink r:id="rId34" w:history="1">
        <w:r w:rsidRPr="00AC7FCE">
          <w:rPr>
            <w:rStyle w:val="Hyperlink"/>
            <w:rFonts w:ascii="David" w:hAnsi="David" w:cs="David"/>
          </w:rPr>
          <w:t>www.eca.gov.il</w:t>
        </w:r>
      </w:hyperlink>
      <w:r>
        <w:rPr>
          <w:rFonts w:ascii="David" w:hAnsi="David" w:cs="David" w:hint="cs"/>
          <w:rtl/>
        </w:rPr>
        <w:t>;</w:t>
      </w:r>
      <w:r w:rsidRPr="00AC7FCE">
        <w:rPr>
          <w:rFonts w:ascii="David" w:hAnsi="David" w:cs="David"/>
          <w:rtl/>
        </w:rPr>
        <w:t xml:space="preserve"> במזומן בכל סניפי בנק הדואר</w:t>
      </w:r>
      <w:r>
        <w:rPr>
          <w:rFonts w:ascii="David" w:hAnsi="David" w:cs="David" w:hint="cs"/>
          <w:rtl/>
        </w:rPr>
        <w:t>,</w:t>
      </w:r>
      <w:r w:rsidRPr="00AC7FCE">
        <w:rPr>
          <w:rFonts w:ascii="David" w:hAnsi="David" w:cs="David"/>
          <w:rtl/>
        </w:rPr>
        <w:t xml:space="preserve"> או באמצעות מוקד השירות הטלפוני בטלפון 073-2055000.</w:t>
      </w:r>
    </w:p>
    <w:p w14:paraId="2B63118D" w14:textId="77777777" w:rsidR="00D04F50" w:rsidRPr="00A857DB" w:rsidRDefault="00D04F50" w:rsidP="00D04F50">
      <w:pPr>
        <w:pStyle w:val="aa"/>
        <w:spacing w:line="360" w:lineRule="auto"/>
        <w:ind w:left="992" w:hanging="425"/>
        <w:jc w:val="both"/>
        <w:rPr>
          <w:rFonts w:ascii="David" w:hAnsi="David" w:cs="David"/>
          <w:sz w:val="24"/>
          <w:szCs w:val="24"/>
        </w:rPr>
      </w:pPr>
    </w:p>
    <w:p w14:paraId="12A513AF" w14:textId="77777777" w:rsidR="00D04F50" w:rsidRDefault="00D04F50" w:rsidP="00D04F50">
      <w:pPr>
        <w:pStyle w:val="aa"/>
        <w:numPr>
          <w:ilvl w:val="0"/>
          <w:numId w:val="1"/>
        </w:numPr>
        <w:spacing w:line="360" w:lineRule="auto"/>
        <w:ind w:left="992" w:hanging="425"/>
        <w:contextualSpacing/>
        <w:jc w:val="both"/>
        <w:rPr>
          <w:rFonts w:ascii="David" w:hAnsi="David" w:cs="David"/>
          <w:sz w:val="24"/>
          <w:szCs w:val="24"/>
        </w:rPr>
      </w:pPr>
      <w:r w:rsidRPr="00A857DB">
        <w:rPr>
          <w:rFonts w:ascii="David" w:hAnsi="David" w:cs="David"/>
          <w:sz w:val="24"/>
          <w:szCs w:val="24"/>
          <w:rtl/>
        </w:rPr>
        <w:t xml:space="preserve">אני </w:t>
      </w:r>
      <w:r>
        <w:rPr>
          <w:rFonts w:ascii="David" w:hAnsi="David" w:cs="David" w:hint="cs"/>
          <w:sz w:val="24"/>
          <w:szCs w:val="24"/>
          <w:rtl/>
        </w:rPr>
        <w:t xml:space="preserve">מכריז על הנאשם סוחר סמים, בהתאם לסמכותי </w:t>
      </w:r>
      <w:hyperlink r:id="rId35" w:history="1">
        <w:r w:rsidR="00026D48" w:rsidRPr="00026D48">
          <w:rPr>
            <w:rStyle w:val="Hyperlink"/>
            <w:rFonts w:ascii="David" w:hAnsi="David" w:cs="David" w:hint="eastAsia"/>
            <w:color w:val="0000FF"/>
            <w:sz w:val="24"/>
            <w:szCs w:val="24"/>
            <w:rtl/>
          </w:rPr>
          <w:t>שבסעיף</w:t>
        </w:r>
        <w:r w:rsidR="00026D48" w:rsidRPr="00026D48">
          <w:rPr>
            <w:rStyle w:val="Hyperlink"/>
            <w:rFonts w:ascii="David" w:hAnsi="David" w:cs="David"/>
            <w:color w:val="0000FF"/>
            <w:sz w:val="24"/>
            <w:szCs w:val="24"/>
            <w:rtl/>
          </w:rPr>
          <w:t xml:space="preserve"> 36א</w:t>
        </w:r>
      </w:hyperlink>
      <w:r>
        <w:rPr>
          <w:rFonts w:ascii="David" w:hAnsi="David" w:cs="David" w:hint="cs"/>
          <w:sz w:val="24"/>
          <w:szCs w:val="24"/>
          <w:rtl/>
        </w:rPr>
        <w:t xml:space="preserve"> לפקודת הסמים ובתוך כך מורה על חילוט כל ציוד המעבדה לטובת קרן החילוט שלפי פקודת הסמים. </w:t>
      </w:r>
    </w:p>
    <w:p w14:paraId="61F0E2A9" w14:textId="77777777" w:rsidR="00D04F50" w:rsidRDefault="00D04F50" w:rsidP="00D04F50">
      <w:pPr>
        <w:pStyle w:val="aa"/>
        <w:spacing w:line="360" w:lineRule="auto"/>
        <w:ind w:left="992" w:hanging="425"/>
        <w:contextualSpacing/>
        <w:jc w:val="both"/>
        <w:rPr>
          <w:rFonts w:ascii="David" w:hAnsi="David" w:cs="David"/>
          <w:sz w:val="24"/>
          <w:szCs w:val="24"/>
        </w:rPr>
      </w:pPr>
    </w:p>
    <w:p w14:paraId="71344F2C" w14:textId="77777777" w:rsidR="00D04F50" w:rsidRPr="00A857DB" w:rsidRDefault="00D04F50" w:rsidP="00D04F50">
      <w:pPr>
        <w:pStyle w:val="aa"/>
        <w:numPr>
          <w:ilvl w:val="0"/>
          <w:numId w:val="1"/>
        </w:numPr>
        <w:spacing w:line="360" w:lineRule="auto"/>
        <w:ind w:left="992" w:hanging="425"/>
        <w:contextualSpacing/>
        <w:jc w:val="both"/>
        <w:rPr>
          <w:rFonts w:ascii="David" w:hAnsi="David" w:cs="David"/>
          <w:sz w:val="24"/>
          <w:szCs w:val="24"/>
          <w:rtl/>
        </w:rPr>
      </w:pPr>
      <w:r w:rsidRPr="00A857DB">
        <w:rPr>
          <w:rFonts w:ascii="David" w:hAnsi="David" w:cs="David"/>
          <w:sz w:val="24"/>
          <w:szCs w:val="24"/>
          <w:rtl/>
        </w:rPr>
        <w:t>צו מבחן למשך שנה מהיום, בהתאם לתסקירו של שירות המבחן.</w:t>
      </w:r>
    </w:p>
    <w:p w14:paraId="7ECE4CC2" w14:textId="77777777" w:rsidR="00D04F50" w:rsidRPr="00A857DB" w:rsidRDefault="00D04F50" w:rsidP="00D04F50">
      <w:pPr>
        <w:pStyle w:val="aa"/>
        <w:spacing w:line="360" w:lineRule="auto"/>
        <w:ind w:left="992" w:hanging="425"/>
        <w:jc w:val="both"/>
        <w:rPr>
          <w:rFonts w:ascii="David" w:hAnsi="David" w:cs="David"/>
          <w:sz w:val="24"/>
          <w:szCs w:val="24"/>
        </w:rPr>
      </w:pPr>
    </w:p>
    <w:p w14:paraId="4B639F65" w14:textId="77777777" w:rsidR="00D04F50" w:rsidRPr="00A857DB" w:rsidRDefault="00D04F50" w:rsidP="00D04F50">
      <w:pPr>
        <w:spacing w:line="360" w:lineRule="auto"/>
        <w:ind w:left="992"/>
        <w:jc w:val="both"/>
        <w:rPr>
          <w:rFonts w:ascii="David" w:hAnsi="David"/>
          <w:b/>
          <w:bCs/>
        </w:rPr>
      </w:pPr>
      <w:r w:rsidRPr="00A857DB">
        <w:rPr>
          <w:rFonts w:ascii="David" w:hAnsi="David"/>
          <w:b/>
          <w:bCs/>
          <w:rtl/>
        </w:rPr>
        <w:t xml:space="preserve">אני מזהיר את הנאשם, כי אי עמידה בצו המבחן עלול להוביל להפקעתו, חזרתו </w:t>
      </w:r>
      <w:r>
        <w:rPr>
          <w:rFonts w:ascii="David" w:hAnsi="David" w:hint="cs"/>
          <w:b/>
          <w:bCs/>
          <w:rtl/>
        </w:rPr>
        <w:t xml:space="preserve">של הנאשם </w:t>
      </w:r>
      <w:r w:rsidRPr="00A857DB">
        <w:rPr>
          <w:rFonts w:ascii="David" w:hAnsi="David"/>
          <w:b/>
          <w:bCs/>
          <w:rtl/>
        </w:rPr>
        <w:t>לאולם בית המשפט וגזירת ענישה חלופית ונוספת.</w:t>
      </w:r>
    </w:p>
    <w:p w14:paraId="47E6B557" w14:textId="77777777" w:rsidR="00D04F50" w:rsidRPr="00A857DB" w:rsidRDefault="00D04F50" w:rsidP="00D04F50">
      <w:pPr>
        <w:pStyle w:val="aa"/>
        <w:spacing w:line="360" w:lineRule="auto"/>
        <w:ind w:left="992" w:hanging="425"/>
        <w:jc w:val="both"/>
        <w:rPr>
          <w:rFonts w:ascii="David" w:hAnsi="David" w:cs="David"/>
          <w:sz w:val="24"/>
          <w:szCs w:val="24"/>
          <w:rtl/>
        </w:rPr>
      </w:pPr>
    </w:p>
    <w:p w14:paraId="78C7A7AA" w14:textId="77777777" w:rsidR="00D04F50" w:rsidRPr="00A857DB" w:rsidRDefault="00D04F50" w:rsidP="00D04F50">
      <w:pPr>
        <w:pStyle w:val="a9"/>
        <w:spacing w:line="360" w:lineRule="auto"/>
        <w:jc w:val="both"/>
        <w:rPr>
          <w:rFonts w:ascii="David" w:hAnsi="David" w:cs="David"/>
          <w:rtl/>
        </w:rPr>
      </w:pPr>
      <w:r w:rsidRPr="00A857DB">
        <w:rPr>
          <w:rFonts w:ascii="David" w:hAnsi="David" w:cs="David"/>
          <w:rtl/>
        </w:rPr>
        <w:t>צו כללי למוצגים: סמים – יושמדו; המוצגים הנוספים, ככל שישנם בתיק זה – יטופלו בהתאם להחלטת קצין משטרה מוסמך.</w:t>
      </w:r>
    </w:p>
    <w:p w14:paraId="1E781587" w14:textId="77777777" w:rsidR="00D04F50" w:rsidRDefault="00D04F50" w:rsidP="00D04F50">
      <w:pPr>
        <w:pStyle w:val="a9"/>
        <w:spacing w:line="360" w:lineRule="auto"/>
        <w:jc w:val="both"/>
        <w:rPr>
          <w:rFonts w:ascii="David" w:hAnsi="David" w:cs="David"/>
          <w:rtl/>
        </w:rPr>
      </w:pPr>
    </w:p>
    <w:p w14:paraId="7FDE9DC0" w14:textId="77777777" w:rsidR="00D04F50" w:rsidRPr="00A857DB" w:rsidRDefault="00D04F50" w:rsidP="00D04F50">
      <w:pPr>
        <w:pStyle w:val="a9"/>
        <w:spacing w:line="360" w:lineRule="auto"/>
        <w:jc w:val="both"/>
        <w:rPr>
          <w:rFonts w:ascii="David" w:hAnsi="David" w:cs="David"/>
          <w:rtl/>
        </w:rPr>
      </w:pPr>
      <w:r w:rsidRPr="00A857DB">
        <w:rPr>
          <w:rFonts w:ascii="David" w:hAnsi="David" w:cs="David"/>
          <w:rtl/>
        </w:rPr>
        <w:t xml:space="preserve">ככל שקיימת הפקדה בתיק זה או בתיקים קשורים, מ"י/מ"ת, </w:t>
      </w:r>
      <w:r>
        <w:rPr>
          <w:rFonts w:ascii="David" w:hAnsi="David" w:cs="David" w:hint="cs"/>
          <w:rtl/>
        </w:rPr>
        <w:t xml:space="preserve">הקנס יקוזז מההפקדה, בהסכמת ההגנה באולם, וככל שתיוותר יתרה </w:t>
      </w:r>
      <w:r>
        <w:rPr>
          <w:rFonts w:ascii="David" w:hAnsi="David" w:cs="David"/>
          <w:rtl/>
        </w:rPr>
        <w:t>–</w:t>
      </w:r>
      <w:r>
        <w:rPr>
          <w:rFonts w:ascii="David" w:hAnsi="David" w:cs="David" w:hint="cs"/>
          <w:rtl/>
        </w:rPr>
        <w:t xml:space="preserve"> </w:t>
      </w:r>
      <w:r w:rsidRPr="00A857DB">
        <w:rPr>
          <w:rFonts w:ascii="David" w:hAnsi="David" w:cs="David"/>
          <w:rtl/>
        </w:rPr>
        <w:t>תושב לנאשם או למי מטעמו, בכפוף לכל דין או החלטה אחרת.</w:t>
      </w:r>
    </w:p>
    <w:p w14:paraId="1A56DA6B" w14:textId="77777777" w:rsidR="00D04F50" w:rsidRPr="00A857DB" w:rsidRDefault="00D04F50" w:rsidP="00D04F50">
      <w:pPr>
        <w:pStyle w:val="a9"/>
        <w:spacing w:line="360" w:lineRule="auto"/>
        <w:jc w:val="both"/>
        <w:rPr>
          <w:rFonts w:ascii="David" w:hAnsi="David" w:cs="David"/>
        </w:rPr>
      </w:pPr>
    </w:p>
    <w:p w14:paraId="11060487" w14:textId="77777777" w:rsidR="00D04F50" w:rsidRPr="00A857DB" w:rsidRDefault="00D04F50" w:rsidP="00D04F50">
      <w:pPr>
        <w:pStyle w:val="a9"/>
        <w:spacing w:line="360" w:lineRule="auto"/>
        <w:jc w:val="both"/>
        <w:rPr>
          <w:rFonts w:ascii="David" w:hAnsi="David" w:cs="David"/>
          <w:rtl/>
        </w:rPr>
      </w:pPr>
      <w:r w:rsidRPr="00A857DB">
        <w:rPr>
          <w:rFonts w:ascii="David" w:hAnsi="David" w:cs="David"/>
          <w:b/>
          <w:bCs/>
          <w:rtl/>
        </w:rPr>
        <w:t>זכות ערעור לבית המשפט המחוזי בתל אביב – יפו, בתוך 45 ימים מהיום</w:t>
      </w:r>
      <w:r w:rsidRPr="00A857DB">
        <w:rPr>
          <w:rFonts w:ascii="David" w:hAnsi="David" w:cs="David"/>
          <w:rtl/>
        </w:rPr>
        <w:t>.</w:t>
      </w:r>
    </w:p>
    <w:p w14:paraId="2EE877BA" w14:textId="77777777" w:rsidR="00D04F50" w:rsidRPr="00E539EF" w:rsidRDefault="00E539EF" w:rsidP="00D04F50">
      <w:pPr>
        <w:pStyle w:val="aa"/>
        <w:spacing w:line="360" w:lineRule="auto"/>
        <w:jc w:val="both"/>
        <w:rPr>
          <w:rFonts w:ascii="David" w:hAnsi="David" w:cs="David"/>
          <w:color w:val="FFFFFF"/>
          <w:sz w:val="2"/>
          <w:szCs w:val="2"/>
          <w:rtl/>
        </w:rPr>
      </w:pPr>
      <w:r w:rsidRPr="00E539EF">
        <w:rPr>
          <w:rFonts w:ascii="David" w:hAnsi="David" w:cs="David"/>
          <w:color w:val="FFFFFF"/>
          <w:sz w:val="2"/>
          <w:szCs w:val="2"/>
          <w:rtl/>
        </w:rPr>
        <w:t>5129371</w:t>
      </w:r>
    </w:p>
    <w:p w14:paraId="2745D564" w14:textId="77777777" w:rsidR="00D04F50" w:rsidRDefault="00E539EF" w:rsidP="00D04F50">
      <w:pPr>
        <w:spacing w:line="360" w:lineRule="auto"/>
        <w:jc w:val="both"/>
        <w:rPr>
          <w:rFonts w:ascii="David" w:hAnsi="David"/>
          <w:b/>
          <w:bCs/>
          <w:rtl/>
        </w:rPr>
      </w:pPr>
      <w:r w:rsidRPr="00E539EF">
        <w:rPr>
          <w:rFonts w:ascii="David" w:hAnsi="David"/>
          <w:b/>
          <w:bCs/>
          <w:color w:val="FFFFFF"/>
          <w:sz w:val="2"/>
          <w:szCs w:val="2"/>
          <w:u w:val="single"/>
          <w:rtl/>
        </w:rPr>
        <w:t>54678313</w:t>
      </w:r>
      <w:r w:rsidR="00D04F50" w:rsidRPr="00A857DB">
        <w:rPr>
          <w:rFonts w:ascii="David" w:hAnsi="David"/>
          <w:b/>
          <w:bCs/>
          <w:u w:val="single"/>
          <w:rtl/>
        </w:rPr>
        <w:t>המזכירות תעביר העתק מגזר הדין לשירות המבחן ולממונה על עבודות השירות</w:t>
      </w:r>
      <w:r w:rsidR="00D04F50" w:rsidRPr="00A857DB">
        <w:rPr>
          <w:rFonts w:ascii="David" w:hAnsi="David"/>
          <w:b/>
          <w:bCs/>
          <w:rtl/>
        </w:rPr>
        <w:t>.</w:t>
      </w:r>
    </w:p>
    <w:p w14:paraId="3D18275C" w14:textId="77777777" w:rsidR="00D04F50" w:rsidRPr="000F2247" w:rsidRDefault="00D04F50" w:rsidP="00D04F50">
      <w:pPr>
        <w:rPr>
          <w:rFonts w:ascii="Arial" w:hAnsi="Arial"/>
          <w:b/>
          <w:bCs/>
          <w:sz w:val="26"/>
          <w:szCs w:val="26"/>
          <w:rtl/>
        </w:rPr>
      </w:pPr>
    </w:p>
    <w:p w14:paraId="62AAB994" w14:textId="77777777" w:rsidR="00D04F50" w:rsidRPr="000F2247" w:rsidRDefault="00E539EF" w:rsidP="00D04F5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חשוון תשפ"ה, 17 נובמבר 2024, במעמד הצדדים.   </w:t>
      </w:r>
      <w:bookmarkEnd w:id="8"/>
      <w:r w:rsidR="00D04F50">
        <w:rPr>
          <w:rFonts w:ascii="Arial" w:hAnsi="Arial"/>
          <w:b/>
          <w:bCs/>
          <w:sz w:val="26"/>
          <w:szCs w:val="26"/>
          <w:rtl/>
        </w:rPr>
        <w:tab/>
      </w:r>
      <w:r w:rsidR="00D04F50">
        <w:rPr>
          <w:rFonts w:ascii="Arial" w:hAnsi="Arial"/>
          <w:b/>
          <w:bCs/>
          <w:sz w:val="26"/>
          <w:szCs w:val="26"/>
          <w:rtl/>
        </w:rPr>
        <w:tab/>
      </w:r>
      <w:r w:rsidR="00D04F50">
        <w:rPr>
          <w:rFonts w:ascii="Arial" w:hAnsi="Arial"/>
          <w:b/>
          <w:bCs/>
          <w:sz w:val="26"/>
          <w:szCs w:val="26"/>
          <w:rtl/>
        </w:rPr>
        <w:tab/>
      </w:r>
      <w:r w:rsidR="00D04F50">
        <w:rPr>
          <w:rFonts w:ascii="Arial" w:hAnsi="Arial"/>
          <w:b/>
          <w:bCs/>
          <w:sz w:val="26"/>
          <w:szCs w:val="26"/>
          <w:rtl/>
        </w:rPr>
        <w:tab/>
      </w:r>
      <w:r w:rsidR="00D04F50">
        <w:rPr>
          <w:rFonts w:ascii="Arial" w:hAnsi="Arial" w:hint="cs"/>
          <w:b/>
          <w:bCs/>
          <w:sz w:val="26"/>
          <w:szCs w:val="26"/>
          <w:rtl/>
        </w:rPr>
        <w:t xml:space="preserve">         </w:t>
      </w:r>
    </w:p>
    <w:p w14:paraId="4A9E55B5" w14:textId="77777777" w:rsidR="00D04F50" w:rsidRPr="000F2247" w:rsidRDefault="00D04F50" w:rsidP="00E539EF">
      <w:pPr>
        <w:jc w:val="right"/>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74ACCA8" w14:textId="77777777" w:rsidR="00D04F50" w:rsidRPr="00026D48" w:rsidRDefault="00026D48" w:rsidP="00D04F50">
      <w:pPr>
        <w:jc w:val="right"/>
        <w:rPr>
          <w:rFonts w:ascii="Arial" w:hAnsi="Arial"/>
          <w:b/>
          <w:bCs/>
          <w:color w:val="FFFFFF"/>
          <w:sz w:val="2"/>
          <w:szCs w:val="2"/>
          <w:rtl/>
        </w:rPr>
      </w:pPr>
      <w:r w:rsidRPr="00026D48">
        <w:rPr>
          <w:rFonts w:ascii="Arial" w:hAnsi="Arial"/>
          <w:b/>
          <w:bCs/>
          <w:color w:val="FFFFFF"/>
          <w:sz w:val="2"/>
          <w:szCs w:val="2"/>
          <w:rtl/>
        </w:rPr>
        <w:t>5129371</w:t>
      </w:r>
    </w:p>
    <w:p w14:paraId="4B9A22F2" w14:textId="77777777" w:rsidR="00E539EF" w:rsidRDefault="00026D48" w:rsidP="00E539EF">
      <w:r w:rsidRPr="00026D48">
        <w:rPr>
          <w:rFonts w:ascii="David" w:hAnsi="David"/>
          <w:color w:val="FFFFFF"/>
          <w:sz w:val="2"/>
          <w:szCs w:val="2"/>
          <w:rtl/>
        </w:rPr>
        <w:t>54678313</w:t>
      </w:r>
    </w:p>
    <w:p w14:paraId="733B768D" w14:textId="77777777" w:rsidR="00E539EF" w:rsidRDefault="00E539EF" w:rsidP="00E539EF">
      <w:pPr>
        <w:rPr>
          <w:rtl/>
        </w:rPr>
      </w:pPr>
    </w:p>
    <w:p w14:paraId="4B3FFADB" w14:textId="77777777" w:rsidR="00E539EF" w:rsidRDefault="00E539EF" w:rsidP="00E539E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087724E" w14:textId="77777777" w:rsidR="00026D48" w:rsidRPr="00026D48" w:rsidRDefault="00026D48" w:rsidP="00026D48">
      <w:pPr>
        <w:keepNext/>
        <w:rPr>
          <w:rFonts w:ascii="David" w:hAnsi="David"/>
          <w:color w:val="000000"/>
          <w:sz w:val="22"/>
          <w:szCs w:val="22"/>
          <w:rtl/>
        </w:rPr>
      </w:pPr>
    </w:p>
    <w:p w14:paraId="173916DF" w14:textId="77777777" w:rsidR="00026D48" w:rsidRPr="00026D48" w:rsidRDefault="00026D48" w:rsidP="00026D48">
      <w:pPr>
        <w:keepNext/>
        <w:rPr>
          <w:rFonts w:ascii="David" w:hAnsi="David"/>
          <w:color w:val="000000"/>
          <w:sz w:val="22"/>
          <w:szCs w:val="22"/>
          <w:rtl/>
        </w:rPr>
      </w:pPr>
      <w:r w:rsidRPr="00026D48">
        <w:rPr>
          <w:rFonts w:ascii="David" w:hAnsi="David"/>
          <w:color w:val="000000"/>
          <w:sz w:val="22"/>
          <w:szCs w:val="22"/>
          <w:rtl/>
        </w:rPr>
        <w:t>רועי פרי 54678313-/</w:t>
      </w:r>
    </w:p>
    <w:p w14:paraId="042F184C" w14:textId="77777777" w:rsidR="00E539EF" w:rsidRPr="00E539EF" w:rsidRDefault="00026D48" w:rsidP="00026D48">
      <w:pPr>
        <w:rPr>
          <w:color w:val="0000FF"/>
          <w:u w:val="single"/>
        </w:rPr>
      </w:pPr>
      <w:r w:rsidRPr="00026D48">
        <w:rPr>
          <w:color w:val="000000"/>
          <w:u w:val="single"/>
          <w:rtl/>
        </w:rPr>
        <w:t>נוסח מסמך זה כפוף לשינויי ניסוח ועריכה</w:t>
      </w:r>
    </w:p>
    <w:sectPr w:rsidR="00E539EF" w:rsidRPr="00E539EF" w:rsidSect="00026D48">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957CD" w14:textId="77777777" w:rsidR="007A220C" w:rsidRDefault="007A220C" w:rsidP="00D60DC7">
      <w:r>
        <w:separator/>
      </w:r>
    </w:p>
  </w:endnote>
  <w:endnote w:type="continuationSeparator" w:id="0">
    <w:p w14:paraId="05D7E25D" w14:textId="77777777" w:rsidR="007A220C" w:rsidRDefault="007A220C" w:rsidP="00D6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6AB9E" w14:textId="77777777" w:rsidR="00026D48" w:rsidRDefault="00026D48" w:rsidP="00026D4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429933" w14:textId="77777777" w:rsidR="00074D3D" w:rsidRPr="00026D48" w:rsidRDefault="00026D48" w:rsidP="00026D48">
    <w:pPr>
      <w:pStyle w:val="a5"/>
      <w:pBdr>
        <w:top w:val="single" w:sz="4" w:space="1" w:color="auto"/>
        <w:between w:val="single" w:sz="4" w:space="0" w:color="auto"/>
      </w:pBdr>
      <w:spacing w:after="60"/>
      <w:jc w:val="center"/>
      <w:rPr>
        <w:rFonts w:ascii="FrankRuehl" w:hAnsi="FrankRuehl" w:cs="FrankRuehl"/>
        <w:color w:val="000000"/>
      </w:rPr>
    </w:pPr>
    <w:r w:rsidRPr="00026D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B22CB" w14:textId="77777777" w:rsidR="00026D48" w:rsidRDefault="00026D48" w:rsidP="00026D4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3F7C">
      <w:rPr>
        <w:rFonts w:ascii="FrankRuehl" w:hAnsi="FrankRuehl" w:cs="FrankRuehl"/>
        <w:noProof/>
        <w:rtl/>
      </w:rPr>
      <w:t>1</w:t>
    </w:r>
    <w:r>
      <w:rPr>
        <w:rFonts w:ascii="FrankRuehl" w:hAnsi="FrankRuehl" w:cs="FrankRuehl"/>
        <w:rtl/>
      </w:rPr>
      <w:fldChar w:fldCharType="end"/>
    </w:r>
  </w:p>
  <w:p w14:paraId="55C29F82" w14:textId="77777777" w:rsidR="00074D3D" w:rsidRPr="00026D48" w:rsidRDefault="00026D48" w:rsidP="00026D48">
    <w:pPr>
      <w:pStyle w:val="a5"/>
      <w:pBdr>
        <w:top w:val="single" w:sz="4" w:space="1" w:color="auto"/>
        <w:between w:val="single" w:sz="4" w:space="0" w:color="auto"/>
      </w:pBdr>
      <w:spacing w:after="60"/>
      <w:jc w:val="center"/>
      <w:rPr>
        <w:rFonts w:ascii="FrankRuehl" w:hAnsi="FrankRuehl" w:cs="FrankRuehl"/>
        <w:color w:val="000000"/>
      </w:rPr>
    </w:pPr>
    <w:r w:rsidRPr="00026D48">
      <w:rPr>
        <w:rFonts w:ascii="FrankRuehl" w:hAnsi="FrankRuehl" w:cs="FrankRuehl"/>
        <w:color w:val="000000"/>
      </w:rPr>
      <w:pict w14:anchorId="1CFD3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60A23" w14:textId="77777777" w:rsidR="007A220C" w:rsidRDefault="007A220C" w:rsidP="00D60DC7">
      <w:r>
        <w:separator/>
      </w:r>
    </w:p>
  </w:footnote>
  <w:footnote w:type="continuationSeparator" w:id="0">
    <w:p w14:paraId="1231BF17" w14:textId="77777777" w:rsidR="007A220C" w:rsidRDefault="007A220C" w:rsidP="00D60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28C2" w14:textId="77777777" w:rsidR="00E539EF" w:rsidRPr="00026D48" w:rsidRDefault="00026D48" w:rsidP="00026D4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38910-11-23</w:t>
    </w:r>
    <w:r>
      <w:rPr>
        <w:rFonts w:ascii="David" w:hAnsi="David"/>
        <w:color w:val="000000"/>
        <w:sz w:val="22"/>
        <w:szCs w:val="22"/>
        <w:rtl/>
      </w:rPr>
      <w:tab/>
      <w:t xml:space="preserve"> מדינת ישראל נ' נהוראי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03007" w14:textId="77777777" w:rsidR="00E539EF" w:rsidRPr="00026D48" w:rsidRDefault="00026D48" w:rsidP="00026D4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38910-11-23</w:t>
    </w:r>
    <w:r>
      <w:rPr>
        <w:rFonts w:ascii="David" w:hAnsi="David"/>
        <w:color w:val="000000"/>
        <w:sz w:val="22"/>
        <w:szCs w:val="22"/>
        <w:rtl/>
      </w:rPr>
      <w:tab/>
      <w:t xml:space="preserve"> מדינת ישראל נ' נהוראי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41ACA"/>
    <w:multiLevelType w:val="hybridMultilevel"/>
    <w:tmpl w:val="0E6C9D20"/>
    <w:lvl w:ilvl="0" w:tplc="04090013">
      <w:start w:val="1"/>
      <w:numFmt w:val="hebrew1"/>
      <w:lvlText w:val="%1."/>
      <w:lvlJc w:val="center"/>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5917076"/>
    <w:multiLevelType w:val="hybridMultilevel"/>
    <w:tmpl w:val="03F645C0"/>
    <w:lvl w:ilvl="0" w:tplc="25269D3A">
      <w:start w:val="1"/>
      <w:numFmt w:val="decimal"/>
      <w:lvlText w:val="%1."/>
      <w:lvlJc w:val="left"/>
      <w:pPr>
        <w:ind w:left="360" w:hanging="360"/>
      </w:pPr>
      <w:rPr>
        <w:rFonts w:ascii="David" w:hAnsi="David" w:cs="David"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2415987">
    <w:abstractNumId w:val="0"/>
  </w:num>
  <w:num w:numId="2" w16cid:durableId="92203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4F50"/>
    <w:rsid w:val="00026D48"/>
    <w:rsid w:val="00074D3D"/>
    <w:rsid w:val="0018641C"/>
    <w:rsid w:val="00676B76"/>
    <w:rsid w:val="007A220C"/>
    <w:rsid w:val="008250B6"/>
    <w:rsid w:val="00B63F7C"/>
    <w:rsid w:val="00D04F50"/>
    <w:rsid w:val="00D60DC7"/>
    <w:rsid w:val="00E539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4C77D5"/>
  <w15:chartTrackingRefBased/>
  <w15:docId w15:val="{26324E85-DD79-44A3-90FB-13E1779A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4F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4F50"/>
    <w:pPr>
      <w:tabs>
        <w:tab w:val="center" w:pos="4153"/>
        <w:tab w:val="right" w:pos="8306"/>
      </w:tabs>
    </w:pPr>
  </w:style>
  <w:style w:type="character" w:customStyle="1" w:styleId="a4">
    <w:name w:val="כותרת עליונה תו"/>
    <w:link w:val="a3"/>
    <w:rsid w:val="00D04F50"/>
    <w:rPr>
      <w:rFonts w:ascii="Times New Roman" w:eastAsia="Times New Roman" w:hAnsi="Times New Roman" w:cs="David"/>
      <w:sz w:val="24"/>
      <w:szCs w:val="24"/>
    </w:rPr>
  </w:style>
  <w:style w:type="paragraph" w:styleId="a5">
    <w:name w:val="footer"/>
    <w:basedOn w:val="a"/>
    <w:link w:val="a6"/>
    <w:rsid w:val="00D04F50"/>
    <w:pPr>
      <w:tabs>
        <w:tab w:val="center" w:pos="4153"/>
        <w:tab w:val="right" w:pos="8306"/>
      </w:tabs>
    </w:pPr>
  </w:style>
  <w:style w:type="character" w:customStyle="1" w:styleId="a6">
    <w:name w:val="כותרת תחתונה תו"/>
    <w:link w:val="a5"/>
    <w:rsid w:val="00D04F50"/>
    <w:rPr>
      <w:rFonts w:ascii="Times New Roman" w:eastAsia="Times New Roman" w:hAnsi="Times New Roman" w:cs="David"/>
      <w:sz w:val="24"/>
      <w:szCs w:val="24"/>
    </w:rPr>
  </w:style>
  <w:style w:type="table" w:styleId="a7">
    <w:name w:val="Table Grid"/>
    <w:basedOn w:val="a1"/>
    <w:rsid w:val="00D04F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04F50"/>
  </w:style>
  <w:style w:type="character" w:styleId="Hyperlink">
    <w:name w:val="Hyperlink"/>
    <w:rsid w:val="00D04F50"/>
    <w:rPr>
      <w:color w:val="0563C1"/>
      <w:u w:val="single"/>
    </w:rPr>
  </w:style>
  <w:style w:type="paragraph" w:styleId="a9">
    <w:name w:val="No Spacing"/>
    <w:basedOn w:val="a"/>
    <w:qFormat/>
    <w:rsid w:val="00D04F50"/>
    <w:rPr>
      <w:rFonts w:eastAsia="Calibri" w:cs="Times New Roman"/>
    </w:rPr>
  </w:style>
  <w:style w:type="paragraph" w:styleId="aa">
    <w:name w:val="List Paragraph"/>
    <w:basedOn w:val="a"/>
    <w:link w:val="ab"/>
    <w:qFormat/>
    <w:rsid w:val="00D04F50"/>
    <w:pPr>
      <w:ind w:left="720"/>
    </w:pPr>
    <w:rPr>
      <w:rFonts w:ascii="Calibri" w:eastAsia="Calibri" w:hAnsi="Calibri" w:cs="Calibri"/>
      <w:sz w:val="22"/>
      <w:szCs w:val="22"/>
    </w:rPr>
  </w:style>
  <w:style w:type="character" w:customStyle="1" w:styleId="ab">
    <w:name w:val="פיסקת רשימה תו"/>
    <w:link w:val="aa"/>
    <w:locked/>
    <w:rsid w:val="00D04F5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5111144" TargetMode="External"/><Relationship Id="rId39" Type="http://schemas.openxmlformats.org/officeDocument/2006/relationships/footer" Target="footer1.xml"/><Relationship Id="rId21" Type="http://schemas.openxmlformats.org/officeDocument/2006/relationships/hyperlink" Target="http://www.nevo.co.il/law/70301/400" TargetMode="External"/><Relationship Id="rId34" Type="http://schemas.openxmlformats.org/officeDocument/2006/relationships/hyperlink" Target="http://www.eca.gov.il"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2226709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16938303" TargetMode="External"/><Relationship Id="rId32" Type="http://schemas.openxmlformats.org/officeDocument/2006/relationships/hyperlink" Target="http://www.nevo.co.il/law/70301/40d"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606104"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0111708"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976759" TargetMode="External"/><Relationship Id="rId30" Type="http://schemas.openxmlformats.org/officeDocument/2006/relationships/hyperlink" Target="http://www.nevo.co.il/case/25966928" TargetMode="External"/><Relationship Id="rId35" Type="http://schemas.openxmlformats.org/officeDocument/2006/relationships/hyperlink" Target="http://www.nevo.co.il/law/4216/36a"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705570"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1920</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11498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2883708</vt:i4>
      </vt:variant>
      <vt:variant>
        <vt:i4>84</vt:i4>
      </vt:variant>
      <vt:variant>
        <vt:i4>0</vt:i4>
      </vt:variant>
      <vt:variant>
        <vt:i4>5</vt:i4>
      </vt:variant>
      <vt:variant>
        <vt:lpwstr>http://www.nevo.co.il/law/4216/36a</vt:lpwstr>
      </vt:variant>
      <vt:variant>
        <vt:lpwstr/>
      </vt:variant>
      <vt:variant>
        <vt:i4>7864368</vt:i4>
      </vt:variant>
      <vt:variant>
        <vt:i4>81</vt:i4>
      </vt:variant>
      <vt:variant>
        <vt:i4>0</vt:i4>
      </vt:variant>
      <vt:variant>
        <vt:i4>5</vt:i4>
      </vt:variant>
      <vt:variant>
        <vt:lpwstr>http://www.eca.gov.il/</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3276914</vt:i4>
      </vt:variant>
      <vt:variant>
        <vt:i4>72</vt:i4>
      </vt:variant>
      <vt:variant>
        <vt:i4>0</vt:i4>
      </vt:variant>
      <vt:variant>
        <vt:i4>5</vt:i4>
      </vt:variant>
      <vt:variant>
        <vt:lpwstr>http://www.nevo.co.il/case/20111708</vt:lpwstr>
      </vt:variant>
      <vt:variant>
        <vt:lpwstr/>
      </vt:variant>
      <vt:variant>
        <vt:i4>4128894</vt:i4>
      </vt:variant>
      <vt:variant>
        <vt:i4>69</vt:i4>
      </vt:variant>
      <vt:variant>
        <vt:i4>0</vt:i4>
      </vt:variant>
      <vt:variant>
        <vt:i4>5</vt:i4>
      </vt:variant>
      <vt:variant>
        <vt:lpwstr>http://www.nevo.co.il/case/25966928</vt:lpwstr>
      </vt:variant>
      <vt:variant>
        <vt:lpwstr/>
      </vt:variant>
      <vt:variant>
        <vt:i4>4063344</vt:i4>
      </vt:variant>
      <vt:variant>
        <vt:i4>66</vt:i4>
      </vt:variant>
      <vt:variant>
        <vt:i4>0</vt:i4>
      </vt:variant>
      <vt:variant>
        <vt:i4>5</vt:i4>
      </vt:variant>
      <vt:variant>
        <vt:lpwstr>http://www.nevo.co.il/case/22267098</vt:lpwstr>
      </vt:variant>
      <vt:variant>
        <vt:lpwstr/>
      </vt:variant>
      <vt:variant>
        <vt:i4>3276914</vt:i4>
      </vt:variant>
      <vt:variant>
        <vt:i4>63</vt:i4>
      </vt:variant>
      <vt:variant>
        <vt:i4>0</vt:i4>
      </vt:variant>
      <vt:variant>
        <vt:i4>5</vt:i4>
      </vt:variant>
      <vt:variant>
        <vt:lpwstr>http://www.nevo.co.il/case/27606104</vt:lpwstr>
      </vt:variant>
      <vt:variant>
        <vt:lpwstr/>
      </vt:variant>
      <vt:variant>
        <vt:i4>3670129</vt:i4>
      </vt:variant>
      <vt:variant>
        <vt:i4>60</vt:i4>
      </vt:variant>
      <vt:variant>
        <vt:i4>0</vt:i4>
      </vt:variant>
      <vt:variant>
        <vt:i4>5</vt:i4>
      </vt:variant>
      <vt:variant>
        <vt:lpwstr>http://www.nevo.co.il/case/25976759</vt:lpwstr>
      </vt:variant>
      <vt:variant>
        <vt:lpwstr/>
      </vt:variant>
      <vt:variant>
        <vt:i4>3539057</vt:i4>
      </vt:variant>
      <vt:variant>
        <vt:i4>57</vt:i4>
      </vt:variant>
      <vt:variant>
        <vt:i4>0</vt:i4>
      </vt:variant>
      <vt:variant>
        <vt:i4>5</vt:i4>
      </vt:variant>
      <vt:variant>
        <vt:lpwstr>http://www.nevo.co.il/case/25111144</vt:lpwstr>
      </vt:variant>
      <vt:variant>
        <vt:lpwstr/>
      </vt:variant>
      <vt:variant>
        <vt:i4>3604593</vt:i4>
      </vt:variant>
      <vt:variant>
        <vt:i4>54</vt:i4>
      </vt:variant>
      <vt:variant>
        <vt:i4>0</vt:i4>
      </vt:variant>
      <vt:variant>
        <vt:i4>5</vt:i4>
      </vt:variant>
      <vt:variant>
        <vt:lpwstr>http://www.nevo.co.il/case/20705570</vt:lpwstr>
      </vt:variant>
      <vt:variant>
        <vt:lpwstr/>
      </vt:variant>
      <vt:variant>
        <vt:i4>3145842</vt:i4>
      </vt:variant>
      <vt:variant>
        <vt:i4>51</vt:i4>
      </vt:variant>
      <vt:variant>
        <vt:i4>0</vt:i4>
      </vt:variant>
      <vt:variant>
        <vt:i4>5</vt:i4>
      </vt:variant>
      <vt:variant>
        <vt:lpwstr>http://www.nevo.co.il/case/16938303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http://www.nevo.co.il/law/70301/400</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38910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נהוראי יעקב</vt:lpwstr>
  </property>
  <property fmtid="{D5CDD505-2E9C-101B-9397-08002B2CF9AE}" pid="10" name="LAWYER">
    <vt:lpwstr>מיכל כהן;שני מורן</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20241117</vt:lpwstr>
  </property>
  <property fmtid="{D5CDD505-2E9C-101B-9397-08002B2CF9AE}" pid="14" name="TYPE_N_DATE">
    <vt:lpwstr>38020241117</vt:lpwstr>
  </property>
  <property fmtid="{D5CDD505-2E9C-101B-9397-08002B2CF9AE}" pid="15" name="CASESLISTTMP1">
    <vt:lpwstr>16938303;20705570;25111144;25976759;27606104;22267098;25966928;20111708</vt:lpwstr>
  </property>
  <property fmtid="{D5CDD505-2E9C-101B-9397-08002B2CF9AE}" pid="16" name="CASENOTES1">
    <vt:lpwstr>ProcID=135&amp;PartA=28031&amp;PartB=02&amp;PartC=20</vt:lpwstr>
  </property>
  <property fmtid="{D5CDD505-2E9C-101B-9397-08002B2CF9AE}" pid="17" name="WORDNUMPAGES">
    <vt:lpwstr>7</vt:lpwstr>
  </property>
  <property fmtid="{D5CDD505-2E9C-101B-9397-08002B2CF9AE}" pid="18" name="TYPE_ABS_DATE">
    <vt:lpwstr>380020241117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4216/006;007.a;007.c;010;036a</vt:lpwstr>
  </property>
  <property fmtid="{D5CDD505-2E9C-101B-9397-08002B2CF9AE}" pid="38" name="LAWLISTTMP2">
    <vt:lpwstr>70301/400;040d</vt:lpwstr>
  </property>
</Properties>
</file>