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3C1A2A" w:rsidRPr="003D1985" w14:paraId="215B9DEA" w14:textId="77777777" w:rsidTr="0085458B">
        <w:trPr>
          <w:gridAfter w:val="1"/>
          <w:wAfter w:w="99" w:type="dxa"/>
          <w:trHeight w:hRule="exact" w:val="418"/>
          <w:jc w:val="center"/>
        </w:trPr>
        <w:tc>
          <w:tcPr>
            <w:tcW w:w="8721" w:type="dxa"/>
            <w:gridSpan w:val="4"/>
          </w:tcPr>
          <w:p w14:paraId="26B5A3DA" w14:textId="77777777" w:rsidR="003C1A2A" w:rsidRPr="003D1985" w:rsidRDefault="003C1A2A" w:rsidP="0086121A">
            <w:pPr>
              <w:pStyle w:val="a3"/>
              <w:jc w:val="center"/>
              <w:rPr>
                <w:rFonts w:ascii="Tahoma" w:hAnsi="Tahoma" w:cs="Tahoma"/>
                <w:color w:val="000080"/>
                <w:rtl/>
              </w:rPr>
            </w:pPr>
            <w:bookmarkStart w:id="0" w:name="LastJudge"/>
            <w:r w:rsidRPr="003D1985">
              <w:rPr>
                <w:rFonts w:ascii="Tahoma" w:hAnsi="Tahoma" w:cs="Tahoma"/>
                <w:b/>
                <w:bCs/>
                <w:color w:val="000080"/>
                <w:rtl/>
              </w:rPr>
              <w:t>בית משפט השלום בירושלים</w:t>
            </w:r>
          </w:p>
        </w:tc>
      </w:tr>
      <w:tr w:rsidR="003C1A2A" w:rsidRPr="003D1985" w14:paraId="39EE3EB6" w14:textId="77777777" w:rsidTr="0085458B">
        <w:trPr>
          <w:gridAfter w:val="1"/>
          <w:wAfter w:w="99" w:type="dxa"/>
          <w:trHeight w:val="337"/>
          <w:jc w:val="center"/>
        </w:trPr>
        <w:tc>
          <w:tcPr>
            <w:tcW w:w="5058" w:type="dxa"/>
            <w:gridSpan w:val="3"/>
          </w:tcPr>
          <w:p w14:paraId="52C5EAEE" w14:textId="77777777" w:rsidR="003C1A2A" w:rsidRPr="003D1985" w:rsidRDefault="003C1A2A" w:rsidP="0086121A">
            <w:pPr>
              <w:rPr>
                <w:rFonts w:cs="FrankRuehl"/>
                <w:sz w:val="28"/>
                <w:szCs w:val="28"/>
                <w:rtl/>
              </w:rPr>
            </w:pPr>
            <w:r w:rsidRPr="003D1985">
              <w:rPr>
                <w:rFonts w:cs="FrankRuehl"/>
                <w:sz w:val="28"/>
                <w:szCs w:val="28"/>
                <w:rtl/>
              </w:rPr>
              <w:t>ת"פ</w:t>
            </w:r>
            <w:r w:rsidRPr="003D1985">
              <w:rPr>
                <w:rFonts w:cs="FrankRuehl" w:hint="cs"/>
                <w:sz w:val="28"/>
                <w:szCs w:val="28"/>
                <w:rtl/>
              </w:rPr>
              <w:t xml:space="preserve"> </w:t>
            </w:r>
            <w:r w:rsidRPr="003D1985">
              <w:rPr>
                <w:rFonts w:cs="FrankRuehl"/>
                <w:sz w:val="28"/>
                <w:szCs w:val="28"/>
                <w:rtl/>
              </w:rPr>
              <w:t>32586-12-23</w:t>
            </w:r>
            <w:r w:rsidRPr="003D1985">
              <w:rPr>
                <w:rFonts w:cs="FrankRuehl" w:hint="cs"/>
                <w:sz w:val="28"/>
                <w:szCs w:val="28"/>
                <w:rtl/>
              </w:rPr>
              <w:t xml:space="preserve"> </w:t>
            </w:r>
            <w:r w:rsidRPr="003D1985">
              <w:rPr>
                <w:rFonts w:cs="FrankRuehl"/>
                <w:sz w:val="28"/>
                <w:szCs w:val="28"/>
                <w:rtl/>
              </w:rPr>
              <w:t>מדינת ישראל נ' מלכה(עציר)</w:t>
            </w:r>
          </w:p>
          <w:p w14:paraId="0DD28CE6" w14:textId="77777777" w:rsidR="003C1A2A" w:rsidRPr="003D1985" w:rsidRDefault="003C1A2A" w:rsidP="0086121A">
            <w:pPr>
              <w:pStyle w:val="a3"/>
              <w:rPr>
                <w:rFonts w:cs="FrankRuehl"/>
                <w:sz w:val="28"/>
                <w:szCs w:val="28"/>
                <w:rtl/>
              </w:rPr>
            </w:pPr>
          </w:p>
        </w:tc>
        <w:tc>
          <w:tcPr>
            <w:tcW w:w="3663" w:type="dxa"/>
          </w:tcPr>
          <w:p w14:paraId="6173FE43" w14:textId="77777777" w:rsidR="003C1A2A" w:rsidRPr="003D1985" w:rsidRDefault="003C1A2A" w:rsidP="0086121A">
            <w:pPr>
              <w:pStyle w:val="a3"/>
              <w:jc w:val="right"/>
              <w:rPr>
                <w:rFonts w:cs="FrankRuehl"/>
                <w:sz w:val="28"/>
                <w:szCs w:val="28"/>
                <w:rtl/>
              </w:rPr>
            </w:pPr>
          </w:p>
        </w:tc>
      </w:tr>
      <w:tr w:rsidR="003C1A2A" w:rsidRPr="003D1985" w14:paraId="3C8A6608" w14:textId="77777777" w:rsidTr="0085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3E894F4" w14:textId="77777777" w:rsidR="003C1A2A" w:rsidRPr="003D1985" w:rsidRDefault="003C1A2A" w:rsidP="003C1A2A">
            <w:pPr>
              <w:jc w:val="both"/>
              <w:rPr>
                <w:rFonts w:ascii="David" w:hAnsi="David"/>
                <w:sz w:val="26"/>
                <w:szCs w:val="26"/>
              </w:rPr>
            </w:pPr>
            <w:r w:rsidRPr="003D1985">
              <w:rPr>
                <w:rFonts w:hint="cs"/>
                <w:rtl/>
              </w:rPr>
              <w:t xml:space="preserve"> </w:t>
            </w:r>
            <w:r w:rsidRPr="003D1985">
              <w:rPr>
                <w:rFonts w:ascii="David" w:hAnsi="David" w:hint="cs"/>
                <w:sz w:val="26"/>
                <w:szCs w:val="26"/>
                <w:rtl/>
              </w:rPr>
              <w:t>ל</w:t>
            </w:r>
            <w:r w:rsidRPr="003D198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CA6F709" w14:textId="77777777" w:rsidR="003C1A2A" w:rsidRPr="003D1985" w:rsidRDefault="003C1A2A" w:rsidP="0086121A">
            <w:pPr>
              <w:rPr>
                <w:rFonts w:ascii="David" w:hAnsi="David"/>
                <w:b/>
                <w:bCs/>
                <w:sz w:val="26"/>
                <w:szCs w:val="26"/>
                <w:rtl/>
              </w:rPr>
            </w:pPr>
            <w:r w:rsidRPr="003D1985">
              <w:rPr>
                <w:rFonts w:ascii="David" w:hAnsi="David"/>
                <w:b/>
                <w:bCs/>
                <w:sz w:val="26"/>
                <w:szCs w:val="26"/>
                <w:rtl/>
              </w:rPr>
              <w:t>כבוד הנשיא  שמואל הרבסט</w:t>
            </w:r>
          </w:p>
          <w:p w14:paraId="7C5FD60E" w14:textId="77777777" w:rsidR="003C1A2A" w:rsidRPr="003D1985" w:rsidRDefault="003C1A2A" w:rsidP="0086121A">
            <w:pPr>
              <w:rPr>
                <w:rFonts w:ascii="David" w:hAnsi="David"/>
                <w:sz w:val="26"/>
                <w:szCs w:val="26"/>
                <w:rtl/>
              </w:rPr>
            </w:pPr>
          </w:p>
          <w:p w14:paraId="03A3C35D" w14:textId="77777777" w:rsidR="003C1A2A" w:rsidRPr="003D1985" w:rsidRDefault="003C1A2A" w:rsidP="003C1A2A">
            <w:pPr>
              <w:jc w:val="both"/>
              <w:rPr>
                <w:rFonts w:ascii="David" w:hAnsi="David"/>
                <w:sz w:val="26"/>
                <w:szCs w:val="26"/>
              </w:rPr>
            </w:pPr>
          </w:p>
        </w:tc>
      </w:tr>
      <w:tr w:rsidR="003C1A2A" w:rsidRPr="003D1985" w14:paraId="449AD326" w14:textId="77777777" w:rsidTr="0085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7910EF" w14:textId="77777777" w:rsidR="003C1A2A" w:rsidRPr="003D1985" w:rsidRDefault="003C1A2A" w:rsidP="003C1A2A">
            <w:pPr>
              <w:jc w:val="both"/>
              <w:rPr>
                <w:rFonts w:ascii="David" w:hAnsi="David"/>
                <w:sz w:val="26"/>
                <w:szCs w:val="26"/>
              </w:rPr>
            </w:pPr>
            <w:bookmarkStart w:id="1" w:name="FirstAppellant"/>
            <w:r w:rsidRPr="003D1985">
              <w:rPr>
                <w:rFonts w:ascii="David" w:hAnsi="David"/>
                <w:sz w:val="26"/>
                <w:szCs w:val="26"/>
                <w:rtl/>
              </w:rPr>
              <w:t>בעניין:</w:t>
            </w:r>
          </w:p>
        </w:tc>
        <w:tc>
          <w:tcPr>
            <w:tcW w:w="3219" w:type="dxa"/>
            <w:tcBorders>
              <w:top w:val="nil"/>
              <w:left w:val="nil"/>
              <w:bottom w:val="nil"/>
              <w:right w:val="nil"/>
            </w:tcBorders>
            <w:shd w:val="clear" w:color="auto" w:fill="auto"/>
          </w:tcPr>
          <w:p w14:paraId="538B5400" w14:textId="77777777" w:rsidR="003C1A2A" w:rsidRPr="003D1985" w:rsidRDefault="003C1A2A" w:rsidP="003C1A2A">
            <w:pPr>
              <w:suppressLineNumbers/>
            </w:pPr>
            <w:r w:rsidRPr="003D1985">
              <w:rPr>
                <w:rFonts w:ascii="Arial" w:hAnsi="Arial" w:hint="cs"/>
                <w:b/>
                <w:bCs/>
                <w:sz w:val="26"/>
                <w:szCs w:val="26"/>
                <w:rtl/>
              </w:rPr>
              <w:t>ה</w:t>
            </w:r>
            <w:r w:rsidRPr="003D1985">
              <w:rPr>
                <w:rFonts w:ascii="Arial" w:hAnsi="Arial"/>
                <w:b/>
                <w:bCs/>
                <w:sz w:val="26"/>
                <w:szCs w:val="26"/>
                <w:rtl/>
              </w:rPr>
              <w:t>מאשימה</w:t>
            </w:r>
          </w:p>
          <w:p w14:paraId="2322602A" w14:textId="77777777" w:rsidR="003C1A2A" w:rsidRPr="003D1985" w:rsidRDefault="003C1A2A" w:rsidP="0086121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8CFEEC4" w14:textId="77777777" w:rsidR="003C1A2A" w:rsidRPr="003D1985" w:rsidRDefault="003C1A2A" w:rsidP="003C1A2A">
            <w:pPr>
              <w:suppressLineNumbers/>
              <w:rPr>
                <w:rFonts w:ascii="Arial" w:hAnsi="Arial"/>
                <w:b/>
                <w:bCs/>
                <w:sz w:val="26"/>
                <w:szCs w:val="26"/>
                <w:rtl/>
              </w:rPr>
            </w:pPr>
            <w:r w:rsidRPr="003D1985">
              <w:rPr>
                <w:rFonts w:ascii="Arial" w:hAnsi="Arial"/>
                <w:b/>
                <w:bCs/>
                <w:sz w:val="26"/>
                <w:szCs w:val="26"/>
                <w:rtl/>
              </w:rPr>
              <w:br/>
            </w:r>
            <w:r w:rsidRPr="003D1985">
              <w:rPr>
                <w:rFonts w:ascii="Arial" w:hAnsi="Arial"/>
                <w:b/>
                <w:bCs/>
                <w:sz w:val="26"/>
                <w:szCs w:val="26"/>
                <w:rtl/>
              </w:rPr>
              <w:br/>
              <w:t>מדינת ישראל</w:t>
            </w:r>
            <w:r w:rsidRPr="003D1985">
              <w:rPr>
                <w:rFonts w:ascii="Arial" w:hAnsi="Arial" w:hint="cs"/>
                <w:b/>
                <w:bCs/>
                <w:sz w:val="26"/>
                <w:szCs w:val="26"/>
                <w:rtl/>
              </w:rPr>
              <w:t xml:space="preserve"> </w:t>
            </w:r>
          </w:p>
          <w:p w14:paraId="5C07C84B" w14:textId="77777777" w:rsidR="003C1A2A" w:rsidRPr="003D1985" w:rsidRDefault="003C1A2A" w:rsidP="003C1A2A">
            <w:pPr>
              <w:suppressLineNumbers/>
              <w:rPr>
                <w:rFonts w:ascii="Arial" w:hAnsi="Arial"/>
                <w:b/>
                <w:bCs/>
                <w:sz w:val="26"/>
                <w:szCs w:val="26"/>
                <w:rtl/>
              </w:rPr>
            </w:pPr>
            <w:r w:rsidRPr="003D1985">
              <w:rPr>
                <w:rFonts w:ascii="Arial" w:hAnsi="Arial"/>
                <w:b/>
                <w:bCs/>
                <w:sz w:val="26"/>
                <w:szCs w:val="26"/>
                <w:rtl/>
              </w:rPr>
              <w:t xml:space="preserve">ע"י </w:t>
            </w:r>
            <w:r w:rsidRPr="003D1985">
              <w:rPr>
                <w:rFonts w:ascii="Arial" w:hAnsi="Arial" w:hint="cs"/>
                <w:b/>
                <w:bCs/>
                <w:sz w:val="26"/>
                <w:szCs w:val="26"/>
                <w:rtl/>
              </w:rPr>
              <w:t xml:space="preserve">ענף תביעות י-ם </w:t>
            </w:r>
          </w:p>
          <w:p w14:paraId="319BBF16" w14:textId="77777777" w:rsidR="003C1A2A" w:rsidRPr="003D1985" w:rsidRDefault="003C1A2A" w:rsidP="003C1A2A">
            <w:pPr>
              <w:suppressLineNumbers/>
              <w:rPr>
                <w:b/>
                <w:bCs/>
              </w:rPr>
            </w:pPr>
            <w:r w:rsidRPr="003D1985">
              <w:rPr>
                <w:rFonts w:hint="cs"/>
                <w:b/>
                <w:bCs/>
                <w:rtl/>
              </w:rPr>
              <w:t>משטרת ישראל</w:t>
            </w:r>
          </w:p>
          <w:p w14:paraId="3EFE80AA" w14:textId="77777777" w:rsidR="003C1A2A" w:rsidRPr="003D1985" w:rsidRDefault="003C1A2A" w:rsidP="0086121A">
            <w:pPr>
              <w:rPr>
                <w:rFonts w:ascii="David" w:hAnsi="David"/>
                <w:sz w:val="26"/>
                <w:szCs w:val="26"/>
              </w:rPr>
            </w:pPr>
          </w:p>
        </w:tc>
      </w:tr>
      <w:bookmarkEnd w:id="1"/>
      <w:tr w:rsidR="003C1A2A" w:rsidRPr="003D1985" w14:paraId="10211C83" w14:textId="77777777" w:rsidTr="0085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2A32709" w14:textId="77777777" w:rsidR="003C1A2A" w:rsidRPr="003D1985" w:rsidRDefault="003C1A2A" w:rsidP="003C1A2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81D29A9" w14:textId="77777777" w:rsidR="003C1A2A" w:rsidRPr="003D1985" w:rsidRDefault="003C1A2A" w:rsidP="003C1A2A">
            <w:pPr>
              <w:jc w:val="center"/>
              <w:rPr>
                <w:rFonts w:ascii="David" w:hAnsi="David"/>
                <w:b/>
                <w:bCs/>
                <w:sz w:val="26"/>
                <w:szCs w:val="26"/>
                <w:rtl/>
              </w:rPr>
            </w:pPr>
          </w:p>
          <w:p w14:paraId="21D40460" w14:textId="77777777" w:rsidR="003C1A2A" w:rsidRPr="003D1985" w:rsidRDefault="003C1A2A" w:rsidP="003C1A2A">
            <w:pPr>
              <w:jc w:val="center"/>
              <w:rPr>
                <w:rFonts w:ascii="David" w:hAnsi="David"/>
                <w:b/>
                <w:bCs/>
                <w:sz w:val="26"/>
                <w:szCs w:val="26"/>
                <w:rtl/>
              </w:rPr>
            </w:pPr>
            <w:r w:rsidRPr="003D1985">
              <w:rPr>
                <w:rFonts w:ascii="David" w:hAnsi="David"/>
                <w:b/>
                <w:bCs/>
                <w:sz w:val="26"/>
                <w:szCs w:val="26"/>
                <w:rtl/>
              </w:rPr>
              <w:t>נגד</w:t>
            </w:r>
          </w:p>
          <w:p w14:paraId="5DB8A865" w14:textId="77777777" w:rsidR="003C1A2A" w:rsidRPr="003D1985" w:rsidRDefault="003C1A2A" w:rsidP="003C1A2A">
            <w:pPr>
              <w:jc w:val="both"/>
              <w:rPr>
                <w:rFonts w:ascii="David" w:hAnsi="David"/>
                <w:sz w:val="26"/>
                <w:szCs w:val="26"/>
              </w:rPr>
            </w:pPr>
          </w:p>
        </w:tc>
      </w:tr>
      <w:tr w:rsidR="003C1A2A" w:rsidRPr="003D1985" w14:paraId="27532B1B" w14:textId="77777777" w:rsidTr="0085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4F7DB1" w14:textId="77777777" w:rsidR="003C1A2A" w:rsidRPr="003D1985" w:rsidRDefault="003C1A2A" w:rsidP="0086121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195E0AB" w14:textId="77777777" w:rsidR="003C1A2A" w:rsidRPr="003D1985" w:rsidRDefault="003C1A2A" w:rsidP="0086121A">
            <w:pPr>
              <w:rPr>
                <w:rFonts w:ascii="Arial" w:hAnsi="Arial"/>
                <w:b/>
                <w:bCs/>
                <w:sz w:val="26"/>
                <w:szCs w:val="26"/>
                <w:rtl/>
              </w:rPr>
            </w:pPr>
            <w:r w:rsidRPr="003D198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DD8D325" w14:textId="77777777" w:rsidR="003C1A2A" w:rsidRPr="003D1985" w:rsidRDefault="003C1A2A" w:rsidP="003C1A2A">
            <w:pPr>
              <w:suppressLineNumbers/>
              <w:rPr>
                <w:rFonts w:ascii="Arial" w:hAnsi="Arial"/>
                <w:b/>
                <w:bCs/>
                <w:sz w:val="26"/>
                <w:szCs w:val="26"/>
                <w:rtl/>
              </w:rPr>
            </w:pPr>
            <w:r w:rsidRPr="003D1985">
              <w:rPr>
                <w:rFonts w:ascii="Arial" w:hAnsi="Arial"/>
                <w:b/>
                <w:bCs/>
                <w:sz w:val="26"/>
                <w:szCs w:val="26"/>
                <w:rtl/>
              </w:rPr>
              <w:br/>
            </w:r>
            <w:r w:rsidRPr="003D1985">
              <w:rPr>
                <w:rFonts w:ascii="Arial" w:hAnsi="Arial"/>
                <w:b/>
                <w:bCs/>
                <w:sz w:val="26"/>
                <w:szCs w:val="26"/>
                <w:rtl/>
              </w:rPr>
              <w:br/>
              <w:t>יעקב חי מלכה (עציר)</w:t>
            </w:r>
            <w:r w:rsidRPr="003D1985">
              <w:rPr>
                <w:rFonts w:ascii="Arial" w:hAnsi="Arial" w:hint="cs"/>
                <w:b/>
                <w:bCs/>
                <w:sz w:val="26"/>
                <w:szCs w:val="26"/>
                <w:rtl/>
              </w:rPr>
              <w:t xml:space="preserve"> </w:t>
            </w:r>
          </w:p>
          <w:p w14:paraId="7228EFCE" w14:textId="77777777" w:rsidR="003C1A2A" w:rsidRPr="003D1985" w:rsidRDefault="003C1A2A" w:rsidP="003C1A2A">
            <w:pPr>
              <w:suppressLineNumbers/>
            </w:pPr>
            <w:r w:rsidRPr="003D1985">
              <w:rPr>
                <w:rFonts w:ascii="Arial" w:hAnsi="Arial"/>
                <w:b/>
                <w:bCs/>
                <w:sz w:val="26"/>
                <w:szCs w:val="26"/>
                <w:rtl/>
              </w:rPr>
              <w:t>ע"י ב"כ עוה"ד</w:t>
            </w:r>
            <w:r w:rsidRPr="003D1985">
              <w:rPr>
                <w:rFonts w:ascii="Arial" w:hAnsi="Arial" w:hint="cs"/>
                <w:b/>
                <w:bCs/>
                <w:sz w:val="26"/>
                <w:szCs w:val="26"/>
                <w:rtl/>
              </w:rPr>
              <w:t xml:space="preserve"> ש. בן שבת</w:t>
            </w:r>
          </w:p>
          <w:p w14:paraId="2784A8F9" w14:textId="77777777" w:rsidR="003C1A2A" w:rsidRPr="003D1985" w:rsidRDefault="003C1A2A" w:rsidP="0086121A">
            <w:pPr>
              <w:rPr>
                <w:rFonts w:ascii="David" w:hAnsi="David"/>
                <w:sz w:val="26"/>
                <w:szCs w:val="26"/>
              </w:rPr>
            </w:pPr>
          </w:p>
        </w:tc>
      </w:tr>
      <w:bookmarkEnd w:id="2"/>
    </w:tbl>
    <w:p w14:paraId="3CA96BB2" w14:textId="77777777" w:rsidR="003D1985" w:rsidRPr="003D1985" w:rsidRDefault="003D1985" w:rsidP="003D1985">
      <w:pPr>
        <w:spacing w:before="120" w:after="120" w:line="240" w:lineRule="exact"/>
        <w:ind w:left="283" w:hanging="283"/>
        <w:jc w:val="both"/>
        <w:rPr>
          <w:rFonts w:ascii="FrankRuehl" w:hAnsi="FrankRuehl" w:cs="FrankRuehl"/>
          <w:rtl/>
        </w:rPr>
      </w:pPr>
    </w:p>
    <w:p w14:paraId="4A95710B" w14:textId="77777777" w:rsidR="003D1985" w:rsidRPr="003D1985" w:rsidRDefault="003D1985" w:rsidP="003D1985">
      <w:pPr>
        <w:rPr>
          <w:sz w:val="26"/>
          <w:szCs w:val="26"/>
          <w:rtl/>
        </w:rPr>
      </w:pPr>
    </w:p>
    <w:p w14:paraId="621E839E" w14:textId="77777777" w:rsidR="0085458B" w:rsidRPr="0085458B" w:rsidRDefault="0085458B" w:rsidP="0085458B">
      <w:pPr>
        <w:spacing w:before="120" w:after="120" w:line="240" w:lineRule="exact"/>
        <w:ind w:left="283" w:hanging="283"/>
        <w:jc w:val="both"/>
        <w:rPr>
          <w:rFonts w:ascii="FrankRuehl" w:hAnsi="FrankRuehl" w:cs="FrankRuehl"/>
          <w:rtl/>
        </w:rPr>
      </w:pPr>
    </w:p>
    <w:p w14:paraId="47AC2F52" w14:textId="77777777" w:rsidR="00A500BC" w:rsidRPr="00A500BC" w:rsidRDefault="00A500BC" w:rsidP="00A500BC">
      <w:pPr>
        <w:spacing w:before="120" w:after="120" w:line="240" w:lineRule="exact"/>
        <w:ind w:left="283" w:hanging="283"/>
        <w:jc w:val="both"/>
        <w:rPr>
          <w:rFonts w:ascii="FrankRuehl" w:hAnsi="FrankRuehl" w:cs="FrankRuehl"/>
          <w:rtl/>
        </w:rPr>
      </w:pPr>
    </w:p>
    <w:p w14:paraId="33A03E59" w14:textId="77777777" w:rsidR="00E07528" w:rsidRDefault="00E07528" w:rsidP="00E07528">
      <w:pPr>
        <w:rPr>
          <w:sz w:val="26"/>
          <w:szCs w:val="26"/>
          <w:rtl/>
        </w:rPr>
      </w:pPr>
      <w:bookmarkStart w:id="3" w:name="LawTable"/>
      <w:bookmarkEnd w:id="3"/>
    </w:p>
    <w:p w14:paraId="2584A2D7" w14:textId="77777777" w:rsidR="00E07528" w:rsidRPr="00E07528" w:rsidRDefault="00E07528" w:rsidP="00E07528">
      <w:pPr>
        <w:spacing w:before="120" w:after="120" w:line="240" w:lineRule="exact"/>
        <w:ind w:left="283" w:hanging="283"/>
        <w:jc w:val="both"/>
        <w:rPr>
          <w:rFonts w:ascii="FrankRuehl" w:hAnsi="FrankRuehl" w:cs="FrankRuehl"/>
          <w:rtl/>
        </w:rPr>
      </w:pPr>
    </w:p>
    <w:p w14:paraId="6C67E905" w14:textId="77777777" w:rsidR="00E07528" w:rsidRPr="00E07528" w:rsidRDefault="00E07528" w:rsidP="00E07528">
      <w:pPr>
        <w:spacing w:before="120" w:after="120" w:line="240" w:lineRule="exact"/>
        <w:ind w:left="283" w:hanging="283"/>
        <w:jc w:val="both"/>
        <w:rPr>
          <w:rFonts w:ascii="FrankRuehl" w:hAnsi="FrankRuehl" w:cs="FrankRuehl"/>
          <w:rtl/>
        </w:rPr>
      </w:pPr>
    </w:p>
    <w:p w14:paraId="696359A1" w14:textId="77777777" w:rsidR="00E07528" w:rsidRPr="00E07528" w:rsidRDefault="00E07528" w:rsidP="00E07528">
      <w:pPr>
        <w:spacing w:before="120" w:after="120" w:line="240" w:lineRule="exact"/>
        <w:ind w:left="283" w:hanging="283"/>
        <w:jc w:val="both"/>
        <w:rPr>
          <w:rFonts w:ascii="FrankRuehl" w:hAnsi="FrankRuehl" w:cs="FrankRuehl"/>
          <w:rtl/>
        </w:rPr>
      </w:pPr>
      <w:r w:rsidRPr="00E07528">
        <w:rPr>
          <w:rFonts w:ascii="FrankRuehl" w:hAnsi="FrankRuehl" w:cs="FrankRuehl"/>
          <w:rtl/>
        </w:rPr>
        <w:t xml:space="preserve">חקיקה שאוזכרה: </w:t>
      </w:r>
    </w:p>
    <w:p w14:paraId="23725639" w14:textId="77777777" w:rsidR="00E07528" w:rsidRPr="00E07528" w:rsidRDefault="00E07528" w:rsidP="00E07528">
      <w:pPr>
        <w:spacing w:before="120" w:after="120" w:line="240" w:lineRule="exact"/>
        <w:ind w:left="283" w:hanging="283"/>
        <w:jc w:val="both"/>
        <w:rPr>
          <w:rFonts w:ascii="FrankRuehl" w:hAnsi="FrankRuehl" w:cs="FrankRuehl"/>
          <w:rtl/>
        </w:rPr>
      </w:pPr>
      <w:hyperlink r:id="rId7" w:history="1">
        <w:r w:rsidRPr="00E07528">
          <w:rPr>
            <w:rFonts w:ascii="FrankRuehl" w:hAnsi="FrankRuehl" w:cs="FrankRuehl"/>
            <w:color w:val="0000FF"/>
            <w:rtl/>
          </w:rPr>
          <w:t>פקודת הסמים המסוכנים [נוסח חדש], תשל"ג-1973</w:t>
        </w:r>
      </w:hyperlink>
      <w:r w:rsidRPr="00E07528">
        <w:rPr>
          <w:rFonts w:ascii="FrankRuehl" w:hAnsi="FrankRuehl" w:cs="FrankRuehl"/>
          <w:rtl/>
        </w:rPr>
        <w:t xml:space="preserve">: סע'  </w:t>
      </w:r>
      <w:hyperlink r:id="rId8" w:history="1">
        <w:r w:rsidRPr="00E07528">
          <w:rPr>
            <w:rFonts w:ascii="FrankRuehl" w:hAnsi="FrankRuehl" w:cs="FrankRuehl"/>
            <w:color w:val="0000FF"/>
            <w:rtl/>
          </w:rPr>
          <w:t>7.א.</w:t>
        </w:r>
      </w:hyperlink>
      <w:r w:rsidRPr="00E07528">
        <w:rPr>
          <w:rFonts w:ascii="FrankRuehl" w:hAnsi="FrankRuehl" w:cs="FrankRuehl"/>
          <w:rtl/>
        </w:rPr>
        <w:t xml:space="preserve">, </w:t>
      </w:r>
      <w:hyperlink r:id="rId9" w:history="1">
        <w:r w:rsidRPr="00E07528">
          <w:rPr>
            <w:rFonts w:ascii="FrankRuehl" w:hAnsi="FrankRuehl" w:cs="FrankRuehl"/>
            <w:color w:val="0000FF"/>
            <w:rtl/>
          </w:rPr>
          <w:t>7.ג</w:t>
        </w:r>
      </w:hyperlink>
      <w:r w:rsidRPr="00E07528">
        <w:rPr>
          <w:rFonts w:ascii="FrankRuehl" w:hAnsi="FrankRuehl" w:cs="FrankRuehl"/>
          <w:rtl/>
        </w:rPr>
        <w:t xml:space="preserve">, </w:t>
      </w:r>
      <w:hyperlink r:id="rId10" w:history="1">
        <w:r w:rsidRPr="00E07528">
          <w:rPr>
            <w:rFonts w:ascii="FrankRuehl" w:hAnsi="FrankRuehl" w:cs="FrankRuehl"/>
            <w:color w:val="0000FF"/>
            <w:rtl/>
          </w:rPr>
          <w:t>10</w:t>
        </w:r>
      </w:hyperlink>
    </w:p>
    <w:p w14:paraId="74628F49" w14:textId="77777777" w:rsidR="00E07528" w:rsidRPr="00E07528" w:rsidRDefault="00E07528" w:rsidP="00E07528">
      <w:pPr>
        <w:spacing w:before="120" w:after="120" w:line="240" w:lineRule="exact"/>
        <w:ind w:left="283" w:hanging="283"/>
        <w:jc w:val="both"/>
        <w:rPr>
          <w:rFonts w:ascii="FrankRuehl" w:hAnsi="FrankRuehl" w:cs="FrankRuehl"/>
          <w:rtl/>
        </w:rPr>
      </w:pPr>
      <w:hyperlink r:id="rId11" w:history="1">
        <w:r w:rsidRPr="00E07528">
          <w:rPr>
            <w:rFonts w:ascii="FrankRuehl" w:hAnsi="FrankRuehl" w:cs="FrankRuehl"/>
            <w:color w:val="0000FF"/>
            <w:rtl/>
          </w:rPr>
          <w:t>חוק העונשין, תשל"ז-1977</w:t>
        </w:r>
      </w:hyperlink>
      <w:r w:rsidRPr="00E07528">
        <w:rPr>
          <w:rFonts w:ascii="FrankRuehl" w:hAnsi="FrankRuehl" w:cs="FrankRuehl"/>
          <w:rtl/>
        </w:rPr>
        <w:t xml:space="preserve">: סע'  </w:t>
      </w:r>
      <w:hyperlink r:id="rId12" w:history="1">
        <w:r w:rsidRPr="00E07528">
          <w:rPr>
            <w:rFonts w:ascii="FrankRuehl" w:hAnsi="FrankRuehl" w:cs="FrankRuehl"/>
            <w:color w:val="0000FF"/>
            <w:rtl/>
          </w:rPr>
          <w:t>40</w:t>
        </w:r>
      </w:hyperlink>
      <w:r w:rsidRPr="00E07528">
        <w:rPr>
          <w:rFonts w:ascii="FrankRuehl" w:hAnsi="FrankRuehl" w:cs="FrankRuehl"/>
          <w:rtl/>
        </w:rPr>
        <w:t xml:space="preserve">, </w:t>
      </w:r>
      <w:hyperlink r:id="rId13" w:history="1">
        <w:r w:rsidRPr="00E07528">
          <w:rPr>
            <w:rFonts w:ascii="FrankRuehl" w:hAnsi="FrankRuehl" w:cs="FrankRuehl"/>
            <w:color w:val="0000FF"/>
            <w:rtl/>
          </w:rPr>
          <w:t>40 ג</w:t>
        </w:r>
      </w:hyperlink>
    </w:p>
    <w:p w14:paraId="041FE7C6" w14:textId="77777777" w:rsidR="00E07528" w:rsidRPr="00E07528" w:rsidRDefault="00E07528" w:rsidP="00E07528">
      <w:pPr>
        <w:spacing w:before="120" w:after="120" w:line="240" w:lineRule="exact"/>
        <w:ind w:left="283" w:hanging="283"/>
        <w:jc w:val="both"/>
        <w:rPr>
          <w:rFonts w:ascii="FrankRuehl" w:hAnsi="FrankRuehl" w:cs="FrankRuehl"/>
          <w:rtl/>
        </w:rPr>
      </w:pPr>
      <w:hyperlink r:id="rId14" w:history="1">
        <w:r w:rsidRPr="00E07528">
          <w:rPr>
            <w:rFonts w:ascii="FrankRuehl" w:hAnsi="FrankRuehl" w:cs="FrankRuehl"/>
            <w:color w:val="0000FF"/>
            <w:rtl/>
          </w:rPr>
          <w:t>פקודת הראיות [נוסח חדש], תשל"א-1971</w:t>
        </w:r>
      </w:hyperlink>
      <w:r w:rsidRPr="00E07528">
        <w:rPr>
          <w:rFonts w:ascii="FrankRuehl" w:hAnsi="FrankRuehl" w:cs="FrankRuehl"/>
          <w:rtl/>
        </w:rPr>
        <w:t xml:space="preserve">: סע'  </w:t>
      </w:r>
      <w:hyperlink r:id="rId15" w:history="1">
        <w:r w:rsidRPr="00E07528">
          <w:rPr>
            <w:rFonts w:ascii="FrankRuehl" w:hAnsi="FrankRuehl" w:cs="FrankRuehl"/>
            <w:color w:val="0000FF"/>
            <w:rtl/>
          </w:rPr>
          <w:t>45</w:t>
        </w:r>
      </w:hyperlink>
    </w:p>
    <w:p w14:paraId="570B3AF8" w14:textId="77777777" w:rsidR="00E07528" w:rsidRPr="00E07528" w:rsidRDefault="00E07528" w:rsidP="00E07528">
      <w:pPr>
        <w:rPr>
          <w:sz w:val="26"/>
          <w:szCs w:val="26"/>
          <w:rtl/>
        </w:rPr>
      </w:pPr>
      <w:bookmarkStart w:id="4" w:name="LawTable_End"/>
      <w:bookmarkEnd w:id="4"/>
    </w:p>
    <w:p w14:paraId="64E22418" w14:textId="77777777" w:rsidR="003C1A2A" w:rsidRPr="00A500BC" w:rsidRDefault="003C1A2A" w:rsidP="00A500B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1A2A" w14:paraId="270E9798" w14:textId="77777777" w:rsidTr="003C1A2A">
        <w:trPr>
          <w:trHeight w:val="355"/>
          <w:jc w:val="center"/>
        </w:trPr>
        <w:tc>
          <w:tcPr>
            <w:tcW w:w="8820" w:type="dxa"/>
            <w:tcBorders>
              <w:top w:val="nil"/>
              <w:left w:val="nil"/>
              <w:bottom w:val="nil"/>
              <w:right w:val="nil"/>
            </w:tcBorders>
            <w:shd w:val="clear" w:color="auto" w:fill="auto"/>
          </w:tcPr>
          <w:p w14:paraId="528F8B0D" w14:textId="77777777" w:rsidR="003D1985" w:rsidRPr="003D1985" w:rsidRDefault="003D1985" w:rsidP="003D1985">
            <w:pPr>
              <w:jc w:val="center"/>
              <w:rPr>
                <w:rFonts w:ascii="David" w:hAnsi="David"/>
                <w:b/>
                <w:bCs/>
                <w:sz w:val="32"/>
                <w:szCs w:val="32"/>
                <w:u w:val="single"/>
                <w:rtl/>
              </w:rPr>
            </w:pPr>
            <w:bookmarkStart w:id="5" w:name="PsakDin" w:colFirst="0" w:colLast="0"/>
            <w:bookmarkEnd w:id="0"/>
            <w:r w:rsidRPr="003D1985">
              <w:rPr>
                <w:rFonts w:ascii="David" w:hAnsi="David"/>
                <w:b/>
                <w:bCs/>
                <w:sz w:val="32"/>
                <w:szCs w:val="32"/>
                <w:u w:val="single"/>
                <w:rtl/>
              </w:rPr>
              <w:t>גזר דין</w:t>
            </w:r>
          </w:p>
          <w:p w14:paraId="67D665DC" w14:textId="77777777" w:rsidR="003C1A2A" w:rsidRPr="003D1985" w:rsidRDefault="003C1A2A" w:rsidP="003D1985">
            <w:pPr>
              <w:jc w:val="center"/>
              <w:rPr>
                <w:rFonts w:ascii="David" w:hAnsi="David"/>
                <w:bCs/>
                <w:sz w:val="32"/>
                <w:szCs w:val="32"/>
                <w:u w:val="single"/>
                <w:rtl/>
              </w:rPr>
            </w:pPr>
          </w:p>
        </w:tc>
      </w:tr>
      <w:bookmarkEnd w:id="5"/>
    </w:tbl>
    <w:p w14:paraId="75DA608E" w14:textId="77777777" w:rsidR="003C1A2A" w:rsidRPr="000F2247" w:rsidRDefault="003C1A2A" w:rsidP="003C1A2A">
      <w:pPr>
        <w:rPr>
          <w:rFonts w:ascii="Arial" w:hAnsi="Arial"/>
          <w:b/>
          <w:bCs/>
          <w:sz w:val="26"/>
          <w:szCs w:val="26"/>
          <w:rtl/>
        </w:rPr>
      </w:pPr>
    </w:p>
    <w:p w14:paraId="55B72C95" w14:textId="77777777" w:rsidR="003C1A2A" w:rsidRPr="00520FC8" w:rsidRDefault="003C1A2A" w:rsidP="003C1A2A">
      <w:pPr>
        <w:spacing w:after="160" w:line="360" w:lineRule="auto"/>
        <w:jc w:val="both"/>
        <w:rPr>
          <w:rFonts w:ascii="David" w:eastAsia="Calibri" w:hAnsi="David"/>
          <w:b/>
          <w:bCs/>
          <w:u w:val="single"/>
          <w:rtl/>
        </w:rPr>
      </w:pPr>
    </w:p>
    <w:p w14:paraId="6F3639DA" w14:textId="77777777" w:rsidR="003C1A2A" w:rsidRPr="00520FC8" w:rsidRDefault="003C1A2A" w:rsidP="003C1A2A">
      <w:pPr>
        <w:spacing w:after="160" w:line="360" w:lineRule="auto"/>
        <w:jc w:val="both"/>
        <w:rPr>
          <w:rFonts w:ascii="David" w:eastAsia="Calibri" w:hAnsi="David"/>
          <w:b/>
          <w:bCs/>
          <w:u w:val="single"/>
          <w:rtl/>
        </w:rPr>
      </w:pPr>
      <w:r w:rsidRPr="00520FC8">
        <w:rPr>
          <w:rFonts w:ascii="David" w:eastAsia="Calibri" w:hAnsi="David"/>
          <w:b/>
          <w:bCs/>
          <w:u w:val="single"/>
          <w:rtl/>
        </w:rPr>
        <w:t>כתב האישום והסדר הטיעון</w:t>
      </w:r>
    </w:p>
    <w:p w14:paraId="0E56455A" w14:textId="77777777" w:rsidR="003C1A2A" w:rsidRPr="00520FC8" w:rsidRDefault="003C1A2A" w:rsidP="003C1A2A">
      <w:pPr>
        <w:spacing w:after="160" w:line="360" w:lineRule="auto"/>
        <w:jc w:val="both"/>
        <w:rPr>
          <w:rFonts w:ascii="David" w:eastAsia="Calibri" w:hAnsi="David"/>
          <w:rtl/>
        </w:rPr>
      </w:pPr>
      <w:bookmarkStart w:id="6" w:name="ABSTRACT_START"/>
      <w:bookmarkEnd w:id="6"/>
      <w:r w:rsidRPr="00520FC8">
        <w:rPr>
          <w:rFonts w:ascii="David" w:eastAsia="Calibri" w:hAnsi="David"/>
          <w:rtl/>
        </w:rPr>
        <w:lastRenderedPageBreak/>
        <w:t xml:space="preserve">הנאשם הורשע על פי הודאתו, במסגרת הסדר טיעון, בעבירות של החזקת סמים שלא לצריכה עצמית לפי </w:t>
      </w:r>
      <w:hyperlink r:id="rId16" w:history="1">
        <w:r w:rsidR="0085458B" w:rsidRPr="0085458B">
          <w:rPr>
            <w:rStyle w:val="Hyperlink"/>
            <w:rFonts w:ascii="David" w:eastAsia="Calibri" w:hAnsi="David"/>
            <w:rtl/>
          </w:rPr>
          <w:t>סעיפים 7(א)+7(ג)</w:t>
        </w:r>
      </w:hyperlink>
      <w:r w:rsidRPr="00520FC8">
        <w:rPr>
          <w:rFonts w:ascii="David" w:eastAsia="Calibri" w:hAnsi="David"/>
          <w:rtl/>
        </w:rPr>
        <w:t xml:space="preserve"> רישא ל</w:t>
      </w:r>
      <w:hyperlink r:id="rId17" w:history="1">
        <w:r w:rsidR="003D1985" w:rsidRPr="003D1985">
          <w:rPr>
            <w:rFonts w:ascii="David" w:eastAsia="Calibri" w:hAnsi="David"/>
            <w:color w:val="0000FF"/>
            <w:u w:val="single"/>
            <w:rtl/>
          </w:rPr>
          <w:t>פקודת הסמים המסוכנים</w:t>
        </w:r>
      </w:hyperlink>
      <w:r w:rsidRPr="00520FC8">
        <w:rPr>
          <w:rFonts w:ascii="David" w:eastAsia="Calibri" w:hAnsi="David"/>
          <w:rtl/>
        </w:rPr>
        <w:t xml:space="preserve"> [נוסח חדש], תשל"ג-1973 (להלן: "הפקודה"), והחזקת כלים להכנת סם לפי </w:t>
      </w:r>
      <w:hyperlink r:id="rId18" w:history="1">
        <w:r w:rsidR="0085458B" w:rsidRPr="0085458B">
          <w:rPr>
            <w:rStyle w:val="Hyperlink"/>
            <w:rFonts w:ascii="David" w:eastAsia="Calibri" w:hAnsi="David"/>
            <w:rtl/>
          </w:rPr>
          <w:t>סעיף 10</w:t>
        </w:r>
      </w:hyperlink>
      <w:r w:rsidRPr="00520FC8">
        <w:rPr>
          <w:rFonts w:ascii="David" w:eastAsia="Calibri" w:hAnsi="David"/>
          <w:rtl/>
        </w:rPr>
        <w:t xml:space="preserve"> רישא לפקודה. </w:t>
      </w:r>
    </w:p>
    <w:p w14:paraId="1EAF4991" w14:textId="77777777" w:rsidR="003C1A2A" w:rsidRPr="00520FC8" w:rsidRDefault="003C1A2A" w:rsidP="003C1A2A">
      <w:pPr>
        <w:spacing w:after="160" w:line="360" w:lineRule="auto"/>
        <w:jc w:val="both"/>
        <w:rPr>
          <w:rFonts w:ascii="David" w:eastAsia="Calibri" w:hAnsi="David"/>
          <w:rtl/>
        </w:rPr>
      </w:pPr>
      <w:bookmarkStart w:id="7" w:name="ABSTRACT_END"/>
      <w:bookmarkEnd w:id="7"/>
      <w:r w:rsidRPr="00520FC8">
        <w:rPr>
          <w:rFonts w:ascii="David" w:eastAsia="Calibri" w:hAnsi="David"/>
          <w:rtl/>
        </w:rPr>
        <w:t>כתב האישום, אשר תוקן במסגרת ההסדר, מתאר כי ביום 29.11.23, במהלך חיפוש בדירה בה מתגוררים הנאשם ובת זוגו, החזיק הנאשם בארונות המטבח וחדר השינה ב- 5,913 גרם נטו של סם מסוכן מסוג קנביס, ו-822,83 גרם סם מסוכן מסוג חשיש. הסמים היו מחולקים ליחידות רבות.</w:t>
      </w:r>
    </w:p>
    <w:p w14:paraId="45A5F82C"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עוד החזיק הנאשם בדירה 6 משקלים דיגיטליים, כרטיס סים לטלפון נייד, 119 קופסאות ריקות עם כיתוב "קנאביס רפואי" וקופסאות קרטון המכילות שקיות חלוקה רבות לסם.</w:t>
      </w:r>
    </w:p>
    <w:p w14:paraId="0B2E882E"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הסדר הטיעון לא כלל הסכמה לעניין העונש, ולכן הנאשם נשלח לשירות המבחן לצורך הכנת תסקיר, ולאחר מכן הצדדים טענו את טיעוניהם לעונש.</w:t>
      </w:r>
    </w:p>
    <w:p w14:paraId="132AF82C" w14:textId="77777777" w:rsidR="003C1A2A" w:rsidRDefault="003C1A2A" w:rsidP="003C1A2A">
      <w:pPr>
        <w:spacing w:after="160" w:line="360" w:lineRule="auto"/>
        <w:jc w:val="both"/>
        <w:rPr>
          <w:rFonts w:ascii="David" w:eastAsia="Calibri" w:hAnsi="David"/>
          <w:rtl/>
        </w:rPr>
      </w:pPr>
    </w:p>
    <w:p w14:paraId="727F70F2" w14:textId="77777777" w:rsidR="003C1A2A" w:rsidRPr="00520FC8" w:rsidRDefault="003C1A2A" w:rsidP="003C1A2A">
      <w:pPr>
        <w:spacing w:after="160" w:line="360" w:lineRule="auto"/>
        <w:jc w:val="both"/>
        <w:rPr>
          <w:rFonts w:ascii="David" w:eastAsia="Calibri" w:hAnsi="David"/>
          <w:rtl/>
        </w:rPr>
      </w:pPr>
    </w:p>
    <w:p w14:paraId="1E1CE043" w14:textId="77777777" w:rsidR="003C1A2A" w:rsidRPr="00520FC8" w:rsidRDefault="003C1A2A" w:rsidP="003C1A2A">
      <w:pPr>
        <w:spacing w:after="160" w:line="360" w:lineRule="auto"/>
        <w:jc w:val="both"/>
        <w:rPr>
          <w:rFonts w:ascii="David" w:eastAsia="Calibri" w:hAnsi="David"/>
          <w:b/>
          <w:bCs/>
          <w:u w:val="single"/>
          <w:rtl/>
        </w:rPr>
      </w:pPr>
      <w:r w:rsidRPr="00520FC8">
        <w:rPr>
          <w:rFonts w:ascii="David" w:eastAsia="Calibri" w:hAnsi="David"/>
          <w:b/>
          <w:bCs/>
          <w:u w:val="single"/>
          <w:rtl/>
        </w:rPr>
        <w:t>תסקיר שירות המבחן</w:t>
      </w:r>
    </w:p>
    <w:p w14:paraId="54D436FE"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שירות המבחן ערך תסקיר בעניינו של הנאשם ביום 1.9.24, לאחר שנערכה עמו שיחה בבית המעצר "מגרש הרוסים".</w:t>
      </w:r>
    </w:p>
    <w:p w14:paraId="6C4E8124"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מן התסקיר עולה שהנאשם, בן 32, מאורס כשנתיים, עצור מזה כתשעה חודשים. טרם מעצרו לא עבד והתגורר עם בת זוגו בשכונת "ארמון הנציב" בירושלים. </w:t>
      </w:r>
    </w:p>
    <w:p w14:paraId="1ABD3E3D"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הנאשם נולד וגדל בשכונת "נווה יעקב", וכאשר היה בן 8 שנים, הוריו עברו תהליך של התקרבות לדת באופן חד.</w:t>
      </w:r>
    </w:p>
    <w:p w14:paraId="69095CE2"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בהיותו כבן 15 שנה, החלה מעורבותו הפלילית והשולית, לאחר שנחשף בסביבתו לעולם הפשע, הסמים והאלימות. מגיל 12 ועד השירות הצבאי, שיחק כדורגל, וכך פחתה מעורבותו בחברה שולית.</w:t>
      </w:r>
    </w:p>
    <w:p w14:paraId="273D492F"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הנאשם סיים 12 שנות לימוד, ללא תעודת בגרות, חווה חוסר יציבות ומעברים בין מסגרות לימוד שונות, בין השאר על רקע קשייו בלימוד במוסד דתי. בהמשך, למד בפרויקט "יובל", בתיכון מקצועי המשלב לימודים ועבודה בשכר. </w:t>
      </w:r>
    </w:p>
    <w:p w14:paraId="752D45F2"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במשך שנתיים שירת בצה"ל כטבח, במסגרת גיוס לקידום אוכלוסיות מיוחדות, תוך שחש תחושת אכזבה כאשר לא התאפשר לו לשרת במסלול של ספורטאי. הוא ריצה מאסר צבאי על רקע נפקדות ולאחר כשנתיים קיבל פטור, על אף ששאף להשלים את השירות הצבאי. </w:t>
      </w:r>
    </w:p>
    <w:p w14:paraId="64E145C1"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לאחר השחרור מהצבא, עבד בתחום המסעדנות במשך כ-3 שנים ולאחר מכן פתח עסק בתחום המזון בקניון, בתמיכתם הכספית של הוריו. עם פרוץ משבר הבריאות העולמי, העסק נקלע לקשיים  </w:t>
      </w:r>
      <w:r w:rsidRPr="00520FC8">
        <w:rPr>
          <w:rFonts w:ascii="David" w:eastAsia="Calibri" w:hAnsi="David"/>
          <w:rtl/>
        </w:rPr>
        <w:lastRenderedPageBreak/>
        <w:t>ולאחר כחצי שנה, הוא נאלץ לסגור אותו והתמודד עם חובות כספיים והסדרי חובות בהוצאה לפועל. אלה גררו תחושות של אכזבה וכישלון ואז, החלה התמכרותו לסמים.</w:t>
      </w:r>
    </w:p>
    <w:p w14:paraId="313DEC3C"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הנאשם נעצר בגין עבירות סחר בסמים וכאשר היה בן 29 שולב ביחידה לטיפול בהתמכרויות בשירות המבחן למשך שנה וחצי, וחזר לעבוד. לדבריו, מזה כשנתיים וחצי, אינו צורך עוד סמים.</w:t>
      </w:r>
    </w:p>
    <w:p w14:paraId="2F9C7B96"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בהיותו בן כ- 31 שנה ובתקופת פרוץ המלחמה הנוכחית, הפסיק לעבוד על רקע התקופה ומצבו החל להידרדר.</w:t>
      </w:r>
    </w:p>
    <w:p w14:paraId="213DEF67"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הנאשם עשה בעבר שימוש באלכוהול, דבר שבא לידי ביטוי גם במעורבותו בפלילים בעבירת אלימות, ובשנת 2018 שולב בטיפול גמילה באלכוהול באמצעות שירות המבחן.</w:t>
      </w:r>
    </w:p>
    <w:p w14:paraId="601607F3"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במשפחתו, הנאשם הוא תאום והשלישי בין ארבעה אחים ואחות. במשך השנים הבית התאפיין בחוסר יציבות כלכלית. אחד מאחיו התמודד עם קשיים במשך השנים וריצה מאסר בגין עבירות אלימות, והדבר משפיע על כל בני המשפחה. שאר אחיו מקיימים אורח חיים נורמטיבי ללא מעורבות בפלילים, והקשר איתם תקין.</w:t>
      </w:r>
    </w:p>
    <w:p w14:paraId="483BE4B2"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שירות המבחן ציין כי במהלך השנים, הנאשם היה בטיפולם. בשנת 2018, טופל בעקבות הרשעה קודמת בעבירות אלימות והשתלב בהצלחה בטיפול בהתמכרות והשלים את הטיפול בהצלחה. בשנת 2021, בעקבות מעורבות נוספת בעבירות, שולב ביחידת של"מ לטיפול בהתמכרויות, אך הפעם הטיפול ידע עליות ומורדות. </w:t>
      </w:r>
    </w:p>
    <w:p w14:paraId="3CC15E53"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ביחס לעבירות כאן, הנאשם מסר כי ברקע לעבירות, תקופה מורכבת הן מבחינה כלכלית והן מבחינה רגשית, לנוכח המלחמה. הנאשם מכיר באופן אישי מספר חטופים והרוגים. עם זאת, הנאשם הביע חרטה על מעשיו וביטא חשש באשר לאפשרות שעם שחרורו ממעצר, ישוב לבצע עבירות, אם לא ישולב בטיפול.</w:t>
      </w:r>
    </w:p>
    <w:p w14:paraId="614C71F0"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שירות המבחן התרשם כי ברקע לביצוע העבירות, דפוסים עוברי חוק שהשתרשו לאורך השנים וקשיים אישיים נוספים. עוד נכתב שהנאשם נוטה לפעול מתוך דחף ומתקשה לבחון לעומק את השלכות מעשיו.</w:t>
      </w:r>
    </w:p>
    <w:p w14:paraId="4CBBF195"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שירות המבחן עמד על הסיכון לעבריינות הנובע מהנאשם ומסר שנסיבות חייו, </w:t>
      </w:r>
      <w:r w:rsidRPr="00520FC8">
        <w:rPr>
          <w:rFonts w:ascii="David" w:eastAsia="Calibri" w:hAnsi="David"/>
          <w:u w:val="single"/>
          <w:rtl/>
        </w:rPr>
        <w:t>העובדה שנעצר בתיק הנוכחי במהלך תקופת צו מבחן</w:t>
      </w:r>
      <w:r w:rsidRPr="00520FC8">
        <w:rPr>
          <w:rFonts w:ascii="David" w:eastAsia="Calibri" w:hAnsi="David"/>
          <w:rtl/>
        </w:rPr>
        <w:t xml:space="preserve"> ושענישה לא מהווה גורם מרתיע עבורו בעבר, נוסף לדפוסי התנהגות עוברי חוק וחבירה לחברה עוברת חוק- כל אלה מהווים גורמי סיכון להישנות עבירות בעתיד.</w:t>
      </w:r>
    </w:p>
    <w:p w14:paraId="612FC276"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עם זאת, הוא מבטא רצון לניהול אורח חיים תיקון וביטא חרטה על מעשיו ורצון להשתלב בהליך טיפולי ולדבריו, מזה כשנתיים וחצי לא צורך סמים.  </w:t>
      </w:r>
    </w:p>
    <w:p w14:paraId="004400D6"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לבסוף, שירות המבחן מסר כי על רקע חומרת העבירות והתרשמות מדפוסיו של הנאשם וחוסר ההרתעה מענישה בעבר, קיים סיכון להישנות עבירות בעתיד. לכן, ולנוכח חוסר הלימה בין ביטוי רצון לשינוי לבין יכולתו לגיוס כוחות בפועל, לא בא שירות המבחן בהמלצה טיפולית בענייננו והומלץ כי ישולב בהליך טיפולי במסגרת שירות בתי הסוהר. </w:t>
      </w:r>
    </w:p>
    <w:p w14:paraId="4BE0CEA9" w14:textId="77777777" w:rsidR="003C1A2A" w:rsidRPr="00520FC8" w:rsidRDefault="003C1A2A" w:rsidP="003C1A2A">
      <w:pPr>
        <w:spacing w:after="160" w:line="360" w:lineRule="auto"/>
        <w:jc w:val="both"/>
        <w:rPr>
          <w:rFonts w:ascii="David" w:eastAsia="Calibri" w:hAnsi="David"/>
          <w:rtl/>
        </w:rPr>
      </w:pPr>
    </w:p>
    <w:p w14:paraId="0A64F6BA" w14:textId="77777777" w:rsidR="003C1A2A" w:rsidRPr="00520FC8" w:rsidRDefault="003C1A2A" w:rsidP="003C1A2A">
      <w:pPr>
        <w:spacing w:after="160" w:line="360" w:lineRule="auto"/>
        <w:jc w:val="both"/>
        <w:rPr>
          <w:rFonts w:ascii="David" w:eastAsia="Calibri" w:hAnsi="David"/>
          <w:b/>
          <w:bCs/>
          <w:u w:val="single"/>
          <w:rtl/>
        </w:rPr>
      </w:pPr>
      <w:r w:rsidRPr="00520FC8">
        <w:rPr>
          <w:rFonts w:ascii="David" w:eastAsia="Calibri" w:hAnsi="David"/>
          <w:b/>
          <w:bCs/>
          <w:u w:val="single"/>
          <w:rtl/>
        </w:rPr>
        <w:t>הטיעונים לעונש</w:t>
      </w:r>
    </w:p>
    <w:p w14:paraId="5E59EA73"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המאשימה הגישה בראשית טיעוניה את גיליון הרשעותיו הפלילי של הנאשם וציינה שעבודות השירות אשר נגזרו עליו ב</w:t>
      </w:r>
      <w:hyperlink r:id="rId19" w:history="1">
        <w:r w:rsidR="003D1985" w:rsidRPr="003D1985">
          <w:rPr>
            <w:rFonts w:ascii="David" w:eastAsia="Calibri" w:hAnsi="David"/>
            <w:color w:val="0000FF"/>
            <w:u w:val="single"/>
            <w:rtl/>
          </w:rPr>
          <w:t>ת"פ 23443-04-21</w:t>
        </w:r>
      </w:hyperlink>
      <w:r w:rsidRPr="00520FC8">
        <w:rPr>
          <w:rFonts w:ascii="David" w:eastAsia="Calibri" w:hAnsi="David"/>
          <w:rtl/>
        </w:rPr>
        <w:t xml:space="preserve"> הופקעו והנאשם נידון ל-5 חודשי מאסר בפועל בתאריך 4.3.24. על כן, בהתאם לחוק, כל עונש המתבקש כאן מתבקש במצטבר לכך.</w:t>
      </w:r>
    </w:p>
    <w:p w14:paraId="3A84366A"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המאשימה טענה כי עובדות כתב האישום המתוקן מוכיחות שהנאשם פעל באופן שוטף על מנת להפיץ את הסמים בקרב החברה והתכוון לסחור בסם, ולכן </w:t>
      </w:r>
      <w:r w:rsidRPr="00520FC8">
        <w:rPr>
          <w:rFonts w:ascii="David" w:eastAsia="Calibri" w:hAnsi="David"/>
          <w:b/>
          <w:bCs/>
          <w:rtl/>
        </w:rPr>
        <w:t xml:space="preserve">מתחם העונש ההולם נע במקרה זה בין 12 -36 חודשי מאסר בפועל. </w:t>
      </w:r>
    </w:p>
    <w:p w14:paraId="7D2844EA"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לחובת הנאשם עבר פלילי הכולל 2 הרשעות קודמות, כאשר באחרונה חרג בית המשפט משיקולי שיקום, אך בחלוף חודשיים בלבד, הנאשם שב לסורו וגזר הדין של עבודות השירות הופקע וכעת הנאשם מרצה עונש מאסר בפועל, תחתיו.</w:t>
      </w:r>
    </w:p>
    <w:p w14:paraId="0CE8BEFF"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הנאשם לא השכיל לנצל את ההזדמנות שניתנה לו, שב לסורו במהירות וגם המאסרים המותנים והפסילה לא הרתיעוהו. מתוך שני המאסרים המותנים, אחד הוא חב הפעלה.</w:t>
      </w:r>
    </w:p>
    <w:p w14:paraId="57F3E506"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הנאשם הוכיח במעשיו שדבר לא מרתיע אותו ולכן יש להעמידו במקום ולשים סוף למעשיו.</w:t>
      </w:r>
    </w:p>
    <w:p w14:paraId="42A5ED59"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לפיכך, ביקשה המאשימה למקם את הנאשם בחלקו </w:t>
      </w:r>
      <w:r w:rsidRPr="00520FC8">
        <w:rPr>
          <w:rFonts w:ascii="David" w:eastAsia="Calibri" w:hAnsi="David"/>
          <w:b/>
          <w:bCs/>
          <w:u w:val="single"/>
          <w:rtl/>
        </w:rPr>
        <w:t>המרכזי-עליון</w:t>
      </w:r>
      <w:r w:rsidRPr="00520FC8">
        <w:rPr>
          <w:rFonts w:ascii="David" w:eastAsia="Calibri" w:hAnsi="David"/>
          <w:rtl/>
        </w:rPr>
        <w:t xml:space="preserve"> של המתחם </w:t>
      </w:r>
      <w:r w:rsidRPr="00520FC8">
        <w:rPr>
          <w:rFonts w:ascii="David" w:eastAsia="Calibri" w:hAnsi="David"/>
          <w:b/>
          <w:bCs/>
          <w:rtl/>
        </w:rPr>
        <w:t>ולהשית עליו 19 חודשי מאסר בפועל,</w:t>
      </w:r>
      <w:r w:rsidRPr="00520FC8">
        <w:rPr>
          <w:rFonts w:ascii="David" w:eastAsia="Calibri" w:hAnsi="David"/>
          <w:rtl/>
        </w:rPr>
        <w:t xml:space="preserve"> מאסר מותנה במצטבר, סך הכל 24 חודשי מאסר בפועל במצטבר לעונש שהופקע לו. כמו כן ביקשה להשית עליו מאסר מותנה בן לפחות 6 חודשים, לנוכח העובדה שמאסר מותנה קודם בן 5 חודשים, לא הרתיע אותו.</w:t>
      </w:r>
    </w:p>
    <w:p w14:paraId="728F44D3"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עוד ביקשה המאשימה להפעיל את הפסילה המותנית ולגזור עליו פסילת רישיון נהיגה בפועל, פסילה נוספת על תנאי, התחייבות, קנס והכרזה על הנאשם כסוחר סמים, חילוט והשמדת המוצגים.</w:t>
      </w:r>
    </w:p>
    <w:p w14:paraId="7D503627" w14:textId="77777777" w:rsidR="003C1A2A" w:rsidRPr="00520FC8" w:rsidRDefault="003C1A2A" w:rsidP="003C1A2A">
      <w:pPr>
        <w:spacing w:after="160" w:line="360" w:lineRule="auto"/>
        <w:jc w:val="both"/>
        <w:rPr>
          <w:rFonts w:ascii="David" w:eastAsia="Calibri" w:hAnsi="David"/>
          <w:rtl/>
        </w:rPr>
      </w:pPr>
    </w:p>
    <w:p w14:paraId="093A7EC4" w14:textId="77777777" w:rsidR="003C1A2A" w:rsidRPr="00520FC8" w:rsidRDefault="003C1A2A" w:rsidP="003C1A2A">
      <w:pPr>
        <w:spacing w:after="160" w:line="360" w:lineRule="auto"/>
        <w:jc w:val="both"/>
        <w:rPr>
          <w:rFonts w:ascii="David" w:eastAsia="Calibri" w:hAnsi="David"/>
          <w:b/>
          <w:bCs/>
          <w:rtl/>
        </w:rPr>
      </w:pPr>
      <w:r w:rsidRPr="00520FC8">
        <w:rPr>
          <w:rFonts w:ascii="David" w:eastAsia="Calibri" w:hAnsi="David"/>
          <w:b/>
          <w:bCs/>
          <w:rtl/>
        </w:rPr>
        <w:t>הסנגור טען שלדברי המאשימה אין דבר וחצי דבר עם נסיבות התיק הספציפי.</w:t>
      </w:r>
    </w:p>
    <w:p w14:paraId="241DDDC7"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לדבריו, הסמים אכן נתפסו בבית הנאשם, אך הוא החזיק אותם לפרק זמן קצר ביותר, עד שהמשטרה נכנסה לבית, והוא לא התכוון למכור את הסמים, שכן הם לא היו שלו. לכן, הגם שהנאשם הודה במיוחס לו, יש השלכה לכך שמדובר בסמים שהנאשם החזיק עבור אדם אחר ומדובר בהחזקה "רגעית", כפי שעולה מחומר הראיות.</w:t>
      </w:r>
    </w:p>
    <w:p w14:paraId="28D1D417" w14:textId="77777777" w:rsidR="003C1A2A" w:rsidRPr="00520FC8" w:rsidRDefault="003C1A2A" w:rsidP="003C1A2A">
      <w:pPr>
        <w:spacing w:after="160" w:line="360" w:lineRule="auto"/>
        <w:jc w:val="both"/>
        <w:rPr>
          <w:rFonts w:ascii="David" w:eastAsia="Calibri" w:hAnsi="David"/>
          <w:b/>
          <w:bCs/>
          <w:rtl/>
        </w:rPr>
      </w:pPr>
      <w:r w:rsidRPr="00520FC8">
        <w:rPr>
          <w:rFonts w:ascii="David" w:eastAsia="Calibri" w:hAnsi="David"/>
          <w:rtl/>
        </w:rPr>
        <w:t xml:space="preserve">הסנגור הוסיף, כי מתחם הענישה לו טענה המאשימה מבוסס על גזרי דין שבהם הנסיבות היו חמורות לאין ערוך. </w:t>
      </w:r>
      <w:r w:rsidRPr="00520FC8">
        <w:rPr>
          <w:rFonts w:ascii="David" w:eastAsia="Calibri" w:hAnsi="David"/>
          <w:b/>
          <w:bCs/>
          <w:rtl/>
        </w:rPr>
        <w:t>בעניינו, נטען, מתחם העונש ההולם נע בין 6 ל-10 חודשים ואת הנאשם יש למקם בתחתית מתחם הענישה, ולא להפעיל את המאסר המותנה.</w:t>
      </w:r>
    </w:p>
    <w:p w14:paraId="14C2440F" w14:textId="77777777" w:rsidR="003C1A2A" w:rsidRPr="00520FC8" w:rsidRDefault="003C1A2A" w:rsidP="003C1A2A">
      <w:pPr>
        <w:spacing w:after="160" w:line="360" w:lineRule="auto"/>
        <w:jc w:val="both"/>
        <w:rPr>
          <w:rFonts w:ascii="David" w:eastAsia="Calibri" w:hAnsi="David"/>
          <w:u w:val="single"/>
          <w:rtl/>
        </w:rPr>
      </w:pPr>
    </w:p>
    <w:p w14:paraId="7BB9B4C9" w14:textId="77777777" w:rsidR="003C1A2A" w:rsidRPr="00520FC8" w:rsidRDefault="003C1A2A" w:rsidP="003C1A2A">
      <w:pPr>
        <w:spacing w:after="160" w:line="360" w:lineRule="auto"/>
        <w:jc w:val="both"/>
        <w:rPr>
          <w:rFonts w:ascii="David" w:eastAsia="Calibri" w:hAnsi="David"/>
          <w:b/>
          <w:bCs/>
          <w:u w:val="single"/>
          <w:rtl/>
        </w:rPr>
      </w:pPr>
      <w:r w:rsidRPr="00520FC8">
        <w:rPr>
          <w:rFonts w:ascii="David" w:eastAsia="Calibri" w:hAnsi="David"/>
          <w:b/>
          <w:bCs/>
          <w:u w:val="single"/>
          <w:rtl/>
        </w:rPr>
        <w:t>דיון והכרעה</w:t>
      </w:r>
    </w:p>
    <w:p w14:paraId="1E596BD9" w14:textId="77777777" w:rsidR="003C1A2A" w:rsidRPr="00520FC8" w:rsidRDefault="003D1985" w:rsidP="003C1A2A">
      <w:pPr>
        <w:spacing w:after="160" w:line="360" w:lineRule="auto"/>
        <w:jc w:val="both"/>
        <w:rPr>
          <w:rFonts w:ascii="Calibri" w:eastAsia="Calibri" w:hAnsi="Calibri" w:cs="Arial"/>
          <w:rtl/>
        </w:rPr>
      </w:pPr>
      <w:hyperlink r:id="rId20" w:history="1">
        <w:r w:rsidRPr="003D1985">
          <w:rPr>
            <w:rFonts w:ascii="David" w:eastAsia="Calibri" w:hAnsi="David"/>
            <w:color w:val="0000FF"/>
            <w:u w:val="single"/>
            <w:rtl/>
          </w:rPr>
          <w:t>חוק העונשין</w:t>
        </w:r>
      </w:hyperlink>
      <w:r w:rsidR="003C1A2A" w:rsidRPr="00520FC8">
        <w:rPr>
          <w:rFonts w:ascii="David" w:eastAsia="Calibri" w:hAnsi="David"/>
          <w:color w:val="000000"/>
          <w:rtl/>
        </w:rPr>
        <w:t xml:space="preserve"> קובע, כי העיקרון המנחה בענישה הוא קיומו של יחס הולם בין חומרת מעשה העבירה בנסיבותיו ומידת אשמו של הנאשם ובין סוג ומידת העונש המוטל עליו.</w:t>
      </w:r>
    </w:p>
    <w:p w14:paraId="678B1BCD" w14:textId="77777777" w:rsidR="003C1A2A" w:rsidRPr="00520FC8" w:rsidRDefault="003C1A2A" w:rsidP="003C1A2A">
      <w:pPr>
        <w:spacing w:after="160" w:line="360" w:lineRule="auto"/>
        <w:jc w:val="both"/>
        <w:rPr>
          <w:rFonts w:ascii="Calibri" w:eastAsia="Calibri" w:hAnsi="Calibri" w:cs="Arial"/>
          <w:rtl/>
        </w:rPr>
      </w:pPr>
      <w:r w:rsidRPr="00520FC8">
        <w:rPr>
          <w:rFonts w:ascii="David" w:eastAsia="Calibri" w:hAnsi="David"/>
          <w:color w:val="000000"/>
          <w:rtl/>
        </w:rPr>
        <w:t>בהתאם לעיקרון זה,</w:t>
      </w:r>
      <w:r w:rsidR="003D1985">
        <w:rPr>
          <w:rFonts w:ascii="David" w:eastAsia="Calibri" w:hAnsi="David"/>
          <w:color w:val="000000"/>
          <w:rtl/>
        </w:rPr>
        <w:t xml:space="preserve"> </w:t>
      </w:r>
      <w:r w:rsidRPr="00520FC8">
        <w:rPr>
          <w:rFonts w:ascii="David" w:eastAsia="Calibri" w:hAnsi="David"/>
          <w:color w:val="000000"/>
          <w:rtl/>
        </w:rPr>
        <w:t xml:space="preserve"> בית המשפט קובע מתחם עונש הולם למעשה העבירה, ולשם כך מתחשב בערך החברתי שנפגע מביצוע העבירה, במידת הפגיעה בו, במדיניות הענישה הנהוגה ובנסיבות הקשורות בביצוע העבירה (ראו </w:t>
      </w:r>
      <w:hyperlink r:id="rId21" w:history="1">
        <w:r w:rsidR="0085458B" w:rsidRPr="0085458B">
          <w:rPr>
            <w:rStyle w:val="Hyperlink"/>
            <w:rFonts w:ascii="David" w:eastAsia="Calibri" w:hAnsi="David"/>
            <w:rtl/>
          </w:rPr>
          <w:t>סעיפים 40</w:t>
        </w:r>
      </w:hyperlink>
      <w:r w:rsidRPr="00520FC8">
        <w:rPr>
          <w:rFonts w:ascii="David" w:eastAsia="Calibri" w:hAnsi="David"/>
          <w:color w:val="000000"/>
          <w:rtl/>
        </w:rPr>
        <w:t xml:space="preserve"> ב ו-</w:t>
      </w:r>
      <w:hyperlink r:id="rId22" w:history="1">
        <w:r w:rsidR="0085458B" w:rsidRPr="0085458B">
          <w:rPr>
            <w:rStyle w:val="Hyperlink"/>
            <w:rFonts w:ascii="David" w:eastAsia="Calibri" w:hAnsi="David"/>
            <w:rtl/>
          </w:rPr>
          <w:t>40 ג</w:t>
        </w:r>
      </w:hyperlink>
      <w:r w:rsidRPr="00520FC8">
        <w:rPr>
          <w:rFonts w:ascii="David" w:eastAsia="Calibri" w:hAnsi="David"/>
          <w:color w:val="000000"/>
          <w:rtl/>
        </w:rPr>
        <w:t xml:space="preserve"> ל</w:t>
      </w:r>
      <w:hyperlink r:id="rId23" w:history="1">
        <w:r w:rsidR="003D1985" w:rsidRPr="003D1985">
          <w:rPr>
            <w:rFonts w:ascii="David" w:eastAsia="Calibri" w:hAnsi="David"/>
            <w:color w:val="0000FF"/>
            <w:u w:val="single"/>
            <w:rtl/>
          </w:rPr>
          <w:t>חוק העונשין</w:t>
        </w:r>
      </w:hyperlink>
      <w:r w:rsidRPr="00520FC8">
        <w:rPr>
          <w:rFonts w:ascii="David" w:eastAsia="Calibri" w:hAnsi="David"/>
          <w:color w:val="000000"/>
          <w:rtl/>
        </w:rPr>
        <w:t xml:space="preserve">, התשל"ז-1977). </w:t>
      </w:r>
    </w:p>
    <w:p w14:paraId="5EB67B9C" w14:textId="77777777" w:rsidR="003C1A2A" w:rsidRPr="00520FC8" w:rsidRDefault="003C1A2A" w:rsidP="003C1A2A">
      <w:pPr>
        <w:spacing w:after="160" w:line="360" w:lineRule="atLeast"/>
        <w:jc w:val="both"/>
        <w:rPr>
          <w:rFonts w:cs="Times New Roman"/>
          <w:color w:val="000000"/>
          <w:rtl/>
        </w:rPr>
      </w:pPr>
      <w:r w:rsidRPr="00520FC8">
        <w:rPr>
          <w:rFonts w:ascii="David" w:hAnsi="David"/>
          <w:color w:val="000000"/>
          <w:rtl/>
        </w:rPr>
        <w:t>הנאשם הורשע בעבירה של החזקת סמים שלא לשימוש עצמי והחזקת כלים להכנת סמים, בהן מוגן הערך החברתי של הגנה על הציבור מפני נגע סמים.</w:t>
      </w:r>
    </w:p>
    <w:p w14:paraId="19B0FE58" w14:textId="77777777" w:rsidR="003C1A2A" w:rsidRPr="00520FC8" w:rsidRDefault="003C1A2A" w:rsidP="003C1A2A">
      <w:pPr>
        <w:spacing w:after="160" w:line="360" w:lineRule="atLeast"/>
        <w:jc w:val="both"/>
        <w:rPr>
          <w:rFonts w:cs="Times New Roman"/>
          <w:color w:val="000000"/>
          <w:rtl/>
        </w:rPr>
      </w:pPr>
      <w:r w:rsidRPr="00520FC8">
        <w:rPr>
          <w:rFonts w:ascii="David" w:hAnsi="David"/>
          <w:color w:val="000000"/>
          <w:rtl/>
        </w:rPr>
        <w:t>הסמים פוגעים בחלקים נרחבים באוכלוסייה. הם פוגעים בבריאות המשתמשים בהם, אשר לא אחת מתדרדרים להתמכרות, לתופעות התנהגותיות שוליות כעבריינות נלוות בתחום הרכוש והאלימות, וכך מזיקים לא רק למשתמשים עצמם אלא גם למעגלים הקרובים להם, למשפחותיהם ולציבור בכללותו.</w:t>
      </w:r>
    </w:p>
    <w:p w14:paraId="361A344F" w14:textId="77777777" w:rsidR="003C1A2A" w:rsidRPr="00520FC8" w:rsidRDefault="003C1A2A" w:rsidP="003C1A2A">
      <w:pPr>
        <w:spacing w:after="160" w:line="360" w:lineRule="atLeast"/>
        <w:jc w:val="both"/>
        <w:rPr>
          <w:rFonts w:cs="Times New Roman"/>
          <w:color w:val="000000"/>
          <w:rtl/>
        </w:rPr>
      </w:pPr>
      <w:r w:rsidRPr="00520FC8">
        <w:rPr>
          <w:rFonts w:ascii="David" w:hAnsi="David"/>
          <w:color w:val="000000"/>
          <w:rtl/>
        </w:rPr>
        <w:t>עבירות הפצת הסמים הן אלה ההופכות את הסמים זמינים ונפוצים לכל, ומכאן החומרה הרבה בהן. משום כך, ככל שמבצע העבירה ממוקם גבוה יותר בשרשרת הפצת הסם, חלקו בעבירה רב יותר וכך גם חומרת מעשיו.</w:t>
      </w:r>
      <w:r w:rsidRPr="00520FC8">
        <w:rPr>
          <w:rFonts w:cs="Times New Roman"/>
          <w:color w:val="000000"/>
          <w:rtl/>
        </w:rPr>
        <w:t xml:space="preserve"> </w:t>
      </w:r>
    </w:p>
    <w:p w14:paraId="26559956" w14:textId="77777777" w:rsidR="003C1A2A" w:rsidRPr="00520FC8" w:rsidRDefault="003C1A2A" w:rsidP="003C1A2A">
      <w:pPr>
        <w:spacing w:after="160" w:line="360" w:lineRule="atLeast"/>
        <w:jc w:val="both"/>
        <w:rPr>
          <w:rFonts w:cs="Times New Roman"/>
          <w:color w:val="000000"/>
          <w:rtl/>
        </w:rPr>
      </w:pPr>
      <w:r w:rsidRPr="00520FC8">
        <w:rPr>
          <w:rFonts w:ascii="David" w:hAnsi="David"/>
          <w:color w:val="000000"/>
          <w:rtl/>
        </w:rPr>
        <w:t xml:space="preserve">בתי המשפט רואים בחומרה את העבירות בתחום זה, ועל פי רוב בעת בחינת שיקולי הענישה השונים, יגבר האינטרס הציבורי - חברתי וההכרח במלחמת החורמה בנגע הסמים, על פני שיקוליהם האישיים של הנאשמים (ר' רע"פ </w:t>
      </w:r>
      <w:hyperlink r:id="rId24" w:history="1">
        <w:r w:rsidR="00A500BC" w:rsidRPr="00A500BC">
          <w:rPr>
            <w:rFonts w:ascii="David" w:hAnsi="David"/>
            <w:color w:val="0000FF"/>
            <w:u w:val="single"/>
            <w:rtl/>
          </w:rPr>
          <w:t xml:space="preserve">2681/15 </w:t>
        </w:r>
      </w:hyperlink>
      <w:r w:rsidRPr="00520FC8">
        <w:rPr>
          <w:rFonts w:ascii="David" w:hAnsi="David"/>
          <w:b/>
          <w:bCs/>
          <w:color w:val="000000"/>
          <w:rtl/>
        </w:rPr>
        <w:t xml:space="preserve"> בן שטרית נ' מדינת ישראל</w:t>
      </w:r>
      <w:r w:rsidRPr="00520FC8">
        <w:rPr>
          <w:rFonts w:ascii="David" w:hAnsi="David"/>
          <w:color w:val="000000"/>
          <w:rtl/>
        </w:rPr>
        <w:t>,</w:t>
      </w:r>
      <w:r w:rsidR="003D1985">
        <w:rPr>
          <w:rFonts w:ascii="David" w:hAnsi="David"/>
          <w:color w:val="000000"/>
          <w:rtl/>
        </w:rPr>
        <w:t xml:space="preserve"> </w:t>
      </w:r>
      <w:r w:rsidRPr="00520FC8">
        <w:rPr>
          <w:rFonts w:ascii="David" w:hAnsi="David"/>
          <w:color w:val="000000"/>
          <w:rtl/>
        </w:rPr>
        <w:t>[פורסם בנבו]</w:t>
      </w:r>
      <w:r w:rsidR="003D1985">
        <w:rPr>
          <w:rFonts w:ascii="David" w:hAnsi="David"/>
          <w:color w:val="000000"/>
          <w:rtl/>
        </w:rPr>
        <w:t xml:space="preserve"> </w:t>
      </w:r>
      <w:r w:rsidRPr="00520FC8">
        <w:rPr>
          <w:rFonts w:ascii="David" w:hAnsi="David"/>
          <w:color w:val="000000"/>
          <w:rtl/>
        </w:rPr>
        <w:t>מיום 14.2.16).</w:t>
      </w:r>
    </w:p>
    <w:p w14:paraId="3CE83B87"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נסיבות כתב האישום אשר לפניי מלמדות שהנאשם החזיק בדירתו כמות משמעותית של סמים: 5,913 גרם סם מסוג קנביס ו-822.83 גרם סם מסוג חשיש. כמויות הסמים היו מחולקות לעשרות יחידות ולצידן החזיק הנאשם בדירתו משקלים דיגיטליים ו-119 קופסאות ושקיות חלוקה רבות לסמים.</w:t>
      </w:r>
    </w:p>
    <w:p w14:paraId="3440883B"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כמות הסמים, הכלים, הקופסאות והשקיות שנמצאו לצדם- כל אלה מלמדים על כוונתו של הנאשם לסחור בסמים שהחזיק ולהפיצם לציבור. מעשיו מלמדים על פגיעה מכוונת בציבור, באמצעות הפצת החומרים המסוכנים, ולמספר רב של צרכני סמים, ומכאן חומרת העבירות.</w:t>
      </w:r>
    </w:p>
    <w:p w14:paraId="2AB6FF46"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 xml:space="preserve">הסנגור טען שאמנם הנאשם הודה בעבירות כפי שהן מופיעות בכתב האישום, אך מהראיות עולה שהוא החזיק בסמים שאינם שלו. </w:t>
      </w:r>
    </w:p>
    <w:p w14:paraId="496BF0FA"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 xml:space="preserve">לעניין זה, הגיש הסנגור עתירה לגילוי ראיה לפי </w:t>
      </w:r>
      <w:hyperlink r:id="rId25" w:history="1">
        <w:r w:rsidR="0085458B" w:rsidRPr="0085458B">
          <w:rPr>
            <w:rStyle w:val="Hyperlink"/>
            <w:rFonts w:ascii="David" w:hAnsi="David"/>
            <w:rtl/>
          </w:rPr>
          <w:t>סעיף 45</w:t>
        </w:r>
      </w:hyperlink>
      <w:r w:rsidRPr="00520FC8">
        <w:rPr>
          <w:rFonts w:ascii="David" w:hAnsi="David"/>
          <w:color w:val="000000"/>
          <w:rtl/>
        </w:rPr>
        <w:t xml:space="preserve"> ל</w:t>
      </w:r>
      <w:hyperlink r:id="rId26" w:history="1">
        <w:r w:rsidR="003D1985" w:rsidRPr="003D1985">
          <w:rPr>
            <w:rFonts w:ascii="David" w:hAnsi="David"/>
            <w:color w:val="0000FF"/>
            <w:u w:val="single"/>
            <w:rtl/>
          </w:rPr>
          <w:t>פקודת הראיות</w:t>
        </w:r>
      </w:hyperlink>
      <w:r>
        <w:rPr>
          <w:rFonts w:ascii="David" w:hAnsi="David" w:hint="cs"/>
          <w:color w:val="000000"/>
          <w:rtl/>
        </w:rPr>
        <w:t xml:space="preserve"> </w:t>
      </w:r>
      <w:r w:rsidRPr="00520FC8">
        <w:rPr>
          <w:rFonts w:ascii="David" w:hAnsi="David"/>
          <w:color w:val="000000"/>
          <w:rtl/>
        </w:rPr>
        <w:t xml:space="preserve">[נוסח חדש], תשל"א-1971, אך זו לא זכתה למענה המאשימה. </w:t>
      </w:r>
    </w:p>
    <w:p w14:paraId="4D088AC6"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בהמשך, בעת דיון הטיעונים לעונש, הגיש הסנגור לתיק בית המשפט "טבלת סנגור בתיק פל"א 527927/2024" ובה מצוין שמו של אדם אחר, הידוע כ"סוחר בסמים מסוגים שונים ובכמויות גדולות" ולו מספר מחסנים ושליחים באזור ירושלים ובית שמש. לשיטת הסנגור, מכאן ומטעמים נוספים שהוזכרו בבקשתו לגילוי ראיה, הסמים שנמצאו אצל הנאשם אינם שלו.</w:t>
      </w:r>
    </w:p>
    <w:p w14:paraId="5BC0B39B"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לכך, טוען הסנגור, צריכה להיות השפעה על מתחם העונש ההולם בהתאם לפסיקה שאליה הפנה.</w:t>
      </w:r>
    </w:p>
    <w:p w14:paraId="0AB72DCF"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אציין, כי הפסיקה אשר אליה התייחס הסנגור עסקה במקרים שבהם הוכח בהליך הוכחות שהנאשם החזיק את הסמים עבור אחר, או שכך נכתב בכתב האישום שבו הודה הנאשם, שלא כבענייננו. מכל מקום, ובלא מענה ותגובה לטענה זו בכתב האישום או בטיעוני המאשימה, אניח כי הנאשם החזיק את הסמים בדירתו לזמן קצר, בעת קביעת מתחם הענישה ההולם.</w:t>
      </w:r>
    </w:p>
    <w:p w14:paraId="30651247"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 xml:space="preserve">נתתי דעתי לכמויות הסמים שהנאשם החזיק בהם, לכלים ולציוד הנלווה שנמצא בדירתו, ותוך התחשבות מה גם בטענת הסנגור לעניין משך החזקת הסמים בדירת הנאשם, ובענישה הנוהגת בפסיקה, ואני קובע כי מתחם העונש ההולם, נע במקרה זה בין </w:t>
      </w:r>
      <w:r>
        <w:rPr>
          <w:rFonts w:ascii="David" w:hAnsi="David" w:hint="cs"/>
          <w:color w:val="000000"/>
          <w:rtl/>
        </w:rPr>
        <w:t>9</w:t>
      </w:r>
      <w:r w:rsidRPr="00520FC8">
        <w:rPr>
          <w:rFonts w:ascii="David" w:hAnsi="David"/>
          <w:color w:val="000000"/>
          <w:rtl/>
        </w:rPr>
        <w:t xml:space="preserve"> ל-</w:t>
      </w:r>
      <w:r>
        <w:rPr>
          <w:rFonts w:ascii="David" w:hAnsi="David" w:hint="cs"/>
          <w:color w:val="000000"/>
          <w:rtl/>
        </w:rPr>
        <w:t>18</w:t>
      </w:r>
      <w:r w:rsidRPr="00520FC8">
        <w:rPr>
          <w:rFonts w:ascii="David" w:hAnsi="David"/>
          <w:color w:val="000000"/>
          <w:rtl/>
        </w:rPr>
        <w:t xml:space="preserve"> חודשי מאסר, נוסף לעונשים נלווים.</w:t>
      </w:r>
    </w:p>
    <w:p w14:paraId="307AEA7C" w14:textId="77777777" w:rsidR="003C1A2A" w:rsidRPr="00520FC8" w:rsidRDefault="003C1A2A" w:rsidP="003C1A2A">
      <w:pPr>
        <w:spacing w:after="160" w:line="360" w:lineRule="atLeast"/>
        <w:jc w:val="both"/>
        <w:rPr>
          <w:rFonts w:ascii="David" w:hAnsi="David"/>
          <w:color w:val="000000"/>
        </w:rPr>
      </w:pPr>
    </w:p>
    <w:p w14:paraId="768275D4" w14:textId="77777777" w:rsidR="003C1A2A" w:rsidRPr="00520FC8" w:rsidRDefault="003C1A2A" w:rsidP="003C1A2A">
      <w:pPr>
        <w:spacing w:after="160" w:line="360" w:lineRule="atLeast"/>
        <w:jc w:val="both"/>
        <w:rPr>
          <w:rFonts w:ascii="David" w:hAnsi="David"/>
          <w:b/>
          <w:bCs/>
          <w:color w:val="000000"/>
          <w:u w:val="single"/>
          <w:rtl/>
        </w:rPr>
      </w:pPr>
      <w:r w:rsidRPr="00520FC8">
        <w:rPr>
          <w:rFonts w:ascii="David" w:hAnsi="David"/>
          <w:b/>
          <w:bCs/>
          <w:color w:val="000000"/>
          <w:u w:val="single"/>
          <w:rtl/>
        </w:rPr>
        <w:t>העונש המתאים</w:t>
      </w:r>
    </w:p>
    <w:p w14:paraId="05EF3D9B"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הנאשם יליד שנת 1992, בן 32 שנה כיום.</w:t>
      </w:r>
    </w:p>
    <w:p w14:paraId="461B12E3"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 xml:space="preserve">הנאשם הודה בעבירות המיוחסות לו ובכך נטל אחריות על ביצוען ושיתף פעולה עם רשויות אכיפת החוק. בדבריו לקצינת המבחן, ביטא חרטה על מעשיו. </w:t>
      </w:r>
    </w:p>
    <w:p w14:paraId="17B0756B" w14:textId="77777777" w:rsidR="003C1A2A" w:rsidRPr="00520FC8" w:rsidRDefault="003C1A2A" w:rsidP="003C1A2A">
      <w:pPr>
        <w:spacing w:after="160" w:line="360" w:lineRule="atLeast"/>
        <w:jc w:val="both"/>
        <w:rPr>
          <w:rFonts w:ascii="David" w:hAnsi="David"/>
          <w:color w:val="000000"/>
          <w:rtl/>
        </w:rPr>
      </w:pPr>
      <w:r w:rsidRPr="00520FC8">
        <w:rPr>
          <w:rFonts w:ascii="David" w:hAnsi="David"/>
          <w:color w:val="000000"/>
          <w:rtl/>
        </w:rPr>
        <w:t xml:space="preserve">זוהי אינה הסתבכות ראשונה לנאשם עם הדין הפלילי. </w:t>
      </w:r>
    </w:p>
    <w:p w14:paraId="67955360" w14:textId="77777777" w:rsidR="003C1A2A" w:rsidRPr="00520FC8" w:rsidRDefault="003C1A2A" w:rsidP="003C1A2A">
      <w:pPr>
        <w:spacing w:after="160" w:line="360" w:lineRule="atLeast"/>
        <w:jc w:val="both"/>
        <w:rPr>
          <w:rFonts w:ascii="David" w:hAnsi="David"/>
          <w:color w:val="000000"/>
          <w:rtl/>
        </w:rPr>
      </w:pPr>
      <w:r w:rsidRPr="00520FC8">
        <w:rPr>
          <w:rFonts w:ascii="David" w:eastAsia="Calibri" w:hAnsi="David"/>
          <w:rtl/>
        </w:rPr>
        <w:t xml:space="preserve">לחובתו הרשעה קודמת משנת 2021 בעבירות סחר בסמים והחזקת סמים שלא לשימוש עצמי, בנסיבות דומות למקרה שלפניי. </w:t>
      </w:r>
      <w:r w:rsidRPr="00520FC8">
        <w:rPr>
          <w:rFonts w:ascii="David" w:hAnsi="David"/>
          <w:color w:val="000000"/>
          <w:rtl/>
        </w:rPr>
        <w:t>באותו מקרה, חרג בית המשפט ממתחם הענישה בשל שיקולי שיקום, ועל הנאשם הוטל עונש מאסר שירוצה בעבודות שירות למשך 5 חודשים ועונשים נוספים. בהמשך, הופקע מאסר זה, ותחתיו קבע בית המשפט שהנאשם יירצה מאסר מאחורי סורג ובריח (</w:t>
      </w:r>
      <w:hyperlink r:id="rId27" w:history="1">
        <w:r w:rsidR="003D1985" w:rsidRPr="003D1985">
          <w:rPr>
            <w:rFonts w:ascii="David" w:hAnsi="David"/>
            <w:color w:val="0000FF"/>
            <w:u w:val="single"/>
            <w:rtl/>
          </w:rPr>
          <w:t>ת"פ 23443-04-21</w:t>
        </w:r>
      </w:hyperlink>
      <w:r w:rsidRPr="00520FC8">
        <w:rPr>
          <w:rFonts w:ascii="David" w:hAnsi="David"/>
          <w:color w:val="000000"/>
          <w:rtl/>
        </w:rPr>
        <w:t>).</w:t>
      </w:r>
    </w:p>
    <w:p w14:paraId="66AC6AFB" w14:textId="77777777" w:rsidR="003C1A2A" w:rsidRPr="00520FC8" w:rsidRDefault="003C1A2A" w:rsidP="003C1A2A">
      <w:pPr>
        <w:spacing w:after="160" w:line="360" w:lineRule="atLeast"/>
        <w:jc w:val="both"/>
        <w:rPr>
          <w:rFonts w:ascii="David" w:hAnsi="David"/>
          <w:color w:val="000000"/>
          <w:rtl/>
        </w:rPr>
      </w:pPr>
    </w:p>
    <w:p w14:paraId="7F91089B"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הרשעה נוספת עומדת לחובת הנאשם בעבירות של תקיפה הגורמת חבלה של ממש והחזקת אגרופן או סכין משנת 2018, בגינן נידון למאסר על תנאי, קנס, פיצוי וצו של"צ. בהמשך, לאחר ערעור ובקשה להפקעת צו השל"צ, הנאשם נידון למאסר בפועל לתקופה בת 30 יום (</w:t>
      </w:r>
      <w:hyperlink r:id="rId28" w:history="1">
        <w:r w:rsidR="003D1985" w:rsidRPr="003D1985">
          <w:rPr>
            <w:rFonts w:ascii="David" w:eastAsia="Calibri" w:hAnsi="David"/>
            <w:color w:val="0000FF"/>
            <w:u w:val="single"/>
            <w:rtl/>
          </w:rPr>
          <w:t>ת"פ 54300-02-17</w:t>
        </w:r>
      </w:hyperlink>
      <w:r w:rsidRPr="00520FC8">
        <w:rPr>
          <w:rFonts w:ascii="David" w:eastAsia="Calibri" w:hAnsi="David"/>
          <w:rtl/>
        </w:rPr>
        <w:t xml:space="preserve">). </w:t>
      </w:r>
    </w:p>
    <w:p w14:paraId="7A0411F3"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את העבירות בכתב האישום שלפניי, הנאשם ביצע כאשר עונש מאסר על תנאי שנגזר עליו, מרחף מעליו. כלומר, לפניי נאשם שאינו ירא את החוק ואינו חושש מהעונשים שיוטלו עליו, על אף שבעבר ריצה מאסרים מאחורי סורג ובריח. </w:t>
      </w:r>
    </w:p>
    <w:p w14:paraId="093189FF"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נסיבות חייו של הנאשם מלמדות שמגיל צעיר התמודד עם קשיים במסגרת הלימודית, לנוכח שינוי שחל במשפחה והוא היה חשוף לחברה שולית, ולבעיות משפחתיות נוספות. בהמשך, נקלע למצב כלכלי קשה ומלחמת חרבות ברזל פגעה גם במכריו ואין ספק שיש לכך השפעה והשלכות על הנאשם ומעשיו.</w:t>
      </w:r>
    </w:p>
    <w:p w14:paraId="4C87B2B5"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עם זאת, מצופה מהנאשם, כאדם אשר כבר היה נתון בהליכים פליליים בעקבות עבירות קודמות שהורשע בהן, ואשר זכה זה מכבר להזדמנות ולענישה שיקומית, שיסיק את המסקנות הנדרשות, ויתרחק מהעולם העברייני והמעשים שבהם הורשע.</w:t>
      </w:r>
    </w:p>
    <w:p w14:paraId="0CDFB701"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למרבה הצער, הנאשם לא השכיל לעשות זאת.</w:t>
      </w:r>
    </w:p>
    <w:p w14:paraId="7D7C4E64"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שירות המבחן אשר שקל בעניינו את שיקולי השיקום, הגיע למסקנה שקיים סיכון להישנות עבירות מצדו ומצא שעל אף שהנאשם מביע רצון לשינוי, בשלב זה הוא נעדר את הכוחות הנדרשים לכך. לפיכך, האפ</w:t>
      </w:r>
      <w:r>
        <w:rPr>
          <w:rFonts w:ascii="David" w:eastAsia="Calibri" w:hAnsi="David"/>
          <w:rtl/>
        </w:rPr>
        <w:t>יק השיקומי אינו אפשרי עבורו כעת</w:t>
      </w:r>
      <w:r>
        <w:rPr>
          <w:rFonts w:ascii="David" w:eastAsia="Calibri" w:hAnsi="David" w:hint="cs"/>
          <w:rtl/>
        </w:rPr>
        <w:t>, ומכאן שאין טעם של ממש בחפיפתו של המאסר המותנה התלוי ועומד נגד הנאשם.</w:t>
      </w:r>
    </w:p>
    <w:p w14:paraId="24D858E7"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התחשבתי במכלול שיקולי הענישה הנדרשים בעבירות שלפניי, ולצידם גם בשיקוליו של הנאשם, כפי שהובאו כאן בהרחבה. </w:t>
      </w:r>
    </w:p>
    <w:p w14:paraId="1AD75217" w14:textId="77777777" w:rsidR="003C1A2A" w:rsidRDefault="003C1A2A" w:rsidP="003C1A2A">
      <w:pPr>
        <w:spacing w:after="160" w:line="360" w:lineRule="auto"/>
        <w:jc w:val="both"/>
        <w:rPr>
          <w:rFonts w:ascii="David" w:eastAsia="Calibri" w:hAnsi="David"/>
          <w:rtl/>
        </w:rPr>
      </w:pPr>
      <w:r w:rsidRPr="00520FC8">
        <w:rPr>
          <w:rFonts w:ascii="David" w:eastAsia="Calibri" w:hAnsi="David"/>
          <w:rtl/>
        </w:rPr>
        <w:t xml:space="preserve">באיזון בין מכלול שיקולים אלה, </w:t>
      </w:r>
      <w:r>
        <w:rPr>
          <w:rFonts w:ascii="David" w:eastAsia="Calibri" w:hAnsi="David" w:hint="cs"/>
          <w:rtl/>
        </w:rPr>
        <w:t xml:space="preserve">למרבה הצער, </w:t>
      </w:r>
      <w:r w:rsidRPr="00520FC8">
        <w:rPr>
          <w:rFonts w:ascii="David" w:eastAsia="Calibri" w:hAnsi="David"/>
          <w:rtl/>
        </w:rPr>
        <w:t>הכף מכרעת לחובת הנאשם.</w:t>
      </w:r>
    </w:p>
    <w:p w14:paraId="5174EA5C" w14:textId="77777777" w:rsidR="003C1A2A" w:rsidRDefault="003C1A2A" w:rsidP="003C1A2A">
      <w:pPr>
        <w:spacing w:after="160" w:line="360" w:lineRule="auto"/>
        <w:jc w:val="both"/>
        <w:rPr>
          <w:rFonts w:ascii="David" w:eastAsia="Calibri" w:hAnsi="David"/>
          <w:rtl/>
        </w:rPr>
      </w:pPr>
    </w:p>
    <w:p w14:paraId="0D4FB97F" w14:textId="77777777" w:rsidR="003C1A2A" w:rsidRDefault="003C1A2A" w:rsidP="003C1A2A">
      <w:pPr>
        <w:spacing w:after="160" w:line="360" w:lineRule="auto"/>
        <w:jc w:val="both"/>
        <w:rPr>
          <w:rFonts w:ascii="David" w:eastAsia="Calibri" w:hAnsi="David"/>
          <w:rtl/>
        </w:rPr>
      </w:pPr>
    </w:p>
    <w:p w14:paraId="468BEA18" w14:textId="77777777" w:rsidR="003C1A2A" w:rsidRDefault="003C1A2A" w:rsidP="003C1A2A">
      <w:pPr>
        <w:spacing w:after="160" w:line="360" w:lineRule="auto"/>
        <w:jc w:val="both"/>
        <w:rPr>
          <w:rFonts w:ascii="David" w:eastAsia="Calibri" w:hAnsi="David"/>
          <w:rtl/>
        </w:rPr>
      </w:pPr>
    </w:p>
    <w:p w14:paraId="00A073F6" w14:textId="77777777" w:rsidR="003C1A2A" w:rsidRDefault="003C1A2A" w:rsidP="003C1A2A">
      <w:pPr>
        <w:spacing w:after="160" w:line="360" w:lineRule="auto"/>
        <w:jc w:val="both"/>
        <w:rPr>
          <w:rFonts w:ascii="David" w:eastAsia="Calibri" w:hAnsi="David"/>
          <w:rtl/>
        </w:rPr>
      </w:pPr>
    </w:p>
    <w:p w14:paraId="268D64A8" w14:textId="77777777" w:rsidR="003C1A2A" w:rsidRDefault="003C1A2A" w:rsidP="003C1A2A">
      <w:pPr>
        <w:spacing w:after="160" w:line="360" w:lineRule="auto"/>
        <w:jc w:val="both"/>
        <w:rPr>
          <w:rFonts w:ascii="David" w:eastAsia="Calibri" w:hAnsi="David"/>
          <w:rtl/>
        </w:rPr>
      </w:pPr>
    </w:p>
    <w:p w14:paraId="195B5508" w14:textId="77777777" w:rsidR="003C1A2A" w:rsidRDefault="003C1A2A" w:rsidP="003C1A2A">
      <w:pPr>
        <w:spacing w:after="160" w:line="360" w:lineRule="auto"/>
        <w:jc w:val="both"/>
        <w:rPr>
          <w:rFonts w:ascii="David" w:eastAsia="Calibri" w:hAnsi="David"/>
          <w:rtl/>
        </w:rPr>
      </w:pPr>
    </w:p>
    <w:p w14:paraId="5FD9C445" w14:textId="77777777" w:rsidR="003C1A2A" w:rsidRDefault="003C1A2A" w:rsidP="003C1A2A">
      <w:pPr>
        <w:spacing w:after="160" w:line="360" w:lineRule="auto"/>
        <w:jc w:val="both"/>
        <w:rPr>
          <w:rFonts w:ascii="David" w:eastAsia="Calibri" w:hAnsi="David"/>
          <w:rtl/>
        </w:rPr>
      </w:pPr>
    </w:p>
    <w:p w14:paraId="404B81A4" w14:textId="77777777" w:rsidR="003C1A2A" w:rsidRDefault="003C1A2A" w:rsidP="003C1A2A">
      <w:pPr>
        <w:spacing w:after="160" w:line="360" w:lineRule="auto"/>
        <w:jc w:val="both"/>
        <w:rPr>
          <w:rFonts w:ascii="David" w:eastAsia="Calibri" w:hAnsi="David"/>
          <w:rtl/>
        </w:rPr>
      </w:pPr>
    </w:p>
    <w:p w14:paraId="2BB94865" w14:textId="77777777" w:rsidR="003C1A2A" w:rsidRDefault="003C1A2A" w:rsidP="003C1A2A">
      <w:pPr>
        <w:spacing w:after="160" w:line="360" w:lineRule="auto"/>
        <w:jc w:val="both"/>
        <w:rPr>
          <w:rFonts w:ascii="David" w:eastAsia="Calibri" w:hAnsi="David"/>
          <w:rtl/>
        </w:rPr>
      </w:pPr>
    </w:p>
    <w:p w14:paraId="7E1B2008" w14:textId="77777777" w:rsidR="003C1A2A" w:rsidRDefault="003C1A2A" w:rsidP="003C1A2A">
      <w:pPr>
        <w:spacing w:after="160" w:line="360" w:lineRule="auto"/>
        <w:jc w:val="both"/>
        <w:rPr>
          <w:rFonts w:ascii="David" w:eastAsia="Calibri" w:hAnsi="David"/>
          <w:rtl/>
        </w:rPr>
      </w:pPr>
    </w:p>
    <w:p w14:paraId="71A8CED6" w14:textId="77777777" w:rsidR="003C1A2A" w:rsidRDefault="003C1A2A" w:rsidP="003C1A2A">
      <w:pPr>
        <w:spacing w:after="160" w:line="360" w:lineRule="auto"/>
        <w:jc w:val="both"/>
        <w:rPr>
          <w:rFonts w:ascii="David" w:eastAsia="Calibri" w:hAnsi="David"/>
          <w:rtl/>
        </w:rPr>
      </w:pPr>
    </w:p>
    <w:p w14:paraId="7413D25D" w14:textId="77777777" w:rsidR="003C1A2A" w:rsidRDefault="003C1A2A" w:rsidP="003C1A2A">
      <w:pPr>
        <w:spacing w:after="160" w:line="360" w:lineRule="auto"/>
        <w:jc w:val="both"/>
        <w:rPr>
          <w:rFonts w:ascii="David" w:eastAsia="Calibri" w:hAnsi="David"/>
          <w:rtl/>
        </w:rPr>
      </w:pPr>
    </w:p>
    <w:p w14:paraId="377A25E8" w14:textId="77777777" w:rsidR="003C1A2A" w:rsidRDefault="003C1A2A" w:rsidP="003C1A2A">
      <w:pPr>
        <w:spacing w:after="160" w:line="360" w:lineRule="auto"/>
        <w:jc w:val="both"/>
        <w:rPr>
          <w:rFonts w:ascii="David" w:eastAsia="Calibri" w:hAnsi="David"/>
          <w:rtl/>
        </w:rPr>
      </w:pPr>
    </w:p>
    <w:p w14:paraId="640D1350" w14:textId="77777777" w:rsidR="003C1A2A" w:rsidRDefault="003C1A2A" w:rsidP="003C1A2A">
      <w:pPr>
        <w:spacing w:after="160" w:line="360" w:lineRule="auto"/>
        <w:jc w:val="both"/>
        <w:rPr>
          <w:rFonts w:ascii="David" w:eastAsia="Calibri" w:hAnsi="David"/>
          <w:rtl/>
        </w:rPr>
      </w:pPr>
    </w:p>
    <w:p w14:paraId="64AAE2B0" w14:textId="77777777" w:rsidR="003C1A2A" w:rsidRDefault="003C1A2A" w:rsidP="003C1A2A">
      <w:pPr>
        <w:spacing w:after="160" w:line="360" w:lineRule="auto"/>
        <w:jc w:val="both"/>
        <w:rPr>
          <w:rFonts w:ascii="David" w:eastAsia="Calibri" w:hAnsi="David"/>
          <w:rtl/>
        </w:rPr>
      </w:pPr>
    </w:p>
    <w:p w14:paraId="0AC77918" w14:textId="77777777" w:rsidR="003C1A2A" w:rsidRPr="00520FC8" w:rsidRDefault="003C1A2A" w:rsidP="003C1A2A">
      <w:pPr>
        <w:spacing w:after="160" w:line="360" w:lineRule="auto"/>
        <w:jc w:val="both"/>
        <w:rPr>
          <w:rFonts w:ascii="David" w:eastAsia="Calibri" w:hAnsi="David"/>
          <w:b/>
          <w:bCs/>
          <w:u w:val="single"/>
          <w:rtl/>
        </w:rPr>
      </w:pPr>
      <w:r w:rsidRPr="00520FC8">
        <w:rPr>
          <w:rFonts w:ascii="David" w:eastAsia="Calibri" w:hAnsi="David" w:hint="cs"/>
          <w:b/>
          <w:bCs/>
          <w:u w:val="single"/>
          <w:rtl/>
        </w:rPr>
        <w:t>סוף דבר</w:t>
      </w:r>
    </w:p>
    <w:p w14:paraId="217D4A90" w14:textId="77777777" w:rsidR="003C1A2A" w:rsidRDefault="003C1A2A" w:rsidP="003C1A2A">
      <w:pPr>
        <w:spacing w:after="160" w:line="360" w:lineRule="auto"/>
        <w:jc w:val="both"/>
        <w:rPr>
          <w:rFonts w:ascii="David" w:eastAsia="Calibri" w:hAnsi="David"/>
          <w:rtl/>
        </w:rPr>
      </w:pPr>
    </w:p>
    <w:p w14:paraId="5EA23CAB" w14:textId="77777777" w:rsidR="003C1A2A" w:rsidRDefault="003C1A2A" w:rsidP="003C1A2A">
      <w:pPr>
        <w:spacing w:after="160" w:line="360" w:lineRule="auto"/>
        <w:jc w:val="both"/>
        <w:rPr>
          <w:rFonts w:ascii="David" w:eastAsia="Calibri" w:hAnsi="David"/>
          <w:rtl/>
        </w:rPr>
      </w:pPr>
      <w:r w:rsidRPr="00520FC8">
        <w:rPr>
          <w:rFonts w:ascii="David" w:eastAsia="Calibri" w:hAnsi="David"/>
          <w:rtl/>
        </w:rPr>
        <w:t xml:space="preserve"> נוכח כל האמור </w:t>
      </w:r>
      <w:r>
        <w:rPr>
          <w:rFonts w:ascii="David" w:eastAsia="Calibri" w:hAnsi="David" w:hint="cs"/>
          <w:rtl/>
        </w:rPr>
        <w:t>לעיל</w:t>
      </w:r>
      <w:r w:rsidRPr="00520FC8">
        <w:rPr>
          <w:rFonts w:ascii="David" w:eastAsia="Calibri" w:hAnsi="David"/>
          <w:rtl/>
        </w:rPr>
        <w:t>, אני גוזר על הנאשם את העונשים הבאים:</w:t>
      </w:r>
    </w:p>
    <w:p w14:paraId="10FE5B78" w14:textId="77777777" w:rsidR="003C1A2A" w:rsidRPr="00520FC8" w:rsidRDefault="003C1A2A" w:rsidP="003C1A2A">
      <w:pPr>
        <w:spacing w:after="160" w:line="360" w:lineRule="auto"/>
        <w:jc w:val="both"/>
        <w:rPr>
          <w:rFonts w:ascii="David" w:eastAsia="Calibri" w:hAnsi="David"/>
          <w:rtl/>
        </w:rPr>
      </w:pPr>
    </w:p>
    <w:p w14:paraId="0907BAED" w14:textId="77777777" w:rsidR="003C1A2A" w:rsidRPr="00520FC8" w:rsidRDefault="003C1A2A" w:rsidP="003C1A2A">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12</w:t>
      </w:r>
      <w:r w:rsidRPr="00520FC8">
        <w:rPr>
          <w:rFonts w:ascii="David" w:eastAsia="Calibri" w:hAnsi="David"/>
          <w:b/>
          <w:bCs/>
          <w:rtl/>
        </w:rPr>
        <w:t xml:space="preserve"> חודשי מאסר לריצוי בפ</w:t>
      </w:r>
      <w:r>
        <w:rPr>
          <w:rFonts w:ascii="David" w:eastAsia="Calibri" w:hAnsi="David"/>
          <w:b/>
          <w:bCs/>
          <w:rtl/>
        </w:rPr>
        <w:t>ועל</w:t>
      </w:r>
      <w:r>
        <w:rPr>
          <w:rFonts w:ascii="David" w:eastAsia="Calibri" w:hAnsi="David" w:hint="cs"/>
          <w:b/>
          <w:bCs/>
          <w:rtl/>
        </w:rPr>
        <w:t xml:space="preserve"> בניכוי ימי מעצרו</w:t>
      </w:r>
      <w:r>
        <w:rPr>
          <w:rFonts w:ascii="David" w:eastAsia="Calibri" w:hAnsi="David"/>
          <w:b/>
          <w:bCs/>
          <w:rtl/>
        </w:rPr>
        <w:t xml:space="preserve">. זאת, במצטבר לכל עונש מאסר </w:t>
      </w:r>
      <w:r>
        <w:rPr>
          <w:rFonts w:ascii="David" w:eastAsia="Calibri" w:hAnsi="David" w:hint="cs"/>
          <w:b/>
          <w:bCs/>
          <w:rtl/>
        </w:rPr>
        <w:t xml:space="preserve">אשר אותו מרצה </w:t>
      </w:r>
      <w:r w:rsidRPr="00520FC8">
        <w:rPr>
          <w:rFonts w:ascii="David" w:eastAsia="Calibri" w:hAnsi="David"/>
          <w:b/>
          <w:bCs/>
          <w:rtl/>
        </w:rPr>
        <w:t>הנאשם כעת.</w:t>
      </w:r>
    </w:p>
    <w:p w14:paraId="089ACFA5" w14:textId="77777777" w:rsidR="003C1A2A" w:rsidRDefault="003C1A2A" w:rsidP="003C1A2A">
      <w:pPr>
        <w:numPr>
          <w:ilvl w:val="0"/>
          <w:numId w:val="1"/>
        </w:numPr>
        <w:spacing w:after="160" w:line="360" w:lineRule="auto"/>
        <w:contextualSpacing/>
        <w:jc w:val="both"/>
        <w:rPr>
          <w:rFonts w:ascii="David" w:eastAsia="Calibri" w:hAnsi="David"/>
          <w:b/>
          <w:bCs/>
        </w:rPr>
      </w:pPr>
      <w:r w:rsidRPr="00520FC8">
        <w:rPr>
          <w:rFonts w:ascii="David" w:eastAsia="Calibri" w:hAnsi="David"/>
          <w:b/>
          <w:bCs/>
          <w:rtl/>
        </w:rPr>
        <w:t xml:space="preserve">מופעל בזאת מאסר </w:t>
      </w:r>
      <w:r>
        <w:rPr>
          <w:rFonts w:ascii="David" w:eastAsia="Calibri" w:hAnsi="David" w:hint="cs"/>
          <w:b/>
          <w:bCs/>
          <w:rtl/>
        </w:rPr>
        <w:t>מותנה</w:t>
      </w:r>
      <w:r>
        <w:rPr>
          <w:rFonts w:ascii="David" w:eastAsia="Calibri" w:hAnsi="David"/>
          <w:b/>
          <w:bCs/>
          <w:rtl/>
        </w:rPr>
        <w:t xml:space="preserve"> למשך 5 חודשים </w:t>
      </w:r>
      <w:r>
        <w:rPr>
          <w:rFonts w:ascii="David" w:eastAsia="Calibri" w:hAnsi="David" w:hint="cs"/>
          <w:b/>
          <w:bCs/>
          <w:rtl/>
        </w:rPr>
        <w:t xml:space="preserve">אשר הוטל במסגרתו של </w:t>
      </w:r>
      <w:hyperlink r:id="rId29" w:history="1">
        <w:r w:rsidR="003D1985" w:rsidRPr="003D1985">
          <w:rPr>
            <w:rFonts w:ascii="David" w:eastAsia="Calibri" w:hAnsi="David"/>
            <w:b/>
            <w:bCs/>
            <w:color w:val="0000FF"/>
            <w:u w:val="single"/>
            <w:rtl/>
          </w:rPr>
          <w:t>ת"פ 23443-04-21</w:t>
        </w:r>
      </w:hyperlink>
      <w:r w:rsidRPr="00520FC8">
        <w:rPr>
          <w:rFonts w:ascii="David" w:eastAsia="Calibri" w:hAnsi="David"/>
          <w:b/>
          <w:bCs/>
          <w:rtl/>
        </w:rPr>
        <w:t xml:space="preserve">, </w:t>
      </w:r>
      <w:r>
        <w:rPr>
          <w:rFonts w:ascii="David" w:eastAsia="Calibri" w:hAnsi="David" w:hint="cs"/>
          <w:b/>
          <w:bCs/>
          <w:rtl/>
        </w:rPr>
        <w:t>כך ש-3 חודשים מתוכו</w:t>
      </w:r>
      <w:r>
        <w:rPr>
          <w:rFonts w:ascii="David" w:eastAsia="Calibri" w:hAnsi="David"/>
          <w:b/>
          <w:bCs/>
          <w:rtl/>
        </w:rPr>
        <w:t xml:space="preserve"> ירוצ</w:t>
      </w:r>
      <w:r>
        <w:rPr>
          <w:rFonts w:ascii="David" w:eastAsia="Calibri" w:hAnsi="David" w:hint="cs"/>
          <w:b/>
          <w:bCs/>
          <w:rtl/>
        </w:rPr>
        <w:t>ו</w:t>
      </w:r>
      <w:r>
        <w:rPr>
          <w:rFonts w:ascii="David" w:eastAsia="Calibri" w:hAnsi="David"/>
          <w:b/>
          <w:bCs/>
          <w:rtl/>
        </w:rPr>
        <w:t xml:space="preserve"> במצטבר לעונש האמור בסעיף 1</w:t>
      </w:r>
      <w:r>
        <w:rPr>
          <w:rFonts w:ascii="David" w:eastAsia="Calibri" w:hAnsi="David" w:hint="cs"/>
          <w:b/>
          <w:bCs/>
          <w:rtl/>
        </w:rPr>
        <w:t xml:space="preserve"> והיתר בחופף וזאת נוכח העונש אותו מרצה הנאשם ולאור המועד שבו אנו נתונים, עשרת ימי תשובה, ובהתאם להצהרתו של הנאשם ורצונו ליצור לעצמו חיים נורמטיביים ויצרניים.</w:t>
      </w:r>
    </w:p>
    <w:p w14:paraId="361CB39A" w14:textId="77777777" w:rsidR="003C1A2A" w:rsidRPr="00520FC8" w:rsidRDefault="003C1A2A" w:rsidP="003C1A2A">
      <w:pPr>
        <w:spacing w:after="160" w:line="360" w:lineRule="auto"/>
        <w:ind w:left="720"/>
        <w:contextualSpacing/>
        <w:jc w:val="both"/>
        <w:rPr>
          <w:rFonts w:ascii="David" w:eastAsia="Calibri" w:hAnsi="David"/>
          <w:b/>
          <w:bCs/>
          <w:u w:val="single"/>
        </w:rPr>
      </w:pPr>
      <w:r w:rsidRPr="009F708E">
        <w:rPr>
          <w:rFonts w:ascii="David" w:eastAsia="Calibri" w:hAnsi="David" w:hint="cs"/>
          <w:b/>
          <w:bCs/>
          <w:u w:val="single"/>
          <w:rtl/>
        </w:rPr>
        <w:t xml:space="preserve">הנאשם יירצה, אם כן, </w:t>
      </w:r>
      <w:r>
        <w:rPr>
          <w:rFonts w:ascii="David" w:eastAsia="Calibri" w:hAnsi="David" w:hint="cs"/>
          <w:b/>
          <w:bCs/>
          <w:u w:val="single"/>
          <w:rtl/>
        </w:rPr>
        <w:t>15</w:t>
      </w:r>
      <w:r w:rsidRPr="009F708E">
        <w:rPr>
          <w:rFonts w:ascii="David" w:eastAsia="Calibri" w:hAnsi="David" w:hint="cs"/>
          <w:b/>
          <w:bCs/>
          <w:u w:val="single"/>
          <w:rtl/>
        </w:rPr>
        <w:t xml:space="preserve"> חודשי מאסר וזאת בניכוי ימי מעצרו.</w:t>
      </w:r>
    </w:p>
    <w:p w14:paraId="0622D970" w14:textId="77777777" w:rsidR="003C1A2A" w:rsidRPr="00520FC8" w:rsidRDefault="003C1A2A" w:rsidP="003C1A2A">
      <w:pPr>
        <w:numPr>
          <w:ilvl w:val="0"/>
          <w:numId w:val="1"/>
        </w:numPr>
        <w:spacing w:after="160" w:line="360" w:lineRule="auto"/>
        <w:contextualSpacing/>
        <w:jc w:val="both"/>
        <w:rPr>
          <w:rFonts w:ascii="David" w:eastAsia="Calibri" w:hAnsi="David"/>
          <w:b/>
          <w:bCs/>
        </w:rPr>
      </w:pPr>
      <w:r w:rsidRPr="00520FC8">
        <w:rPr>
          <w:rFonts w:ascii="David" w:eastAsia="Calibri" w:hAnsi="David"/>
          <w:b/>
          <w:bCs/>
          <w:rtl/>
        </w:rPr>
        <w:t xml:space="preserve">מופעלת בזאת פסילה </w:t>
      </w:r>
      <w:r>
        <w:rPr>
          <w:rFonts w:ascii="David" w:eastAsia="Calibri" w:hAnsi="David" w:hint="cs"/>
          <w:b/>
          <w:bCs/>
          <w:rtl/>
        </w:rPr>
        <w:t>מותנית</w:t>
      </w:r>
      <w:r w:rsidRPr="00520FC8">
        <w:rPr>
          <w:rFonts w:ascii="David" w:eastAsia="Calibri" w:hAnsi="David"/>
          <w:b/>
          <w:bCs/>
          <w:rtl/>
        </w:rPr>
        <w:t xml:space="preserve"> מלהחזיק ברישיון</w:t>
      </w:r>
      <w:r>
        <w:rPr>
          <w:rFonts w:ascii="David" w:eastAsia="Calibri" w:hAnsi="David"/>
          <w:b/>
          <w:bCs/>
          <w:rtl/>
        </w:rPr>
        <w:t xml:space="preserve"> נהיגה או מלהוציא רישיון נהיגה </w:t>
      </w:r>
      <w:r>
        <w:rPr>
          <w:rFonts w:ascii="David" w:eastAsia="Calibri" w:hAnsi="David" w:hint="cs"/>
          <w:b/>
          <w:bCs/>
          <w:rtl/>
        </w:rPr>
        <w:t xml:space="preserve">אשר הוטלה במסגרתו של </w:t>
      </w:r>
      <w:hyperlink r:id="rId30" w:history="1">
        <w:r w:rsidR="003D1985" w:rsidRPr="003D1985">
          <w:rPr>
            <w:rFonts w:ascii="David" w:eastAsia="Calibri" w:hAnsi="David"/>
            <w:b/>
            <w:bCs/>
            <w:color w:val="0000FF"/>
            <w:u w:val="single"/>
            <w:rtl/>
          </w:rPr>
          <w:t>ת"פ 23443-04-21</w:t>
        </w:r>
      </w:hyperlink>
      <w:r w:rsidRPr="00520FC8">
        <w:rPr>
          <w:rFonts w:ascii="David" w:eastAsia="Calibri" w:hAnsi="David"/>
          <w:b/>
          <w:bCs/>
          <w:rtl/>
        </w:rPr>
        <w:t>.</w:t>
      </w:r>
      <w:r>
        <w:rPr>
          <w:rFonts w:ascii="David" w:eastAsia="Calibri" w:hAnsi="David" w:hint="cs"/>
          <w:b/>
          <w:bCs/>
          <w:rtl/>
        </w:rPr>
        <w:t xml:space="preserve"> הפסילה תימנה החל מיום שחרורו של הנאשם ממאסרו. ככל שקיים רישיון נהיגה- הרי שהוא יופקד עד ליום 1.1.25.</w:t>
      </w:r>
    </w:p>
    <w:p w14:paraId="01FC63E6" w14:textId="77777777" w:rsidR="003C1A2A" w:rsidRPr="00520FC8" w:rsidRDefault="003C1A2A" w:rsidP="003C1A2A">
      <w:pPr>
        <w:numPr>
          <w:ilvl w:val="0"/>
          <w:numId w:val="1"/>
        </w:numPr>
        <w:spacing w:after="160" w:line="360" w:lineRule="auto"/>
        <w:contextualSpacing/>
        <w:jc w:val="both"/>
        <w:rPr>
          <w:rFonts w:ascii="David" w:eastAsia="Calibri" w:hAnsi="David"/>
          <w:b/>
          <w:bCs/>
        </w:rPr>
      </w:pPr>
      <w:r>
        <w:rPr>
          <w:rFonts w:ascii="David" w:eastAsia="Calibri" w:hAnsi="David" w:hint="cs"/>
          <w:b/>
          <w:bCs/>
          <w:rtl/>
        </w:rPr>
        <w:t>5</w:t>
      </w:r>
      <w:r w:rsidRPr="00520FC8">
        <w:rPr>
          <w:rFonts w:ascii="David" w:eastAsia="Calibri" w:hAnsi="David"/>
          <w:b/>
          <w:bCs/>
          <w:rtl/>
        </w:rPr>
        <w:t xml:space="preserve"> חודשי מאסר אשר ל</w:t>
      </w:r>
      <w:r>
        <w:rPr>
          <w:rFonts w:ascii="David" w:eastAsia="Calibri" w:hAnsi="David"/>
          <w:b/>
          <w:bCs/>
          <w:rtl/>
        </w:rPr>
        <w:t>א ירוצו אלא אם הנאשם יעבור על</w:t>
      </w:r>
      <w:r w:rsidRPr="00520FC8">
        <w:rPr>
          <w:rFonts w:ascii="David" w:eastAsia="Calibri" w:hAnsi="David"/>
          <w:b/>
          <w:bCs/>
          <w:rtl/>
        </w:rPr>
        <w:t xml:space="preserve"> אחת מהעבירות שבהן הורשע בהליך זה, </w:t>
      </w:r>
      <w:r>
        <w:rPr>
          <w:rFonts w:ascii="David" w:eastAsia="Calibri" w:hAnsi="David" w:hint="cs"/>
          <w:b/>
          <w:bCs/>
          <w:rtl/>
        </w:rPr>
        <w:t xml:space="preserve">וזאת </w:t>
      </w:r>
      <w:r w:rsidRPr="00520FC8">
        <w:rPr>
          <w:rFonts w:ascii="David" w:eastAsia="Calibri" w:hAnsi="David"/>
          <w:b/>
          <w:bCs/>
          <w:rtl/>
        </w:rPr>
        <w:t>תוך 3 שנים מיום שחרורו.</w:t>
      </w:r>
    </w:p>
    <w:p w14:paraId="4A912999" w14:textId="77777777" w:rsidR="003C1A2A" w:rsidRPr="00520FC8" w:rsidRDefault="003C1A2A" w:rsidP="003C1A2A">
      <w:pPr>
        <w:numPr>
          <w:ilvl w:val="0"/>
          <w:numId w:val="1"/>
        </w:numPr>
        <w:spacing w:after="160" w:line="360" w:lineRule="auto"/>
        <w:contextualSpacing/>
        <w:jc w:val="both"/>
        <w:rPr>
          <w:rFonts w:ascii="David" w:eastAsia="Calibri" w:hAnsi="David"/>
          <w:b/>
          <w:bCs/>
        </w:rPr>
      </w:pPr>
      <w:r w:rsidRPr="00520FC8">
        <w:rPr>
          <w:rFonts w:ascii="David" w:eastAsia="Calibri" w:hAnsi="David"/>
          <w:b/>
          <w:bCs/>
          <w:rtl/>
        </w:rPr>
        <w:t xml:space="preserve">3 חודשי פסילה מלהחזיק ברישיון נהיגה או מלהוציאו, אשר לא ירוצו אלא אם הנאשם יעבור על כל אחת מהעבירות שבהן הורשע בהליך זה, </w:t>
      </w:r>
      <w:r>
        <w:rPr>
          <w:rFonts w:ascii="David" w:eastAsia="Calibri" w:hAnsi="David" w:hint="cs"/>
          <w:b/>
          <w:bCs/>
          <w:rtl/>
        </w:rPr>
        <w:t xml:space="preserve">וזאת </w:t>
      </w:r>
      <w:r w:rsidRPr="00520FC8">
        <w:rPr>
          <w:rFonts w:ascii="David" w:eastAsia="Calibri" w:hAnsi="David"/>
          <w:b/>
          <w:bCs/>
          <w:rtl/>
        </w:rPr>
        <w:t>תוך 3 שנים מיום שחרורו.</w:t>
      </w:r>
    </w:p>
    <w:p w14:paraId="3DF5B185" w14:textId="77777777" w:rsidR="003C1A2A" w:rsidRPr="00520FC8" w:rsidRDefault="003C1A2A" w:rsidP="003C1A2A">
      <w:pPr>
        <w:numPr>
          <w:ilvl w:val="0"/>
          <w:numId w:val="1"/>
        </w:numPr>
        <w:spacing w:after="160" w:line="360" w:lineRule="auto"/>
        <w:contextualSpacing/>
        <w:jc w:val="both"/>
        <w:rPr>
          <w:rFonts w:ascii="David" w:eastAsia="Calibri" w:hAnsi="David"/>
          <w:b/>
          <w:bCs/>
        </w:rPr>
      </w:pPr>
      <w:r w:rsidRPr="00520FC8">
        <w:rPr>
          <w:rFonts w:ascii="David" w:eastAsia="Calibri" w:hAnsi="David"/>
          <w:b/>
          <w:bCs/>
          <w:rtl/>
        </w:rPr>
        <w:t>קנס בסך 2,000 ₪</w:t>
      </w:r>
      <w:r>
        <w:rPr>
          <w:rFonts w:ascii="David" w:eastAsia="Calibri" w:hAnsi="David" w:hint="cs"/>
          <w:b/>
          <w:bCs/>
          <w:rtl/>
        </w:rPr>
        <w:t xml:space="preserve"> או 20 ימי מאסר תמורתו</w:t>
      </w:r>
      <w:r w:rsidRPr="00520FC8">
        <w:rPr>
          <w:rFonts w:ascii="David" w:eastAsia="Calibri" w:hAnsi="David"/>
          <w:b/>
          <w:bCs/>
          <w:rtl/>
        </w:rPr>
        <w:t>. הקנס ישולם עד יום 1.</w:t>
      </w:r>
      <w:r>
        <w:rPr>
          <w:rFonts w:ascii="David" w:eastAsia="Calibri" w:hAnsi="David" w:hint="cs"/>
          <w:b/>
          <w:bCs/>
          <w:rtl/>
        </w:rPr>
        <w:t>12</w:t>
      </w:r>
      <w:r w:rsidRPr="00520FC8">
        <w:rPr>
          <w:rFonts w:ascii="David" w:eastAsia="Calibri" w:hAnsi="David"/>
          <w:b/>
          <w:bCs/>
          <w:rtl/>
        </w:rPr>
        <w:t>.26.</w:t>
      </w:r>
    </w:p>
    <w:p w14:paraId="15A80B1E" w14:textId="77777777" w:rsidR="003C1A2A" w:rsidRPr="00520FC8" w:rsidRDefault="003C1A2A" w:rsidP="003C1A2A">
      <w:pPr>
        <w:numPr>
          <w:ilvl w:val="0"/>
          <w:numId w:val="1"/>
        </w:numPr>
        <w:spacing w:after="160" w:line="360" w:lineRule="auto"/>
        <w:contextualSpacing/>
        <w:jc w:val="both"/>
        <w:rPr>
          <w:rFonts w:ascii="David" w:eastAsia="Calibri" w:hAnsi="David"/>
          <w:b/>
          <w:bCs/>
        </w:rPr>
      </w:pPr>
      <w:r w:rsidRPr="00520FC8">
        <w:rPr>
          <w:rFonts w:ascii="David" w:eastAsia="Calibri" w:hAnsi="David"/>
          <w:b/>
          <w:bCs/>
          <w:rtl/>
        </w:rPr>
        <w:t>הנאשם מתחייב בסך של 5,000 ₪ שלא לעבור על כל עבירת סמים</w:t>
      </w:r>
      <w:r>
        <w:rPr>
          <w:rFonts w:ascii="David" w:eastAsia="Calibri" w:hAnsi="David" w:hint="cs"/>
          <w:b/>
          <w:bCs/>
          <w:rtl/>
        </w:rPr>
        <w:t xml:space="preserve"> וזאת למשך שנתיים מיום שחרורו</w:t>
      </w:r>
      <w:r w:rsidRPr="00520FC8">
        <w:rPr>
          <w:rFonts w:ascii="David" w:eastAsia="Calibri" w:hAnsi="David"/>
          <w:b/>
          <w:bCs/>
          <w:rtl/>
        </w:rPr>
        <w:t>. הנאשם הבין והתחייב.</w:t>
      </w:r>
    </w:p>
    <w:p w14:paraId="6ABF4288" w14:textId="77777777" w:rsidR="003C1A2A" w:rsidRPr="00520FC8" w:rsidRDefault="003C1A2A" w:rsidP="003C1A2A">
      <w:pPr>
        <w:numPr>
          <w:ilvl w:val="0"/>
          <w:numId w:val="1"/>
        </w:numPr>
        <w:spacing w:after="160" w:line="360" w:lineRule="auto"/>
        <w:contextualSpacing/>
        <w:jc w:val="both"/>
        <w:rPr>
          <w:rFonts w:ascii="David" w:eastAsia="Calibri" w:hAnsi="David"/>
          <w:b/>
          <w:bCs/>
        </w:rPr>
      </w:pPr>
      <w:r w:rsidRPr="00520FC8">
        <w:rPr>
          <w:rFonts w:ascii="David" w:eastAsia="Calibri" w:hAnsi="David"/>
          <w:b/>
          <w:bCs/>
          <w:rtl/>
        </w:rPr>
        <w:t>הנאשם מוכרז בזאת כסוחר סמים.</w:t>
      </w:r>
    </w:p>
    <w:p w14:paraId="466843EE" w14:textId="77777777" w:rsidR="003C1A2A" w:rsidRPr="00520FC8" w:rsidRDefault="003D1985" w:rsidP="003C1A2A">
      <w:pPr>
        <w:numPr>
          <w:ilvl w:val="0"/>
          <w:numId w:val="1"/>
        </w:numPr>
        <w:spacing w:after="160" w:line="360" w:lineRule="auto"/>
        <w:contextualSpacing/>
        <w:jc w:val="both"/>
        <w:rPr>
          <w:rFonts w:ascii="David" w:eastAsia="Calibri" w:hAnsi="David"/>
          <w:b/>
          <w:bCs/>
        </w:rPr>
      </w:pPr>
      <w:r w:rsidRPr="003D1985">
        <w:rPr>
          <w:rFonts w:ascii="David" w:eastAsia="Calibri" w:hAnsi="David"/>
          <w:b/>
          <w:bCs/>
          <w:color w:val="FFFFFF"/>
          <w:sz w:val="2"/>
          <w:szCs w:val="2"/>
          <w:rtl/>
        </w:rPr>
        <w:t>5129371</w:t>
      </w:r>
      <w:r w:rsidR="003C1A2A" w:rsidRPr="00520FC8">
        <w:rPr>
          <w:rFonts w:ascii="David" w:eastAsia="Calibri" w:hAnsi="David"/>
          <w:b/>
          <w:bCs/>
          <w:rtl/>
        </w:rPr>
        <w:t xml:space="preserve">כלל המוצגים בתיק יושמדו או יחולטו </w:t>
      </w:r>
      <w:r w:rsidR="003C1A2A">
        <w:rPr>
          <w:rFonts w:ascii="David" w:eastAsia="Calibri" w:hAnsi="David" w:hint="cs"/>
          <w:b/>
          <w:bCs/>
          <w:rtl/>
        </w:rPr>
        <w:t xml:space="preserve">וזאת </w:t>
      </w:r>
      <w:r w:rsidR="003C1A2A" w:rsidRPr="00520FC8">
        <w:rPr>
          <w:rFonts w:ascii="David" w:eastAsia="Calibri" w:hAnsi="David"/>
          <w:b/>
          <w:bCs/>
          <w:rtl/>
        </w:rPr>
        <w:t xml:space="preserve">בהתאם לשיקול דעת רשם המוצגים.  </w:t>
      </w:r>
    </w:p>
    <w:p w14:paraId="2902EA36" w14:textId="77777777" w:rsidR="003C1A2A" w:rsidRPr="003D1985" w:rsidRDefault="003D1985" w:rsidP="003C1A2A">
      <w:pPr>
        <w:spacing w:after="160" w:line="360" w:lineRule="auto"/>
        <w:jc w:val="both"/>
        <w:rPr>
          <w:rFonts w:ascii="David" w:eastAsia="Calibri" w:hAnsi="David"/>
          <w:color w:val="FFFFFF"/>
          <w:sz w:val="2"/>
          <w:szCs w:val="2"/>
          <w:rtl/>
        </w:rPr>
      </w:pPr>
      <w:r w:rsidRPr="003D1985">
        <w:rPr>
          <w:rFonts w:ascii="David" w:eastAsia="Calibri" w:hAnsi="David"/>
          <w:color w:val="FFFFFF"/>
          <w:sz w:val="2"/>
          <w:szCs w:val="2"/>
          <w:rtl/>
        </w:rPr>
        <w:t>54678313</w:t>
      </w:r>
    </w:p>
    <w:p w14:paraId="6FDFF0E8" w14:textId="77777777" w:rsidR="003C1A2A" w:rsidRPr="00520FC8" w:rsidRDefault="003C1A2A" w:rsidP="003C1A2A">
      <w:pPr>
        <w:spacing w:after="160" w:line="360" w:lineRule="auto"/>
        <w:jc w:val="both"/>
        <w:rPr>
          <w:rFonts w:ascii="David" w:eastAsia="Calibri" w:hAnsi="David"/>
          <w:rtl/>
        </w:rPr>
      </w:pPr>
      <w:r w:rsidRPr="00520FC8">
        <w:rPr>
          <w:rFonts w:ascii="David" w:eastAsia="Calibri" w:hAnsi="David"/>
          <w:rtl/>
        </w:rPr>
        <w:t xml:space="preserve">זכות ערעור לבית המשפט המחוזי תוך 45 יום. </w:t>
      </w:r>
    </w:p>
    <w:p w14:paraId="7D29E592" w14:textId="77777777" w:rsidR="003C1A2A" w:rsidRPr="000F2247" w:rsidRDefault="003D1985" w:rsidP="003C1A2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תשרי תשפ"ה, 08 אוקטובר 2024, בנוכחות הצדדים. </w:t>
      </w:r>
      <w:bookmarkEnd w:id="8"/>
      <w:r w:rsidR="003C1A2A">
        <w:rPr>
          <w:rFonts w:ascii="Arial" w:hAnsi="Arial"/>
          <w:b/>
          <w:bCs/>
          <w:sz w:val="26"/>
          <w:szCs w:val="26"/>
          <w:rtl/>
        </w:rPr>
        <w:tab/>
      </w:r>
      <w:r w:rsidR="003C1A2A">
        <w:rPr>
          <w:rFonts w:ascii="Arial" w:hAnsi="Arial"/>
          <w:b/>
          <w:bCs/>
          <w:sz w:val="26"/>
          <w:szCs w:val="26"/>
          <w:rtl/>
        </w:rPr>
        <w:tab/>
      </w:r>
      <w:r w:rsidR="003C1A2A">
        <w:rPr>
          <w:rFonts w:ascii="Arial" w:hAnsi="Arial"/>
          <w:b/>
          <w:bCs/>
          <w:sz w:val="26"/>
          <w:szCs w:val="26"/>
          <w:rtl/>
        </w:rPr>
        <w:tab/>
      </w:r>
      <w:r w:rsidR="003C1A2A">
        <w:rPr>
          <w:rFonts w:ascii="Arial" w:hAnsi="Arial"/>
          <w:b/>
          <w:bCs/>
          <w:sz w:val="26"/>
          <w:szCs w:val="26"/>
          <w:rtl/>
        </w:rPr>
        <w:tab/>
      </w:r>
      <w:r w:rsidR="003C1A2A">
        <w:rPr>
          <w:rFonts w:ascii="Arial" w:hAnsi="Arial"/>
          <w:b/>
          <w:bCs/>
          <w:sz w:val="26"/>
          <w:szCs w:val="26"/>
          <w:rtl/>
        </w:rPr>
        <w:tab/>
      </w:r>
      <w:r w:rsidR="003C1A2A">
        <w:rPr>
          <w:rFonts w:ascii="Arial" w:hAnsi="Arial"/>
          <w:b/>
          <w:bCs/>
          <w:sz w:val="26"/>
          <w:szCs w:val="26"/>
          <w:rtl/>
        </w:rPr>
        <w:tab/>
      </w:r>
      <w:r w:rsidR="003C1A2A">
        <w:rPr>
          <w:rFonts w:ascii="Arial" w:hAnsi="Arial"/>
          <w:b/>
          <w:bCs/>
          <w:sz w:val="26"/>
          <w:szCs w:val="26"/>
          <w:rtl/>
        </w:rPr>
        <w:tab/>
      </w:r>
      <w:r w:rsidR="003C1A2A">
        <w:rPr>
          <w:rFonts w:ascii="Arial" w:hAnsi="Arial" w:hint="cs"/>
          <w:b/>
          <w:bCs/>
          <w:sz w:val="26"/>
          <w:szCs w:val="26"/>
          <w:rtl/>
        </w:rPr>
        <w:t xml:space="preserve">         </w:t>
      </w:r>
    </w:p>
    <w:p w14:paraId="4B590474" w14:textId="77777777" w:rsidR="003C1A2A" w:rsidRPr="000F2247" w:rsidRDefault="003C1A2A" w:rsidP="003D198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10CBE11" w14:textId="77777777" w:rsidR="003C1A2A" w:rsidRPr="0085458B" w:rsidRDefault="0085458B" w:rsidP="003C1A2A">
      <w:pPr>
        <w:jc w:val="center"/>
        <w:rPr>
          <w:rFonts w:ascii="Arial" w:hAnsi="Arial"/>
          <w:b/>
          <w:bCs/>
          <w:color w:val="FFFFFF"/>
          <w:sz w:val="2"/>
          <w:szCs w:val="2"/>
          <w:rtl/>
        </w:rPr>
      </w:pPr>
      <w:r w:rsidRPr="0085458B">
        <w:rPr>
          <w:rFonts w:ascii="Arial" w:hAnsi="Arial"/>
          <w:b/>
          <w:bCs/>
          <w:color w:val="FFFFFF"/>
          <w:sz w:val="2"/>
          <w:szCs w:val="2"/>
          <w:rtl/>
        </w:rPr>
        <w:t>5129371</w:t>
      </w:r>
    </w:p>
    <w:p w14:paraId="50E4698B" w14:textId="77777777" w:rsidR="003D1985" w:rsidRDefault="003D1985" w:rsidP="003D1985">
      <w:pPr>
        <w:rPr>
          <w:rtl/>
        </w:rPr>
      </w:pPr>
    </w:p>
    <w:p w14:paraId="65B1CB64" w14:textId="77777777" w:rsidR="003D1985" w:rsidRDefault="003D1985" w:rsidP="003D198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0D4A99F" w14:textId="77777777" w:rsidR="0085458B" w:rsidRPr="0085458B" w:rsidRDefault="0085458B" w:rsidP="0085458B">
      <w:pPr>
        <w:keepNext/>
        <w:rPr>
          <w:rFonts w:ascii="David" w:hAnsi="David"/>
          <w:color w:val="000000"/>
          <w:sz w:val="22"/>
          <w:szCs w:val="22"/>
          <w:rtl/>
        </w:rPr>
      </w:pPr>
    </w:p>
    <w:p w14:paraId="297C20FD" w14:textId="77777777" w:rsidR="0085458B" w:rsidRPr="0085458B" w:rsidRDefault="0085458B" w:rsidP="0085458B">
      <w:pPr>
        <w:keepNext/>
        <w:rPr>
          <w:rFonts w:ascii="David" w:hAnsi="David"/>
          <w:color w:val="000000"/>
          <w:sz w:val="22"/>
          <w:szCs w:val="22"/>
          <w:rtl/>
        </w:rPr>
      </w:pPr>
      <w:r w:rsidRPr="0085458B">
        <w:rPr>
          <w:rFonts w:ascii="David" w:hAnsi="David"/>
          <w:color w:val="000000"/>
          <w:sz w:val="22"/>
          <w:szCs w:val="22"/>
          <w:rtl/>
        </w:rPr>
        <w:t>שמואל הרבסט 54678313-/</w:t>
      </w:r>
    </w:p>
    <w:p w14:paraId="1A0A56DD" w14:textId="77777777" w:rsidR="003D1985" w:rsidRPr="003D1985" w:rsidRDefault="0085458B" w:rsidP="0085458B">
      <w:pPr>
        <w:rPr>
          <w:color w:val="0000FF"/>
          <w:u w:val="single"/>
        </w:rPr>
      </w:pPr>
      <w:r w:rsidRPr="0085458B">
        <w:rPr>
          <w:color w:val="000000"/>
          <w:u w:val="single"/>
          <w:rtl/>
        </w:rPr>
        <w:t>נוסח מסמך זה כפוף לשינויי ניסוח ועריכה</w:t>
      </w:r>
    </w:p>
    <w:sectPr w:rsidR="003D1985" w:rsidRPr="003D1985" w:rsidSect="0085458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48B60" w14:textId="77777777" w:rsidR="00191683" w:rsidRDefault="00191683" w:rsidP="0041396C">
      <w:r>
        <w:separator/>
      </w:r>
    </w:p>
  </w:endnote>
  <w:endnote w:type="continuationSeparator" w:id="0">
    <w:p w14:paraId="13A5EC0C" w14:textId="77777777" w:rsidR="00191683" w:rsidRDefault="00191683" w:rsidP="0041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24787" w14:textId="77777777" w:rsidR="0085458B" w:rsidRDefault="0085458B" w:rsidP="008545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5ED863" w14:textId="77777777" w:rsidR="0086121A" w:rsidRPr="0085458B" w:rsidRDefault="0085458B" w:rsidP="0085458B">
    <w:pPr>
      <w:pStyle w:val="a5"/>
      <w:pBdr>
        <w:top w:val="single" w:sz="4" w:space="1" w:color="auto"/>
        <w:between w:val="single" w:sz="4" w:space="0" w:color="auto"/>
      </w:pBdr>
      <w:spacing w:after="60"/>
      <w:jc w:val="center"/>
      <w:rPr>
        <w:rFonts w:ascii="FrankRuehl" w:hAnsi="FrankRuehl" w:cs="FrankRuehl"/>
        <w:color w:val="000000"/>
      </w:rPr>
    </w:pPr>
    <w:r w:rsidRPr="008545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8D240" w14:textId="77777777" w:rsidR="0085458B" w:rsidRDefault="0085458B" w:rsidP="008545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0E29">
      <w:rPr>
        <w:rFonts w:ascii="FrankRuehl" w:hAnsi="FrankRuehl" w:cs="FrankRuehl"/>
        <w:noProof/>
        <w:rtl/>
      </w:rPr>
      <w:t>1</w:t>
    </w:r>
    <w:r>
      <w:rPr>
        <w:rFonts w:ascii="FrankRuehl" w:hAnsi="FrankRuehl" w:cs="FrankRuehl"/>
        <w:rtl/>
      </w:rPr>
      <w:fldChar w:fldCharType="end"/>
    </w:r>
  </w:p>
  <w:p w14:paraId="1366D6BE" w14:textId="77777777" w:rsidR="0086121A" w:rsidRPr="0085458B" w:rsidRDefault="0085458B" w:rsidP="0085458B">
    <w:pPr>
      <w:pStyle w:val="a5"/>
      <w:pBdr>
        <w:top w:val="single" w:sz="4" w:space="1" w:color="auto"/>
        <w:between w:val="single" w:sz="4" w:space="0" w:color="auto"/>
      </w:pBdr>
      <w:spacing w:after="60"/>
      <w:jc w:val="center"/>
      <w:rPr>
        <w:rFonts w:ascii="FrankRuehl" w:hAnsi="FrankRuehl" w:cs="FrankRuehl"/>
        <w:color w:val="000000"/>
      </w:rPr>
    </w:pPr>
    <w:r w:rsidRPr="0085458B">
      <w:rPr>
        <w:rFonts w:ascii="FrankRuehl" w:hAnsi="FrankRuehl" w:cs="FrankRuehl"/>
        <w:color w:val="000000"/>
      </w:rPr>
      <w:pict w14:anchorId="024D7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2796F" w14:textId="77777777" w:rsidR="00191683" w:rsidRDefault="00191683" w:rsidP="0041396C">
      <w:r>
        <w:separator/>
      </w:r>
    </w:p>
  </w:footnote>
  <w:footnote w:type="continuationSeparator" w:id="0">
    <w:p w14:paraId="74E14AFA" w14:textId="77777777" w:rsidR="00191683" w:rsidRDefault="00191683" w:rsidP="0041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DBE3E" w14:textId="77777777" w:rsidR="003D1985" w:rsidRPr="0085458B" w:rsidRDefault="0085458B" w:rsidP="008545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32586-12-23</w:t>
    </w:r>
    <w:r>
      <w:rPr>
        <w:rFonts w:ascii="David" w:hAnsi="David"/>
        <w:color w:val="000000"/>
        <w:sz w:val="22"/>
        <w:szCs w:val="22"/>
        <w:rtl/>
      </w:rPr>
      <w:tab/>
      <w:t xml:space="preserve"> מדינת ישראל נ' יעקב חי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7669" w14:textId="77777777" w:rsidR="003D1985" w:rsidRPr="0085458B" w:rsidRDefault="0085458B" w:rsidP="008545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32586-12-23</w:t>
    </w:r>
    <w:r>
      <w:rPr>
        <w:rFonts w:ascii="David" w:hAnsi="David"/>
        <w:color w:val="000000"/>
        <w:sz w:val="22"/>
        <w:szCs w:val="22"/>
        <w:rtl/>
      </w:rPr>
      <w:tab/>
      <w:t xml:space="preserve"> מדינת ישראל נ' יעקב חי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528D"/>
    <w:multiLevelType w:val="hybridMultilevel"/>
    <w:tmpl w:val="FC2E3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859422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1A2A"/>
    <w:rsid w:val="00191683"/>
    <w:rsid w:val="003C1A2A"/>
    <w:rsid w:val="003C5EE8"/>
    <w:rsid w:val="003D1985"/>
    <w:rsid w:val="0041396C"/>
    <w:rsid w:val="00580E29"/>
    <w:rsid w:val="00700C74"/>
    <w:rsid w:val="00714D09"/>
    <w:rsid w:val="0085458B"/>
    <w:rsid w:val="0086121A"/>
    <w:rsid w:val="00875A85"/>
    <w:rsid w:val="009409A6"/>
    <w:rsid w:val="00A500BC"/>
    <w:rsid w:val="00A912ED"/>
    <w:rsid w:val="00E07528"/>
    <w:rsid w:val="00E654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71518E"/>
  <w15:chartTrackingRefBased/>
  <w15:docId w15:val="{A7A7A0FB-F579-4640-9C2F-ABD6F6F5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1A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1A2A"/>
    <w:pPr>
      <w:tabs>
        <w:tab w:val="center" w:pos="4153"/>
        <w:tab w:val="right" w:pos="8306"/>
      </w:tabs>
    </w:pPr>
  </w:style>
  <w:style w:type="character" w:customStyle="1" w:styleId="a4">
    <w:name w:val="כותרת עליונה תו"/>
    <w:link w:val="a3"/>
    <w:rsid w:val="003C1A2A"/>
    <w:rPr>
      <w:rFonts w:ascii="Times New Roman" w:eastAsia="Times New Roman" w:hAnsi="Times New Roman" w:cs="David"/>
      <w:sz w:val="24"/>
      <w:szCs w:val="24"/>
    </w:rPr>
  </w:style>
  <w:style w:type="paragraph" w:styleId="a5">
    <w:name w:val="footer"/>
    <w:basedOn w:val="a"/>
    <w:link w:val="a6"/>
    <w:rsid w:val="003C1A2A"/>
    <w:pPr>
      <w:tabs>
        <w:tab w:val="center" w:pos="4153"/>
        <w:tab w:val="right" w:pos="8306"/>
      </w:tabs>
    </w:pPr>
  </w:style>
  <w:style w:type="character" w:customStyle="1" w:styleId="a6">
    <w:name w:val="כותרת תחתונה תו"/>
    <w:link w:val="a5"/>
    <w:rsid w:val="003C1A2A"/>
    <w:rPr>
      <w:rFonts w:ascii="Times New Roman" w:eastAsia="Times New Roman" w:hAnsi="Times New Roman" w:cs="David"/>
      <w:sz w:val="24"/>
      <w:szCs w:val="24"/>
    </w:rPr>
  </w:style>
  <w:style w:type="table" w:styleId="a7">
    <w:name w:val="Table Grid"/>
    <w:basedOn w:val="a1"/>
    <w:rsid w:val="003C1A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C1A2A"/>
  </w:style>
  <w:style w:type="character" w:styleId="Hyperlink">
    <w:name w:val="Hyperlink"/>
    <w:rsid w:val="003D1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4216/10" TargetMode="External"/><Relationship Id="rId26" Type="http://schemas.openxmlformats.org/officeDocument/2006/relationships/hyperlink" Target="http://www.nevo.co.il/law/98569" TargetMode="External"/><Relationship Id="rId21" Type="http://schemas.openxmlformats.org/officeDocument/2006/relationships/hyperlink" Target="http://www.nevo.co.il/law/70301/40"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 TargetMode="External"/><Relationship Id="rId17" Type="http://schemas.openxmlformats.org/officeDocument/2006/relationships/hyperlink" Target="http://www.nevo.co.il/law/4216" TargetMode="External"/><Relationship Id="rId25" Type="http://schemas.openxmlformats.org/officeDocument/2006/relationships/hyperlink" Target="http://www.nevo.co.il/law/98569/4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75366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20587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98569/4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272841" TargetMode="External"/><Relationship Id="rId36"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case/2753666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40c" TargetMode="External"/><Relationship Id="rId27" Type="http://schemas.openxmlformats.org/officeDocument/2006/relationships/hyperlink" Target="http://www.nevo.co.il/case/27536666" TargetMode="External"/><Relationship Id="rId30" Type="http://schemas.openxmlformats.org/officeDocument/2006/relationships/hyperlink" Target="http://www.nevo.co.il/case/2753666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2344</Words>
  <Characters>11722</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14038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3604598</vt:i4>
      </vt:variant>
      <vt:variant>
        <vt:i4>69</vt:i4>
      </vt:variant>
      <vt:variant>
        <vt:i4>0</vt:i4>
      </vt:variant>
      <vt:variant>
        <vt:i4>5</vt:i4>
      </vt:variant>
      <vt:variant>
        <vt:lpwstr>http://www.nevo.co.il/case/27536666</vt:lpwstr>
      </vt:variant>
      <vt:variant>
        <vt:lpwstr/>
      </vt:variant>
      <vt:variant>
        <vt:i4>3604598</vt:i4>
      </vt:variant>
      <vt:variant>
        <vt:i4>66</vt:i4>
      </vt:variant>
      <vt:variant>
        <vt:i4>0</vt:i4>
      </vt:variant>
      <vt:variant>
        <vt:i4>5</vt:i4>
      </vt:variant>
      <vt:variant>
        <vt:lpwstr>http://www.nevo.co.il/case/27536666</vt:lpwstr>
      </vt:variant>
      <vt:variant>
        <vt:lpwstr/>
      </vt:variant>
      <vt:variant>
        <vt:i4>3539065</vt:i4>
      </vt:variant>
      <vt:variant>
        <vt:i4>63</vt:i4>
      </vt:variant>
      <vt:variant>
        <vt:i4>0</vt:i4>
      </vt:variant>
      <vt:variant>
        <vt:i4>5</vt:i4>
      </vt:variant>
      <vt:variant>
        <vt:lpwstr>http://www.nevo.co.il/case/22272841</vt:lpwstr>
      </vt:variant>
      <vt:variant>
        <vt:lpwstr/>
      </vt:variant>
      <vt:variant>
        <vt:i4>3604598</vt:i4>
      </vt:variant>
      <vt:variant>
        <vt:i4>60</vt:i4>
      </vt:variant>
      <vt:variant>
        <vt:i4>0</vt:i4>
      </vt:variant>
      <vt:variant>
        <vt:i4>5</vt:i4>
      </vt:variant>
      <vt:variant>
        <vt:lpwstr>http://www.nevo.co.il/case/27536666</vt:lpwstr>
      </vt:variant>
      <vt:variant>
        <vt:lpwstr/>
      </vt:variant>
      <vt:variant>
        <vt:i4>7602284</vt:i4>
      </vt:variant>
      <vt:variant>
        <vt:i4>57</vt:i4>
      </vt:variant>
      <vt:variant>
        <vt:i4>0</vt:i4>
      </vt:variant>
      <vt:variant>
        <vt:i4>5</vt:i4>
      </vt:variant>
      <vt:variant>
        <vt:lpwstr>http://www.nevo.co.il/law/98569</vt:lpwstr>
      </vt:variant>
      <vt:variant>
        <vt:lpwstr/>
      </vt:variant>
      <vt:variant>
        <vt:i4>7209057</vt:i4>
      </vt:variant>
      <vt:variant>
        <vt:i4>54</vt:i4>
      </vt:variant>
      <vt:variant>
        <vt:i4>0</vt:i4>
      </vt:variant>
      <vt:variant>
        <vt:i4>5</vt:i4>
      </vt:variant>
      <vt:variant>
        <vt:lpwstr>http://www.nevo.co.il/law/98569/45</vt:lpwstr>
      </vt:variant>
      <vt:variant>
        <vt:lpwstr/>
      </vt:variant>
      <vt:variant>
        <vt:i4>3276924</vt:i4>
      </vt:variant>
      <vt:variant>
        <vt:i4>51</vt:i4>
      </vt:variant>
      <vt:variant>
        <vt:i4>0</vt:i4>
      </vt:variant>
      <vt:variant>
        <vt:i4>5</vt:i4>
      </vt:variant>
      <vt:variant>
        <vt:lpwstr>http://www.nevo.co.il/case/20205876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6619233</vt:i4>
      </vt:variant>
      <vt:variant>
        <vt:i4>42</vt:i4>
      </vt:variant>
      <vt:variant>
        <vt:i4>0</vt:i4>
      </vt:variant>
      <vt:variant>
        <vt:i4>5</vt:i4>
      </vt:variant>
      <vt:variant>
        <vt:lpwstr>http://www.nevo.co.il/law/70301/40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3604598</vt:i4>
      </vt:variant>
      <vt:variant>
        <vt:i4>36</vt:i4>
      </vt:variant>
      <vt:variant>
        <vt:i4>0</vt:i4>
      </vt:variant>
      <vt:variant>
        <vt:i4>5</vt:i4>
      </vt:variant>
      <vt:variant>
        <vt:lpwstr>http://www.nevo.co.il/case/27536666</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7209057</vt:i4>
      </vt:variant>
      <vt:variant>
        <vt:i4>24</vt:i4>
      </vt:variant>
      <vt:variant>
        <vt:i4>0</vt:i4>
      </vt:variant>
      <vt:variant>
        <vt:i4>5</vt:i4>
      </vt:variant>
      <vt:variant>
        <vt:lpwstr>http://www.nevo.co.il/law/98569/45</vt:lpwstr>
      </vt:variant>
      <vt:variant>
        <vt:lpwstr/>
      </vt:variant>
      <vt:variant>
        <vt:i4>7602284</vt:i4>
      </vt:variant>
      <vt:variant>
        <vt:i4>21</vt:i4>
      </vt:variant>
      <vt:variant>
        <vt:i4>0</vt:i4>
      </vt:variant>
      <vt:variant>
        <vt:i4>5</vt:i4>
      </vt:variant>
      <vt:variant>
        <vt:lpwstr>http://www.nevo.co.il/law/98569</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32586</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יעקב חי מלכה</vt:lpwstr>
  </property>
  <property fmtid="{D5CDD505-2E9C-101B-9397-08002B2CF9AE}" pid="10" name="LAWYER">
    <vt:lpwstr>ש. בן שבת</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20241008</vt:lpwstr>
  </property>
  <property fmtid="{D5CDD505-2E9C-101B-9397-08002B2CF9AE}" pid="14" name="TYPE_N_DATE">
    <vt:lpwstr>38020241008</vt:lpwstr>
  </property>
  <property fmtid="{D5CDD505-2E9C-101B-9397-08002B2CF9AE}" pid="15" name="WORDNUMPAGES">
    <vt:lpwstr>8</vt:lpwstr>
  </property>
  <property fmtid="{D5CDD505-2E9C-101B-9397-08002B2CF9AE}" pid="16" name="TYPE_ABS_DATE">
    <vt:lpwstr>380020241008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27536666:4;20205876;22272841</vt:lpwstr>
  </property>
  <property fmtid="{D5CDD505-2E9C-101B-9397-08002B2CF9AE}" pid="36" name="LAWLISTTMP1">
    <vt:lpwstr>4216/007.a;007.c;010</vt:lpwstr>
  </property>
  <property fmtid="{D5CDD505-2E9C-101B-9397-08002B2CF9AE}" pid="37" name="LAWLISTTMP2">
    <vt:lpwstr>70301/040;040c</vt:lpwstr>
  </property>
  <property fmtid="{D5CDD505-2E9C-101B-9397-08002B2CF9AE}" pid="38" name="LAWLISTTMP3">
    <vt:lpwstr>98569/045</vt:lpwstr>
  </property>
</Properties>
</file>