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1696A" w:rsidRPr="00382EE0" w14:paraId="0F7E4E80" w14:textId="77777777" w:rsidTr="0098257F">
        <w:trPr>
          <w:trHeight w:hRule="exact" w:val="418"/>
          <w:jc w:val="center"/>
        </w:trPr>
        <w:tc>
          <w:tcPr>
            <w:tcW w:w="8721" w:type="dxa"/>
            <w:gridSpan w:val="2"/>
          </w:tcPr>
          <w:p w14:paraId="51218F2B" w14:textId="77777777" w:rsidR="0041696A" w:rsidRPr="00382EE0" w:rsidRDefault="0041696A" w:rsidP="00137C37">
            <w:pPr>
              <w:pStyle w:val="a3"/>
              <w:jc w:val="center"/>
              <w:rPr>
                <w:rFonts w:ascii="Tahoma" w:hAnsi="Tahoma" w:cs="Tahoma"/>
                <w:color w:val="000080"/>
                <w:rtl/>
              </w:rPr>
            </w:pPr>
            <w:r w:rsidRPr="00382EE0">
              <w:rPr>
                <w:rFonts w:ascii="Tahoma" w:hAnsi="Tahoma" w:cs="Tahoma"/>
                <w:b/>
                <w:bCs/>
                <w:color w:val="000080"/>
                <w:rtl/>
              </w:rPr>
              <w:t>בית משפט השלום ברמלה</w:t>
            </w:r>
          </w:p>
        </w:tc>
      </w:tr>
      <w:tr w:rsidR="0041696A" w:rsidRPr="00382EE0" w14:paraId="35BDAFDF" w14:textId="77777777" w:rsidTr="0098257F">
        <w:trPr>
          <w:trHeight w:val="337"/>
          <w:jc w:val="center"/>
        </w:trPr>
        <w:tc>
          <w:tcPr>
            <w:tcW w:w="5059" w:type="dxa"/>
          </w:tcPr>
          <w:p w14:paraId="7B962ADC" w14:textId="77777777" w:rsidR="0041696A" w:rsidRPr="00382EE0" w:rsidRDefault="0041696A" w:rsidP="00137C37">
            <w:pPr>
              <w:rPr>
                <w:rFonts w:cs="FrankRuehl"/>
                <w:sz w:val="28"/>
                <w:szCs w:val="28"/>
                <w:rtl/>
              </w:rPr>
            </w:pPr>
            <w:r w:rsidRPr="00382EE0">
              <w:rPr>
                <w:rFonts w:cs="FrankRuehl"/>
                <w:sz w:val="28"/>
                <w:szCs w:val="28"/>
                <w:rtl/>
              </w:rPr>
              <w:t>ת"פ</w:t>
            </w:r>
            <w:r w:rsidRPr="00382EE0">
              <w:rPr>
                <w:rFonts w:cs="FrankRuehl" w:hint="cs"/>
                <w:sz w:val="28"/>
                <w:szCs w:val="28"/>
                <w:rtl/>
              </w:rPr>
              <w:t xml:space="preserve"> </w:t>
            </w:r>
            <w:r w:rsidRPr="00382EE0">
              <w:rPr>
                <w:rFonts w:cs="FrankRuehl"/>
                <w:sz w:val="28"/>
                <w:szCs w:val="28"/>
                <w:rtl/>
              </w:rPr>
              <w:t>43174-12-23</w:t>
            </w:r>
            <w:r w:rsidRPr="00382EE0">
              <w:rPr>
                <w:rFonts w:cs="FrankRuehl" w:hint="cs"/>
                <w:sz w:val="28"/>
                <w:szCs w:val="28"/>
                <w:rtl/>
              </w:rPr>
              <w:t xml:space="preserve"> </w:t>
            </w:r>
            <w:r w:rsidRPr="00382EE0">
              <w:rPr>
                <w:rFonts w:cs="FrankRuehl"/>
                <w:sz w:val="28"/>
                <w:szCs w:val="28"/>
                <w:rtl/>
              </w:rPr>
              <w:t>מדינת ישראל נ' ציטרון(עציר)</w:t>
            </w:r>
          </w:p>
          <w:p w14:paraId="4AF73A20" w14:textId="77777777" w:rsidR="0041696A" w:rsidRPr="00382EE0" w:rsidRDefault="0041696A" w:rsidP="00137C37">
            <w:pPr>
              <w:pStyle w:val="a3"/>
              <w:rPr>
                <w:rFonts w:cs="FrankRuehl"/>
                <w:sz w:val="28"/>
                <w:szCs w:val="28"/>
                <w:rtl/>
              </w:rPr>
            </w:pPr>
          </w:p>
        </w:tc>
        <w:tc>
          <w:tcPr>
            <w:tcW w:w="3662" w:type="dxa"/>
          </w:tcPr>
          <w:p w14:paraId="097DAF60" w14:textId="77777777" w:rsidR="0041696A" w:rsidRPr="00382EE0" w:rsidRDefault="0041696A" w:rsidP="00137C37">
            <w:pPr>
              <w:pStyle w:val="a3"/>
              <w:jc w:val="right"/>
              <w:rPr>
                <w:rFonts w:cs="FrankRuehl"/>
                <w:sz w:val="28"/>
                <w:szCs w:val="28"/>
                <w:rtl/>
              </w:rPr>
            </w:pPr>
          </w:p>
        </w:tc>
      </w:tr>
    </w:tbl>
    <w:p w14:paraId="4910C81E" w14:textId="77777777" w:rsidR="0041696A" w:rsidRPr="00382EE0" w:rsidRDefault="0041696A" w:rsidP="0041696A">
      <w:pPr>
        <w:pStyle w:val="a3"/>
        <w:rPr>
          <w:rtl/>
        </w:rPr>
      </w:pPr>
      <w:r w:rsidRPr="00382EE0">
        <w:rPr>
          <w:rFonts w:hint="cs"/>
          <w:rtl/>
        </w:rPr>
        <w:t xml:space="preserve"> </w:t>
      </w:r>
    </w:p>
    <w:p w14:paraId="23D9F307" w14:textId="77777777" w:rsidR="0041696A" w:rsidRPr="00382EE0" w:rsidRDefault="0041696A" w:rsidP="0041696A">
      <w:pPr>
        <w:rPr>
          <w:sz w:val="2"/>
          <w:szCs w:val="2"/>
          <w:rtl/>
        </w:rPr>
      </w:pPr>
    </w:p>
    <w:p w14:paraId="7B4D1BFF" w14:textId="77777777" w:rsidR="0041696A" w:rsidRPr="00382EE0" w:rsidRDefault="0041696A" w:rsidP="0041696A">
      <w:pPr>
        <w:rPr>
          <w:sz w:val="2"/>
          <w:szCs w:val="2"/>
          <w:rtl/>
        </w:rPr>
      </w:pPr>
    </w:p>
    <w:p w14:paraId="5837F847" w14:textId="77777777" w:rsidR="0041696A" w:rsidRPr="00382EE0" w:rsidRDefault="0041696A" w:rsidP="0041696A">
      <w:pPr>
        <w:rPr>
          <w:rFonts w:ascii="Arial (W1)" w:hAnsi="Arial (W1)"/>
          <w:b/>
          <w:bCs/>
          <w:sz w:val="28"/>
          <w:szCs w:val="28"/>
        </w:rPr>
      </w:pPr>
      <w:r w:rsidRPr="00382EE0">
        <w:rPr>
          <w:rFonts w:ascii="Arial (W1)" w:hAnsi="Arial (W1)"/>
          <w:b/>
          <w:bCs/>
          <w:sz w:val="28"/>
          <w:szCs w:val="28"/>
          <w:rtl/>
        </w:rPr>
        <w:softHyphen/>
      </w:r>
      <w:r w:rsidRPr="00382EE0">
        <w:rPr>
          <w:rFonts w:ascii="Arial (W1)" w:hAnsi="Arial (W1)"/>
          <w:b/>
          <w:bCs/>
          <w:sz w:val="28"/>
          <w:szCs w:val="28"/>
          <w:rtl/>
        </w:rPr>
        <w:softHyphen/>
        <w:t>לפני:</w:t>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t xml:space="preserve">כבוד השופטת </w:t>
      </w:r>
      <w:bookmarkStart w:id="0" w:name="LastJudge"/>
      <w:r w:rsidRPr="00382EE0">
        <w:rPr>
          <w:rFonts w:ascii="Arial (W1)" w:hAnsi="Arial (W1)"/>
          <w:b/>
          <w:bCs/>
          <w:sz w:val="28"/>
          <w:szCs w:val="28"/>
          <w:rtl/>
        </w:rPr>
        <w:t>סגנית הנשיא</w:t>
      </w:r>
      <w:bookmarkEnd w:id="0"/>
      <w:r w:rsidRPr="00382EE0">
        <w:rPr>
          <w:rFonts w:ascii="Arial (W1)" w:hAnsi="Arial (W1)"/>
          <w:b/>
          <w:bCs/>
          <w:sz w:val="28"/>
          <w:szCs w:val="28"/>
          <w:rtl/>
        </w:rPr>
        <w:t xml:space="preserve"> דורית סבן נוי</w:t>
      </w:r>
    </w:p>
    <w:p w14:paraId="763C9255" w14:textId="77777777" w:rsidR="0041696A" w:rsidRPr="00382EE0" w:rsidRDefault="0041696A" w:rsidP="0041696A">
      <w:pPr>
        <w:rPr>
          <w:rFonts w:ascii="Arial (W1)" w:hAnsi="Arial (W1)"/>
          <w:b/>
          <w:bCs/>
          <w:sz w:val="28"/>
          <w:szCs w:val="28"/>
          <w:rtl/>
        </w:rPr>
      </w:pPr>
    </w:p>
    <w:p w14:paraId="0CC6BF38" w14:textId="77777777" w:rsidR="0041696A" w:rsidRPr="00382EE0" w:rsidRDefault="0041696A" w:rsidP="0041696A">
      <w:pPr>
        <w:rPr>
          <w:rFonts w:ascii="Arial (W1)" w:hAnsi="Arial (W1)"/>
          <w:b/>
          <w:bCs/>
          <w:sz w:val="28"/>
          <w:szCs w:val="28"/>
          <w:rtl/>
        </w:rPr>
      </w:pPr>
      <w:r w:rsidRPr="00382EE0">
        <w:rPr>
          <w:rFonts w:ascii="Arial (W1)" w:hAnsi="Arial (W1)"/>
          <w:b/>
          <w:bCs/>
          <w:sz w:val="28"/>
          <w:szCs w:val="28"/>
          <w:rtl/>
        </w:rPr>
        <w:t>ה</w:t>
      </w:r>
      <w:bookmarkStart w:id="1" w:name="FirstAppellant"/>
      <w:r w:rsidRPr="00382EE0">
        <w:rPr>
          <w:rFonts w:ascii="Arial (W1)" w:hAnsi="Arial (W1)"/>
          <w:b/>
          <w:bCs/>
          <w:sz w:val="28"/>
          <w:szCs w:val="28"/>
          <w:rtl/>
        </w:rPr>
        <w:t>מאשימ</w:t>
      </w:r>
      <w:bookmarkEnd w:id="1"/>
      <w:r w:rsidRPr="00382EE0">
        <w:rPr>
          <w:rFonts w:ascii="Arial (W1)" w:hAnsi="Arial (W1)"/>
          <w:b/>
          <w:bCs/>
          <w:sz w:val="28"/>
          <w:szCs w:val="28"/>
          <w:rtl/>
        </w:rPr>
        <w:t>ה:</w:t>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t>מדינת ישראל</w:t>
      </w:r>
    </w:p>
    <w:p w14:paraId="3FA27008" w14:textId="77777777" w:rsidR="0041696A" w:rsidRPr="00382EE0" w:rsidRDefault="0041696A" w:rsidP="0041696A">
      <w:pPr>
        <w:rPr>
          <w:rFonts w:ascii="Arial (W1)" w:hAnsi="Arial (W1)"/>
          <w:b/>
          <w:bCs/>
          <w:sz w:val="28"/>
          <w:szCs w:val="28"/>
          <w:rtl/>
        </w:rPr>
      </w:pP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t xml:space="preserve">באמצעות יחידת תביעות מרכז- שלוחת רמלה </w:t>
      </w:r>
    </w:p>
    <w:p w14:paraId="55B0AE95" w14:textId="77777777" w:rsidR="0041696A" w:rsidRPr="00382EE0" w:rsidRDefault="0041696A" w:rsidP="0041696A">
      <w:pPr>
        <w:rPr>
          <w:rFonts w:ascii="Arial (W1)" w:hAnsi="Arial (W1)"/>
          <w:b/>
          <w:bCs/>
          <w:sz w:val="28"/>
          <w:szCs w:val="28"/>
          <w:rtl/>
        </w:rPr>
      </w:pPr>
    </w:p>
    <w:p w14:paraId="76267580" w14:textId="77777777" w:rsidR="0041696A" w:rsidRPr="00382EE0" w:rsidRDefault="0041696A" w:rsidP="0041696A">
      <w:pPr>
        <w:rPr>
          <w:rFonts w:ascii="Arial (W1)" w:hAnsi="Arial (W1)"/>
          <w:b/>
          <w:bCs/>
          <w:sz w:val="28"/>
          <w:szCs w:val="28"/>
          <w:rtl/>
        </w:rPr>
      </w:pP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t>נ ג ד</w:t>
      </w:r>
    </w:p>
    <w:p w14:paraId="3C769481" w14:textId="77777777" w:rsidR="0041696A" w:rsidRPr="00382EE0" w:rsidRDefault="0041696A" w:rsidP="0041696A">
      <w:pPr>
        <w:tabs>
          <w:tab w:val="left" w:pos="3579"/>
        </w:tabs>
        <w:rPr>
          <w:rFonts w:ascii="Arial (W1)" w:hAnsi="Arial (W1)"/>
          <w:b/>
          <w:bCs/>
          <w:sz w:val="28"/>
          <w:szCs w:val="28"/>
          <w:rtl/>
        </w:rPr>
      </w:pPr>
      <w:r w:rsidRPr="00382EE0">
        <w:rPr>
          <w:rFonts w:ascii="Arial (W1)" w:hAnsi="Arial (W1)"/>
          <w:b/>
          <w:bCs/>
          <w:sz w:val="28"/>
          <w:szCs w:val="28"/>
          <w:rtl/>
        </w:rPr>
        <w:tab/>
      </w:r>
    </w:p>
    <w:p w14:paraId="2C2BED02" w14:textId="77777777" w:rsidR="0041696A" w:rsidRPr="00382EE0" w:rsidRDefault="0041696A" w:rsidP="0041696A">
      <w:pPr>
        <w:rPr>
          <w:rFonts w:ascii="Arial (W1)" w:hAnsi="Arial (W1)"/>
          <w:b/>
          <w:bCs/>
          <w:sz w:val="28"/>
          <w:szCs w:val="28"/>
          <w:rtl/>
        </w:rPr>
      </w:pPr>
      <w:r w:rsidRPr="00382EE0">
        <w:rPr>
          <w:rFonts w:ascii="Arial (W1)" w:hAnsi="Arial (W1)"/>
          <w:b/>
          <w:bCs/>
          <w:sz w:val="28"/>
          <w:szCs w:val="28"/>
          <w:rtl/>
        </w:rPr>
        <w:t>הנאשם:</w:t>
      </w:r>
      <w:r w:rsidRPr="00382EE0">
        <w:rPr>
          <w:rFonts w:ascii="Arial (W1)" w:hAnsi="Arial (W1)"/>
          <w:b/>
          <w:bCs/>
          <w:sz w:val="28"/>
          <w:szCs w:val="28"/>
          <w:rtl/>
        </w:rPr>
        <w:tab/>
      </w:r>
      <w:r w:rsidRPr="00382EE0">
        <w:rPr>
          <w:rFonts w:ascii="Arial (W1)" w:hAnsi="Arial (W1)"/>
          <w:b/>
          <w:bCs/>
          <w:sz w:val="28"/>
          <w:szCs w:val="28"/>
          <w:rtl/>
        </w:rPr>
        <w:tab/>
      </w:r>
      <w:r w:rsidRPr="00382EE0">
        <w:rPr>
          <w:rFonts w:ascii="Arial (W1)" w:hAnsi="Arial (W1)"/>
          <w:b/>
          <w:bCs/>
          <w:sz w:val="28"/>
          <w:szCs w:val="28"/>
          <w:rtl/>
        </w:rPr>
        <w:tab/>
        <w:t>חיים ציטר</w:t>
      </w:r>
      <w:r w:rsidRPr="00382EE0">
        <w:rPr>
          <w:rFonts w:ascii="Arial (W1)" w:hAnsi="Arial (W1)" w:hint="cs"/>
          <w:b/>
          <w:bCs/>
          <w:sz w:val="28"/>
          <w:szCs w:val="28"/>
          <w:rtl/>
        </w:rPr>
        <w:t>ו</w:t>
      </w:r>
      <w:r w:rsidRPr="00382EE0">
        <w:rPr>
          <w:rFonts w:ascii="Arial (W1)" w:hAnsi="Arial (W1)"/>
          <w:b/>
          <w:bCs/>
          <w:sz w:val="28"/>
          <w:szCs w:val="28"/>
          <w:rtl/>
        </w:rPr>
        <w:t>ן</w:t>
      </w:r>
    </w:p>
    <w:p w14:paraId="2C303EE5" w14:textId="77777777" w:rsidR="0041696A" w:rsidRPr="00382EE0" w:rsidRDefault="0041696A" w:rsidP="0041696A">
      <w:pPr>
        <w:rPr>
          <w:rFonts w:ascii="Arial (W1)" w:hAnsi="Arial (W1)"/>
          <w:b/>
          <w:bCs/>
          <w:sz w:val="28"/>
          <w:szCs w:val="28"/>
          <w:rtl/>
        </w:rPr>
      </w:pPr>
    </w:p>
    <w:p w14:paraId="51E99083" w14:textId="77777777" w:rsidR="0041696A" w:rsidRPr="00382EE0" w:rsidRDefault="0041696A" w:rsidP="0041696A">
      <w:pPr>
        <w:rPr>
          <w:rFonts w:ascii="Arial (W1)" w:hAnsi="Arial (W1)"/>
          <w:sz w:val="28"/>
          <w:szCs w:val="28"/>
          <w:rtl/>
        </w:rPr>
      </w:pPr>
      <w:bookmarkStart w:id="2" w:name="FirstLawyer"/>
      <w:r w:rsidRPr="00382EE0">
        <w:rPr>
          <w:rFonts w:ascii="Arial (W1)" w:hAnsi="Arial (W1)"/>
          <w:sz w:val="28"/>
          <w:szCs w:val="28"/>
          <w:rtl/>
        </w:rPr>
        <w:t>בשם</w:t>
      </w:r>
      <w:bookmarkEnd w:id="2"/>
      <w:r w:rsidRPr="00382EE0">
        <w:rPr>
          <w:rFonts w:ascii="Arial (W1)" w:hAnsi="Arial (W1)"/>
          <w:sz w:val="28"/>
          <w:szCs w:val="28"/>
          <w:rtl/>
        </w:rPr>
        <w:t xml:space="preserve"> המאשימה:</w:t>
      </w:r>
      <w:r w:rsidRPr="00382EE0">
        <w:rPr>
          <w:rFonts w:ascii="Arial (W1)" w:hAnsi="Arial (W1)"/>
          <w:sz w:val="28"/>
          <w:szCs w:val="28"/>
          <w:rtl/>
        </w:rPr>
        <w:tab/>
      </w:r>
      <w:r w:rsidRPr="00382EE0">
        <w:rPr>
          <w:rFonts w:ascii="Arial (W1)" w:hAnsi="Arial (W1)"/>
          <w:sz w:val="28"/>
          <w:szCs w:val="28"/>
          <w:rtl/>
        </w:rPr>
        <w:tab/>
        <w:t xml:space="preserve">עו"ד שיר זהבי </w:t>
      </w:r>
    </w:p>
    <w:p w14:paraId="0859C9B6" w14:textId="77777777" w:rsidR="0041696A" w:rsidRPr="00382EE0" w:rsidRDefault="0041696A" w:rsidP="0041696A">
      <w:pPr>
        <w:rPr>
          <w:rFonts w:ascii="Arial (W1)" w:hAnsi="Arial (W1)"/>
          <w:sz w:val="28"/>
          <w:szCs w:val="28"/>
          <w:rtl/>
        </w:rPr>
      </w:pPr>
      <w:r w:rsidRPr="00382EE0">
        <w:rPr>
          <w:rFonts w:ascii="Arial (W1)" w:hAnsi="Arial (W1)"/>
          <w:sz w:val="28"/>
          <w:szCs w:val="28"/>
          <w:rtl/>
        </w:rPr>
        <w:t>בשם הנאשם:</w:t>
      </w:r>
      <w:r w:rsidRPr="00382EE0">
        <w:rPr>
          <w:rFonts w:ascii="Arial (W1)" w:hAnsi="Arial (W1)"/>
          <w:sz w:val="28"/>
          <w:szCs w:val="28"/>
          <w:rtl/>
        </w:rPr>
        <w:tab/>
      </w:r>
      <w:r w:rsidRPr="00382EE0">
        <w:rPr>
          <w:rFonts w:ascii="Arial (W1)" w:hAnsi="Arial (W1)"/>
          <w:sz w:val="28"/>
          <w:szCs w:val="28"/>
          <w:rtl/>
        </w:rPr>
        <w:tab/>
      </w:r>
      <w:r w:rsidRPr="00382EE0">
        <w:rPr>
          <w:rFonts w:ascii="Arial (W1)" w:hAnsi="Arial (W1)"/>
          <w:sz w:val="28"/>
          <w:szCs w:val="28"/>
          <w:rtl/>
        </w:rPr>
        <w:tab/>
        <w:t>עו"ד ירון פורר</w:t>
      </w:r>
    </w:p>
    <w:p w14:paraId="779BEF9B" w14:textId="77777777" w:rsidR="0041696A" w:rsidRPr="00382EE0" w:rsidRDefault="0041696A" w:rsidP="0041696A">
      <w:pPr>
        <w:spacing w:line="360" w:lineRule="auto"/>
        <w:rPr>
          <w:rFonts w:ascii="Arial (W1)" w:hAnsi="Arial (W1)"/>
          <w:sz w:val="28"/>
          <w:szCs w:val="28"/>
          <w:rtl/>
        </w:rPr>
      </w:pPr>
    </w:p>
    <w:p w14:paraId="3443F8C2" w14:textId="77777777" w:rsidR="00382EE0" w:rsidRPr="00382EE0" w:rsidRDefault="00382EE0" w:rsidP="00382EE0">
      <w:pPr>
        <w:spacing w:before="120" w:after="120" w:line="240" w:lineRule="exact"/>
        <w:ind w:left="283" w:hanging="283"/>
        <w:jc w:val="both"/>
        <w:rPr>
          <w:rFonts w:ascii="FrankRuehl" w:hAnsi="FrankRuehl" w:cs="FrankRuehl"/>
          <w:rtl/>
        </w:rPr>
      </w:pPr>
    </w:p>
    <w:p w14:paraId="2EAAF03C" w14:textId="77777777" w:rsidR="00382EE0" w:rsidRPr="00382EE0" w:rsidRDefault="00382EE0" w:rsidP="00382EE0">
      <w:pPr>
        <w:spacing w:line="360" w:lineRule="auto"/>
        <w:jc w:val="center"/>
        <w:rPr>
          <w:rFonts w:ascii="Arial (W1)" w:hAnsi="Arial (W1)"/>
          <w:sz w:val="28"/>
          <w:szCs w:val="28"/>
          <w:rtl/>
        </w:rPr>
      </w:pPr>
    </w:p>
    <w:p w14:paraId="6ECF0BC1" w14:textId="77777777" w:rsidR="0098257F" w:rsidRPr="0098257F" w:rsidRDefault="0098257F" w:rsidP="0098257F">
      <w:pPr>
        <w:spacing w:before="120" w:after="120" w:line="240" w:lineRule="exact"/>
        <w:ind w:left="283" w:hanging="283"/>
        <w:jc w:val="both"/>
        <w:rPr>
          <w:rFonts w:ascii="FrankRuehl" w:hAnsi="FrankRuehl" w:cs="FrankRuehl"/>
          <w:rtl/>
        </w:rPr>
      </w:pPr>
    </w:p>
    <w:p w14:paraId="1802E2C7" w14:textId="77777777" w:rsidR="00B754C4" w:rsidRPr="00B754C4" w:rsidRDefault="00B754C4" w:rsidP="00B754C4">
      <w:pPr>
        <w:spacing w:before="120" w:after="120" w:line="240" w:lineRule="exact"/>
        <w:ind w:left="283" w:hanging="283"/>
        <w:jc w:val="both"/>
        <w:rPr>
          <w:rFonts w:ascii="FrankRuehl" w:hAnsi="FrankRuehl" w:cs="FrankRuehl"/>
          <w:rtl/>
        </w:rPr>
      </w:pPr>
    </w:p>
    <w:p w14:paraId="41C2A2EA" w14:textId="77777777" w:rsidR="00BB3CAB" w:rsidRDefault="00BB3CAB" w:rsidP="00BB3CAB">
      <w:pPr>
        <w:spacing w:line="360" w:lineRule="auto"/>
        <w:jc w:val="center"/>
        <w:rPr>
          <w:rFonts w:ascii="Arial (W1)" w:hAnsi="Arial (W1)"/>
          <w:sz w:val="28"/>
          <w:szCs w:val="28"/>
          <w:rtl/>
        </w:rPr>
      </w:pPr>
      <w:bookmarkStart w:id="3" w:name="LawTable"/>
      <w:bookmarkEnd w:id="3"/>
    </w:p>
    <w:p w14:paraId="62F0D4CE" w14:textId="77777777" w:rsidR="00BB3CAB" w:rsidRPr="00BB3CAB" w:rsidRDefault="00BB3CAB" w:rsidP="00BB3CAB">
      <w:pPr>
        <w:spacing w:before="120" w:after="120" w:line="240" w:lineRule="exact"/>
        <w:ind w:left="283" w:hanging="283"/>
        <w:jc w:val="both"/>
        <w:rPr>
          <w:rFonts w:ascii="FrankRuehl" w:hAnsi="FrankRuehl" w:cs="FrankRuehl"/>
          <w:rtl/>
        </w:rPr>
      </w:pPr>
    </w:p>
    <w:p w14:paraId="4C20CEF5" w14:textId="77777777" w:rsidR="00BB3CAB" w:rsidRPr="00BB3CAB" w:rsidRDefault="00BB3CAB" w:rsidP="00BB3CAB">
      <w:pPr>
        <w:spacing w:before="120" w:after="120" w:line="240" w:lineRule="exact"/>
        <w:ind w:left="283" w:hanging="283"/>
        <w:jc w:val="both"/>
        <w:rPr>
          <w:rFonts w:ascii="FrankRuehl" w:hAnsi="FrankRuehl" w:cs="FrankRuehl"/>
          <w:rtl/>
        </w:rPr>
      </w:pPr>
    </w:p>
    <w:p w14:paraId="21B06AF7" w14:textId="77777777" w:rsidR="00BB3CAB" w:rsidRPr="00BB3CAB" w:rsidRDefault="00BB3CAB" w:rsidP="00BB3CAB">
      <w:pPr>
        <w:spacing w:before="120" w:after="120" w:line="240" w:lineRule="exact"/>
        <w:ind w:left="283" w:hanging="283"/>
        <w:jc w:val="both"/>
        <w:rPr>
          <w:rFonts w:ascii="FrankRuehl" w:hAnsi="FrankRuehl" w:cs="FrankRuehl"/>
          <w:rtl/>
        </w:rPr>
      </w:pPr>
      <w:r w:rsidRPr="00BB3CAB">
        <w:rPr>
          <w:rFonts w:ascii="FrankRuehl" w:hAnsi="FrankRuehl" w:cs="FrankRuehl" w:hint="eastAsia"/>
          <w:rtl/>
        </w:rPr>
        <w:t>חקיקה</w:t>
      </w:r>
      <w:r w:rsidRPr="00BB3CAB">
        <w:rPr>
          <w:rFonts w:ascii="FrankRuehl" w:hAnsi="FrankRuehl" w:cs="FrankRuehl"/>
          <w:rtl/>
        </w:rPr>
        <w:t xml:space="preserve"> </w:t>
      </w:r>
      <w:r w:rsidRPr="00BB3CAB">
        <w:rPr>
          <w:rFonts w:ascii="FrankRuehl" w:hAnsi="FrankRuehl" w:cs="FrankRuehl" w:hint="eastAsia"/>
          <w:rtl/>
        </w:rPr>
        <w:t>שאוזכרה</w:t>
      </w:r>
      <w:r w:rsidRPr="00BB3CAB">
        <w:rPr>
          <w:rFonts w:ascii="FrankRuehl" w:hAnsi="FrankRuehl" w:cs="FrankRuehl"/>
          <w:rtl/>
        </w:rPr>
        <w:t xml:space="preserve">: </w:t>
      </w:r>
    </w:p>
    <w:p w14:paraId="08045708" w14:textId="77777777" w:rsidR="00BB3CAB" w:rsidRPr="00BB3CAB" w:rsidRDefault="00BB3CAB" w:rsidP="00BB3CAB">
      <w:pPr>
        <w:spacing w:before="120" w:after="120" w:line="240" w:lineRule="exact"/>
        <w:ind w:left="283" w:hanging="283"/>
        <w:jc w:val="both"/>
        <w:rPr>
          <w:rFonts w:ascii="FrankRuehl" w:hAnsi="FrankRuehl" w:cs="FrankRuehl"/>
          <w:rtl/>
        </w:rPr>
      </w:pPr>
      <w:hyperlink r:id="rId7" w:history="1">
        <w:r w:rsidRPr="00BB3CAB">
          <w:rPr>
            <w:rFonts w:ascii="FrankRuehl" w:hAnsi="FrankRuehl" w:cs="FrankRuehl" w:hint="eastAsia"/>
            <w:color w:val="0000FF"/>
            <w:rtl/>
          </w:rPr>
          <w:t>פקודת</w:t>
        </w:r>
        <w:r w:rsidRPr="00BB3CAB">
          <w:rPr>
            <w:rFonts w:ascii="FrankRuehl" w:hAnsi="FrankRuehl" w:cs="FrankRuehl"/>
            <w:color w:val="0000FF"/>
            <w:rtl/>
          </w:rPr>
          <w:t xml:space="preserve"> </w:t>
        </w:r>
        <w:r w:rsidRPr="00BB3CAB">
          <w:rPr>
            <w:rFonts w:ascii="FrankRuehl" w:hAnsi="FrankRuehl" w:cs="FrankRuehl" w:hint="eastAsia"/>
            <w:color w:val="0000FF"/>
            <w:rtl/>
          </w:rPr>
          <w:t>הסמים</w:t>
        </w:r>
        <w:r w:rsidRPr="00BB3CAB">
          <w:rPr>
            <w:rFonts w:ascii="FrankRuehl" w:hAnsi="FrankRuehl" w:cs="FrankRuehl"/>
            <w:color w:val="0000FF"/>
            <w:rtl/>
          </w:rPr>
          <w:t xml:space="preserve"> </w:t>
        </w:r>
        <w:r w:rsidRPr="00BB3CAB">
          <w:rPr>
            <w:rFonts w:ascii="FrankRuehl" w:hAnsi="FrankRuehl" w:cs="FrankRuehl" w:hint="eastAsia"/>
            <w:color w:val="0000FF"/>
            <w:rtl/>
          </w:rPr>
          <w:t>המסוכנים</w:t>
        </w:r>
        <w:r w:rsidRPr="00BB3CAB">
          <w:rPr>
            <w:rFonts w:ascii="FrankRuehl" w:hAnsi="FrankRuehl" w:cs="FrankRuehl"/>
            <w:color w:val="0000FF"/>
            <w:rtl/>
          </w:rPr>
          <w:t xml:space="preserve"> [</w:t>
        </w:r>
        <w:r w:rsidRPr="00BB3CAB">
          <w:rPr>
            <w:rFonts w:ascii="FrankRuehl" w:hAnsi="FrankRuehl" w:cs="FrankRuehl" w:hint="eastAsia"/>
            <w:color w:val="0000FF"/>
            <w:rtl/>
          </w:rPr>
          <w:t>נוסח</w:t>
        </w:r>
        <w:r w:rsidRPr="00BB3CAB">
          <w:rPr>
            <w:rFonts w:ascii="FrankRuehl" w:hAnsi="FrankRuehl" w:cs="FrankRuehl"/>
            <w:color w:val="0000FF"/>
            <w:rtl/>
          </w:rPr>
          <w:t xml:space="preserve"> </w:t>
        </w:r>
        <w:r w:rsidRPr="00BB3CAB">
          <w:rPr>
            <w:rFonts w:ascii="FrankRuehl" w:hAnsi="FrankRuehl" w:cs="FrankRuehl" w:hint="eastAsia"/>
            <w:color w:val="0000FF"/>
            <w:rtl/>
          </w:rPr>
          <w:t>חדש</w:t>
        </w:r>
        <w:r w:rsidRPr="00BB3CAB">
          <w:rPr>
            <w:rFonts w:ascii="FrankRuehl" w:hAnsi="FrankRuehl" w:cs="FrankRuehl"/>
            <w:color w:val="0000FF"/>
            <w:rtl/>
          </w:rPr>
          <w:t xml:space="preserve">], </w:t>
        </w:r>
        <w:r w:rsidRPr="00BB3CAB">
          <w:rPr>
            <w:rFonts w:ascii="FrankRuehl" w:hAnsi="FrankRuehl" w:cs="FrankRuehl" w:hint="eastAsia"/>
            <w:color w:val="0000FF"/>
            <w:rtl/>
          </w:rPr>
          <w:t>תשל</w:t>
        </w:r>
        <w:r w:rsidRPr="00BB3CAB">
          <w:rPr>
            <w:rFonts w:ascii="FrankRuehl" w:hAnsi="FrankRuehl" w:cs="FrankRuehl"/>
            <w:color w:val="0000FF"/>
            <w:rtl/>
          </w:rPr>
          <w:t>"</w:t>
        </w:r>
        <w:r w:rsidRPr="00BB3CAB">
          <w:rPr>
            <w:rFonts w:ascii="FrankRuehl" w:hAnsi="FrankRuehl" w:cs="FrankRuehl" w:hint="eastAsia"/>
            <w:color w:val="0000FF"/>
            <w:rtl/>
          </w:rPr>
          <w:t>ג</w:t>
        </w:r>
        <w:r w:rsidRPr="00BB3CAB">
          <w:rPr>
            <w:rFonts w:ascii="FrankRuehl" w:hAnsi="FrankRuehl" w:cs="FrankRuehl"/>
            <w:color w:val="0000FF"/>
            <w:rtl/>
          </w:rPr>
          <w:t>-1973</w:t>
        </w:r>
      </w:hyperlink>
      <w:r w:rsidRPr="00BB3CAB">
        <w:rPr>
          <w:rFonts w:ascii="FrankRuehl" w:hAnsi="FrankRuehl" w:cs="FrankRuehl"/>
          <w:rtl/>
        </w:rPr>
        <w:t xml:space="preserve">: </w:t>
      </w:r>
      <w:r w:rsidRPr="00BB3CAB">
        <w:rPr>
          <w:rFonts w:ascii="FrankRuehl" w:hAnsi="FrankRuehl" w:cs="FrankRuehl" w:hint="eastAsia"/>
          <w:rtl/>
        </w:rPr>
        <w:t>סע</w:t>
      </w:r>
      <w:r w:rsidRPr="00BB3CAB">
        <w:rPr>
          <w:rFonts w:ascii="FrankRuehl" w:hAnsi="FrankRuehl" w:cs="FrankRuehl"/>
          <w:rtl/>
        </w:rPr>
        <w:t xml:space="preserve">'  </w:t>
      </w:r>
      <w:hyperlink r:id="rId8" w:history="1">
        <w:r w:rsidRPr="00BB3CAB">
          <w:rPr>
            <w:rFonts w:ascii="FrankRuehl" w:hAnsi="FrankRuehl" w:cs="FrankRuehl"/>
            <w:color w:val="0000FF"/>
            <w:rtl/>
          </w:rPr>
          <w:t>7(</w:t>
        </w:r>
        <w:r w:rsidRPr="00BB3CAB">
          <w:rPr>
            <w:rFonts w:ascii="FrankRuehl" w:hAnsi="FrankRuehl" w:cs="FrankRuehl" w:hint="eastAsia"/>
            <w:color w:val="0000FF"/>
            <w:rtl/>
          </w:rPr>
          <w:t>א</w:t>
        </w:r>
        <w:r w:rsidRPr="00BB3CAB">
          <w:rPr>
            <w:rFonts w:ascii="FrankRuehl" w:hAnsi="FrankRuehl" w:cs="FrankRuehl"/>
            <w:color w:val="0000FF"/>
            <w:rtl/>
          </w:rPr>
          <w:t>)</w:t>
        </w:r>
      </w:hyperlink>
      <w:r w:rsidRPr="00BB3CAB">
        <w:rPr>
          <w:rFonts w:ascii="FrankRuehl" w:hAnsi="FrankRuehl" w:cs="FrankRuehl"/>
          <w:rtl/>
        </w:rPr>
        <w:t xml:space="preserve">, </w:t>
      </w:r>
      <w:hyperlink r:id="rId9" w:history="1">
        <w:r w:rsidRPr="00BB3CAB">
          <w:rPr>
            <w:rFonts w:ascii="FrankRuehl" w:hAnsi="FrankRuehl" w:cs="FrankRuehl" w:hint="eastAsia"/>
            <w:color w:val="0000FF"/>
            <w:rtl/>
          </w:rPr>
          <w:t>ג</w:t>
        </w:r>
      </w:hyperlink>
    </w:p>
    <w:p w14:paraId="298B8475" w14:textId="77777777" w:rsidR="00BB3CAB" w:rsidRPr="00BB3CAB" w:rsidRDefault="00BB3CAB" w:rsidP="00BB3CAB">
      <w:pPr>
        <w:spacing w:before="120" w:after="120" w:line="240" w:lineRule="exact"/>
        <w:ind w:left="283" w:hanging="283"/>
        <w:jc w:val="both"/>
        <w:rPr>
          <w:rFonts w:ascii="FrankRuehl" w:hAnsi="FrankRuehl" w:cs="FrankRuehl"/>
          <w:rtl/>
        </w:rPr>
      </w:pPr>
      <w:hyperlink r:id="rId10" w:history="1">
        <w:r w:rsidRPr="00BB3CAB">
          <w:rPr>
            <w:rFonts w:ascii="FrankRuehl" w:hAnsi="FrankRuehl" w:cs="FrankRuehl" w:hint="eastAsia"/>
            <w:color w:val="0000FF"/>
            <w:rtl/>
          </w:rPr>
          <w:t>חוק</w:t>
        </w:r>
        <w:r w:rsidRPr="00BB3CAB">
          <w:rPr>
            <w:rFonts w:ascii="FrankRuehl" w:hAnsi="FrankRuehl" w:cs="FrankRuehl"/>
            <w:color w:val="0000FF"/>
            <w:rtl/>
          </w:rPr>
          <w:t xml:space="preserve"> </w:t>
        </w:r>
        <w:r w:rsidRPr="00BB3CAB">
          <w:rPr>
            <w:rFonts w:ascii="FrankRuehl" w:hAnsi="FrankRuehl" w:cs="FrankRuehl" w:hint="eastAsia"/>
            <w:color w:val="0000FF"/>
            <w:rtl/>
          </w:rPr>
          <w:t>העונשין</w:t>
        </w:r>
        <w:r w:rsidRPr="00BB3CAB">
          <w:rPr>
            <w:rFonts w:ascii="FrankRuehl" w:hAnsi="FrankRuehl" w:cs="FrankRuehl"/>
            <w:color w:val="0000FF"/>
            <w:rtl/>
          </w:rPr>
          <w:t xml:space="preserve">, </w:t>
        </w:r>
        <w:r w:rsidRPr="00BB3CAB">
          <w:rPr>
            <w:rFonts w:ascii="FrankRuehl" w:hAnsi="FrankRuehl" w:cs="FrankRuehl" w:hint="eastAsia"/>
            <w:color w:val="0000FF"/>
            <w:rtl/>
          </w:rPr>
          <w:t>תשל</w:t>
        </w:r>
        <w:r w:rsidRPr="00BB3CAB">
          <w:rPr>
            <w:rFonts w:ascii="FrankRuehl" w:hAnsi="FrankRuehl" w:cs="FrankRuehl"/>
            <w:color w:val="0000FF"/>
            <w:rtl/>
          </w:rPr>
          <w:t>"</w:t>
        </w:r>
        <w:r w:rsidRPr="00BB3CAB">
          <w:rPr>
            <w:rFonts w:ascii="FrankRuehl" w:hAnsi="FrankRuehl" w:cs="FrankRuehl" w:hint="eastAsia"/>
            <w:color w:val="0000FF"/>
            <w:rtl/>
          </w:rPr>
          <w:t>ז</w:t>
        </w:r>
        <w:r w:rsidRPr="00BB3CAB">
          <w:rPr>
            <w:rFonts w:ascii="FrankRuehl" w:hAnsi="FrankRuehl" w:cs="FrankRuehl"/>
            <w:color w:val="0000FF"/>
            <w:rtl/>
          </w:rPr>
          <w:t>-1977</w:t>
        </w:r>
      </w:hyperlink>
    </w:p>
    <w:p w14:paraId="686538F8" w14:textId="77777777" w:rsidR="00BB3CAB" w:rsidRPr="00BB3CAB" w:rsidRDefault="00BB3CAB" w:rsidP="00BB3CAB">
      <w:pPr>
        <w:spacing w:line="360" w:lineRule="auto"/>
        <w:jc w:val="center"/>
        <w:rPr>
          <w:rFonts w:ascii="Arial (W1)" w:hAnsi="Arial (W1)"/>
          <w:sz w:val="28"/>
          <w:szCs w:val="28"/>
          <w:rtl/>
        </w:rPr>
      </w:pPr>
      <w:bookmarkStart w:id="4" w:name="LawTable_End"/>
      <w:bookmarkEnd w:id="4"/>
    </w:p>
    <w:p w14:paraId="0E477257" w14:textId="77777777" w:rsidR="00382EE0" w:rsidRPr="00B754C4" w:rsidRDefault="00382EE0" w:rsidP="00B754C4">
      <w:pPr>
        <w:spacing w:line="360" w:lineRule="auto"/>
        <w:jc w:val="center"/>
        <w:rPr>
          <w:rFonts w:ascii="Arial (W1)" w:hAnsi="Arial (W1)"/>
          <w:sz w:val="28"/>
          <w:szCs w:val="28"/>
          <w:rtl/>
        </w:rPr>
      </w:pPr>
    </w:p>
    <w:p w14:paraId="65FA2AD3" w14:textId="77777777" w:rsidR="00382EE0" w:rsidRPr="00382EE0" w:rsidRDefault="00382EE0" w:rsidP="00382EE0">
      <w:pPr>
        <w:spacing w:line="360" w:lineRule="auto"/>
        <w:jc w:val="center"/>
        <w:rPr>
          <w:rFonts w:ascii="Arial (W1)" w:hAnsi="Arial (W1)"/>
          <w:b/>
          <w:bCs/>
          <w:sz w:val="28"/>
          <w:szCs w:val="28"/>
          <w:u w:val="single"/>
          <w:rtl/>
        </w:rPr>
      </w:pPr>
      <w:bookmarkStart w:id="5" w:name="PsakDin"/>
      <w:r w:rsidRPr="00382EE0">
        <w:rPr>
          <w:rFonts w:ascii="Arial (W1)" w:hAnsi="Arial (W1)" w:hint="eastAsia"/>
          <w:b/>
          <w:bCs/>
          <w:sz w:val="28"/>
          <w:szCs w:val="28"/>
          <w:u w:val="single"/>
          <w:rtl/>
        </w:rPr>
        <w:t>גזר</w:t>
      </w:r>
      <w:r w:rsidRPr="00382EE0">
        <w:rPr>
          <w:rFonts w:ascii="Arial (W1)" w:hAnsi="Arial (W1)"/>
          <w:b/>
          <w:bCs/>
          <w:sz w:val="28"/>
          <w:szCs w:val="28"/>
          <w:u w:val="single"/>
          <w:rtl/>
        </w:rPr>
        <w:t xml:space="preserve"> </w:t>
      </w:r>
      <w:r w:rsidRPr="00382EE0">
        <w:rPr>
          <w:rFonts w:ascii="Arial (W1)" w:hAnsi="Arial (W1)" w:hint="eastAsia"/>
          <w:b/>
          <w:bCs/>
          <w:sz w:val="28"/>
          <w:szCs w:val="28"/>
          <w:u w:val="single"/>
          <w:rtl/>
        </w:rPr>
        <w:t>דין</w:t>
      </w:r>
    </w:p>
    <w:bookmarkEnd w:id="5"/>
    <w:p w14:paraId="4949DBD6" w14:textId="77777777" w:rsidR="0041696A" w:rsidRDefault="0041696A" w:rsidP="0041696A">
      <w:pPr>
        <w:spacing w:line="360" w:lineRule="auto"/>
        <w:rPr>
          <w:rFonts w:ascii="Arial (W1)" w:hAnsi="Arial (W1)"/>
          <w:b/>
          <w:bCs/>
          <w:sz w:val="28"/>
          <w:szCs w:val="28"/>
          <w:u w:val="single"/>
          <w:rtl/>
        </w:rPr>
      </w:pPr>
    </w:p>
    <w:p w14:paraId="31836BE5" w14:textId="77777777" w:rsidR="0041696A" w:rsidRDefault="0041696A" w:rsidP="0041696A">
      <w:pPr>
        <w:pStyle w:val="a8"/>
        <w:numPr>
          <w:ilvl w:val="0"/>
          <w:numId w:val="1"/>
        </w:numPr>
        <w:spacing w:line="360" w:lineRule="auto"/>
        <w:jc w:val="both"/>
        <w:rPr>
          <w:rFonts w:ascii="David" w:hAnsi="David" w:cs="David"/>
          <w:b/>
          <w:bCs/>
          <w:sz w:val="24"/>
          <w:szCs w:val="24"/>
          <w:u w:val="single"/>
          <w:rtl/>
        </w:rPr>
      </w:pPr>
      <w:r>
        <w:rPr>
          <w:rFonts w:ascii="David" w:hAnsi="David" w:cs="David"/>
          <w:b/>
          <w:bCs/>
          <w:sz w:val="24"/>
          <w:szCs w:val="24"/>
          <w:u w:val="double"/>
          <w:rtl/>
        </w:rPr>
        <w:t>רקע וכתב האישום</w:t>
      </w:r>
      <w:r>
        <w:rPr>
          <w:rFonts w:ascii="David" w:hAnsi="David" w:cs="David"/>
          <w:b/>
          <w:bCs/>
          <w:sz w:val="24"/>
          <w:szCs w:val="24"/>
          <w:rtl/>
        </w:rPr>
        <w:t xml:space="preserve">: </w:t>
      </w:r>
    </w:p>
    <w:p w14:paraId="19CF1127" w14:textId="77777777" w:rsidR="0041696A" w:rsidRDefault="0041696A" w:rsidP="0041696A">
      <w:pPr>
        <w:pStyle w:val="a8"/>
        <w:spacing w:line="360" w:lineRule="auto"/>
        <w:jc w:val="both"/>
        <w:rPr>
          <w:rFonts w:ascii="David" w:hAnsi="David" w:cs="David"/>
          <w:b/>
          <w:bCs/>
          <w:sz w:val="24"/>
          <w:szCs w:val="24"/>
          <w:u w:val="single"/>
        </w:rPr>
      </w:pPr>
    </w:p>
    <w:p w14:paraId="37D1BA4B" w14:textId="77777777" w:rsidR="0041696A" w:rsidRDefault="0041696A" w:rsidP="0041696A">
      <w:pPr>
        <w:pStyle w:val="a8"/>
        <w:numPr>
          <w:ilvl w:val="0"/>
          <w:numId w:val="2"/>
        </w:numPr>
        <w:spacing w:line="36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בכתב אישום מתוקן בביצוע עבירת </w:t>
      </w:r>
      <w:r>
        <w:rPr>
          <w:rFonts w:ascii="David" w:hAnsi="David" w:cs="David"/>
          <w:b/>
          <w:bCs/>
          <w:sz w:val="24"/>
          <w:szCs w:val="24"/>
          <w:rtl/>
        </w:rPr>
        <w:t xml:space="preserve">החזקת סמים שלא לצריכה עצמית </w:t>
      </w:r>
      <w:r>
        <w:rPr>
          <w:rFonts w:ascii="David" w:hAnsi="David" w:cs="David"/>
          <w:sz w:val="24"/>
          <w:szCs w:val="24"/>
          <w:rtl/>
        </w:rPr>
        <w:t xml:space="preserve">לפי </w:t>
      </w:r>
      <w:hyperlink r:id="rId11" w:history="1">
        <w:r w:rsidR="0098257F" w:rsidRPr="0098257F">
          <w:rPr>
            <w:rStyle w:val="Hyperlink"/>
            <w:rFonts w:ascii="David" w:hAnsi="David" w:cs="David"/>
            <w:sz w:val="24"/>
            <w:szCs w:val="24"/>
            <w:rtl/>
          </w:rPr>
          <w:t>סעיפים 7(א)</w:t>
        </w:r>
      </w:hyperlink>
      <w:r>
        <w:rPr>
          <w:rFonts w:ascii="David" w:hAnsi="David" w:cs="David"/>
          <w:sz w:val="24"/>
          <w:szCs w:val="24"/>
          <w:rtl/>
        </w:rPr>
        <w:t xml:space="preserve"> ו-(</w:t>
      </w:r>
      <w:hyperlink r:id="rId12" w:history="1">
        <w:r w:rsidR="0098257F" w:rsidRPr="0098257F">
          <w:rPr>
            <w:rStyle w:val="Hyperlink"/>
            <w:rFonts w:ascii="David" w:hAnsi="David" w:cs="David"/>
            <w:sz w:val="24"/>
            <w:szCs w:val="24"/>
            <w:rtl/>
          </w:rPr>
          <w:t>ג</w:t>
        </w:r>
      </w:hyperlink>
      <w:r>
        <w:rPr>
          <w:rFonts w:ascii="David" w:hAnsi="David" w:cs="David"/>
          <w:sz w:val="24"/>
          <w:szCs w:val="24"/>
          <w:rtl/>
        </w:rPr>
        <w:t>) רישא ל</w:t>
      </w:r>
      <w:hyperlink r:id="rId13" w:history="1">
        <w:r w:rsidR="00382EE0" w:rsidRPr="00382EE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w:t>
      </w:r>
      <w:r>
        <w:rPr>
          <w:rFonts w:ascii="David" w:hAnsi="David" w:cs="David"/>
          <w:b/>
          <w:bCs/>
          <w:sz w:val="24"/>
          <w:szCs w:val="24"/>
          <w:rtl/>
        </w:rPr>
        <w:t xml:space="preserve"> "פקודת הסמים המסוכנים"</w:t>
      </w:r>
      <w:r>
        <w:rPr>
          <w:rFonts w:ascii="David" w:hAnsi="David" w:cs="David"/>
          <w:sz w:val="24"/>
          <w:szCs w:val="24"/>
          <w:rtl/>
        </w:rPr>
        <w:t>).</w:t>
      </w:r>
    </w:p>
    <w:p w14:paraId="03E4A0C6" w14:textId="77777777" w:rsidR="0041696A" w:rsidRDefault="0041696A" w:rsidP="0041696A">
      <w:pPr>
        <w:pStyle w:val="a8"/>
        <w:spacing w:line="360" w:lineRule="auto"/>
        <w:jc w:val="both"/>
        <w:rPr>
          <w:rFonts w:ascii="David" w:hAnsi="David" w:cs="David"/>
          <w:sz w:val="24"/>
          <w:szCs w:val="24"/>
        </w:rPr>
      </w:pPr>
    </w:p>
    <w:p w14:paraId="74F87104" w14:textId="77777777" w:rsidR="0041696A" w:rsidRDefault="0041696A" w:rsidP="0041696A">
      <w:pPr>
        <w:pStyle w:val="a8"/>
        <w:numPr>
          <w:ilvl w:val="0"/>
          <w:numId w:val="2"/>
        </w:numPr>
        <w:spacing w:line="360" w:lineRule="auto"/>
        <w:jc w:val="both"/>
        <w:rPr>
          <w:rFonts w:ascii="David" w:hAnsi="David" w:cs="David"/>
          <w:sz w:val="24"/>
          <w:szCs w:val="24"/>
        </w:rPr>
      </w:pPr>
      <w:bookmarkStart w:id="7" w:name="ABSTRACT_END"/>
      <w:bookmarkEnd w:id="7"/>
      <w:r>
        <w:rPr>
          <w:rFonts w:ascii="David" w:hAnsi="David" w:cs="David"/>
          <w:sz w:val="24"/>
          <w:szCs w:val="24"/>
          <w:rtl/>
        </w:rPr>
        <w:lastRenderedPageBreak/>
        <w:t xml:space="preserve">על פי עובדות כתב האישום המתוקן, ביום 25.10.23 שכר הנאשם דירה בעיר באר יעקב. ביום 10.12.23 בוצע חיפוש על-פי צו במהלכו אותרו בדירה סמים כדלקמן: סם מסוכן מסוג קנבוס במשקל 20 ק"ג, סם מסוכן מסוג חשיש במשקל 10 ק"ג, 65 יחידות סם מסוכן מסוג חשיש במשקל 242.06 - / + 6000 גרם ו- 10 יחידות סם מסוכן מסוג </w:t>
      </w:r>
      <w:r>
        <w:rPr>
          <w:rFonts w:ascii="David" w:hAnsi="David" w:cs="David"/>
          <w:sz w:val="24"/>
          <w:szCs w:val="24"/>
        </w:rPr>
        <w:t>MDMA</w:t>
      </w:r>
      <w:r>
        <w:rPr>
          <w:rFonts w:ascii="David" w:hAnsi="David" w:cs="David"/>
          <w:sz w:val="24"/>
          <w:szCs w:val="24"/>
          <w:rtl/>
        </w:rPr>
        <w:t xml:space="preserve">. </w:t>
      </w:r>
    </w:p>
    <w:p w14:paraId="7A14A348" w14:textId="77777777" w:rsidR="0041696A" w:rsidRDefault="0041696A" w:rsidP="0041696A">
      <w:pPr>
        <w:pStyle w:val="a8"/>
        <w:rPr>
          <w:rFonts w:ascii="David" w:hAnsi="David" w:cs="David"/>
          <w:sz w:val="24"/>
          <w:szCs w:val="24"/>
        </w:rPr>
      </w:pPr>
    </w:p>
    <w:p w14:paraId="04C8F2AD" w14:textId="77777777" w:rsidR="0041696A" w:rsidRDefault="0041696A" w:rsidP="0041696A">
      <w:pPr>
        <w:pStyle w:val="a8"/>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ההבנות אליהן הגיעו הצדדים, הוסכם על תיקונו של כתב האישום והפניית הנאשם לשירות המבחן על מנת שיתקבל תסקיר חובה בעניינו מפאת גילו. לא הוצגו הסכמות לעניין העונש. </w:t>
      </w:r>
    </w:p>
    <w:p w14:paraId="2C129185" w14:textId="77777777" w:rsidR="0041696A" w:rsidRPr="00EC1706" w:rsidRDefault="0041696A" w:rsidP="0041696A">
      <w:pPr>
        <w:spacing w:line="360" w:lineRule="auto"/>
        <w:jc w:val="both"/>
        <w:rPr>
          <w:rFonts w:ascii="David" w:hAnsi="David"/>
          <w:sz w:val="12"/>
          <w:szCs w:val="12"/>
        </w:rPr>
      </w:pPr>
    </w:p>
    <w:p w14:paraId="5F655768" w14:textId="77777777" w:rsidR="0041696A" w:rsidRDefault="0041696A" w:rsidP="0041696A">
      <w:pPr>
        <w:pStyle w:val="a8"/>
        <w:numPr>
          <w:ilvl w:val="0"/>
          <w:numId w:val="1"/>
        </w:numPr>
        <w:spacing w:line="360" w:lineRule="auto"/>
        <w:jc w:val="both"/>
        <w:rPr>
          <w:rFonts w:ascii="David" w:hAnsi="David" w:cs="David"/>
          <w:b/>
          <w:bCs/>
          <w:sz w:val="24"/>
          <w:szCs w:val="24"/>
          <w:u w:val="double"/>
        </w:rPr>
      </w:pPr>
      <w:r>
        <w:rPr>
          <w:rFonts w:ascii="David" w:hAnsi="David" w:cs="David"/>
          <w:b/>
          <w:bCs/>
          <w:sz w:val="24"/>
          <w:szCs w:val="24"/>
          <w:u w:val="double"/>
          <w:rtl/>
        </w:rPr>
        <w:t xml:space="preserve">תסקיר שירות המבחן </w:t>
      </w:r>
    </w:p>
    <w:p w14:paraId="4DD7248C" w14:textId="77777777" w:rsidR="0041696A" w:rsidRDefault="0041696A" w:rsidP="0041696A">
      <w:pPr>
        <w:pStyle w:val="a8"/>
        <w:jc w:val="both"/>
        <w:rPr>
          <w:rFonts w:ascii="David" w:hAnsi="David" w:cs="David"/>
          <w:sz w:val="24"/>
          <w:szCs w:val="24"/>
        </w:rPr>
      </w:pPr>
    </w:p>
    <w:p w14:paraId="51A1DAB0" w14:textId="77777777" w:rsidR="0041696A" w:rsidRDefault="0041696A" w:rsidP="0041696A">
      <w:pPr>
        <w:pStyle w:val="a8"/>
        <w:numPr>
          <w:ilvl w:val="0"/>
          <w:numId w:val="2"/>
        </w:numPr>
        <w:spacing w:line="360" w:lineRule="auto"/>
        <w:jc w:val="both"/>
        <w:rPr>
          <w:rFonts w:ascii="David" w:hAnsi="David" w:cs="David"/>
          <w:sz w:val="24"/>
          <w:szCs w:val="24"/>
          <w:rtl/>
        </w:rPr>
      </w:pPr>
      <w:r>
        <w:rPr>
          <w:rFonts w:ascii="David" w:hAnsi="David" w:cs="David"/>
          <w:sz w:val="24"/>
          <w:szCs w:val="24"/>
          <w:rtl/>
        </w:rPr>
        <w:t xml:space="preserve">מן התסקיר מיום 24.6.24 עלה כי הנאשם כבן 20, רווק, נעדר הרשעות קודמות (לנאשם שני רישומים ללא הרשעה בעבירות אלימות ושידול למעשה זנות), טרם מעצרו התגורר בגפו  בדירה שכורה ועבד בקיוסק. הנאשם גדל במשפחה חרדית, בגיל 14 חווה חוויה טראומתית אותה הסתיר מבני משפחתו. האירוע הטראומתי השליך על מצבו הרגשי והתפקודי, בעטיו אימץ אורח חיים חילוני, חבר לחברה שולית והחל לצרוך, באופן יומיומי, סמים מסוג קנביס כדרך מפלט מהתמודדות עם כאב. </w:t>
      </w:r>
    </w:p>
    <w:p w14:paraId="494F64E2" w14:textId="77777777" w:rsidR="0041696A" w:rsidRDefault="0041696A" w:rsidP="0041696A">
      <w:pPr>
        <w:pStyle w:val="a8"/>
        <w:spacing w:line="360" w:lineRule="auto"/>
        <w:jc w:val="both"/>
        <w:rPr>
          <w:rFonts w:ascii="David" w:hAnsi="David" w:cs="David"/>
          <w:sz w:val="24"/>
          <w:szCs w:val="24"/>
        </w:rPr>
      </w:pPr>
    </w:p>
    <w:p w14:paraId="05DE0EDE" w14:textId="77777777" w:rsidR="0041696A" w:rsidRDefault="0041696A" w:rsidP="0041696A">
      <w:pPr>
        <w:pStyle w:val="a8"/>
        <w:spacing w:line="360" w:lineRule="auto"/>
        <w:jc w:val="both"/>
        <w:rPr>
          <w:rFonts w:ascii="David" w:hAnsi="David" w:cs="David"/>
          <w:sz w:val="24"/>
          <w:szCs w:val="24"/>
        </w:rPr>
      </w:pPr>
      <w:r>
        <w:rPr>
          <w:rFonts w:ascii="David" w:hAnsi="David" w:cs="David"/>
          <w:sz w:val="24"/>
          <w:szCs w:val="24"/>
          <w:rtl/>
        </w:rPr>
        <w:t xml:space="preserve">הנאשם מוכר לשירות המבחן לנוער על רקע מעורבותו בעבירת אלימות אותה ביצע בגיל 17, עבר הליך טיפולי מוצלח, נקלט בפנימייה קדם צבאית והוטלו עליו עונשים שכללו, בין היתר, צו מבחן במהלכו נגמל משימוש בסמים. הנאשם קיבל פטור משירות צבאי, חש אכזבה וכישלון בשל אי גיוסו, שב לשימוש בסמים וניהל קשרים שוליים. </w:t>
      </w:r>
    </w:p>
    <w:p w14:paraId="32ED092E" w14:textId="77777777" w:rsidR="0041696A" w:rsidRDefault="0041696A" w:rsidP="0041696A">
      <w:pPr>
        <w:pStyle w:val="a8"/>
        <w:spacing w:line="360" w:lineRule="auto"/>
        <w:jc w:val="both"/>
        <w:rPr>
          <w:rFonts w:ascii="David" w:hAnsi="David" w:cs="David"/>
          <w:sz w:val="24"/>
          <w:szCs w:val="24"/>
          <w:rtl/>
        </w:rPr>
      </w:pPr>
    </w:p>
    <w:p w14:paraId="4A85FBD5" w14:textId="77777777" w:rsidR="0041696A" w:rsidRDefault="0041696A" w:rsidP="0041696A">
      <w:pPr>
        <w:pStyle w:val="a8"/>
        <w:spacing w:line="360" w:lineRule="auto"/>
        <w:jc w:val="both"/>
        <w:rPr>
          <w:rFonts w:ascii="David" w:hAnsi="David" w:cs="David"/>
          <w:sz w:val="24"/>
          <w:szCs w:val="24"/>
          <w:rtl/>
        </w:rPr>
      </w:pPr>
      <w:r>
        <w:rPr>
          <w:rFonts w:ascii="David" w:hAnsi="David" w:cs="David"/>
          <w:sz w:val="24"/>
          <w:szCs w:val="24"/>
          <w:rtl/>
        </w:rPr>
        <w:t xml:space="preserve">בהיבט התעסוקתי, מסר כי מגיל 14 עובד בעבודות מזדמנות בתחום המזון, התקשה לשמור על יציבות תעסוקתית, בין היתר, בשל צריכת סמים אינטנסיבית ומעורבותו בפלילים. </w:t>
      </w:r>
    </w:p>
    <w:p w14:paraId="111AF738" w14:textId="77777777" w:rsidR="0041696A" w:rsidRDefault="0041696A" w:rsidP="0041696A">
      <w:pPr>
        <w:pStyle w:val="a8"/>
        <w:spacing w:line="360" w:lineRule="auto"/>
        <w:jc w:val="both"/>
        <w:rPr>
          <w:rFonts w:ascii="David" w:hAnsi="David" w:cs="David"/>
          <w:sz w:val="24"/>
          <w:szCs w:val="24"/>
          <w:rtl/>
        </w:rPr>
      </w:pPr>
    </w:p>
    <w:p w14:paraId="528AD4D7" w14:textId="77777777" w:rsidR="0041696A" w:rsidRDefault="0041696A" w:rsidP="0041696A">
      <w:pPr>
        <w:pStyle w:val="a8"/>
        <w:spacing w:line="360" w:lineRule="auto"/>
        <w:jc w:val="both"/>
        <w:rPr>
          <w:rFonts w:ascii="David" w:hAnsi="David" w:cs="David"/>
          <w:sz w:val="24"/>
          <w:szCs w:val="24"/>
          <w:rtl/>
        </w:rPr>
      </w:pPr>
      <w:r>
        <w:rPr>
          <w:rFonts w:ascii="David" w:hAnsi="David" w:cs="David"/>
          <w:sz w:val="24"/>
          <w:szCs w:val="24"/>
          <w:rtl/>
        </w:rPr>
        <w:t xml:space="preserve">אשר למעשה העבירה- הנאשם נטל אחריות למעשיו. הוא הבין בדיעבד שבחר בפתרונות עברייניים כדי לקדם את עצמו. הנאשם מסר, כי בתקופה שקדמה למעצרו חלה התדרדרות במצבו הנפשי והתפקודי וחיפש אחר ריגוש כדרך להתמודדות עם תחושת ריקנות ובדידות שחווה. בנוסף, תיאר התנהלותו על רקע הצטברותם של חובות לגורמים שוליים על רקע שימוש בסמים, השפעתה השלילית של סביבתו החברתית, כשבאותה תקופה היה מרוכז בהשגת רווח כלכלי מהיר וזמין לצורך מימון אורח חיים בלייני ומסוכן, כשלא היה ער להשלכות ולתוצאות התנהלותו. </w:t>
      </w:r>
    </w:p>
    <w:p w14:paraId="33143078" w14:textId="77777777" w:rsidR="0041696A" w:rsidRDefault="0041696A" w:rsidP="0041696A">
      <w:pPr>
        <w:pStyle w:val="a8"/>
        <w:spacing w:line="360" w:lineRule="auto"/>
        <w:jc w:val="both"/>
        <w:rPr>
          <w:rFonts w:ascii="David" w:hAnsi="David" w:cs="David"/>
          <w:sz w:val="24"/>
          <w:szCs w:val="24"/>
          <w:rtl/>
        </w:rPr>
      </w:pPr>
    </w:p>
    <w:p w14:paraId="289448CE" w14:textId="77777777" w:rsidR="0041696A" w:rsidRDefault="0041696A" w:rsidP="0041696A">
      <w:pPr>
        <w:pStyle w:val="a8"/>
        <w:spacing w:line="360" w:lineRule="auto"/>
        <w:jc w:val="both"/>
        <w:rPr>
          <w:rFonts w:ascii="David" w:hAnsi="David" w:cs="David"/>
          <w:sz w:val="24"/>
          <w:szCs w:val="24"/>
          <w:rtl/>
        </w:rPr>
      </w:pPr>
      <w:r>
        <w:rPr>
          <w:rFonts w:ascii="David" w:hAnsi="David" w:cs="David"/>
          <w:sz w:val="24"/>
          <w:szCs w:val="24"/>
          <w:rtl/>
        </w:rPr>
        <w:lastRenderedPageBreak/>
        <w:t>הנאשם עצור לראשונה בחייו, תיאר הסתגלות תקינה במעצרו ושולב בעבודה. עוד מסר, כי מאז מעצרו הינו נקי משימוש בסמים ושלל נזקקות טיפולית בתחום ההתמכרות לסמים. בדיקות שתן שמסר במהלך מעצרו נמצאו נקיות משרידי סם.</w:t>
      </w:r>
    </w:p>
    <w:p w14:paraId="5BB9DF2D" w14:textId="77777777" w:rsidR="0041696A" w:rsidRDefault="0041696A" w:rsidP="0041696A">
      <w:pPr>
        <w:pStyle w:val="a8"/>
        <w:spacing w:line="360" w:lineRule="auto"/>
        <w:jc w:val="both"/>
        <w:rPr>
          <w:rFonts w:ascii="David" w:hAnsi="David" w:cs="David"/>
          <w:sz w:val="24"/>
          <w:szCs w:val="24"/>
          <w:rtl/>
        </w:rPr>
      </w:pPr>
    </w:p>
    <w:p w14:paraId="04B3A11C" w14:textId="77777777" w:rsidR="0041696A" w:rsidRDefault="0041696A" w:rsidP="0041696A">
      <w:pPr>
        <w:pStyle w:val="a8"/>
        <w:spacing w:line="360" w:lineRule="auto"/>
        <w:jc w:val="both"/>
        <w:rPr>
          <w:rFonts w:ascii="David" w:hAnsi="David" w:cs="David"/>
          <w:sz w:val="24"/>
          <w:szCs w:val="24"/>
          <w:rtl/>
        </w:rPr>
      </w:pPr>
      <w:r>
        <w:rPr>
          <w:rFonts w:ascii="David" w:hAnsi="David" w:cs="David"/>
          <w:sz w:val="24"/>
          <w:szCs w:val="24"/>
          <w:rtl/>
        </w:rPr>
        <w:t xml:space="preserve">מדיווח של גורמי הטיפול בשב"ס עלה שהנאשם נמצא במעקב פסיכיאטרי, נוטל טיפול תרופתי, משולב בתעסוקה, הקפיד להגיע למפגשים של קבוצת התמודדות במעצר בהם נטל חלק פעיל ומשתף פעולה עם הגורמים הטיפוליים. </w:t>
      </w:r>
    </w:p>
    <w:p w14:paraId="7A3867E4" w14:textId="77777777" w:rsidR="0041696A" w:rsidRDefault="0041696A" w:rsidP="0041696A">
      <w:pPr>
        <w:pStyle w:val="a8"/>
        <w:spacing w:line="360" w:lineRule="auto"/>
        <w:jc w:val="both"/>
        <w:rPr>
          <w:rFonts w:ascii="David" w:hAnsi="David" w:cs="David"/>
          <w:sz w:val="24"/>
          <w:szCs w:val="24"/>
          <w:rtl/>
        </w:rPr>
      </w:pPr>
    </w:p>
    <w:p w14:paraId="60F682EC" w14:textId="77777777" w:rsidR="0041696A" w:rsidRDefault="0041696A" w:rsidP="0041696A">
      <w:pPr>
        <w:pStyle w:val="a8"/>
        <w:spacing w:line="360" w:lineRule="auto"/>
        <w:jc w:val="both"/>
        <w:rPr>
          <w:rFonts w:ascii="David" w:hAnsi="David" w:cs="David"/>
          <w:color w:val="FF0000"/>
          <w:sz w:val="24"/>
          <w:szCs w:val="24"/>
          <w:rtl/>
        </w:rPr>
      </w:pPr>
      <w:r>
        <w:rPr>
          <w:rFonts w:ascii="David" w:hAnsi="David" w:cs="David"/>
          <w:sz w:val="24"/>
          <w:szCs w:val="24"/>
          <w:rtl/>
        </w:rPr>
        <w:t xml:space="preserve">שירות המבחן, לאחר ששקל את סיכוי הסיכון והשיקום, התרשם כי קיים סיכון לעבריינות חוזרת במצבו של הנאשם אשר לצורך צמצומה נדרשים גבולות ברורים, קרי שילובו במסגרת טיפולית בתחום ההתמכרות לסמים. ואולם, עמדותיו מצביעות על העדר בשלות והתאמה להשתלבות כנדרש בתכנית מסוג זה. </w:t>
      </w:r>
    </w:p>
    <w:p w14:paraId="6C09838E" w14:textId="77777777" w:rsidR="0041696A" w:rsidRDefault="0041696A" w:rsidP="0041696A">
      <w:pPr>
        <w:pStyle w:val="a8"/>
        <w:spacing w:line="360" w:lineRule="auto"/>
        <w:jc w:val="both"/>
        <w:rPr>
          <w:rFonts w:ascii="David" w:hAnsi="David" w:cs="David"/>
          <w:color w:val="FF0000"/>
          <w:sz w:val="24"/>
          <w:szCs w:val="24"/>
          <w:rtl/>
        </w:rPr>
      </w:pPr>
    </w:p>
    <w:p w14:paraId="4408C709" w14:textId="77777777" w:rsidR="0041696A" w:rsidRDefault="0041696A" w:rsidP="0041696A">
      <w:pPr>
        <w:pStyle w:val="a8"/>
        <w:spacing w:line="360" w:lineRule="auto"/>
        <w:jc w:val="both"/>
        <w:rPr>
          <w:rFonts w:ascii="David" w:hAnsi="David" w:cs="David"/>
          <w:sz w:val="24"/>
          <w:szCs w:val="24"/>
          <w:rtl/>
        </w:rPr>
      </w:pPr>
      <w:r>
        <w:rPr>
          <w:rFonts w:ascii="David" w:hAnsi="David" w:cs="David"/>
          <w:sz w:val="24"/>
          <w:szCs w:val="24"/>
          <w:rtl/>
        </w:rPr>
        <w:t xml:space="preserve">שירות המבחן לא בא בהמלצה שיקומית הואיל ולא נוצר פתח להתערבות טיפולית והמליץ כי לצד כל ענישה שתוטל על הנאשם יתווסף רכיב של מאסר על תנאי לצורך חידוד ההרתעה. </w:t>
      </w:r>
    </w:p>
    <w:p w14:paraId="1FC88634" w14:textId="77777777" w:rsidR="0041696A" w:rsidRDefault="0041696A" w:rsidP="0041696A">
      <w:pPr>
        <w:pStyle w:val="a8"/>
        <w:spacing w:line="360" w:lineRule="auto"/>
        <w:jc w:val="both"/>
        <w:rPr>
          <w:rFonts w:ascii="David" w:hAnsi="David" w:cs="David"/>
          <w:sz w:val="24"/>
          <w:szCs w:val="24"/>
          <w:rtl/>
        </w:rPr>
      </w:pPr>
    </w:p>
    <w:p w14:paraId="6AD13BE0" w14:textId="77777777" w:rsidR="0041696A" w:rsidRPr="00EC1706" w:rsidRDefault="0041696A" w:rsidP="0041696A">
      <w:pPr>
        <w:spacing w:line="360" w:lineRule="auto"/>
        <w:jc w:val="both"/>
        <w:rPr>
          <w:rFonts w:ascii="David" w:hAnsi="David"/>
          <w:rtl/>
        </w:rPr>
      </w:pPr>
    </w:p>
    <w:p w14:paraId="77F2E90C" w14:textId="77777777" w:rsidR="0041696A" w:rsidRDefault="0041696A" w:rsidP="0041696A">
      <w:pPr>
        <w:pStyle w:val="a8"/>
        <w:numPr>
          <w:ilvl w:val="0"/>
          <w:numId w:val="1"/>
        </w:numPr>
        <w:tabs>
          <w:tab w:val="left" w:pos="368"/>
        </w:tabs>
        <w:spacing w:line="360" w:lineRule="auto"/>
        <w:jc w:val="both"/>
        <w:rPr>
          <w:rFonts w:ascii="David" w:hAnsi="David" w:cs="David"/>
          <w:b/>
          <w:bCs/>
          <w:sz w:val="24"/>
          <w:szCs w:val="24"/>
        </w:rPr>
      </w:pPr>
      <w:r>
        <w:rPr>
          <w:rFonts w:ascii="David" w:hAnsi="David" w:cs="David"/>
          <w:b/>
          <w:bCs/>
          <w:sz w:val="24"/>
          <w:szCs w:val="24"/>
          <w:u w:val="double"/>
          <w:rtl/>
        </w:rPr>
        <w:t xml:space="preserve"> תמצית טיעוני הצדדים לעונש</w:t>
      </w:r>
      <w:r>
        <w:rPr>
          <w:rFonts w:ascii="David" w:hAnsi="David" w:cs="David"/>
          <w:b/>
          <w:bCs/>
          <w:sz w:val="24"/>
          <w:szCs w:val="24"/>
          <w:rtl/>
        </w:rPr>
        <w:t xml:space="preserve">: </w:t>
      </w:r>
    </w:p>
    <w:p w14:paraId="3CE3681F" w14:textId="77777777" w:rsidR="0041696A" w:rsidRDefault="0041696A" w:rsidP="0041696A">
      <w:pPr>
        <w:pStyle w:val="a8"/>
        <w:tabs>
          <w:tab w:val="left" w:pos="368"/>
        </w:tabs>
        <w:spacing w:line="360" w:lineRule="auto"/>
        <w:jc w:val="both"/>
        <w:rPr>
          <w:rFonts w:ascii="David" w:hAnsi="David" w:cs="David"/>
          <w:b/>
          <w:bCs/>
          <w:sz w:val="24"/>
          <w:szCs w:val="24"/>
        </w:rPr>
      </w:pPr>
    </w:p>
    <w:p w14:paraId="7B1E435A" w14:textId="77777777" w:rsidR="0041696A" w:rsidRDefault="0041696A" w:rsidP="0041696A">
      <w:pPr>
        <w:pStyle w:val="a8"/>
        <w:numPr>
          <w:ilvl w:val="0"/>
          <w:numId w:val="2"/>
        </w:numPr>
        <w:spacing w:line="360" w:lineRule="auto"/>
        <w:jc w:val="both"/>
        <w:rPr>
          <w:rFonts w:ascii="David" w:hAnsi="David" w:cs="David"/>
          <w:sz w:val="24"/>
          <w:szCs w:val="24"/>
          <w:rtl/>
        </w:rPr>
      </w:pPr>
      <w:r>
        <w:rPr>
          <w:rFonts w:ascii="David" w:hAnsi="David" w:cs="David"/>
          <w:sz w:val="24"/>
          <w:szCs w:val="24"/>
          <w:rtl/>
        </w:rPr>
        <w:t>ב"כ המאשימה עו"ד שיר זהבי, הגישה טיעוניה בכתב (טל/1), השלימה אותם בעל פה והגישה דיסק המתעד את כמות הסמים שנתפסה (טל/2). בטיעוניה הדגישה את שכירת הדירה שקדמה לביצוע העבירה, כמות הסם, סוגי הסמים השונים ואופן החזקתם המלמדים על מטרות הרווח. עוד הפנתה, למידת הפגיעה הגבוהה בערכים המוגנים ולפוטנציאל הנזק הגלום בביצוע העבירה, המצדיקה קביעת מתחם הנע בין 30 ל-50 חודשי מאסר בפועל לצד רכיבי ענישה נלווים בדמות מאסר מותנה וקנס. ב"כ המאשימה תמכה טיעוניה בפסיקה הדנה בהחזקת כמויות נמוכות מענייננו וביקשה להסיק מכוח קל וחומר למקרה דנן. אשר לנסיבות שאינן קשורות לביצוע העבירה, הפנתה לנתוני הנאשם כפי שפורטו בתסקיר שירות המבחן, לכך שחרף גילו הצעיר אין זו הסתבכותו הראשונה עם החוק</w:t>
      </w:r>
      <w:r>
        <w:rPr>
          <w:rFonts w:ascii="David" w:hAnsi="David" w:cs="David"/>
          <w:color w:val="FF0000"/>
          <w:sz w:val="24"/>
          <w:szCs w:val="24"/>
          <w:rtl/>
        </w:rPr>
        <w:t xml:space="preserve"> </w:t>
      </w:r>
      <w:r>
        <w:rPr>
          <w:rFonts w:ascii="David" w:hAnsi="David" w:cs="David"/>
          <w:sz w:val="24"/>
          <w:szCs w:val="24"/>
          <w:rtl/>
        </w:rPr>
        <w:t>על אף</w:t>
      </w:r>
      <w:r>
        <w:rPr>
          <w:rFonts w:ascii="David" w:hAnsi="David" w:cs="David"/>
          <w:color w:val="FF0000"/>
          <w:sz w:val="24"/>
          <w:szCs w:val="24"/>
          <w:rtl/>
        </w:rPr>
        <w:t xml:space="preserve"> </w:t>
      </w:r>
      <w:r>
        <w:rPr>
          <w:rFonts w:ascii="David" w:hAnsi="David" w:cs="David"/>
          <w:sz w:val="24"/>
          <w:szCs w:val="24"/>
          <w:rtl/>
        </w:rPr>
        <w:t xml:space="preserve">הליך טיפולי שעבר. ב"כ המאשימה, הדגישה שהעבירות בוצעו למטרת רווח כלכלי מהיר וקל ולמסוכנות הנשקפת הימנו בהעדר טיפול בתחום הסמים.  ב"כ המאשימה עתרה להשית על הנאשם 40 חודשי מאסר בפועל, מאסר על תנאי ארוך, קנס בסך 25,000 ₪, פסילת רישיון נהיגה בפועל ופסילה על תנאי.  </w:t>
      </w:r>
    </w:p>
    <w:p w14:paraId="530AC895" w14:textId="77777777" w:rsidR="0041696A" w:rsidRDefault="0041696A" w:rsidP="0041696A">
      <w:pPr>
        <w:spacing w:line="360" w:lineRule="auto"/>
        <w:jc w:val="both"/>
        <w:rPr>
          <w:rFonts w:ascii="David" w:hAnsi="David"/>
          <w:b/>
          <w:bCs/>
          <w:rtl/>
        </w:rPr>
      </w:pPr>
    </w:p>
    <w:p w14:paraId="5FBDE3C1" w14:textId="77777777" w:rsidR="0041696A" w:rsidRDefault="0041696A" w:rsidP="0041696A">
      <w:pPr>
        <w:pStyle w:val="a8"/>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עו"ד ירון פורר, מיקד טיעוניו בגילו הצעיר של הנאשם, נסיבות חייו המורכבות ושזהו מאסרו הראשון. אשר למתחם העונש ההולם, נטען כי אומנם הנאשם שכר דירה אך כתב האישום אינו מציין שהשכרת הדירה נועדה להחזקת הסמים. לטענתו, ההחזקה על-פי חוק יכולה להיות לשימוש עצמי וגם עבור אחרים ולאו דווקא למטרות סחר. ב"כ הנאשם חלק על המתחמים שהוצגו על-ידי המאשימה, לדידו הרף התחתון של מתחם העונש ההולם הינו 12 חודשי מאסר בפועל. ב"כ הנאשם צרף פסיקה התומכת בטיעוניו. אשר לגזירת העונש בתוך המתחם, הדגיש את נסיבות חייו המורכבות של הנאשם על רקע מוצאו במשפחה חרדית; האירוע הטראומתי שחווה בעטיו אימץ אורח חיים חילוני ולהשלכתו על הקשר עם משפחתו הבא לידי ביטוי בריחוק, שכירת דירה אחרת ויצירת קשרים עם חברה שולית, ולפטור משירות צבאי אשר הוביל להידרדרות במצבו. ב"כ הנאשם, הפנה לכך שרישומיו מבית משפט לנוער בעבירות שלא מן העניין וביקש לתת משקל לכך שהנאשם עצור מזה תקופה ארוכה, במהלך מעצרו משתף פעולה באופן מלא עם גורמי הטיפול, מוסר בדיקות שתן נקיות ועובד באופן סדיר. ב"כ הנאשם ביקש להשית על הנאשם 12 חודשי מאסר בפועל. </w:t>
      </w:r>
    </w:p>
    <w:p w14:paraId="12D744F9" w14:textId="77777777" w:rsidR="0041696A" w:rsidRDefault="0041696A" w:rsidP="0041696A">
      <w:pPr>
        <w:pStyle w:val="a8"/>
        <w:rPr>
          <w:rFonts w:ascii="David" w:hAnsi="David" w:cs="David"/>
          <w:sz w:val="24"/>
          <w:szCs w:val="24"/>
        </w:rPr>
      </w:pPr>
    </w:p>
    <w:p w14:paraId="677DC079" w14:textId="77777777" w:rsidR="0041696A" w:rsidRDefault="0041696A" w:rsidP="0041696A">
      <w:pPr>
        <w:pStyle w:val="a8"/>
        <w:spacing w:line="360" w:lineRule="auto"/>
        <w:jc w:val="both"/>
        <w:rPr>
          <w:rFonts w:ascii="David" w:hAnsi="David" w:cs="David"/>
          <w:sz w:val="24"/>
          <w:szCs w:val="24"/>
          <w:rtl/>
        </w:rPr>
      </w:pPr>
    </w:p>
    <w:p w14:paraId="5E4DCEC0" w14:textId="77777777" w:rsidR="0041696A" w:rsidRDefault="0041696A" w:rsidP="0041696A">
      <w:pPr>
        <w:pStyle w:val="a8"/>
        <w:numPr>
          <w:ilvl w:val="0"/>
          <w:numId w:val="2"/>
        </w:numPr>
        <w:spacing w:line="360" w:lineRule="auto"/>
        <w:jc w:val="both"/>
        <w:rPr>
          <w:rFonts w:ascii="David" w:hAnsi="David" w:cs="David"/>
          <w:sz w:val="24"/>
          <w:szCs w:val="24"/>
        </w:rPr>
      </w:pPr>
      <w:r>
        <w:rPr>
          <w:rFonts w:ascii="David" w:hAnsi="David" w:cs="David"/>
          <w:sz w:val="24"/>
          <w:szCs w:val="24"/>
          <w:rtl/>
        </w:rPr>
        <w:t xml:space="preserve">הנאשם ניצל את זכות המילה האחרונה, הביע צער וחרטה על מעשיו. לדבריו, הבין את חומרת מעשיו, משתף פעולה עם הגורמים הטיפוליים בבית המעצר ומשולב בתעסוקה. </w:t>
      </w:r>
    </w:p>
    <w:p w14:paraId="6A01920F" w14:textId="77777777" w:rsidR="0041696A" w:rsidRPr="00EC1706" w:rsidRDefault="0041696A" w:rsidP="0041696A">
      <w:pPr>
        <w:pStyle w:val="a8"/>
        <w:spacing w:line="360" w:lineRule="auto"/>
        <w:jc w:val="both"/>
        <w:rPr>
          <w:rFonts w:ascii="David" w:hAnsi="David" w:cs="David"/>
          <w:sz w:val="24"/>
          <w:szCs w:val="24"/>
        </w:rPr>
      </w:pPr>
    </w:p>
    <w:p w14:paraId="594D4262" w14:textId="77777777" w:rsidR="0041696A" w:rsidRPr="00EC1706" w:rsidRDefault="0041696A" w:rsidP="0041696A">
      <w:pPr>
        <w:pStyle w:val="a8"/>
        <w:numPr>
          <w:ilvl w:val="0"/>
          <w:numId w:val="1"/>
        </w:numPr>
        <w:tabs>
          <w:tab w:val="left" w:pos="226"/>
          <w:tab w:val="left" w:pos="509"/>
          <w:tab w:val="left" w:pos="651"/>
        </w:tabs>
        <w:spacing w:line="360" w:lineRule="auto"/>
        <w:jc w:val="both"/>
        <w:rPr>
          <w:rFonts w:ascii="David" w:hAnsi="David" w:cs="David"/>
          <w:b/>
          <w:bCs/>
          <w:sz w:val="24"/>
          <w:szCs w:val="24"/>
          <w:u w:val="double"/>
          <w:rtl/>
        </w:rPr>
      </w:pPr>
      <w:r>
        <w:rPr>
          <w:rFonts w:ascii="David" w:hAnsi="David" w:cs="David"/>
          <w:b/>
          <w:bCs/>
          <w:sz w:val="24"/>
          <w:szCs w:val="24"/>
          <w:rtl/>
        </w:rPr>
        <w:t xml:space="preserve">      </w:t>
      </w:r>
      <w:r>
        <w:rPr>
          <w:rFonts w:ascii="David" w:hAnsi="David" w:cs="David"/>
          <w:b/>
          <w:bCs/>
          <w:sz w:val="24"/>
          <w:szCs w:val="24"/>
          <w:u w:val="double"/>
          <w:rtl/>
        </w:rPr>
        <w:t>דיון והכרעה:</w:t>
      </w:r>
    </w:p>
    <w:p w14:paraId="03F889E3" w14:textId="77777777" w:rsidR="0041696A" w:rsidRDefault="0041696A" w:rsidP="0041696A">
      <w:pPr>
        <w:spacing w:line="360" w:lineRule="auto"/>
        <w:ind w:left="720"/>
        <w:contextualSpacing/>
        <w:jc w:val="both"/>
        <w:rPr>
          <w:rFonts w:ascii="Calibri Light" w:eastAsia="Calibri" w:hAnsi="Calibri Light" w:cs="Calibri Light"/>
          <w:rtl/>
        </w:rPr>
      </w:pPr>
      <w:r>
        <w:rPr>
          <w:rFonts w:ascii="Calibri Light" w:eastAsia="Calibri" w:hAnsi="Calibri Light" w:cs="Times New Roman"/>
          <w:rtl/>
        </w:rPr>
        <w:t>מתחם העונש ההולם ונסיבות הקשורות בביצוע העבירה</w:t>
      </w:r>
    </w:p>
    <w:p w14:paraId="70CE8C99" w14:textId="77777777" w:rsidR="0041696A" w:rsidRPr="00EC1706" w:rsidRDefault="0041696A" w:rsidP="0041696A">
      <w:pPr>
        <w:spacing w:line="360" w:lineRule="auto"/>
        <w:ind w:left="720"/>
        <w:contextualSpacing/>
        <w:jc w:val="both"/>
        <w:rPr>
          <w:rFonts w:ascii="Calibri Light" w:eastAsia="Calibri" w:hAnsi="Calibri Light" w:cs="Calibri Light"/>
          <w:sz w:val="8"/>
          <w:szCs w:val="8"/>
          <w:rtl/>
        </w:rPr>
      </w:pPr>
    </w:p>
    <w:p w14:paraId="3EF4C032" w14:textId="77777777" w:rsidR="0041696A" w:rsidRDefault="0041696A" w:rsidP="0041696A">
      <w:pPr>
        <w:pStyle w:val="a8"/>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עבירות הסמים טומנות בחובן פוטנציאל נזק רב לחברה בכללותה ויש לעשות הכל כדי למגרן ולעקרן מן השורש. מעבר לתוצאות ההרסניות המשפיעות על הגוף והנפש הנובעות כתוצאה מהשימוש בסם והפצתו, הן מובילות לביצוע קשת רחבה של עבירות נלוות לצורך מימון צריכת הסם כדוגמת עבירות אלימות ורכוש, הן מהוות תחליף תעסוקתי להפקת רווח קל תוך פגיעה בערכים המוגנים שבבסיסם שמירה על בריאות הציבור, ביטחונו, שלומו וקניינו. </w:t>
      </w:r>
    </w:p>
    <w:p w14:paraId="4E7E0652" w14:textId="77777777" w:rsidR="0041696A" w:rsidRPr="00EC1706" w:rsidRDefault="0041696A" w:rsidP="0041696A">
      <w:pPr>
        <w:pStyle w:val="a8"/>
        <w:spacing w:after="0" w:line="360" w:lineRule="auto"/>
        <w:jc w:val="both"/>
        <w:rPr>
          <w:rFonts w:ascii="David" w:hAnsi="David" w:cs="David"/>
          <w:sz w:val="16"/>
          <w:szCs w:val="16"/>
        </w:rPr>
      </w:pPr>
    </w:p>
    <w:p w14:paraId="53C54E8E" w14:textId="77777777" w:rsidR="0041696A" w:rsidRDefault="0041696A" w:rsidP="0041696A">
      <w:pPr>
        <w:pStyle w:val="a8"/>
        <w:numPr>
          <w:ilvl w:val="0"/>
          <w:numId w:val="2"/>
        </w:numPr>
        <w:tabs>
          <w:tab w:val="left" w:pos="226"/>
          <w:tab w:val="left" w:pos="509"/>
          <w:tab w:val="left" w:pos="651"/>
        </w:tabs>
        <w:spacing w:after="0" w:line="360" w:lineRule="auto"/>
        <w:jc w:val="both"/>
        <w:rPr>
          <w:rFonts w:ascii="David" w:hAnsi="David" w:cs="David"/>
          <w:b/>
          <w:bCs/>
          <w:sz w:val="24"/>
          <w:szCs w:val="24"/>
        </w:rPr>
      </w:pPr>
      <w:r>
        <w:rPr>
          <w:rFonts w:ascii="David" w:hAnsi="David" w:cs="David"/>
          <w:sz w:val="24"/>
          <w:szCs w:val="24"/>
          <w:rtl/>
        </w:rPr>
        <w:t xml:space="preserve"> </w:t>
      </w:r>
      <w:r>
        <w:rPr>
          <w:rFonts w:ascii="David" w:hAnsi="David" w:cs="David" w:hint="cs"/>
          <w:sz w:val="24"/>
          <w:szCs w:val="24"/>
          <w:rtl/>
        </w:rPr>
        <w:t>בית המשפט העליון בשורה של פסקי דין התייחס לחומרה הנובעת מביצוע עבירת החזקת סם שלא לצריכה עצמית "אחותה התאומה" של עבירת הסחר בסמים ועל הצורך להילחם מלחמת חורמה בתופעה זו, כך למשל נקבע ב</w:t>
      </w:r>
      <w:hyperlink r:id="rId14" w:history="1">
        <w:r w:rsidR="00382EE0" w:rsidRPr="00382EE0">
          <w:rPr>
            <w:rFonts w:ascii="David" w:hAnsi="David" w:cs="David"/>
            <w:color w:val="0000FF"/>
            <w:sz w:val="24"/>
            <w:szCs w:val="24"/>
            <w:u w:val="single"/>
            <w:rtl/>
          </w:rPr>
          <w:t>ע"פ 211/09</w:t>
        </w:r>
      </w:hyperlink>
      <w:r>
        <w:rPr>
          <w:rFonts w:ascii="David" w:hAnsi="David" w:cs="David" w:hint="cs"/>
          <w:sz w:val="24"/>
          <w:szCs w:val="24"/>
          <w:rtl/>
        </w:rPr>
        <w:t xml:space="preserve"> </w:t>
      </w:r>
      <w:r>
        <w:rPr>
          <w:rFonts w:ascii="David" w:hAnsi="David" w:cs="David" w:hint="cs"/>
          <w:b/>
          <w:bCs/>
          <w:sz w:val="24"/>
          <w:szCs w:val="24"/>
          <w:rtl/>
        </w:rPr>
        <w:t>אזולאי נ' מדינת ישראל</w:t>
      </w:r>
      <w:r>
        <w:rPr>
          <w:rFonts w:ascii="David" w:hAnsi="David" w:cs="David" w:hint="cs"/>
          <w:sz w:val="24"/>
          <w:szCs w:val="24"/>
          <w:rtl/>
        </w:rPr>
        <w:t xml:space="preserve">, פסקה 10 (22.6.2010): </w:t>
      </w:r>
    </w:p>
    <w:p w14:paraId="53638476" w14:textId="77777777" w:rsidR="0041696A" w:rsidRPr="00EC1706" w:rsidRDefault="0041696A" w:rsidP="0041696A">
      <w:pPr>
        <w:pStyle w:val="a8"/>
        <w:tabs>
          <w:tab w:val="left" w:pos="226"/>
          <w:tab w:val="left" w:pos="509"/>
          <w:tab w:val="left" w:pos="651"/>
        </w:tabs>
        <w:spacing w:after="0" w:line="240" w:lineRule="auto"/>
        <w:ind w:left="1418" w:right="1418"/>
        <w:jc w:val="both"/>
        <w:rPr>
          <w:rFonts w:ascii="David" w:hAnsi="David" w:cs="David"/>
          <w:b/>
          <w:bCs/>
          <w:sz w:val="6"/>
          <w:szCs w:val="6"/>
        </w:rPr>
      </w:pPr>
    </w:p>
    <w:p w14:paraId="2BDD8BC5" w14:textId="77777777" w:rsidR="0041696A" w:rsidRDefault="0041696A" w:rsidP="0041696A">
      <w:pPr>
        <w:pStyle w:val="a8"/>
        <w:tabs>
          <w:tab w:val="left" w:pos="226"/>
          <w:tab w:val="left" w:pos="509"/>
          <w:tab w:val="left" w:pos="651"/>
        </w:tabs>
        <w:spacing w:after="0" w:line="240" w:lineRule="auto"/>
        <w:ind w:left="1361" w:right="1361"/>
        <w:jc w:val="both"/>
        <w:rPr>
          <w:rFonts w:ascii="David" w:hAnsi="David" w:cs="David"/>
          <w:b/>
          <w:bCs/>
          <w:sz w:val="24"/>
          <w:szCs w:val="24"/>
          <w:rtl/>
        </w:rPr>
      </w:pPr>
      <w:r>
        <w:rPr>
          <w:rFonts w:ascii="David" w:hAnsi="David" w:cs="David"/>
          <w:b/>
          <w:bCs/>
          <w:sz w:val="24"/>
          <w:szCs w:val="24"/>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6D47C36E" w14:textId="77777777" w:rsidR="0041696A" w:rsidRPr="00DC726C" w:rsidRDefault="0041696A" w:rsidP="0041696A">
      <w:pPr>
        <w:tabs>
          <w:tab w:val="left" w:pos="226"/>
          <w:tab w:val="left" w:pos="509"/>
          <w:tab w:val="left" w:pos="651"/>
        </w:tabs>
        <w:spacing w:line="360" w:lineRule="auto"/>
        <w:jc w:val="both"/>
        <w:rPr>
          <w:rFonts w:ascii="David" w:hAnsi="David"/>
          <w:b/>
          <w:bCs/>
          <w:sz w:val="14"/>
          <w:szCs w:val="14"/>
          <w:rtl/>
        </w:rPr>
      </w:pPr>
    </w:p>
    <w:p w14:paraId="75213C02" w14:textId="77777777" w:rsidR="0041696A" w:rsidRPr="00EC1706" w:rsidRDefault="0041696A" w:rsidP="0041696A">
      <w:pPr>
        <w:tabs>
          <w:tab w:val="left" w:pos="226"/>
          <w:tab w:val="left" w:pos="509"/>
          <w:tab w:val="left" w:pos="651"/>
        </w:tabs>
        <w:spacing w:line="360" w:lineRule="auto"/>
        <w:jc w:val="both"/>
        <w:rPr>
          <w:rFonts w:ascii="David" w:hAnsi="David"/>
          <w:b/>
          <w:bCs/>
          <w:sz w:val="10"/>
          <w:szCs w:val="10"/>
          <w:rtl/>
        </w:rPr>
      </w:pPr>
    </w:p>
    <w:p w14:paraId="17080C0B" w14:textId="77777777" w:rsidR="0041696A" w:rsidRDefault="0041696A" w:rsidP="0041696A">
      <w:pPr>
        <w:tabs>
          <w:tab w:val="left" w:pos="226"/>
          <w:tab w:val="left" w:pos="509"/>
          <w:tab w:val="left" w:pos="651"/>
        </w:tabs>
        <w:spacing w:line="360" w:lineRule="auto"/>
        <w:jc w:val="both"/>
        <w:rPr>
          <w:rFonts w:ascii="David" w:hAnsi="David"/>
          <w:rtl/>
        </w:rPr>
      </w:pPr>
      <w:r>
        <w:rPr>
          <w:rFonts w:ascii="David" w:hAnsi="David"/>
          <w:rtl/>
        </w:rPr>
        <w:tab/>
      </w:r>
      <w:r>
        <w:rPr>
          <w:rFonts w:ascii="David" w:hAnsi="David"/>
          <w:rtl/>
        </w:rPr>
        <w:tab/>
      </w:r>
      <w:r>
        <w:rPr>
          <w:rFonts w:ascii="David" w:hAnsi="David"/>
          <w:rtl/>
        </w:rPr>
        <w:tab/>
      </w:r>
      <w:r>
        <w:rPr>
          <w:rFonts w:ascii="David" w:hAnsi="David"/>
          <w:rtl/>
        </w:rPr>
        <w:tab/>
        <w:t>וכן ב</w:t>
      </w:r>
      <w:hyperlink r:id="rId15" w:history="1">
        <w:r w:rsidR="00382EE0" w:rsidRPr="00382EE0">
          <w:rPr>
            <w:rFonts w:ascii="David" w:hAnsi="David"/>
            <w:color w:val="0000FF"/>
            <w:u w:val="single"/>
            <w:rtl/>
          </w:rPr>
          <w:t>ע"פ 8048/19</w:t>
        </w:r>
      </w:hyperlink>
      <w:r>
        <w:rPr>
          <w:rFonts w:ascii="David" w:hAnsi="David"/>
          <w:rtl/>
        </w:rPr>
        <w:t xml:space="preserve"> </w:t>
      </w:r>
      <w:r>
        <w:rPr>
          <w:rFonts w:ascii="David" w:hAnsi="David"/>
          <w:b/>
          <w:bCs/>
          <w:rtl/>
        </w:rPr>
        <w:t>פיצ'חזדה נ' מדינת ישראל</w:t>
      </w:r>
      <w:r>
        <w:rPr>
          <w:rFonts w:ascii="David" w:hAnsi="David"/>
          <w:rtl/>
        </w:rPr>
        <w:t>, פסקה 11</w:t>
      </w:r>
      <w:r>
        <w:rPr>
          <w:rFonts w:ascii="David" w:hAnsi="David"/>
          <w:b/>
          <w:bCs/>
          <w:rtl/>
        </w:rPr>
        <w:t xml:space="preserve"> </w:t>
      </w:r>
      <w:r>
        <w:rPr>
          <w:rFonts w:ascii="David" w:hAnsi="David"/>
          <w:rtl/>
        </w:rPr>
        <w:t>(4.6.2020) נקבע:</w:t>
      </w:r>
    </w:p>
    <w:p w14:paraId="2AC2CA74" w14:textId="77777777" w:rsidR="0041696A" w:rsidRPr="00EC1706" w:rsidRDefault="0041696A" w:rsidP="0041696A">
      <w:pPr>
        <w:tabs>
          <w:tab w:val="left" w:pos="226"/>
          <w:tab w:val="left" w:pos="509"/>
          <w:tab w:val="left" w:pos="651"/>
        </w:tabs>
        <w:spacing w:line="360" w:lineRule="auto"/>
        <w:jc w:val="both"/>
        <w:rPr>
          <w:rFonts w:ascii="David" w:hAnsi="David"/>
          <w:sz w:val="8"/>
          <w:szCs w:val="8"/>
          <w:rtl/>
        </w:rPr>
      </w:pPr>
    </w:p>
    <w:p w14:paraId="0DDD906C" w14:textId="77777777" w:rsidR="0041696A" w:rsidRDefault="0041696A" w:rsidP="0041696A">
      <w:pPr>
        <w:pStyle w:val="a8"/>
        <w:tabs>
          <w:tab w:val="left" w:pos="226"/>
          <w:tab w:val="left" w:pos="509"/>
          <w:tab w:val="left" w:pos="651"/>
        </w:tabs>
        <w:spacing w:after="0" w:line="240" w:lineRule="auto"/>
        <w:ind w:left="1361" w:right="1361"/>
        <w:jc w:val="both"/>
        <w:rPr>
          <w:rFonts w:ascii="David" w:hAnsi="David" w:cs="David"/>
          <w:b/>
          <w:bCs/>
          <w:sz w:val="24"/>
          <w:szCs w:val="24"/>
          <w:rtl/>
        </w:rPr>
      </w:pPr>
      <w:r>
        <w:rPr>
          <w:rFonts w:ascii="David" w:hAnsi="David" w:cs="David"/>
          <w:b/>
          <w:bCs/>
          <w:sz w:val="24"/>
          <w:szCs w:val="24"/>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r:id="rId16" w:history="1">
        <w:r w:rsidR="00382EE0" w:rsidRPr="00382EE0">
          <w:rPr>
            <w:rFonts w:ascii="David" w:hAnsi="David" w:cs="David"/>
            <w:b/>
            <w:bCs/>
            <w:color w:val="0000FF"/>
            <w:sz w:val="24"/>
            <w:szCs w:val="24"/>
            <w:u w:val="single"/>
            <w:rtl/>
          </w:rPr>
          <w:t>ע"פ 8283/17</w:t>
        </w:r>
      </w:hyperlink>
      <w:r>
        <w:rPr>
          <w:rFonts w:ascii="David" w:hAnsi="David" w:cs="David"/>
          <w:b/>
          <w:bCs/>
          <w:sz w:val="24"/>
          <w:szCs w:val="24"/>
          <w:rtl/>
        </w:rPr>
        <w:t xml:space="preserve"> עבאסי נ' מדינת ישראל, [פורסם בנבו] פסקה 12 (10.6.2018)). בפרט, נקבע כי: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17" w:history="1">
        <w:r w:rsidR="00382EE0" w:rsidRPr="00382EE0">
          <w:rPr>
            <w:rFonts w:ascii="David" w:hAnsi="David" w:cs="David"/>
            <w:b/>
            <w:bCs/>
            <w:color w:val="0000FF"/>
            <w:sz w:val="24"/>
            <w:szCs w:val="24"/>
            <w:u w:val="single"/>
            <w:rtl/>
          </w:rPr>
          <w:t>חוק העונשין</w:t>
        </w:r>
      </w:hyperlink>
      <w:r>
        <w:rPr>
          <w:rFonts w:ascii="David" w:hAnsi="David" w:cs="David"/>
          <w:b/>
          <w:bCs/>
          <w:sz w:val="24"/>
          <w:szCs w:val="24"/>
          <w:rtl/>
        </w:rPr>
        <w:t>, העומד כיום על 202,000 ש"ח [...] יידעו המעורבים בסמים שלא לצריכה עצמית, כי יד המשפט תכבד עליהם" (</w:t>
      </w:r>
      <w:hyperlink r:id="rId18" w:history="1">
        <w:r w:rsidR="00382EE0" w:rsidRPr="00382EE0">
          <w:rPr>
            <w:rFonts w:ascii="David" w:hAnsi="David" w:cs="David"/>
            <w:b/>
            <w:bCs/>
            <w:color w:val="0000FF"/>
            <w:sz w:val="24"/>
            <w:szCs w:val="24"/>
            <w:u w:val="single"/>
            <w:rtl/>
          </w:rPr>
          <w:t>ע"פ 1345/08</w:t>
        </w:r>
      </w:hyperlink>
      <w:r>
        <w:rPr>
          <w:rFonts w:ascii="David" w:hAnsi="David" w:cs="David"/>
          <w:b/>
          <w:bCs/>
          <w:sz w:val="24"/>
          <w:szCs w:val="24"/>
          <w:rtl/>
        </w:rPr>
        <w:t xml:space="preserve"> איסטרחוב נ' מדינת ישראל, [פורסם בנבו] פסקה כ"ג (18.5.2009))".</w:t>
      </w:r>
    </w:p>
    <w:p w14:paraId="07FA2F44" w14:textId="77777777" w:rsidR="0041696A" w:rsidRPr="00DC726C" w:rsidRDefault="0041696A" w:rsidP="0041696A">
      <w:pPr>
        <w:pStyle w:val="a8"/>
        <w:tabs>
          <w:tab w:val="left" w:pos="226"/>
          <w:tab w:val="left" w:pos="509"/>
          <w:tab w:val="left" w:pos="651"/>
        </w:tabs>
        <w:spacing w:after="0" w:line="240" w:lineRule="auto"/>
        <w:ind w:left="1361" w:right="1361"/>
        <w:jc w:val="both"/>
        <w:rPr>
          <w:rFonts w:ascii="David" w:hAnsi="David" w:cs="David"/>
          <w:b/>
          <w:bCs/>
          <w:sz w:val="24"/>
          <w:szCs w:val="24"/>
          <w:rtl/>
        </w:rPr>
      </w:pPr>
    </w:p>
    <w:p w14:paraId="23F407BD"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בחינת מדיניות הענישה הנוהגת מגלה מנעד רחב של עונשים שנגזר, בין היתר, מסוג הסם, כמות, מיקום התפיסה, נסיבות ההחזקה וכיוצ"ב. (</w:t>
      </w:r>
      <w:hyperlink r:id="rId19" w:history="1">
        <w:r w:rsidR="00382EE0" w:rsidRPr="00382EE0">
          <w:rPr>
            <w:rFonts w:ascii="David" w:hAnsi="David" w:cs="David"/>
            <w:color w:val="0000FF"/>
            <w:sz w:val="24"/>
            <w:szCs w:val="24"/>
            <w:u w:val="single"/>
            <w:rtl/>
          </w:rPr>
          <w:t>רע"פ 7901/19</w:t>
        </w:r>
      </w:hyperlink>
      <w:r>
        <w:rPr>
          <w:rFonts w:ascii="David" w:hAnsi="David" w:cs="David" w:hint="cs"/>
          <w:sz w:val="24"/>
          <w:szCs w:val="24"/>
          <w:rtl/>
        </w:rPr>
        <w:t xml:space="preserve"> </w:t>
      </w:r>
      <w:r>
        <w:rPr>
          <w:rFonts w:ascii="David" w:hAnsi="David" w:cs="David" w:hint="cs"/>
          <w:b/>
          <w:bCs/>
          <w:sz w:val="24"/>
          <w:szCs w:val="24"/>
          <w:rtl/>
        </w:rPr>
        <w:t>אדרי נ' מדינת ישראל</w:t>
      </w:r>
      <w:r>
        <w:rPr>
          <w:rFonts w:ascii="David" w:hAnsi="David" w:cs="David" w:hint="cs"/>
          <w:sz w:val="24"/>
          <w:szCs w:val="24"/>
          <w:rtl/>
        </w:rPr>
        <w:t xml:space="preserve"> (3.12.19)). בחנתי את הפסיקה אליה הפנו הצדדים, מצאתי את חלקה רלוונטית כפי שיפורט להלן ואפנה לפסיקה נוספת של בתי המשפט העליון והמחוזי, במקרים דומים ושונים, מהם ניתן לגזור את מתחם העונש ההולם במקרה שלפניי, ראו למשל:  </w:t>
      </w:r>
    </w:p>
    <w:p w14:paraId="63D9B4CD"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Pr>
      </w:pPr>
    </w:p>
    <w:p w14:paraId="31F9FFD4" w14:textId="77777777" w:rsidR="0041696A" w:rsidRDefault="0041696A" w:rsidP="0041696A">
      <w:pPr>
        <w:pStyle w:val="a8"/>
        <w:rPr>
          <w:rFonts w:ascii="David" w:hAnsi="David" w:cs="David"/>
          <w:sz w:val="24"/>
          <w:szCs w:val="24"/>
        </w:rPr>
      </w:pPr>
    </w:p>
    <w:p w14:paraId="5ED83C4F"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tl/>
        </w:rPr>
      </w:pPr>
      <w:hyperlink r:id="rId20" w:history="1">
        <w:r w:rsidRPr="00382EE0">
          <w:rPr>
            <w:rFonts w:ascii="David" w:hAnsi="David" w:cs="David"/>
            <w:color w:val="0000FF"/>
            <w:sz w:val="24"/>
            <w:szCs w:val="24"/>
            <w:u w:val="single"/>
            <w:rtl/>
          </w:rPr>
          <w:t>רע"פ 8630/21</w:t>
        </w:r>
      </w:hyperlink>
      <w:r w:rsidR="0041696A">
        <w:rPr>
          <w:rFonts w:ascii="David" w:hAnsi="David" w:cs="David"/>
          <w:sz w:val="24"/>
          <w:szCs w:val="24"/>
          <w:rtl/>
        </w:rPr>
        <w:t xml:space="preserve"> </w:t>
      </w:r>
      <w:r w:rsidR="0041696A">
        <w:rPr>
          <w:rFonts w:ascii="David" w:hAnsi="David" w:cs="David"/>
          <w:b/>
          <w:bCs/>
          <w:sz w:val="24"/>
          <w:szCs w:val="24"/>
          <w:rtl/>
        </w:rPr>
        <w:t>האמר נ' מדינת ישראל</w:t>
      </w:r>
      <w:r w:rsidR="0041696A">
        <w:rPr>
          <w:rFonts w:ascii="David" w:hAnsi="David" w:cs="David"/>
          <w:sz w:val="24"/>
          <w:szCs w:val="24"/>
          <w:rtl/>
        </w:rPr>
        <w:t xml:space="preserve"> (21.12.21) [הוגש מטעם ב"כ המאשימה]: נדחתה בקשת רשות ערעור של נאשם שהורשע </w:t>
      </w:r>
      <w:r w:rsidR="0041696A">
        <w:rPr>
          <w:rFonts w:ascii="David" w:hAnsi="David" w:cs="David"/>
          <w:b/>
          <w:bCs/>
          <w:sz w:val="24"/>
          <w:szCs w:val="24"/>
          <w:rtl/>
        </w:rPr>
        <w:t>בהחזקת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קנבוס</w:t>
      </w:r>
      <w:r w:rsidR="0041696A">
        <w:rPr>
          <w:rFonts w:ascii="David" w:hAnsi="David" w:cs="David"/>
          <w:sz w:val="24"/>
          <w:szCs w:val="24"/>
          <w:rtl/>
        </w:rPr>
        <w:t xml:space="preserve"> במשקל של </w:t>
      </w:r>
      <w:r w:rsidR="0041696A">
        <w:rPr>
          <w:rFonts w:ascii="David" w:hAnsi="David" w:cs="David"/>
          <w:b/>
          <w:bCs/>
          <w:sz w:val="24"/>
          <w:szCs w:val="24"/>
          <w:rtl/>
        </w:rPr>
        <w:t xml:space="preserve">3.5 ק"ג </w:t>
      </w:r>
      <w:r w:rsidR="0041696A">
        <w:rPr>
          <w:rFonts w:ascii="David" w:hAnsi="David" w:cs="David"/>
          <w:sz w:val="24"/>
          <w:szCs w:val="24"/>
          <w:rtl/>
        </w:rPr>
        <w:t xml:space="preserve">במחסן. נקבע </w:t>
      </w:r>
      <w:r w:rsidR="0041696A">
        <w:rPr>
          <w:rFonts w:ascii="David" w:hAnsi="David" w:cs="David"/>
          <w:b/>
          <w:bCs/>
          <w:sz w:val="24"/>
          <w:szCs w:val="24"/>
          <w:rtl/>
        </w:rPr>
        <w:t>מתחם שנע בין 10-30 חודשי מאסר בפועל</w:t>
      </w:r>
      <w:r w:rsidR="0041696A">
        <w:rPr>
          <w:rFonts w:ascii="David" w:hAnsi="David" w:cs="David"/>
          <w:sz w:val="24"/>
          <w:szCs w:val="24"/>
          <w:rtl/>
        </w:rPr>
        <w:t>, הנאשם, נעדר עבר פלילי עם נסיבות אישיות ורפואיות, נדון ל-11 חודשי מאסר בפועל.</w:t>
      </w:r>
    </w:p>
    <w:p w14:paraId="288E89CD" w14:textId="77777777" w:rsidR="0041696A" w:rsidRDefault="0041696A" w:rsidP="0041696A">
      <w:pPr>
        <w:pStyle w:val="a8"/>
        <w:tabs>
          <w:tab w:val="left" w:pos="226"/>
          <w:tab w:val="left" w:pos="509"/>
          <w:tab w:val="left" w:pos="651"/>
        </w:tabs>
        <w:spacing w:line="360" w:lineRule="auto"/>
        <w:ind w:left="1080"/>
        <w:jc w:val="both"/>
        <w:rPr>
          <w:rFonts w:ascii="David" w:hAnsi="David" w:cs="David"/>
          <w:sz w:val="24"/>
          <w:szCs w:val="24"/>
        </w:rPr>
      </w:pPr>
    </w:p>
    <w:p w14:paraId="7F4954E9"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Pr>
      </w:pPr>
      <w:hyperlink r:id="rId21" w:history="1">
        <w:r w:rsidRPr="00382EE0">
          <w:rPr>
            <w:rFonts w:ascii="David" w:hAnsi="David" w:cs="David"/>
            <w:color w:val="0000FF"/>
            <w:sz w:val="24"/>
            <w:szCs w:val="24"/>
            <w:u w:val="single"/>
            <w:rtl/>
          </w:rPr>
          <w:t>רע"פ 3084/21</w:t>
        </w:r>
      </w:hyperlink>
      <w:r w:rsidR="0041696A">
        <w:rPr>
          <w:rFonts w:ascii="David" w:hAnsi="David" w:cs="David"/>
          <w:sz w:val="24"/>
          <w:szCs w:val="24"/>
          <w:rtl/>
        </w:rPr>
        <w:t xml:space="preserve"> </w:t>
      </w:r>
      <w:r w:rsidR="0041696A">
        <w:rPr>
          <w:rFonts w:ascii="David" w:hAnsi="David" w:cs="David"/>
          <w:b/>
          <w:bCs/>
          <w:sz w:val="24"/>
          <w:szCs w:val="24"/>
          <w:rtl/>
        </w:rPr>
        <w:t>יאגודייב נ' מדינת ישראל</w:t>
      </w:r>
      <w:r w:rsidR="0041696A">
        <w:rPr>
          <w:rFonts w:ascii="David" w:hAnsi="David" w:cs="David"/>
          <w:sz w:val="24"/>
          <w:szCs w:val="24"/>
          <w:rtl/>
        </w:rPr>
        <w:t xml:space="preserve"> (12.5.21): נדחתה בקשת רשות ערעור של נאשם שהורשע </w:t>
      </w:r>
      <w:r w:rsidR="0041696A">
        <w:rPr>
          <w:rFonts w:ascii="David" w:hAnsi="David" w:cs="David"/>
          <w:b/>
          <w:bCs/>
          <w:sz w:val="24"/>
          <w:szCs w:val="24"/>
          <w:rtl/>
        </w:rPr>
        <w:t>בהחזקת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קנבוס</w:t>
      </w:r>
      <w:r w:rsidR="0041696A">
        <w:rPr>
          <w:rFonts w:ascii="David" w:hAnsi="David" w:cs="David"/>
          <w:sz w:val="24"/>
          <w:szCs w:val="24"/>
          <w:rtl/>
        </w:rPr>
        <w:t xml:space="preserve"> במשקל של </w:t>
      </w:r>
      <w:r w:rsidR="0041696A">
        <w:rPr>
          <w:rFonts w:ascii="David" w:hAnsi="David" w:cs="David"/>
          <w:b/>
          <w:bCs/>
          <w:sz w:val="24"/>
          <w:szCs w:val="24"/>
          <w:rtl/>
        </w:rPr>
        <w:t>9.9 ק"ג</w:t>
      </w:r>
      <w:r w:rsidR="0041696A">
        <w:rPr>
          <w:rFonts w:ascii="David" w:hAnsi="David" w:cs="David"/>
          <w:sz w:val="24"/>
          <w:szCs w:val="24"/>
          <w:rtl/>
        </w:rPr>
        <w:t xml:space="preserve"> בתא מטען. נקבע </w:t>
      </w:r>
      <w:r w:rsidR="0041696A">
        <w:rPr>
          <w:rFonts w:ascii="David" w:hAnsi="David" w:cs="David"/>
          <w:b/>
          <w:bCs/>
          <w:sz w:val="24"/>
          <w:szCs w:val="24"/>
          <w:rtl/>
        </w:rPr>
        <w:t>מתחם שנע בין 10-24 חודשי מאסר בפועל</w:t>
      </w:r>
      <w:r w:rsidR="0041696A">
        <w:rPr>
          <w:rFonts w:ascii="David" w:hAnsi="David" w:cs="David"/>
          <w:sz w:val="24"/>
          <w:szCs w:val="24"/>
          <w:rtl/>
        </w:rPr>
        <w:t>. הנאשם נדון ל-12 חודשי מאסר בפועל, לאחר שהתקבל תסקיר הממליץ על ענישה שיקומית.</w:t>
      </w:r>
    </w:p>
    <w:p w14:paraId="3B4B6DE0" w14:textId="77777777" w:rsidR="0041696A" w:rsidRDefault="0041696A" w:rsidP="0041696A">
      <w:pPr>
        <w:pStyle w:val="a8"/>
        <w:rPr>
          <w:rFonts w:ascii="David" w:hAnsi="David" w:cs="David"/>
          <w:sz w:val="24"/>
          <w:szCs w:val="24"/>
        </w:rPr>
      </w:pPr>
    </w:p>
    <w:p w14:paraId="57C2EE55"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tl/>
        </w:rPr>
      </w:pPr>
      <w:hyperlink r:id="rId22" w:history="1">
        <w:r w:rsidRPr="00382EE0">
          <w:rPr>
            <w:rFonts w:ascii="David" w:hAnsi="David" w:cs="David"/>
            <w:color w:val="0000FF"/>
            <w:sz w:val="24"/>
            <w:szCs w:val="24"/>
            <w:u w:val="single"/>
            <w:rtl/>
          </w:rPr>
          <w:t>רע"פ 3287/21</w:t>
        </w:r>
      </w:hyperlink>
      <w:r w:rsidR="0041696A">
        <w:rPr>
          <w:rFonts w:ascii="David" w:hAnsi="David" w:cs="David"/>
          <w:sz w:val="24"/>
          <w:szCs w:val="24"/>
          <w:rtl/>
        </w:rPr>
        <w:t xml:space="preserve"> </w:t>
      </w:r>
      <w:r w:rsidR="0041696A">
        <w:rPr>
          <w:rFonts w:ascii="David" w:hAnsi="David" w:cs="David"/>
          <w:b/>
          <w:bCs/>
          <w:sz w:val="24"/>
          <w:szCs w:val="24"/>
          <w:rtl/>
        </w:rPr>
        <w:t xml:space="preserve">עתמין נ' מדינת ישראל </w:t>
      </w:r>
      <w:r w:rsidR="0041696A">
        <w:rPr>
          <w:rFonts w:ascii="David" w:hAnsi="David" w:cs="David"/>
          <w:sz w:val="24"/>
          <w:szCs w:val="24"/>
          <w:rtl/>
        </w:rPr>
        <w:t xml:space="preserve">(12.5.21) [הוגש מטעם ב"כ המאשימה]: נדחתה בקשת רשות ערעור של נאשם שהורשע </w:t>
      </w:r>
      <w:r w:rsidR="0041696A">
        <w:rPr>
          <w:rFonts w:ascii="David" w:hAnsi="David" w:cs="David"/>
          <w:b/>
          <w:bCs/>
          <w:sz w:val="24"/>
          <w:szCs w:val="24"/>
          <w:rtl/>
        </w:rPr>
        <w:t>בגידול סם מסוכן והחזקת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קנבוס</w:t>
      </w:r>
      <w:r w:rsidR="0041696A">
        <w:rPr>
          <w:rFonts w:ascii="David" w:hAnsi="David" w:cs="David"/>
          <w:sz w:val="24"/>
          <w:szCs w:val="24"/>
          <w:rtl/>
        </w:rPr>
        <w:t xml:space="preserve"> במשקל כולל של </w:t>
      </w:r>
      <w:r w:rsidR="0041696A">
        <w:rPr>
          <w:rFonts w:ascii="David" w:hAnsi="David" w:cs="David"/>
          <w:b/>
          <w:bCs/>
          <w:sz w:val="24"/>
          <w:szCs w:val="24"/>
          <w:rtl/>
        </w:rPr>
        <w:t>57.4 ק"ג</w:t>
      </w:r>
      <w:r w:rsidR="0041696A">
        <w:rPr>
          <w:rFonts w:ascii="David" w:hAnsi="David" w:cs="David"/>
          <w:sz w:val="24"/>
          <w:szCs w:val="24"/>
          <w:rtl/>
        </w:rPr>
        <w:t xml:space="preserve"> . נקבע </w:t>
      </w:r>
      <w:r w:rsidR="0041696A">
        <w:rPr>
          <w:rFonts w:ascii="David" w:hAnsi="David" w:cs="David"/>
          <w:b/>
          <w:bCs/>
          <w:sz w:val="24"/>
          <w:szCs w:val="24"/>
          <w:rtl/>
        </w:rPr>
        <w:t>מתחם שנע בין 20-40 חודשי מאסר בפועל</w:t>
      </w:r>
      <w:r w:rsidR="0041696A">
        <w:rPr>
          <w:rFonts w:ascii="David" w:hAnsi="David" w:cs="David"/>
          <w:sz w:val="24"/>
          <w:szCs w:val="24"/>
          <w:rtl/>
        </w:rPr>
        <w:t xml:space="preserve">. הנאשם נדון בבית משפט השלום ל-9 חודשי מאסר בדרך של עבודות שירות לצד ענישה נלוות. ערעור המדינה לבית המשפט המחוזי התקבל ועונשו הוחמר ל-20 חודשי מאסר בפועל, לצד הערה שערכאת הערעור אינה ממצה את הדין. בקשת רשות ערעור נדחתה, לצד הערה שהעונש שנגזר על הנאשם אינו חמור. </w:t>
      </w:r>
    </w:p>
    <w:p w14:paraId="6C3E296A" w14:textId="77777777" w:rsidR="0041696A" w:rsidRDefault="0041696A" w:rsidP="0041696A">
      <w:pPr>
        <w:pStyle w:val="a8"/>
        <w:rPr>
          <w:rFonts w:ascii="David" w:hAnsi="David" w:cs="David"/>
          <w:sz w:val="24"/>
          <w:szCs w:val="24"/>
        </w:rPr>
      </w:pPr>
    </w:p>
    <w:p w14:paraId="27C7AEFC"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tl/>
        </w:rPr>
      </w:pPr>
      <w:hyperlink r:id="rId23" w:history="1">
        <w:r w:rsidRPr="00382EE0">
          <w:rPr>
            <w:rFonts w:ascii="David" w:hAnsi="David" w:cs="David"/>
            <w:color w:val="0000FF"/>
            <w:sz w:val="24"/>
            <w:szCs w:val="24"/>
            <w:u w:val="single"/>
            <w:rtl/>
          </w:rPr>
          <w:t>רע"פ 6041/18</w:t>
        </w:r>
      </w:hyperlink>
      <w:r w:rsidR="0041696A">
        <w:rPr>
          <w:rFonts w:ascii="David" w:hAnsi="David" w:cs="David"/>
          <w:sz w:val="24"/>
          <w:szCs w:val="24"/>
          <w:rtl/>
        </w:rPr>
        <w:t xml:space="preserve"> </w:t>
      </w:r>
      <w:r w:rsidR="0041696A">
        <w:rPr>
          <w:rFonts w:ascii="David" w:hAnsi="David" w:cs="David"/>
          <w:b/>
          <w:bCs/>
          <w:sz w:val="24"/>
          <w:szCs w:val="24"/>
          <w:rtl/>
        </w:rPr>
        <w:t xml:space="preserve">כהן נ' מדינת ישראל </w:t>
      </w:r>
      <w:r w:rsidR="0041696A">
        <w:rPr>
          <w:rFonts w:ascii="David" w:hAnsi="David" w:cs="David"/>
          <w:sz w:val="24"/>
          <w:szCs w:val="24"/>
          <w:rtl/>
        </w:rPr>
        <w:t xml:space="preserve">(22.10.18): נדחתה בקשת ערעור של נאשם שהורשע </w:t>
      </w:r>
      <w:r w:rsidR="0041696A">
        <w:rPr>
          <w:rFonts w:ascii="David" w:hAnsi="David" w:cs="David"/>
          <w:b/>
          <w:bCs/>
          <w:sz w:val="24"/>
          <w:szCs w:val="24"/>
          <w:rtl/>
        </w:rPr>
        <w:t xml:space="preserve">בגידול סם מסוכן </w:t>
      </w:r>
      <w:r w:rsidR="0041696A">
        <w:rPr>
          <w:rFonts w:ascii="David" w:hAnsi="David" w:cs="David"/>
          <w:sz w:val="24"/>
          <w:szCs w:val="24"/>
          <w:rtl/>
        </w:rPr>
        <w:t xml:space="preserve">מסוג </w:t>
      </w:r>
      <w:r w:rsidR="0041696A">
        <w:rPr>
          <w:rFonts w:ascii="David" w:hAnsi="David" w:cs="David"/>
          <w:b/>
          <w:bCs/>
          <w:sz w:val="24"/>
          <w:szCs w:val="24"/>
          <w:rtl/>
        </w:rPr>
        <w:t>קנבוס</w:t>
      </w:r>
      <w:r w:rsidR="0041696A">
        <w:rPr>
          <w:rFonts w:ascii="David" w:hAnsi="David" w:cs="David"/>
          <w:sz w:val="24"/>
          <w:szCs w:val="24"/>
          <w:rtl/>
        </w:rPr>
        <w:t xml:space="preserve"> במשקל של</w:t>
      </w:r>
      <w:r w:rsidR="0041696A">
        <w:rPr>
          <w:rFonts w:ascii="David" w:hAnsi="David" w:cs="David"/>
          <w:b/>
          <w:bCs/>
          <w:sz w:val="24"/>
          <w:szCs w:val="24"/>
          <w:rtl/>
        </w:rPr>
        <w:t xml:space="preserve"> 39.5503 ק"ג </w:t>
      </w:r>
      <w:r w:rsidR="0041696A">
        <w:rPr>
          <w:rFonts w:ascii="David" w:hAnsi="David" w:cs="David"/>
          <w:sz w:val="24"/>
          <w:szCs w:val="24"/>
          <w:rtl/>
        </w:rPr>
        <w:t xml:space="preserve">וגניבת חשמל בסך 40,000 ₪. בית משפט השלום קבע </w:t>
      </w:r>
      <w:r w:rsidR="0041696A">
        <w:rPr>
          <w:rFonts w:ascii="David" w:hAnsi="David" w:cs="David"/>
          <w:b/>
          <w:bCs/>
          <w:sz w:val="24"/>
          <w:szCs w:val="24"/>
          <w:rtl/>
        </w:rPr>
        <w:t xml:space="preserve">מתחם עונש הולם הנע בין 18-36 חודשי מאסר בפועל </w:t>
      </w:r>
      <w:r w:rsidR="0041696A">
        <w:rPr>
          <w:rFonts w:ascii="David" w:hAnsi="David" w:cs="David"/>
          <w:sz w:val="24"/>
          <w:szCs w:val="24"/>
          <w:rtl/>
        </w:rPr>
        <w:t xml:space="preserve">לצד ענישה נלוות והשית על הנאשם, צעיר, נעדר עבר פלילי, עבר הליך שיקומי, מאסר בפועל בן 20 חודשים, לצד ענישה נלוות. ערעור שהוגש על חומרת העונש נדחה וכך גם בקשת רשות הערעור. </w:t>
      </w:r>
    </w:p>
    <w:p w14:paraId="3290CD8B" w14:textId="77777777" w:rsidR="0041696A" w:rsidRDefault="0041696A" w:rsidP="0041696A">
      <w:pPr>
        <w:pStyle w:val="a8"/>
        <w:rPr>
          <w:rFonts w:ascii="David" w:hAnsi="David" w:cs="David"/>
          <w:sz w:val="24"/>
          <w:szCs w:val="24"/>
          <w:rtl/>
        </w:rPr>
      </w:pPr>
    </w:p>
    <w:p w14:paraId="782A18B9" w14:textId="77777777" w:rsidR="0041696A" w:rsidRDefault="0041696A" w:rsidP="0041696A">
      <w:pPr>
        <w:pStyle w:val="a8"/>
        <w:rPr>
          <w:rFonts w:ascii="David" w:hAnsi="David" w:cs="David"/>
          <w:sz w:val="24"/>
          <w:szCs w:val="24"/>
          <w:rtl/>
        </w:rPr>
      </w:pPr>
    </w:p>
    <w:p w14:paraId="02035923" w14:textId="77777777" w:rsidR="0041696A" w:rsidRDefault="0041696A" w:rsidP="0041696A">
      <w:pPr>
        <w:pStyle w:val="a8"/>
        <w:rPr>
          <w:rFonts w:ascii="David" w:hAnsi="David" w:cs="David"/>
          <w:sz w:val="24"/>
          <w:szCs w:val="24"/>
        </w:rPr>
      </w:pPr>
    </w:p>
    <w:p w14:paraId="557F44CB"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tl/>
        </w:rPr>
      </w:pPr>
      <w:hyperlink r:id="rId24" w:history="1">
        <w:r w:rsidRPr="00382EE0">
          <w:rPr>
            <w:rFonts w:ascii="David" w:hAnsi="David" w:cs="David"/>
            <w:color w:val="0000FF"/>
            <w:sz w:val="24"/>
            <w:szCs w:val="24"/>
            <w:u w:val="single"/>
            <w:rtl/>
          </w:rPr>
          <w:t>רע"פ 1830/16</w:t>
        </w:r>
      </w:hyperlink>
      <w:r w:rsidR="0041696A">
        <w:rPr>
          <w:rFonts w:ascii="David" w:hAnsi="David" w:cs="David"/>
          <w:sz w:val="24"/>
          <w:szCs w:val="24"/>
          <w:rtl/>
        </w:rPr>
        <w:t xml:space="preserve"> </w:t>
      </w:r>
      <w:r w:rsidR="0041696A">
        <w:rPr>
          <w:rFonts w:ascii="David" w:hAnsi="David" w:cs="David"/>
          <w:b/>
          <w:bCs/>
          <w:sz w:val="24"/>
          <w:szCs w:val="24"/>
          <w:rtl/>
        </w:rPr>
        <w:t xml:space="preserve">רקיבי נ' מדינת ישראל </w:t>
      </w:r>
      <w:r w:rsidR="0041696A">
        <w:rPr>
          <w:rFonts w:ascii="David" w:hAnsi="David" w:cs="David"/>
          <w:sz w:val="24"/>
          <w:szCs w:val="24"/>
          <w:rtl/>
        </w:rPr>
        <w:t>(11.4.16) [הוגש מטעם ב"כ המאשימה]: נדחתה בקשת רשות ערעור של נאשם שהורשע ב</w:t>
      </w:r>
      <w:r w:rsidR="0041696A">
        <w:rPr>
          <w:rFonts w:ascii="David" w:hAnsi="David" w:cs="David"/>
          <w:b/>
          <w:bCs/>
          <w:sz w:val="24"/>
          <w:szCs w:val="24"/>
          <w:rtl/>
        </w:rPr>
        <w:t>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חשיש</w:t>
      </w:r>
      <w:r w:rsidR="0041696A">
        <w:rPr>
          <w:rFonts w:ascii="David" w:hAnsi="David" w:cs="David"/>
          <w:sz w:val="24"/>
          <w:szCs w:val="24"/>
          <w:rtl/>
        </w:rPr>
        <w:t xml:space="preserve"> במשקל של </w:t>
      </w:r>
      <w:r w:rsidR="0041696A">
        <w:rPr>
          <w:rFonts w:ascii="David" w:hAnsi="David" w:cs="David"/>
          <w:b/>
          <w:bCs/>
          <w:sz w:val="24"/>
          <w:szCs w:val="24"/>
          <w:rtl/>
        </w:rPr>
        <w:t xml:space="preserve">2.3 ק"ג </w:t>
      </w:r>
      <w:r w:rsidR="0041696A">
        <w:rPr>
          <w:rFonts w:ascii="David" w:hAnsi="David" w:cs="David"/>
          <w:sz w:val="24"/>
          <w:szCs w:val="24"/>
          <w:rtl/>
        </w:rPr>
        <w:t xml:space="preserve">אותו החזיק ברכב. </w:t>
      </w:r>
      <w:r w:rsidR="0041696A">
        <w:rPr>
          <w:rFonts w:ascii="David" w:hAnsi="David" w:cs="David"/>
          <w:b/>
          <w:bCs/>
          <w:sz w:val="24"/>
          <w:szCs w:val="24"/>
          <w:rtl/>
        </w:rPr>
        <w:t xml:space="preserve">בית משפט השלום קבע מתחם עונש הולם הנע בין 6-15 חודשי מאסר בפועל </w:t>
      </w:r>
      <w:r w:rsidR="0041696A">
        <w:rPr>
          <w:rFonts w:ascii="David" w:hAnsi="David" w:cs="David"/>
          <w:sz w:val="24"/>
          <w:szCs w:val="24"/>
          <w:rtl/>
        </w:rPr>
        <w:t xml:space="preserve">והשית על הנאשם, נעדר עבר פלילי שאוחז בתסקיר הממליץ על מאסר מותנה, 8 חודשי מאסר בפועל לצד ענישה נלוות. ערעור שהוגש לבית המשפט המחוזי נדחה וכך גם בקשת רשות הערעור. </w:t>
      </w:r>
    </w:p>
    <w:p w14:paraId="0E7EF89E" w14:textId="77777777" w:rsidR="0041696A" w:rsidRDefault="0041696A" w:rsidP="0041696A">
      <w:pPr>
        <w:pStyle w:val="a8"/>
        <w:tabs>
          <w:tab w:val="left" w:pos="226"/>
          <w:tab w:val="left" w:pos="509"/>
          <w:tab w:val="left" w:pos="651"/>
          <w:tab w:val="left" w:pos="5578"/>
        </w:tabs>
        <w:spacing w:line="360" w:lineRule="auto"/>
        <w:ind w:left="1080"/>
        <w:jc w:val="both"/>
        <w:rPr>
          <w:rFonts w:ascii="David" w:hAnsi="David" w:cs="David"/>
          <w:sz w:val="24"/>
          <w:szCs w:val="24"/>
        </w:rPr>
      </w:pPr>
      <w:r>
        <w:rPr>
          <w:rFonts w:ascii="David" w:hAnsi="David" w:cs="David"/>
          <w:sz w:val="24"/>
          <w:szCs w:val="24"/>
        </w:rPr>
        <w:t xml:space="preserve"> </w:t>
      </w:r>
      <w:r>
        <w:rPr>
          <w:rFonts w:ascii="David" w:hAnsi="David" w:cs="David"/>
          <w:sz w:val="24"/>
          <w:szCs w:val="24"/>
        </w:rPr>
        <w:tab/>
      </w:r>
    </w:p>
    <w:p w14:paraId="381479D9"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Pr>
      </w:pPr>
      <w:hyperlink r:id="rId25" w:history="1">
        <w:r w:rsidRPr="00382EE0">
          <w:rPr>
            <w:rFonts w:ascii="David" w:hAnsi="David" w:cs="David"/>
            <w:color w:val="0000FF"/>
            <w:sz w:val="24"/>
            <w:szCs w:val="24"/>
            <w:u w:val="single"/>
            <w:rtl/>
          </w:rPr>
          <w:t>עפ"ג (מחוזי ב"ש)  38049-06-19</w:t>
        </w:r>
      </w:hyperlink>
      <w:r w:rsidR="0041696A">
        <w:rPr>
          <w:rFonts w:ascii="David" w:hAnsi="David" w:cs="David"/>
          <w:sz w:val="24"/>
          <w:szCs w:val="24"/>
          <w:rtl/>
        </w:rPr>
        <w:t xml:space="preserve"> </w:t>
      </w:r>
      <w:r w:rsidR="0041696A">
        <w:rPr>
          <w:rFonts w:ascii="David" w:hAnsi="David" w:cs="David"/>
          <w:b/>
          <w:bCs/>
          <w:sz w:val="24"/>
          <w:szCs w:val="24"/>
          <w:rtl/>
        </w:rPr>
        <w:t xml:space="preserve">אל צבאירה נ' מדינת ישראל </w:t>
      </w:r>
      <w:r w:rsidR="0041696A">
        <w:rPr>
          <w:rFonts w:ascii="David" w:hAnsi="David" w:cs="David"/>
          <w:sz w:val="24"/>
          <w:szCs w:val="24"/>
          <w:rtl/>
        </w:rPr>
        <w:t xml:space="preserve">(11.9.19): המערער הורשע </w:t>
      </w:r>
      <w:r w:rsidR="0041696A">
        <w:rPr>
          <w:rFonts w:ascii="David" w:hAnsi="David" w:cs="David"/>
          <w:b/>
          <w:bCs/>
          <w:sz w:val="24"/>
          <w:szCs w:val="24"/>
          <w:rtl/>
        </w:rPr>
        <w:t>בהחזקת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 xml:space="preserve">קנבוס </w:t>
      </w:r>
      <w:r w:rsidR="0041696A">
        <w:rPr>
          <w:rFonts w:ascii="David" w:hAnsi="David" w:cs="David"/>
          <w:sz w:val="24"/>
          <w:szCs w:val="24"/>
          <w:rtl/>
        </w:rPr>
        <w:t xml:space="preserve">במשקל של </w:t>
      </w:r>
      <w:r w:rsidR="0041696A">
        <w:rPr>
          <w:rFonts w:ascii="David" w:hAnsi="David" w:cs="David"/>
          <w:b/>
          <w:bCs/>
          <w:sz w:val="24"/>
          <w:szCs w:val="24"/>
          <w:rtl/>
        </w:rPr>
        <w:t>40 ק"ג</w:t>
      </w:r>
      <w:r w:rsidR="0041696A">
        <w:rPr>
          <w:rFonts w:ascii="David" w:hAnsi="David" w:cs="David"/>
          <w:sz w:val="24"/>
          <w:szCs w:val="24"/>
          <w:rtl/>
        </w:rPr>
        <w:t>, במתחם מגודר בפזורת אום בטין. החלק הארי של הסמים היה תלוי על גבי חוטים וחלק האחר הוחזק בתוך ארגז.</w:t>
      </w:r>
      <w:r w:rsidR="0041696A">
        <w:rPr>
          <w:rFonts w:ascii="David" w:eastAsia="Times New Roman" w:hAnsi="David" w:cs="David"/>
          <w:sz w:val="24"/>
          <w:szCs w:val="24"/>
          <w:rtl/>
        </w:rPr>
        <w:t xml:space="preserve"> בית משפט השלום קבע </w:t>
      </w:r>
      <w:r w:rsidR="0041696A">
        <w:rPr>
          <w:rFonts w:ascii="David" w:eastAsia="Times New Roman" w:hAnsi="David" w:cs="David"/>
          <w:b/>
          <w:bCs/>
          <w:sz w:val="24"/>
          <w:szCs w:val="24"/>
          <w:rtl/>
        </w:rPr>
        <w:t xml:space="preserve">מתחם עונש הולם הנע בין 18-36 חודשי מאסר בפועל </w:t>
      </w:r>
      <w:r w:rsidR="0041696A">
        <w:rPr>
          <w:rFonts w:ascii="David" w:eastAsia="Times New Roman" w:hAnsi="David" w:cs="David"/>
          <w:sz w:val="24"/>
          <w:szCs w:val="24"/>
          <w:rtl/>
        </w:rPr>
        <w:t xml:space="preserve">והשית על הנאשם שלחובתו עבר פלילי מכביד, </w:t>
      </w:r>
      <w:r w:rsidR="0041696A">
        <w:rPr>
          <w:rFonts w:ascii="David" w:eastAsia="Times New Roman" w:hAnsi="David" w:cs="David"/>
          <w:noProof/>
          <w:sz w:val="24"/>
          <w:szCs w:val="24"/>
          <w:rtl/>
        </w:rPr>
        <w:t>30 חודשי מאסר בפועל לצד ענישה נלוות הכוללת קנס בסך 20,000 ₪. ערכאת הערעור הפחיתה את עונשו ל</w:t>
      </w:r>
      <w:r w:rsidR="0041696A">
        <w:rPr>
          <w:rFonts w:ascii="David" w:hAnsi="David" w:cs="David"/>
          <w:sz w:val="24"/>
          <w:szCs w:val="24"/>
          <w:rtl/>
        </w:rPr>
        <w:t xml:space="preserve">-26 חודשי מאסר בפועל בשל העובדה שהנאשם הורשע בעבירה של החזקת סם שלא לצריכה עצמית ולא בגידולו. </w:t>
      </w:r>
    </w:p>
    <w:p w14:paraId="0493595F" w14:textId="77777777" w:rsidR="0041696A" w:rsidRDefault="0041696A" w:rsidP="0041696A">
      <w:pPr>
        <w:pStyle w:val="a8"/>
        <w:tabs>
          <w:tab w:val="left" w:pos="226"/>
          <w:tab w:val="left" w:pos="509"/>
          <w:tab w:val="left" w:pos="651"/>
        </w:tabs>
        <w:spacing w:line="360" w:lineRule="auto"/>
        <w:ind w:left="1080"/>
        <w:jc w:val="both"/>
        <w:rPr>
          <w:rFonts w:ascii="David" w:hAnsi="David" w:cs="David"/>
          <w:sz w:val="24"/>
          <w:szCs w:val="24"/>
        </w:rPr>
      </w:pPr>
    </w:p>
    <w:p w14:paraId="23D83554" w14:textId="77777777" w:rsidR="0041696A"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u w:val="single"/>
        </w:rPr>
      </w:pPr>
      <w:hyperlink r:id="rId26" w:history="1">
        <w:r w:rsidRPr="00382EE0">
          <w:rPr>
            <w:rFonts w:ascii="David" w:hAnsi="David" w:cs="David"/>
            <w:color w:val="0000FF"/>
            <w:sz w:val="24"/>
            <w:szCs w:val="24"/>
            <w:u w:val="single"/>
            <w:rtl/>
          </w:rPr>
          <w:t>עפ"ג (מחוזי ב"ש) 32425-04-23</w:t>
        </w:r>
      </w:hyperlink>
      <w:r w:rsidR="0041696A">
        <w:rPr>
          <w:rFonts w:ascii="David" w:hAnsi="David" w:cs="David"/>
          <w:sz w:val="24"/>
          <w:szCs w:val="24"/>
          <w:rtl/>
        </w:rPr>
        <w:t xml:space="preserve"> </w:t>
      </w:r>
      <w:r w:rsidR="0041696A">
        <w:rPr>
          <w:rFonts w:ascii="David" w:hAnsi="David" w:cs="David"/>
          <w:b/>
          <w:bCs/>
          <w:sz w:val="24"/>
          <w:szCs w:val="24"/>
          <w:rtl/>
        </w:rPr>
        <w:t>אל עתאיקה נ' מדינת ישראל</w:t>
      </w:r>
      <w:r w:rsidR="0041696A">
        <w:rPr>
          <w:rFonts w:ascii="David" w:hAnsi="David" w:cs="David"/>
          <w:sz w:val="24"/>
          <w:szCs w:val="24"/>
          <w:rtl/>
        </w:rPr>
        <w:t xml:space="preserve"> (14.6.23) – המערער הורשע </w:t>
      </w:r>
      <w:r w:rsidR="0041696A">
        <w:rPr>
          <w:rFonts w:ascii="David" w:hAnsi="David" w:cs="David"/>
          <w:b/>
          <w:bCs/>
          <w:sz w:val="24"/>
          <w:szCs w:val="24"/>
          <w:rtl/>
        </w:rPr>
        <w:t>בהחזקת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 xml:space="preserve">חשיש </w:t>
      </w:r>
      <w:r w:rsidR="0041696A">
        <w:rPr>
          <w:rFonts w:ascii="David" w:hAnsi="David" w:cs="David"/>
          <w:sz w:val="24"/>
          <w:szCs w:val="24"/>
          <w:rtl/>
        </w:rPr>
        <w:t xml:space="preserve">במשקל </w:t>
      </w:r>
      <w:r w:rsidR="0041696A">
        <w:rPr>
          <w:rFonts w:ascii="David" w:hAnsi="David" w:cs="David"/>
          <w:b/>
          <w:bCs/>
          <w:sz w:val="24"/>
          <w:szCs w:val="24"/>
          <w:rtl/>
        </w:rPr>
        <w:t>30 ק"ג</w:t>
      </w:r>
      <w:r w:rsidR="0041696A">
        <w:rPr>
          <w:rFonts w:ascii="David" w:hAnsi="David" w:cs="David"/>
          <w:sz w:val="24"/>
          <w:szCs w:val="24"/>
          <w:rtl/>
        </w:rPr>
        <w:t xml:space="preserve"> (ברוטו), מחולק ל-36 אריזות בניילון נצמד בתא המטען של רכבו. </w:t>
      </w:r>
      <w:r w:rsidR="0041696A">
        <w:rPr>
          <w:rFonts w:ascii="David" w:eastAsia="Times New Roman" w:hAnsi="David" w:cs="David"/>
          <w:sz w:val="24"/>
          <w:szCs w:val="24"/>
          <w:rtl/>
        </w:rPr>
        <w:t xml:space="preserve">בית משפט השלום קבע </w:t>
      </w:r>
      <w:r w:rsidR="0041696A">
        <w:rPr>
          <w:rFonts w:ascii="David" w:eastAsia="Times New Roman" w:hAnsi="David" w:cs="David"/>
          <w:b/>
          <w:bCs/>
          <w:sz w:val="24"/>
          <w:szCs w:val="24"/>
          <w:rtl/>
        </w:rPr>
        <w:t>מתחם עונש הולם הנע בין 14-30 חודשי מאסר בפועל</w:t>
      </w:r>
      <w:r w:rsidR="0041696A">
        <w:rPr>
          <w:rFonts w:ascii="David" w:eastAsia="Times New Roman" w:hAnsi="David" w:cs="David"/>
          <w:sz w:val="24"/>
          <w:szCs w:val="24"/>
          <w:rtl/>
        </w:rPr>
        <w:t xml:space="preserve">, קנס הנע בין 15,000-40,000 ₪; פסילת רישיון נהיגה בין פסילה על תנאי של מספר שנים ועד לפסילת בפועל של שנתיים והשית על המערער, </w:t>
      </w:r>
      <w:r w:rsidR="0041696A">
        <w:rPr>
          <w:rFonts w:ascii="David" w:eastAsia="Times New Roman" w:hAnsi="David" w:cs="David"/>
          <w:b/>
          <w:bCs/>
          <w:sz w:val="24"/>
          <w:szCs w:val="24"/>
          <w:rtl/>
        </w:rPr>
        <w:t>נעדר עבר פלילי</w:t>
      </w:r>
      <w:r w:rsidR="0041696A">
        <w:rPr>
          <w:rFonts w:ascii="David" w:eastAsia="Times New Roman" w:hAnsi="David" w:cs="David"/>
          <w:sz w:val="24"/>
          <w:szCs w:val="24"/>
          <w:rtl/>
        </w:rPr>
        <w:t xml:space="preserve"> שעבר הליך טיפולי, 16 חודשים מאסר בפועל וענישה נלוות הכוללת  </w:t>
      </w:r>
      <w:r w:rsidR="0041696A">
        <w:rPr>
          <w:rFonts w:ascii="David" w:hAnsi="David" w:cs="David"/>
          <w:sz w:val="24"/>
          <w:szCs w:val="24"/>
          <w:rtl/>
        </w:rPr>
        <w:t xml:space="preserve">קנס בסך 15,000 ₪. ופסילה על תנאי. ערכאת הערעור דחתה את הערעור וקבעה כי </w:t>
      </w:r>
      <w:r w:rsidR="0041696A">
        <w:rPr>
          <w:rFonts w:ascii="David" w:hAnsi="David" w:cs="David"/>
          <w:sz w:val="24"/>
          <w:szCs w:val="24"/>
          <w:u w:val="single"/>
          <w:rtl/>
        </w:rPr>
        <w:t xml:space="preserve">המתחם שנקבע אינו מחמיר ואף יש בו הקלה עם המערער. </w:t>
      </w:r>
    </w:p>
    <w:p w14:paraId="3882AA9D" w14:textId="77777777" w:rsidR="0041696A" w:rsidRDefault="0041696A" w:rsidP="0041696A">
      <w:pPr>
        <w:pStyle w:val="a8"/>
        <w:rPr>
          <w:rFonts w:ascii="David" w:hAnsi="David" w:cs="David"/>
          <w:sz w:val="24"/>
          <w:szCs w:val="24"/>
        </w:rPr>
      </w:pPr>
    </w:p>
    <w:p w14:paraId="07D80D60" w14:textId="77777777" w:rsidR="0041696A" w:rsidRPr="00DC726C" w:rsidRDefault="00382EE0" w:rsidP="0041696A">
      <w:pPr>
        <w:pStyle w:val="a8"/>
        <w:numPr>
          <w:ilvl w:val="0"/>
          <w:numId w:val="3"/>
        </w:numPr>
        <w:tabs>
          <w:tab w:val="left" w:pos="226"/>
          <w:tab w:val="left" w:pos="509"/>
          <w:tab w:val="left" w:pos="651"/>
        </w:tabs>
        <w:spacing w:line="360" w:lineRule="auto"/>
        <w:jc w:val="both"/>
        <w:rPr>
          <w:rFonts w:ascii="David" w:hAnsi="David" w:cs="David"/>
          <w:sz w:val="24"/>
          <w:szCs w:val="24"/>
          <w:rtl/>
        </w:rPr>
      </w:pPr>
      <w:hyperlink r:id="rId27" w:history="1">
        <w:r w:rsidRPr="00382EE0">
          <w:rPr>
            <w:rFonts w:ascii="David" w:hAnsi="David" w:cs="David"/>
            <w:color w:val="0000FF"/>
            <w:sz w:val="24"/>
            <w:szCs w:val="24"/>
            <w:u w:val="single"/>
            <w:rtl/>
          </w:rPr>
          <w:t>עפ"ג (מחוזי ב"ש) 30685-06-21</w:t>
        </w:r>
      </w:hyperlink>
      <w:r w:rsidR="0041696A">
        <w:rPr>
          <w:rFonts w:ascii="David" w:hAnsi="David" w:cs="David"/>
          <w:sz w:val="24"/>
          <w:szCs w:val="24"/>
          <w:rtl/>
        </w:rPr>
        <w:t xml:space="preserve"> </w:t>
      </w:r>
      <w:r w:rsidR="0041696A">
        <w:rPr>
          <w:rFonts w:ascii="David" w:hAnsi="David" w:cs="David"/>
          <w:b/>
          <w:bCs/>
          <w:sz w:val="24"/>
          <w:szCs w:val="24"/>
          <w:rtl/>
        </w:rPr>
        <w:t>אבו חבאק נ' מדינת ישראל</w:t>
      </w:r>
      <w:r w:rsidR="0041696A">
        <w:rPr>
          <w:rFonts w:ascii="David" w:hAnsi="David" w:cs="David"/>
          <w:sz w:val="24"/>
          <w:szCs w:val="24"/>
          <w:rtl/>
        </w:rPr>
        <w:t xml:space="preserve"> (13.10.21): המערער הורשע </w:t>
      </w:r>
      <w:r w:rsidR="0041696A">
        <w:rPr>
          <w:rFonts w:ascii="David" w:hAnsi="David" w:cs="David"/>
          <w:b/>
          <w:bCs/>
          <w:sz w:val="24"/>
          <w:szCs w:val="24"/>
          <w:rtl/>
        </w:rPr>
        <w:t>בהחזקת סם שלא לצריכה עצמית</w:t>
      </w:r>
      <w:r w:rsidR="0041696A">
        <w:rPr>
          <w:rFonts w:ascii="David" w:hAnsi="David" w:cs="David"/>
          <w:sz w:val="24"/>
          <w:szCs w:val="24"/>
          <w:rtl/>
        </w:rPr>
        <w:t xml:space="preserve"> מסוג </w:t>
      </w:r>
      <w:r w:rsidR="0041696A">
        <w:rPr>
          <w:rFonts w:ascii="David" w:hAnsi="David" w:cs="David"/>
          <w:b/>
          <w:bCs/>
          <w:sz w:val="24"/>
          <w:szCs w:val="24"/>
          <w:rtl/>
        </w:rPr>
        <w:t>קנבוס</w:t>
      </w:r>
      <w:r w:rsidR="0041696A">
        <w:rPr>
          <w:rFonts w:ascii="David" w:hAnsi="David" w:cs="David"/>
          <w:sz w:val="24"/>
          <w:szCs w:val="24"/>
          <w:rtl/>
        </w:rPr>
        <w:t xml:space="preserve"> במשקל </w:t>
      </w:r>
      <w:r w:rsidR="0041696A">
        <w:rPr>
          <w:rFonts w:ascii="David" w:hAnsi="David" w:cs="David"/>
          <w:b/>
          <w:bCs/>
          <w:sz w:val="24"/>
          <w:szCs w:val="24"/>
          <w:rtl/>
        </w:rPr>
        <w:t>32 ק"ג</w:t>
      </w:r>
      <w:r w:rsidR="0041696A">
        <w:rPr>
          <w:rFonts w:ascii="David" w:hAnsi="David" w:cs="David"/>
          <w:sz w:val="24"/>
          <w:szCs w:val="24"/>
          <w:rtl/>
        </w:rPr>
        <w:t xml:space="preserve"> </w:t>
      </w:r>
      <w:r w:rsidR="0041696A">
        <w:rPr>
          <w:rFonts w:ascii="David" w:eastAsia="David" w:hAnsi="David" w:cs="David"/>
          <w:sz w:val="24"/>
          <w:szCs w:val="24"/>
          <w:rtl/>
        </w:rPr>
        <w:t>שהוחזק על מחצלת בסככה, כשבידיו ובידי הנאשם הנוסף צמחי הסם ומזמרות.</w:t>
      </w:r>
      <w:r w:rsidR="0041696A">
        <w:rPr>
          <w:rFonts w:ascii="David" w:hAnsi="David" w:cs="David"/>
          <w:sz w:val="24"/>
          <w:szCs w:val="24"/>
          <w:rtl/>
        </w:rPr>
        <w:t xml:space="preserve"> בית משפט השלום </w:t>
      </w:r>
      <w:r w:rsidR="0041696A">
        <w:rPr>
          <w:rFonts w:ascii="David" w:hAnsi="David" w:cs="David"/>
          <w:b/>
          <w:bCs/>
          <w:sz w:val="24"/>
          <w:szCs w:val="24"/>
          <w:rtl/>
        </w:rPr>
        <w:t>קבע מתחם עונש הולם הנע בין 16-32 מאסר בפועל</w:t>
      </w:r>
      <w:r w:rsidR="0041696A">
        <w:rPr>
          <w:rFonts w:ascii="David" w:hAnsi="David" w:cs="David"/>
          <w:sz w:val="24"/>
          <w:szCs w:val="24"/>
          <w:rtl/>
        </w:rPr>
        <w:t xml:space="preserve"> לצד ענישה נלוות והשית על הנאשם, נעדר עבר פלילי האוחז בתסקיר חיובי, 16 חודשי מאסר בפועל לצד ענישה נלוות הכוללת קנס בסך 18,000 ₪ ופסילת רישיון נהיגה בפועל. הנאשם ערער על רכיבי המאסר, הקנס והפסילה. בהמלצת בית המשפט המחוזי, חזר בו מהערעור על רכיב המאסר וקיבל ערעורו על רכיבי הקנס והפסילה באופן שהעמיד את הקנס על סך 10,000 ₪ וביטלה את רכיב הפסילה בפועל.</w:t>
      </w:r>
    </w:p>
    <w:p w14:paraId="0685C22B"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 במקרה שבפניי הנאשם החזיק </w:t>
      </w:r>
      <w:r>
        <w:rPr>
          <w:rFonts w:ascii="David" w:hAnsi="David" w:cs="David"/>
          <w:b/>
          <w:bCs/>
          <w:sz w:val="24"/>
          <w:szCs w:val="24"/>
          <w:rtl/>
        </w:rPr>
        <w:t>בדירתו השכורה בסוגי סמים שונים</w:t>
      </w:r>
      <w:r>
        <w:rPr>
          <w:rFonts w:ascii="David" w:hAnsi="David" w:cs="David"/>
          <w:sz w:val="24"/>
          <w:szCs w:val="24"/>
          <w:rtl/>
        </w:rPr>
        <w:t xml:space="preserve"> בכמות לא מבוטלת: חשיש (כ-16 ק"ג), קנבוס (20 ק"ג) ו-10 טבליות </w:t>
      </w:r>
      <w:r>
        <w:rPr>
          <w:rFonts w:ascii="David" w:hAnsi="David" w:cs="David"/>
          <w:sz w:val="24"/>
          <w:szCs w:val="24"/>
        </w:rPr>
        <w:t>MDMA</w:t>
      </w:r>
      <w:r>
        <w:rPr>
          <w:rFonts w:ascii="David" w:hAnsi="David" w:cs="David"/>
          <w:sz w:val="24"/>
          <w:szCs w:val="24"/>
          <w:rtl/>
        </w:rPr>
        <w:t xml:space="preserve">, כאשר כ-6 ק"ג חשיש נתפסו מחולקים ל-65 אריזות. אופן ההחזקה, כמות הסם והמגוון מלמד על התכלית לשמה הוחזקו הסמים, היינו למטרת סחר והפקת רווח כלכלי ולא לשימושו העצמי. כמות הסם שנתפסה מספיקה להכנת מאות מנות סם, המצביעות על הנזק שעשוי היה להיגרם לחברה עם הפצתן. לא בכדי מכונה עבירת החזקת הסם שלא לצריכה עצמית "אחותה התאומה הסטטוטורית" של עבירת הסחר שכן, המחוקק לא ערך הבחנה בין העונש שקבע בצדן. עסקינן בשתי עבירות שנועדו להפצת נגע הסם למטרת בצע כסף ולפגיעה משמעותית בחברה.  </w:t>
      </w:r>
    </w:p>
    <w:p w14:paraId="54769821"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Pr>
      </w:pPr>
    </w:p>
    <w:p w14:paraId="64B6FFC7"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 לאחר שבחנתי את מכלול השיקולים, עקרון ההלימה, נסיבות ביצוע העבירה ולנוכח קשת מדיניות הענישה, אשר חלקה נוגעת לעבירת הגידול, חלקה לעבירת ההחזקה בכמויות פחותות או דומות וחלקה נוגעת לסוג אחד של סמים, </w:t>
      </w:r>
      <w:r>
        <w:rPr>
          <w:rFonts w:ascii="David" w:hAnsi="David" w:cs="David"/>
          <w:b/>
          <w:bCs/>
          <w:sz w:val="24"/>
          <w:szCs w:val="24"/>
          <w:rtl/>
        </w:rPr>
        <w:t>אני קובעת כי מתחם העונש ההולם נע בין 20 חודשי מאסר ועד 40 חודשים.</w:t>
      </w:r>
      <w:r>
        <w:rPr>
          <w:rFonts w:ascii="David" w:hAnsi="David" w:cs="David"/>
          <w:sz w:val="24"/>
          <w:szCs w:val="24"/>
          <w:rtl/>
        </w:rPr>
        <w:t xml:space="preserve"> </w:t>
      </w:r>
    </w:p>
    <w:p w14:paraId="5B7F74AB" w14:textId="77777777" w:rsidR="0041696A" w:rsidRDefault="0041696A" w:rsidP="0041696A">
      <w:pPr>
        <w:tabs>
          <w:tab w:val="left" w:pos="226"/>
          <w:tab w:val="left" w:pos="509"/>
          <w:tab w:val="left" w:pos="651"/>
        </w:tabs>
        <w:spacing w:line="360" w:lineRule="auto"/>
        <w:jc w:val="both"/>
        <w:rPr>
          <w:rFonts w:ascii="David" w:hAnsi="David"/>
        </w:rPr>
      </w:pPr>
    </w:p>
    <w:p w14:paraId="43ABBC3B" w14:textId="77777777" w:rsidR="0041696A" w:rsidRDefault="0041696A" w:rsidP="0041696A">
      <w:pPr>
        <w:pStyle w:val="a8"/>
        <w:numPr>
          <w:ilvl w:val="0"/>
          <w:numId w:val="2"/>
        </w:numPr>
        <w:tabs>
          <w:tab w:val="left" w:pos="226"/>
          <w:tab w:val="left" w:pos="509"/>
          <w:tab w:val="left" w:pos="651"/>
        </w:tabs>
        <w:spacing w:line="360" w:lineRule="auto"/>
        <w:jc w:val="both"/>
        <w:rPr>
          <w:rFonts w:ascii="Calibri Light" w:eastAsia="Times New Roman" w:hAnsi="Calibri Light" w:cs="Calibri Light"/>
          <w:sz w:val="24"/>
          <w:szCs w:val="24"/>
          <w:rtl/>
        </w:rPr>
      </w:pPr>
      <w:r>
        <w:rPr>
          <w:rFonts w:ascii="David" w:hAnsi="David" w:cs="David"/>
          <w:sz w:val="24"/>
          <w:szCs w:val="24"/>
          <w:rtl/>
        </w:rPr>
        <w:t xml:space="preserve"> </w:t>
      </w:r>
      <w:r>
        <w:rPr>
          <w:rFonts w:ascii="Calibri Light" w:hAnsi="Calibri Light" w:cs="Times New Roman"/>
          <w:rtl/>
        </w:rPr>
        <w:t xml:space="preserve">גזירת </w:t>
      </w:r>
      <w:r>
        <w:rPr>
          <w:rFonts w:ascii="Calibri Light" w:hAnsi="Calibri Light" w:cs="Times New Roman"/>
          <w:sz w:val="24"/>
          <w:szCs w:val="24"/>
          <w:rtl/>
        </w:rPr>
        <w:t>העונש</w:t>
      </w:r>
      <w:r>
        <w:rPr>
          <w:rFonts w:ascii="Calibri Light" w:hAnsi="Calibri Light" w:cs="Times New Roman"/>
          <w:rtl/>
        </w:rPr>
        <w:t xml:space="preserve"> המתאים לנאשם בגדרי המתחם</w:t>
      </w:r>
      <w:r>
        <w:rPr>
          <w:rFonts w:ascii="Calibri Light" w:hAnsi="Calibri Light" w:cs="Calibri Light"/>
          <w:rtl/>
        </w:rPr>
        <w:t xml:space="preserve">, </w:t>
      </w:r>
      <w:r>
        <w:rPr>
          <w:rFonts w:ascii="Calibri Light" w:hAnsi="Calibri Light" w:cs="Times New Roman"/>
          <w:rtl/>
        </w:rPr>
        <w:t>נסיבות שאינן קשורות בביצוע העבירה</w:t>
      </w:r>
    </w:p>
    <w:p w14:paraId="2E6103CB" w14:textId="77777777" w:rsidR="0041696A" w:rsidRDefault="0041696A" w:rsidP="0041696A">
      <w:pPr>
        <w:spacing w:line="360" w:lineRule="auto"/>
        <w:ind w:left="720"/>
        <w:contextualSpacing/>
        <w:jc w:val="both"/>
        <w:rPr>
          <w:rFonts w:ascii="David" w:hAnsi="David"/>
          <w:rtl/>
        </w:rPr>
      </w:pPr>
    </w:p>
    <w:p w14:paraId="5ADB4CD9" w14:textId="77777777" w:rsidR="0041696A" w:rsidRDefault="0041696A" w:rsidP="0041696A">
      <w:pPr>
        <w:pStyle w:val="a8"/>
        <w:numPr>
          <w:ilvl w:val="0"/>
          <w:numId w:val="2"/>
        </w:numPr>
        <w:spacing w:line="360" w:lineRule="auto"/>
        <w:jc w:val="both"/>
        <w:rPr>
          <w:rFonts w:ascii="David" w:hAnsi="David" w:cs="David"/>
          <w:sz w:val="24"/>
          <w:szCs w:val="24"/>
          <w:rtl/>
        </w:rPr>
      </w:pPr>
      <w:r>
        <w:rPr>
          <w:rFonts w:ascii="David" w:hAnsi="David" w:cs="David"/>
          <w:sz w:val="24"/>
          <w:szCs w:val="24"/>
          <w:rtl/>
        </w:rPr>
        <w:t xml:space="preserve"> הנאשם צעיר כבן 20, לחובתו שני רישומים ללא הרשעה מבית המשפט לנוער ומבית משפט המחוזי משנת 2022 בגין עבירות של תקיפה סתם; שידול למעשה זנות; חבלה חמורה וחבלה כשהעבריין מזויין. הנאשם נדון לצווי מבחן, צו של"צ, פיצויים לנפגעי העבירה והתחייבות להימנע מעבירה. זהו נאשם שעבר בהצלחה הליך טיפולי שיקומי ממושך, עמד בסנקציות העונשיות שהוטלו עליו- צווי מבחן, של"צ ופיצויים, אך חרף האמור, ביצע העבירה בגינה נדון בפניי. </w:t>
      </w:r>
    </w:p>
    <w:p w14:paraId="2A201353"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tl/>
        </w:rPr>
      </w:pPr>
    </w:p>
    <w:p w14:paraId="2B921F9C"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הנאשם החל להשתמש בסמים בגיל 14, כעולה מן התסקיר מצוי בהליך התדרדרות, חבר לחברה שולית, מזדהה עם נורמות עברייניות, אולם שולל בעייתיות או נזקקות טיפולית בתחום הסמים ושירות המבחן לא בא </w:t>
      </w:r>
      <w:r>
        <w:rPr>
          <w:rFonts w:ascii="David" w:hAnsi="David" w:cs="David" w:hint="cs"/>
          <w:sz w:val="24"/>
          <w:szCs w:val="24"/>
          <w:rtl/>
        </w:rPr>
        <w:t xml:space="preserve">בהמלצה </w:t>
      </w:r>
      <w:r>
        <w:rPr>
          <w:rFonts w:ascii="David" w:hAnsi="David" w:cs="David"/>
          <w:sz w:val="24"/>
          <w:szCs w:val="24"/>
          <w:rtl/>
        </w:rPr>
        <w:t xml:space="preserve">שיקומית בעניינו. </w:t>
      </w:r>
    </w:p>
    <w:p w14:paraId="1FD36FF3"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tl/>
        </w:rPr>
      </w:pPr>
    </w:p>
    <w:p w14:paraId="0D7A93AC"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הנאשם טען שהחזיק הסמים בהשפעת החברה השולית עמה התרועע </w:t>
      </w:r>
      <w:r>
        <w:rPr>
          <w:rFonts w:ascii="David" w:hAnsi="David" w:cs="David"/>
          <w:b/>
          <w:bCs/>
          <w:sz w:val="24"/>
          <w:szCs w:val="24"/>
          <w:rtl/>
        </w:rPr>
        <w:t>למטרת הפקת רווח כלכלי מהיר וזמין לצורך מימון אורח חיים בלייני ומסוכן, מימון שימוש בסמים ותשלום חובות</w:t>
      </w:r>
      <w:r>
        <w:rPr>
          <w:rFonts w:ascii="David" w:hAnsi="David" w:cs="David"/>
          <w:sz w:val="24"/>
          <w:szCs w:val="24"/>
          <w:rtl/>
        </w:rPr>
        <w:t xml:space="preserve">, כך שאין בידי לקבל את טענת ב"כ הנאשם לפיה יש לראות בעבירת החזקת הסם שלא לצריכה עצמית עבור אחרים. </w:t>
      </w:r>
    </w:p>
    <w:p w14:paraId="327FF185"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tl/>
        </w:rPr>
      </w:pPr>
    </w:p>
    <w:p w14:paraId="71615275"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 לקולא, נתתי דעתי לגילו הצעיר של הנאשם, לכך שזהו מאסרו הראשון, לנסיבות חייו האישיות והמורכבות המפורטות בתסקיר שירות המבחן ומפאת צנעת הפרט לא מצאתי לפרטן במלואן, אשר הובילו את הנאשם לשימוש בסם ולהתדרדרותו. </w:t>
      </w:r>
    </w:p>
    <w:p w14:paraId="3DA535DC" w14:textId="77777777" w:rsidR="0041696A" w:rsidRDefault="0041696A" w:rsidP="0041696A">
      <w:pPr>
        <w:pStyle w:val="a8"/>
        <w:rPr>
          <w:rFonts w:ascii="David" w:hAnsi="David" w:cs="David"/>
          <w:sz w:val="24"/>
          <w:szCs w:val="24"/>
        </w:rPr>
      </w:pPr>
    </w:p>
    <w:p w14:paraId="06100D5F"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עוד זקפתי לזכות הנאשם, את נטילת האחריות, הבעת החרטה, הודאתו בכתב האישום מבלי שניהל משפט, את תוצאות בדיקות השתן הנקיות ושיתוף הפעולה בהליך הטיפולי עם גורמי שב"ס במסגרת מעצרו. </w:t>
      </w:r>
    </w:p>
    <w:p w14:paraId="30DD9DD3"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tl/>
        </w:rPr>
      </w:pPr>
    </w:p>
    <w:p w14:paraId="40FC76DA" w14:textId="77777777" w:rsidR="0041696A" w:rsidRDefault="0041696A" w:rsidP="0041696A">
      <w:pPr>
        <w:pStyle w:val="a8"/>
        <w:numPr>
          <w:ilvl w:val="0"/>
          <w:numId w:val="2"/>
        </w:numPr>
        <w:tabs>
          <w:tab w:val="left" w:pos="226"/>
          <w:tab w:val="left" w:pos="509"/>
          <w:tab w:val="left" w:pos="651"/>
        </w:tabs>
        <w:spacing w:line="360" w:lineRule="auto"/>
        <w:jc w:val="both"/>
        <w:rPr>
          <w:rFonts w:ascii="David" w:hAnsi="David" w:cs="David"/>
          <w:sz w:val="24"/>
          <w:szCs w:val="24"/>
        </w:rPr>
      </w:pPr>
      <w:r>
        <w:rPr>
          <w:rFonts w:ascii="David" w:hAnsi="David" w:cs="David"/>
          <w:sz w:val="24"/>
          <w:szCs w:val="24"/>
          <w:rtl/>
        </w:rPr>
        <w:t xml:space="preserve">לאחר שנתתי דעתי למכלול השיקולים לחומרא ולקולא, להרתעת היחיד והרבים, מצאתי שיש למקם את הנאשם בשליש התחתון של המתחם, אם כי לא בתחתיתו. </w:t>
      </w:r>
    </w:p>
    <w:p w14:paraId="306862D0" w14:textId="77777777" w:rsidR="0041696A" w:rsidRDefault="0041696A" w:rsidP="0041696A">
      <w:pPr>
        <w:pStyle w:val="a8"/>
        <w:rPr>
          <w:rFonts w:ascii="David" w:hAnsi="David" w:cs="David"/>
          <w:sz w:val="24"/>
          <w:szCs w:val="24"/>
        </w:rPr>
      </w:pPr>
    </w:p>
    <w:p w14:paraId="2FA38255" w14:textId="77777777" w:rsidR="0041696A" w:rsidRDefault="0041696A" w:rsidP="0041696A">
      <w:pPr>
        <w:pStyle w:val="a8"/>
        <w:tabs>
          <w:tab w:val="left" w:pos="226"/>
          <w:tab w:val="left" w:pos="509"/>
          <w:tab w:val="left" w:pos="651"/>
        </w:tabs>
        <w:spacing w:line="360" w:lineRule="auto"/>
        <w:jc w:val="both"/>
        <w:rPr>
          <w:rFonts w:ascii="David" w:hAnsi="David" w:cs="David"/>
          <w:sz w:val="24"/>
          <w:szCs w:val="24"/>
          <w:rtl/>
        </w:rPr>
      </w:pPr>
    </w:p>
    <w:p w14:paraId="2ECBB645" w14:textId="77777777" w:rsidR="0041696A" w:rsidRDefault="0041696A" w:rsidP="0041696A">
      <w:pPr>
        <w:numPr>
          <w:ilvl w:val="0"/>
          <w:numId w:val="2"/>
        </w:numPr>
        <w:tabs>
          <w:tab w:val="left" w:pos="226"/>
          <w:tab w:val="left" w:pos="509"/>
          <w:tab w:val="left" w:pos="651"/>
        </w:tabs>
        <w:spacing w:after="160" w:line="360" w:lineRule="auto"/>
        <w:jc w:val="both"/>
        <w:rPr>
          <w:rFonts w:ascii="David" w:hAnsi="David"/>
          <w:rtl/>
        </w:rPr>
      </w:pPr>
      <w:r>
        <w:rPr>
          <w:rFonts w:ascii="David" w:hAnsi="David"/>
          <w:rtl/>
        </w:rPr>
        <w:t xml:space="preserve"> </w:t>
      </w:r>
      <w:r>
        <w:rPr>
          <w:rFonts w:ascii="David" w:hAnsi="David"/>
          <w:b/>
          <w:bCs/>
          <w:u w:val="single"/>
          <w:rtl/>
        </w:rPr>
        <w:t>באיזון בין מכלול השיקולים השונים, אני גוזרת על הנאשם את העונשים הבאים</w:t>
      </w:r>
      <w:r>
        <w:rPr>
          <w:rFonts w:ascii="David" w:hAnsi="David"/>
          <w:rtl/>
        </w:rPr>
        <w:t>:</w:t>
      </w:r>
    </w:p>
    <w:p w14:paraId="581C422B" w14:textId="77777777" w:rsidR="0041696A" w:rsidRDefault="0041696A" w:rsidP="0041696A">
      <w:pPr>
        <w:tabs>
          <w:tab w:val="left" w:pos="226"/>
          <w:tab w:val="left" w:pos="509"/>
          <w:tab w:val="left" w:pos="651"/>
        </w:tabs>
        <w:spacing w:line="360" w:lineRule="auto"/>
        <w:ind w:left="720"/>
        <w:jc w:val="both"/>
        <w:rPr>
          <w:rFonts w:ascii="David" w:hAnsi="David"/>
        </w:rPr>
      </w:pPr>
    </w:p>
    <w:p w14:paraId="4F2341F0" w14:textId="77777777" w:rsidR="0041696A" w:rsidRDefault="0041696A" w:rsidP="0041696A">
      <w:pPr>
        <w:pStyle w:val="a8"/>
        <w:numPr>
          <w:ilvl w:val="0"/>
          <w:numId w:val="4"/>
        </w:numPr>
        <w:spacing w:after="0" w:line="360" w:lineRule="auto"/>
        <w:jc w:val="both"/>
        <w:rPr>
          <w:rFonts w:ascii="David" w:hAnsi="David" w:cs="David"/>
          <w:sz w:val="24"/>
          <w:szCs w:val="24"/>
        </w:rPr>
      </w:pPr>
      <w:r>
        <w:rPr>
          <w:rFonts w:ascii="David" w:hAnsi="David" w:cs="David"/>
          <w:sz w:val="24"/>
          <w:szCs w:val="24"/>
          <w:rtl/>
        </w:rPr>
        <w:t>22  חודשי מאסר בפועל בניכוי תקופת מעצרו לפי רישומי שב"ס.</w:t>
      </w:r>
    </w:p>
    <w:p w14:paraId="16A5779F" w14:textId="77777777" w:rsidR="0041696A" w:rsidRPr="00FE4F3A" w:rsidRDefault="0041696A" w:rsidP="0041696A">
      <w:pPr>
        <w:spacing w:line="360" w:lineRule="auto"/>
        <w:ind w:left="720"/>
        <w:jc w:val="both"/>
        <w:rPr>
          <w:rFonts w:ascii="David" w:hAnsi="David"/>
          <w:rtl/>
        </w:rPr>
      </w:pPr>
    </w:p>
    <w:p w14:paraId="64EAC3A9" w14:textId="77777777" w:rsidR="0041696A" w:rsidRDefault="0041696A" w:rsidP="0041696A">
      <w:pPr>
        <w:pStyle w:val="a8"/>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6  חודשי מאסר, אותם לא ירצה הנאשם אלא אם יעבור בתוך שלוש שנים מיום שחרורו כל עבירת סמים מסוג פשע. </w:t>
      </w:r>
    </w:p>
    <w:p w14:paraId="1D610D61" w14:textId="77777777" w:rsidR="0041696A" w:rsidRDefault="0041696A" w:rsidP="0041696A">
      <w:pPr>
        <w:pStyle w:val="a8"/>
        <w:rPr>
          <w:rFonts w:ascii="David" w:hAnsi="David" w:cs="David"/>
          <w:sz w:val="24"/>
          <w:szCs w:val="24"/>
        </w:rPr>
      </w:pPr>
    </w:p>
    <w:p w14:paraId="2F4AF3B1" w14:textId="77777777" w:rsidR="0041696A" w:rsidRDefault="0041696A" w:rsidP="0041696A">
      <w:pPr>
        <w:pStyle w:val="a8"/>
        <w:numPr>
          <w:ilvl w:val="0"/>
          <w:numId w:val="4"/>
        </w:numPr>
        <w:spacing w:after="0" w:line="360" w:lineRule="auto"/>
        <w:jc w:val="both"/>
        <w:rPr>
          <w:rFonts w:ascii="David" w:hAnsi="David" w:cs="David"/>
          <w:sz w:val="24"/>
          <w:szCs w:val="24"/>
          <w:rtl/>
        </w:rPr>
      </w:pPr>
      <w:r>
        <w:rPr>
          <w:rFonts w:ascii="David" w:hAnsi="David" w:cs="David"/>
          <w:sz w:val="24"/>
          <w:szCs w:val="24"/>
          <w:rtl/>
        </w:rPr>
        <w:t>3 חודשי מאסר, אותם לא ירצה הנאשם אלא אם יעבור בתוך שלוש שנים מיום שחרורו כל עבירת סמים מסוג עוון.</w:t>
      </w:r>
    </w:p>
    <w:p w14:paraId="6973A2A4" w14:textId="77777777" w:rsidR="0041696A" w:rsidRDefault="0041696A" w:rsidP="0041696A">
      <w:pPr>
        <w:spacing w:line="360" w:lineRule="auto"/>
        <w:jc w:val="both"/>
        <w:rPr>
          <w:rFonts w:ascii="David" w:hAnsi="David"/>
        </w:rPr>
      </w:pPr>
    </w:p>
    <w:p w14:paraId="14336983" w14:textId="77777777" w:rsidR="0041696A" w:rsidRDefault="0041696A" w:rsidP="0041696A">
      <w:pPr>
        <w:pStyle w:val="a8"/>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קנס בסך 10,000  ₪ או  60 ימי מאסר תמורתו. הקנס ישולם ב-10 תשלומים חודשיים שווים ורצופים, החל מיום </w:t>
      </w:r>
      <w:r>
        <w:rPr>
          <w:rFonts w:ascii="David" w:hAnsi="David" w:cs="David" w:hint="cs"/>
          <w:sz w:val="24"/>
          <w:szCs w:val="24"/>
          <w:rtl/>
        </w:rPr>
        <w:t>11</w:t>
      </w:r>
      <w:r>
        <w:rPr>
          <w:rFonts w:ascii="David" w:hAnsi="David" w:cs="David"/>
          <w:sz w:val="24"/>
          <w:szCs w:val="24"/>
          <w:rtl/>
        </w:rPr>
        <w:t xml:space="preserve">.9.24 ובכל ראשון בחודש שלאחריו. לא ישולם איזה מהתשלומים במועדו, תעמוד יתרת הקנס לפירעון מידי. </w:t>
      </w:r>
    </w:p>
    <w:p w14:paraId="13638AB4" w14:textId="77777777" w:rsidR="0041696A" w:rsidRDefault="0041696A" w:rsidP="0041696A">
      <w:pPr>
        <w:spacing w:line="360" w:lineRule="auto"/>
        <w:jc w:val="both"/>
        <w:rPr>
          <w:rFonts w:ascii="David" w:hAnsi="David"/>
        </w:rPr>
      </w:pPr>
    </w:p>
    <w:p w14:paraId="6CCCD323" w14:textId="77777777" w:rsidR="0041696A" w:rsidRDefault="0041696A" w:rsidP="0041696A">
      <w:pPr>
        <w:pStyle w:val="a8"/>
        <w:numPr>
          <w:ilvl w:val="0"/>
          <w:numId w:val="4"/>
        </w:numPr>
        <w:spacing w:after="0" w:line="360" w:lineRule="auto"/>
        <w:jc w:val="both"/>
        <w:rPr>
          <w:rFonts w:ascii="David" w:hAnsi="David" w:cs="David"/>
          <w:sz w:val="24"/>
          <w:szCs w:val="24"/>
        </w:rPr>
      </w:pPr>
      <w:r>
        <w:rPr>
          <w:rFonts w:ascii="David" w:hAnsi="David" w:cs="David"/>
          <w:sz w:val="24"/>
          <w:szCs w:val="24"/>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08CCC4F4" w14:textId="77777777" w:rsidR="0041696A" w:rsidRDefault="0041696A" w:rsidP="0041696A">
      <w:pPr>
        <w:numPr>
          <w:ilvl w:val="0"/>
          <w:numId w:val="5"/>
        </w:numPr>
        <w:spacing w:line="360" w:lineRule="auto"/>
        <w:jc w:val="both"/>
        <w:rPr>
          <w:rFonts w:ascii="David" w:hAnsi="David"/>
          <w:rtl/>
        </w:rPr>
      </w:pPr>
      <w:r>
        <w:rPr>
          <w:rFonts w:ascii="David" w:hAnsi="David"/>
          <w:rtl/>
        </w:rPr>
        <w:t xml:space="preserve">כרטיס אשראי באתר המקוון של רשות האכיפה והגביה </w:t>
      </w:r>
      <w:hyperlink r:id="rId28" w:history="1">
        <w:r>
          <w:rPr>
            <w:rStyle w:val="Hyperlink"/>
            <w:rFonts w:ascii="David" w:hAnsi="David"/>
          </w:rPr>
          <w:t>www.eca.gov.il</w:t>
        </w:r>
      </w:hyperlink>
      <w:r>
        <w:rPr>
          <w:rFonts w:ascii="David" w:hAnsi="David"/>
          <w:rtl/>
        </w:rPr>
        <w:t xml:space="preserve">; </w:t>
      </w:r>
    </w:p>
    <w:p w14:paraId="32AC7306" w14:textId="77777777" w:rsidR="0041696A" w:rsidRDefault="0041696A" w:rsidP="0041696A">
      <w:pPr>
        <w:numPr>
          <w:ilvl w:val="0"/>
          <w:numId w:val="5"/>
        </w:numPr>
        <w:spacing w:line="360" w:lineRule="auto"/>
        <w:jc w:val="both"/>
        <w:rPr>
          <w:rFonts w:ascii="David" w:hAnsi="David"/>
        </w:rPr>
      </w:pPr>
      <w:r>
        <w:rPr>
          <w:rFonts w:ascii="David" w:hAnsi="David"/>
          <w:rtl/>
        </w:rPr>
        <w:t xml:space="preserve">מוקד שירות טלפוני בשירות עצמי (מרכז גביה) 35592* או בטלפון 073-2055000; </w:t>
      </w:r>
    </w:p>
    <w:p w14:paraId="1CC5715E" w14:textId="77777777" w:rsidR="0041696A" w:rsidRDefault="0041696A" w:rsidP="0041696A">
      <w:pPr>
        <w:numPr>
          <w:ilvl w:val="0"/>
          <w:numId w:val="5"/>
        </w:numPr>
        <w:spacing w:line="360" w:lineRule="auto"/>
        <w:jc w:val="both"/>
        <w:rPr>
          <w:rFonts w:ascii="David" w:hAnsi="David"/>
          <w:rtl/>
        </w:rPr>
      </w:pPr>
      <w:r>
        <w:rPr>
          <w:rFonts w:ascii="David" w:hAnsi="David"/>
          <w:rtl/>
        </w:rPr>
        <w:t xml:space="preserve">במזומן בכל סניף של בנק דואר בהצגת תעודת זהות בלבד (אין צורך בשוברים). </w:t>
      </w:r>
    </w:p>
    <w:p w14:paraId="5D9AE1DD" w14:textId="77777777" w:rsidR="0041696A" w:rsidRDefault="0041696A" w:rsidP="0041696A">
      <w:pPr>
        <w:spacing w:line="360" w:lineRule="auto"/>
        <w:ind w:left="720"/>
        <w:jc w:val="both"/>
        <w:rPr>
          <w:rFonts w:ascii="David" w:hAnsi="David"/>
          <w:rtl/>
        </w:rPr>
      </w:pPr>
    </w:p>
    <w:p w14:paraId="19D7B667" w14:textId="77777777" w:rsidR="0041696A" w:rsidRDefault="0041696A" w:rsidP="0041696A">
      <w:pPr>
        <w:pStyle w:val="a8"/>
        <w:numPr>
          <w:ilvl w:val="0"/>
          <w:numId w:val="4"/>
        </w:numPr>
        <w:spacing w:after="0" w:line="360" w:lineRule="auto"/>
        <w:jc w:val="both"/>
        <w:rPr>
          <w:rFonts w:ascii="David" w:hAnsi="David" w:cs="David"/>
          <w:sz w:val="24"/>
          <w:szCs w:val="24"/>
        </w:rPr>
      </w:pPr>
      <w:r>
        <w:rPr>
          <w:rFonts w:ascii="David" w:hAnsi="David" w:cs="David"/>
          <w:sz w:val="24"/>
          <w:szCs w:val="24"/>
          <w:rtl/>
        </w:rPr>
        <w:t>אני פוסלת את הנאשם מלקבל ומלהחזיק רישיון נהיגה לתקופה של 6 חודשים מיום שחרורו מן המאסר. הנאשם יפקיד את רישיון הנהיגה שלו במזכירות בית המשפט.</w:t>
      </w:r>
    </w:p>
    <w:p w14:paraId="037D3C1A" w14:textId="77777777" w:rsidR="0041696A" w:rsidRPr="00FE4F3A" w:rsidRDefault="0041696A" w:rsidP="0041696A">
      <w:pPr>
        <w:rPr>
          <w:rFonts w:ascii="David" w:hAnsi="David"/>
          <w:rtl/>
        </w:rPr>
      </w:pPr>
    </w:p>
    <w:p w14:paraId="76776B23" w14:textId="77777777" w:rsidR="0041696A" w:rsidRDefault="0041696A" w:rsidP="0041696A">
      <w:pPr>
        <w:pStyle w:val="a8"/>
        <w:rPr>
          <w:rFonts w:ascii="David" w:hAnsi="David" w:cs="David"/>
          <w:sz w:val="24"/>
          <w:szCs w:val="24"/>
          <w:rtl/>
        </w:rPr>
      </w:pPr>
    </w:p>
    <w:p w14:paraId="5E5618AC" w14:textId="77777777" w:rsidR="0041696A" w:rsidRDefault="0041696A" w:rsidP="0041696A">
      <w:pPr>
        <w:pStyle w:val="a8"/>
        <w:spacing w:line="360" w:lineRule="auto"/>
        <w:ind w:left="1080"/>
        <w:jc w:val="both"/>
        <w:rPr>
          <w:rFonts w:ascii="David" w:hAnsi="David" w:cs="David"/>
          <w:sz w:val="24"/>
          <w:szCs w:val="24"/>
          <w:rtl/>
        </w:rPr>
      </w:pPr>
      <w:r>
        <w:rPr>
          <w:rFonts w:ascii="David" w:hAnsi="David" w:cs="David"/>
          <w:sz w:val="24"/>
          <w:szCs w:val="24"/>
          <w:rtl/>
        </w:rPr>
        <w:t xml:space="preserve">הפסילה תחל מיום שחרורו של הנאשם ממאסר, ותימנה במצטבר לכל פסילה אחרת שטרם סיים לרצות. </w:t>
      </w:r>
      <w:r>
        <w:rPr>
          <w:rFonts w:ascii="David" w:hAnsi="David" w:cs="David" w:hint="cs"/>
          <w:sz w:val="24"/>
          <w:szCs w:val="24"/>
          <w:rtl/>
        </w:rPr>
        <w:t>הנאשם הצהיר בפניי שאינו מחזיק ברישיון נהיגה</w:t>
      </w:r>
      <w:r>
        <w:rPr>
          <w:rFonts w:ascii="David" w:hAnsi="David" w:cs="David"/>
          <w:sz w:val="24"/>
          <w:szCs w:val="24"/>
          <w:rtl/>
        </w:rPr>
        <w:t xml:space="preserve">. </w:t>
      </w:r>
    </w:p>
    <w:p w14:paraId="27FD5B2C" w14:textId="77777777" w:rsidR="0041696A" w:rsidRDefault="0041696A" w:rsidP="0041696A">
      <w:pPr>
        <w:spacing w:line="360" w:lineRule="auto"/>
        <w:ind w:left="720"/>
        <w:jc w:val="both"/>
        <w:rPr>
          <w:rFonts w:ascii="David" w:hAnsi="David"/>
          <w:rtl/>
        </w:rPr>
      </w:pPr>
    </w:p>
    <w:p w14:paraId="3D9F74E9" w14:textId="77777777" w:rsidR="0041696A" w:rsidRDefault="0041696A" w:rsidP="0041696A">
      <w:pPr>
        <w:pStyle w:val="a8"/>
        <w:numPr>
          <w:ilvl w:val="0"/>
          <w:numId w:val="4"/>
        </w:numPr>
        <w:tabs>
          <w:tab w:val="left" w:pos="226"/>
          <w:tab w:val="left" w:pos="509"/>
          <w:tab w:val="left" w:pos="651"/>
        </w:tabs>
        <w:spacing w:line="360" w:lineRule="auto"/>
        <w:jc w:val="both"/>
        <w:rPr>
          <w:rFonts w:ascii="David" w:hAnsi="David" w:cs="David"/>
          <w:sz w:val="24"/>
          <w:szCs w:val="24"/>
          <w:rtl/>
        </w:rPr>
      </w:pPr>
      <w:r>
        <w:rPr>
          <w:rFonts w:ascii="David" w:hAnsi="David" w:cs="David"/>
          <w:sz w:val="24"/>
          <w:szCs w:val="24"/>
          <w:rtl/>
        </w:rPr>
        <w:t xml:space="preserve">הנאשם יפסל מלקבל ומלהחזיק רישיון נהיגה לתקופה של 6  חודשים, ואולם הנאשם לא יישא בעונש זה אלא אם יעבור תוך שלוש שנים ממועד שחרורו ממאסר כל עבירה לפי </w:t>
      </w:r>
      <w:hyperlink r:id="rId29" w:history="1">
        <w:r w:rsidR="00382EE0" w:rsidRPr="00382EE0">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פשע, בתוך שנתיים מיום שחרורו. </w:t>
      </w:r>
    </w:p>
    <w:p w14:paraId="2954E4E4" w14:textId="77777777" w:rsidR="0041696A" w:rsidRDefault="0041696A" w:rsidP="0041696A">
      <w:pPr>
        <w:spacing w:line="360" w:lineRule="auto"/>
        <w:ind w:left="1080"/>
        <w:contextualSpacing/>
        <w:jc w:val="both"/>
        <w:rPr>
          <w:rFonts w:ascii="David" w:eastAsia="David" w:hAnsi="David"/>
        </w:rPr>
      </w:pPr>
      <w:r>
        <w:rPr>
          <w:rFonts w:ascii="David" w:eastAsia="David" w:hAnsi="David"/>
          <w:rtl/>
        </w:rPr>
        <w:t xml:space="preserve">  </w:t>
      </w:r>
    </w:p>
    <w:p w14:paraId="38DDB4ED" w14:textId="77777777" w:rsidR="0041696A" w:rsidRPr="0041696A" w:rsidRDefault="0041696A" w:rsidP="0041696A">
      <w:pPr>
        <w:tabs>
          <w:tab w:val="left" w:pos="226"/>
          <w:tab w:val="left" w:pos="509"/>
          <w:tab w:val="left" w:pos="651"/>
        </w:tabs>
        <w:spacing w:line="360" w:lineRule="auto"/>
        <w:jc w:val="both"/>
        <w:rPr>
          <w:rFonts w:ascii="David" w:eastAsia="Calibri" w:hAnsi="David"/>
          <w:u w:val="single"/>
          <w:rtl/>
        </w:rPr>
      </w:pPr>
      <w:r>
        <w:rPr>
          <w:rFonts w:ascii="David" w:hAnsi="David"/>
          <w:u w:val="single"/>
          <w:rtl/>
        </w:rPr>
        <w:t>ניתן צו כללי למוצגים</w:t>
      </w:r>
    </w:p>
    <w:p w14:paraId="2C72C77C" w14:textId="77777777" w:rsidR="0041696A" w:rsidRPr="0041696A" w:rsidRDefault="0041696A" w:rsidP="0041696A">
      <w:pPr>
        <w:tabs>
          <w:tab w:val="left" w:pos="226"/>
          <w:tab w:val="left" w:pos="509"/>
          <w:tab w:val="left" w:pos="651"/>
        </w:tabs>
        <w:spacing w:line="360" w:lineRule="auto"/>
        <w:jc w:val="both"/>
        <w:rPr>
          <w:rFonts w:ascii="David" w:eastAsia="Calibri" w:hAnsi="David"/>
          <w:u w:val="single"/>
        </w:rPr>
      </w:pPr>
    </w:p>
    <w:p w14:paraId="4A5B9C4A" w14:textId="77777777" w:rsidR="0041696A" w:rsidRDefault="0041696A" w:rsidP="0041696A">
      <w:pPr>
        <w:tabs>
          <w:tab w:val="left" w:pos="226"/>
          <w:tab w:val="left" w:pos="509"/>
          <w:tab w:val="left" w:pos="651"/>
        </w:tabs>
        <w:spacing w:line="360" w:lineRule="auto"/>
        <w:jc w:val="both"/>
        <w:rPr>
          <w:rFonts w:ascii="David" w:hAnsi="David"/>
          <w:b/>
          <w:bCs/>
          <w:u w:val="single"/>
          <w:rtl/>
        </w:rPr>
      </w:pPr>
      <w:r>
        <w:rPr>
          <w:rFonts w:ascii="David" w:hAnsi="David"/>
          <w:b/>
          <w:bCs/>
          <w:u w:val="single"/>
          <w:rtl/>
        </w:rPr>
        <w:t xml:space="preserve">זכות ערעור לבית המשפט המחוזי מרכז- לוד תוך 45 יום. </w:t>
      </w:r>
    </w:p>
    <w:p w14:paraId="37879E39" w14:textId="77777777" w:rsidR="0041696A" w:rsidRDefault="0041696A" w:rsidP="0041696A">
      <w:pPr>
        <w:tabs>
          <w:tab w:val="left" w:pos="226"/>
          <w:tab w:val="left" w:pos="509"/>
          <w:tab w:val="left" w:pos="651"/>
        </w:tabs>
        <w:spacing w:line="360" w:lineRule="auto"/>
        <w:jc w:val="both"/>
        <w:rPr>
          <w:rFonts w:ascii="David" w:hAnsi="David"/>
          <w:rtl/>
        </w:rPr>
      </w:pPr>
    </w:p>
    <w:p w14:paraId="68CDB44A" w14:textId="77777777" w:rsidR="0041696A" w:rsidRDefault="0041696A" w:rsidP="0041696A">
      <w:pPr>
        <w:tabs>
          <w:tab w:val="left" w:pos="226"/>
          <w:tab w:val="left" w:pos="509"/>
          <w:tab w:val="left" w:pos="651"/>
        </w:tabs>
        <w:spacing w:line="360" w:lineRule="auto"/>
        <w:jc w:val="both"/>
        <w:rPr>
          <w:rFonts w:ascii="David" w:hAnsi="David"/>
          <w:rtl/>
        </w:rPr>
      </w:pPr>
      <w:r>
        <w:rPr>
          <w:rFonts w:ascii="David" w:hAnsi="David"/>
          <w:rtl/>
        </w:rPr>
        <w:t xml:space="preserve">המזכירות תשלח עותק מגזר הדין לשירות המבחן. </w:t>
      </w:r>
    </w:p>
    <w:p w14:paraId="368A74F1" w14:textId="77777777" w:rsidR="0041696A" w:rsidRPr="00382EE0" w:rsidRDefault="00382EE0" w:rsidP="0041696A">
      <w:pPr>
        <w:spacing w:line="360" w:lineRule="auto"/>
        <w:jc w:val="both"/>
        <w:rPr>
          <w:rFonts w:ascii="David" w:hAnsi="David"/>
          <w:color w:val="FFFFFF"/>
          <w:sz w:val="2"/>
          <w:szCs w:val="2"/>
          <w:rtl/>
        </w:rPr>
      </w:pPr>
      <w:r w:rsidRPr="00382EE0">
        <w:rPr>
          <w:rFonts w:ascii="David" w:hAnsi="David"/>
          <w:color w:val="FFFFFF"/>
          <w:sz w:val="2"/>
          <w:szCs w:val="2"/>
          <w:rtl/>
        </w:rPr>
        <w:t>5129371</w:t>
      </w:r>
    </w:p>
    <w:p w14:paraId="78B51744" w14:textId="77777777" w:rsidR="0041696A" w:rsidRDefault="00382EE0" w:rsidP="0041696A">
      <w:pPr>
        <w:spacing w:line="360" w:lineRule="auto"/>
        <w:jc w:val="both"/>
        <w:rPr>
          <w:rFonts w:ascii="David" w:hAnsi="David"/>
        </w:rPr>
      </w:pPr>
      <w:r w:rsidRPr="00382EE0">
        <w:rPr>
          <w:rFonts w:ascii="David" w:hAnsi="David"/>
          <w:color w:val="FFFFFF"/>
          <w:sz w:val="2"/>
          <w:szCs w:val="2"/>
          <w:rtl/>
        </w:rPr>
        <w:t>54678313</w:t>
      </w:r>
      <w:r w:rsidR="0041696A">
        <w:rPr>
          <w:rFonts w:ascii="David" w:hAnsi="David"/>
          <w:rtl/>
        </w:rPr>
        <w:t>התיק סגור.</w:t>
      </w:r>
    </w:p>
    <w:p w14:paraId="564A841D" w14:textId="77777777" w:rsidR="0041696A" w:rsidRPr="000F2247" w:rsidRDefault="0041696A" w:rsidP="0041696A">
      <w:pPr>
        <w:rPr>
          <w:rFonts w:ascii="Arial" w:hAnsi="Arial"/>
          <w:b/>
          <w:bCs/>
          <w:sz w:val="26"/>
          <w:szCs w:val="26"/>
          <w:rtl/>
        </w:rPr>
      </w:pPr>
    </w:p>
    <w:p w14:paraId="03BB227B" w14:textId="77777777" w:rsidR="0041696A" w:rsidRPr="000F2247" w:rsidRDefault="00382EE0" w:rsidP="0041696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תמוז תשפ"ד, 25 יולי 2024, במעמד הצדדים. </w:t>
      </w:r>
      <w:bookmarkEnd w:id="8"/>
      <w:r w:rsidR="0041696A">
        <w:rPr>
          <w:rFonts w:ascii="Arial" w:hAnsi="Arial"/>
          <w:b/>
          <w:bCs/>
          <w:sz w:val="26"/>
          <w:szCs w:val="26"/>
          <w:rtl/>
        </w:rPr>
        <w:tab/>
      </w:r>
      <w:r w:rsidR="0041696A">
        <w:rPr>
          <w:rFonts w:ascii="Arial" w:hAnsi="Arial"/>
          <w:b/>
          <w:bCs/>
          <w:sz w:val="26"/>
          <w:szCs w:val="26"/>
          <w:rtl/>
        </w:rPr>
        <w:tab/>
      </w:r>
      <w:r w:rsidR="0041696A">
        <w:rPr>
          <w:rFonts w:ascii="Arial" w:hAnsi="Arial"/>
          <w:b/>
          <w:bCs/>
          <w:sz w:val="26"/>
          <w:szCs w:val="26"/>
          <w:rtl/>
        </w:rPr>
        <w:tab/>
      </w:r>
      <w:r w:rsidR="0041696A">
        <w:rPr>
          <w:rFonts w:ascii="Arial" w:hAnsi="Arial"/>
          <w:b/>
          <w:bCs/>
          <w:sz w:val="26"/>
          <w:szCs w:val="26"/>
          <w:rtl/>
        </w:rPr>
        <w:tab/>
      </w:r>
      <w:r w:rsidR="0041696A">
        <w:rPr>
          <w:rFonts w:ascii="Arial" w:hAnsi="Arial"/>
          <w:b/>
          <w:bCs/>
          <w:sz w:val="26"/>
          <w:szCs w:val="26"/>
          <w:rtl/>
        </w:rPr>
        <w:tab/>
      </w:r>
      <w:r w:rsidR="0041696A">
        <w:rPr>
          <w:rFonts w:ascii="Arial" w:hAnsi="Arial"/>
          <w:b/>
          <w:bCs/>
          <w:sz w:val="26"/>
          <w:szCs w:val="26"/>
          <w:rtl/>
        </w:rPr>
        <w:tab/>
      </w:r>
      <w:r w:rsidR="0041696A">
        <w:rPr>
          <w:rFonts w:ascii="Arial" w:hAnsi="Arial"/>
          <w:b/>
          <w:bCs/>
          <w:sz w:val="26"/>
          <w:szCs w:val="26"/>
          <w:rtl/>
        </w:rPr>
        <w:tab/>
      </w:r>
      <w:r w:rsidR="0041696A">
        <w:rPr>
          <w:rFonts w:ascii="Arial" w:hAnsi="Arial" w:hint="cs"/>
          <w:b/>
          <w:bCs/>
          <w:sz w:val="26"/>
          <w:szCs w:val="26"/>
          <w:rtl/>
        </w:rPr>
        <w:t xml:space="preserve">         </w:t>
      </w:r>
    </w:p>
    <w:p w14:paraId="3D268946" w14:textId="77777777" w:rsidR="0041696A" w:rsidRPr="000F2247" w:rsidRDefault="0041696A" w:rsidP="00382EE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6D0BF0" w14:textId="77777777" w:rsidR="0041696A" w:rsidRPr="000F2247" w:rsidRDefault="0041696A" w:rsidP="0041696A">
      <w:pPr>
        <w:jc w:val="center"/>
        <w:rPr>
          <w:rFonts w:ascii="Arial" w:hAnsi="Arial"/>
          <w:b/>
          <w:bCs/>
          <w:sz w:val="26"/>
          <w:szCs w:val="26"/>
          <w:rtl/>
        </w:rPr>
      </w:pPr>
    </w:p>
    <w:p w14:paraId="146FB0EF" w14:textId="77777777" w:rsidR="00297073" w:rsidRPr="00382EE0" w:rsidRDefault="00297073" w:rsidP="00382EE0">
      <w:pPr>
        <w:keepNext/>
        <w:rPr>
          <w:rFonts w:ascii="David" w:hAnsi="David"/>
          <w:color w:val="000000"/>
          <w:sz w:val="22"/>
          <w:szCs w:val="22"/>
          <w:rtl/>
        </w:rPr>
      </w:pPr>
    </w:p>
    <w:p w14:paraId="1BE383E3" w14:textId="77777777" w:rsidR="00382EE0" w:rsidRPr="00382EE0" w:rsidRDefault="00382EE0" w:rsidP="00382EE0">
      <w:pPr>
        <w:keepNext/>
        <w:rPr>
          <w:rFonts w:ascii="David" w:hAnsi="David"/>
          <w:color w:val="000000"/>
          <w:sz w:val="22"/>
          <w:szCs w:val="22"/>
          <w:rtl/>
        </w:rPr>
      </w:pPr>
      <w:r w:rsidRPr="00382EE0">
        <w:rPr>
          <w:rFonts w:ascii="David" w:hAnsi="David"/>
          <w:color w:val="000000"/>
          <w:sz w:val="22"/>
          <w:szCs w:val="22"/>
          <w:rtl/>
        </w:rPr>
        <w:t>דורית סבן 54678313</w:t>
      </w:r>
    </w:p>
    <w:p w14:paraId="024764C0" w14:textId="77777777" w:rsidR="00382EE0" w:rsidRDefault="00382EE0" w:rsidP="00382EE0">
      <w:r w:rsidRPr="00382EE0">
        <w:rPr>
          <w:color w:val="000000"/>
          <w:rtl/>
        </w:rPr>
        <w:t>נוסח מסמך זה כפוף לשינויי ניסוח ועריכה</w:t>
      </w:r>
    </w:p>
    <w:p w14:paraId="07F0BF98" w14:textId="77777777" w:rsidR="00382EE0" w:rsidRDefault="00382EE0" w:rsidP="00382EE0">
      <w:pPr>
        <w:rPr>
          <w:rtl/>
        </w:rPr>
      </w:pPr>
    </w:p>
    <w:p w14:paraId="39F2D348" w14:textId="77777777" w:rsidR="00382EE0" w:rsidRDefault="00382EE0" w:rsidP="00382EE0">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3A0504F" w14:textId="77777777" w:rsidR="00382EE0" w:rsidRPr="00382EE0" w:rsidRDefault="00382EE0" w:rsidP="00382EE0">
      <w:pPr>
        <w:jc w:val="center"/>
        <w:rPr>
          <w:color w:val="0000FF"/>
          <w:u w:val="single"/>
        </w:rPr>
      </w:pPr>
    </w:p>
    <w:sectPr w:rsidR="00382EE0" w:rsidRPr="00382EE0" w:rsidSect="00382EE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CE501" w14:textId="77777777" w:rsidR="00BD5F61" w:rsidRDefault="00BD5F61" w:rsidP="005A26E0">
      <w:r>
        <w:separator/>
      </w:r>
    </w:p>
  </w:endnote>
  <w:endnote w:type="continuationSeparator" w:id="0">
    <w:p w14:paraId="4B5A54F2" w14:textId="77777777" w:rsidR="00BD5F61" w:rsidRDefault="00BD5F61" w:rsidP="005A2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61686" w14:textId="77777777" w:rsidR="00382EE0" w:rsidRDefault="00382EE0" w:rsidP="00382E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AAE2B4" w14:textId="77777777" w:rsidR="00137C37" w:rsidRPr="00382EE0" w:rsidRDefault="00382EE0" w:rsidP="00382E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29F" w14:textId="77777777" w:rsidR="00382EE0" w:rsidRDefault="00382EE0" w:rsidP="00382E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51E4">
      <w:rPr>
        <w:rFonts w:ascii="FrankRuehl" w:hAnsi="FrankRuehl" w:cs="FrankRuehl"/>
        <w:noProof/>
        <w:rtl/>
      </w:rPr>
      <w:t>1</w:t>
    </w:r>
    <w:r>
      <w:rPr>
        <w:rFonts w:ascii="FrankRuehl" w:hAnsi="FrankRuehl" w:cs="FrankRuehl"/>
        <w:rtl/>
      </w:rPr>
      <w:fldChar w:fldCharType="end"/>
    </w:r>
  </w:p>
  <w:p w14:paraId="72DDB7A2" w14:textId="77777777" w:rsidR="00137C37" w:rsidRPr="00382EE0" w:rsidRDefault="00382EE0" w:rsidP="00382E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2AD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C2F24" w14:textId="77777777" w:rsidR="00BD5F61" w:rsidRDefault="00BD5F61" w:rsidP="005A26E0">
      <w:r>
        <w:separator/>
      </w:r>
    </w:p>
  </w:footnote>
  <w:footnote w:type="continuationSeparator" w:id="0">
    <w:p w14:paraId="10492416" w14:textId="77777777" w:rsidR="00BD5F61" w:rsidRDefault="00BD5F61" w:rsidP="005A2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55BF3" w14:textId="77777777" w:rsidR="00382EE0" w:rsidRPr="00382EE0" w:rsidRDefault="00382EE0" w:rsidP="00382EE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43174-12-23</w:t>
    </w:r>
    <w:r>
      <w:rPr>
        <w:rFonts w:ascii="David" w:hAnsi="David"/>
        <w:color w:val="000000"/>
        <w:sz w:val="22"/>
        <w:szCs w:val="22"/>
        <w:rtl/>
      </w:rPr>
      <w:tab/>
      <w:t xml:space="preserve"> מדינת ישראל נ' חיים ציטרון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05A8C" w14:textId="77777777" w:rsidR="00382EE0" w:rsidRPr="00382EE0" w:rsidRDefault="00382EE0" w:rsidP="00382EE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43174-12-23</w:t>
    </w:r>
    <w:r>
      <w:rPr>
        <w:rFonts w:ascii="David" w:hAnsi="David"/>
        <w:color w:val="000000"/>
        <w:sz w:val="22"/>
        <w:szCs w:val="22"/>
        <w:rtl/>
      </w:rPr>
      <w:tab/>
      <w:t xml:space="preserve"> מדינת ישראל נ' חיים ציטרון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00B1E"/>
    <w:multiLevelType w:val="hybridMultilevel"/>
    <w:tmpl w:val="90A0DF1A"/>
    <w:lvl w:ilvl="0" w:tplc="93A0071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5C10F48"/>
    <w:multiLevelType w:val="hybridMultilevel"/>
    <w:tmpl w:val="DD78C8AC"/>
    <w:lvl w:ilvl="0" w:tplc="0A4E9EC2">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567C84"/>
    <w:multiLevelType w:val="hybridMultilevel"/>
    <w:tmpl w:val="628891BA"/>
    <w:lvl w:ilvl="0" w:tplc="B54242A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059553A"/>
    <w:multiLevelType w:val="hybridMultilevel"/>
    <w:tmpl w:val="DAB6FAC6"/>
    <w:lvl w:ilvl="0" w:tplc="4364A50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97866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95400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303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1400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954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696A"/>
    <w:rsid w:val="00137C37"/>
    <w:rsid w:val="00297073"/>
    <w:rsid w:val="00382EE0"/>
    <w:rsid w:val="003C5E82"/>
    <w:rsid w:val="0041696A"/>
    <w:rsid w:val="004E2525"/>
    <w:rsid w:val="005A26E0"/>
    <w:rsid w:val="00745D3B"/>
    <w:rsid w:val="0076061D"/>
    <w:rsid w:val="007A51E4"/>
    <w:rsid w:val="0098257F"/>
    <w:rsid w:val="009A4E4C"/>
    <w:rsid w:val="00B754C4"/>
    <w:rsid w:val="00BB3CAB"/>
    <w:rsid w:val="00BD5F61"/>
    <w:rsid w:val="00F818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CD248F"/>
  <w15:chartTrackingRefBased/>
  <w15:docId w15:val="{FA8B916A-738B-4DDB-AE24-709B6DCC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69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696A"/>
    <w:pPr>
      <w:tabs>
        <w:tab w:val="center" w:pos="4153"/>
        <w:tab w:val="right" w:pos="8306"/>
      </w:tabs>
    </w:pPr>
  </w:style>
  <w:style w:type="character" w:customStyle="1" w:styleId="a4">
    <w:name w:val="כותרת עליונה תו"/>
    <w:link w:val="a3"/>
    <w:rsid w:val="0041696A"/>
    <w:rPr>
      <w:rFonts w:ascii="Times New Roman" w:eastAsia="Times New Roman" w:hAnsi="Times New Roman" w:cs="David"/>
      <w:sz w:val="24"/>
      <w:szCs w:val="24"/>
    </w:rPr>
  </w:style>
  <w:style w:type="paragraph" w:styleId="a5">
    <w:name w:val="footer"/>
    <w:basedOn w:val="a"/>
    <w:link w:val="a6"/>
    <w:rsid w:val="0041696A"/>
    <w:pPr>
      <w:tabs>
        <w:tab w:val="center" w:pos="4153"/>
        <w:tab w:val="right" w:pos="8306"/>
      </w:tabs>
    </w:pPr>
  </w:style>
  <w:style w:type="character" w:customStyle="1" w:styleId="a6">
    <w:name w:val="כותרת תחתונה תו"/>
    <w:link w:val="a5"/>
    <w:rsid w:val="0041696A"/>
    <w:rPr>
      <w:rFonts w:ascii="Times New Roman" w:eastAsia="Times New Roman" w:hAnsi="Times New Roman" w:cs="David"/>
      <w:sz w:val="24"/>
      <w:szCs w:val="24"/>
    </w:rPr>
  </w:style>
  <w:style w:type="character" w:styleId="a7">
    <w:name w:val="page number"/>
    <w:rsid w:val="0041696A"/>
  </w:style>
  <w:style w:type="character" w:styleId="Hyperlink">
    <w:name w:val="Hyperlink"/>
    <w:rsid w:val="0041696A"/>
    <w:rPr>
      <w:color w:val="0000FF"/>
      <w:u w:val="single"/>
    </w:rPr>
  </w:style>
  <w:style w:type="paragraph" w:styleId="a8">
    <w:name w:val="List Paragraph"/>
    <w:basedOn w:val="a"/>
    <w:qFormat/>
    <w:rsid w:val="0041696A"/>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763166" TargetMode="External"/><Relationship Id="rId26" Type="http://schemas.openxmlformats.org/officeDocument/2006/relationships/hyperlink" Target="http://www.nevo.co.il/case/29597559" TargetMode="External"/><Relationship Id="rId3" Type="http://schemas.openxmlformats.org/officeDocument/2006/relationships/settings" Target="settings.xml"/><Relationship Id="rId21" Type="http://schemas.openxmlformats.org/officeDocument/2006/relationships/hyperlink" Target="http://www.nevo.co.il/case/27596218"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78928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3237993" TargetMode="External"/><Relationship Id="rId20" Type="http://schemas.openxmlformats.org/officeDocument/2006/relationships/hyperlink" Target="http://www.nevo.co.il/case/2818017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1017469"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246488" TargetMode="External"/><Relationship Id="rId23" Type="http://schemas.openxmlformats.org/officeDocument/2006/relationships/hyperlink" Target="http://www.nevo.co.il/case/24929127" TargetMode="External"/><Relationship Id="rId28" Type="http://schemas.openxmlformats.org/officeDocument/2006/relationships/hyperlink" Target="http://www.eca.gov.il"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623024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698919" TargetMode="External"/><Relationship Id="rId22" Type="http://schemas.openxmlformats.org/officeDocument/2006/relationships/hyperlink" Target="http://www.nevo.co.il/case/27615803" TargetMode="External"/><Relationship Id="rId27" Type="http://schemas.openxmlformats.org/officeDocument/2006/relationships/hyperlink" Target="http://www.nevo.co.il/case/2770253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2805</Words>
  <Characters>14030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16802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7864368</vt:i4>
      </vt:variant>
      <vt:variant>
        <vt:i4>63</vt:i4>
      </vt:variant>
      <vt:variant>
        <vt:i4>0</vt:i4>
      </vt:variant>
      <vt:variant>
        <vt:i4>5</vt:i4>
      </vt:variant>
      <vt:variant>
        <vt:lpwstr>http://www.eca.gov.il/</vt:lpwstr>
      </vt:variant>
      <vt:variant>
        <vt:lpwstr/>
      </vt:variant>
      <vt:variant>
        <vt:i4>3407990</vt:i4>
      </vt:variant>
      <vt:variant>
        <vt:i4>60</vt:i4>
      </vt:variant>
      <vt:variant>
        <vt:i4>0</vt:i4>
      </vt:variant>
      <vt:variant>
        <vt:i4>5</vt:i4>
      </vt:variant>
      <vt:variant>
        <vt:lpwstr>http://www.nevo.co.il/case/27702535</vt:lpwstr>
      </vt:variant>
      <vt:variant>
        <vt:lpwstr/>
      </vt:variant>
      <vt:variant>
        <vt:i4>3473521</vt:i4>
      </vt:variant>
      <vt:variant>
        <vt:i4>57</vt:i4>
      </vt:variant>
      <vt:variant>
        <vt:i4>0</vt:i4>
      </vt:variant>
      <vt:variant>
        <vt:i4>5</vt:i4>
      </vt:variant>
      <vt:variant>
        <vt:lpwstr>http://www.nevo.co.il/case/29597559</vt:lpwstr>
      </vt:variant>
      <vt:variant>
        <vt:lpwstr/>
      </vt:variant>
      <vt:variant>
        <vt:i4>3407995</vt:i4>
      </vt:variant>
      <vt:variant>
        <vt:i4>54</vt:i4>
      </vt:variant>
      <vt:variant>
        <vt:i4>0</vt:i4>
      </vt:variant>
      <vt:variant>
        <vt:i4>5</vt:i4>
      </vt:variant>
      <vt:variant>
        <vt:lpwstr>http://www.nevo.co.il/case/25789286</vt:lpwstr>
      </vt:variant>
      <vt:variant>
        <vt:lpwstr/>
      </vt:variant>
      <vt:variant>
        <vt:i4>3342448</vt:i4>
      </vt:variant>
      <vt:variant>
        <vt:i4>51</vt:i4>
      </vt:variant>
      <vt:variant>
        <vt:i4>0</vt:i4>
      </vt:variant>
      <vt:variant>
        <vt:i4>5</vt:i4>
      </vt:variant>
      <vt:variant>
        <vt:lpwstr>http://www.nevo.co.il/case/21017469</vt:lpwstr>
      </vt:variant>
      <vt:variant>
        <vt:lpwstr/>
      </vt:variant>
      <vt:variant>
        <vt:i4>3145843</vt:i4>
      </vt:variant>
      <vt:variant>
        <vt:i4>48</vt:i4>
      </vt:variant>
      <vt:variant>
        <vt:i4>0</vt:i4>
      </vt:variant>
      <vt:variant>
        <vt:i4>5</vt:i4>
      </vt:variant>
      <vt:variant>
        <vt:lpwstr>http://www.nevo.co.il/case/24929127</vt:lpwstr>
      </vt:variant>
      <vt:variant>
        <vt:lpwstr/>
      </vt:variant>
      <vt:variant>
        <vt:i4>3211386</vt:i4>
      </vt:variant>
      <vt:variant>
        <vt:i4>45</vt:i4>
      </vt:variant>
      <vt:variant>
        <vt:i4>0</vt:i4>
      </vt:variant>
      <vt:variant>
        <vt:i4>5</vt:i4>
      </vt:variant>
      <vt:variant>
        <vt:lpwstr>http://www.nevo.co.il/case/27615803</vt:lpwstr>
      </vt:variant>
      <vt:variant>
        <vt:lpwstr/>
      </vt:variant>
      <vt:variant>
        <vt:i4>3145848</vt:i4>
      </vt:variant>
      <vt:variant>
        <vt:i4>42</vt:i4>
      </vt:variant>
      <vt:variant>
        <vt:i4>0</vt:i4>
      </vt:variant>
      <vt:variant>
        <vt:i4>5</vt:i4>
      </vt:variant>
      <vt:variant>
        <vt:lpwstr>http://www.nevo.co.il/case/27596218</vt:lpwstr>
      </vt:variant>
      <vt:variant>
        <vt:lpwstr/>
      </vt:variant>
      <vt:variant>
        <vt:i4>3407989</vt:i4>
      </vt:variant>
      <vt:variant>
        <vt:i4>39</vt:i4>
      </vt:variant>
      <vt:variant>
        <vt:i4>0</vt:i4>
      </vt:variant>
      <vt:variant>
        <vt:i4>5</vt:i4>
      </vt:variant>
      <vt:variant>
        <vt:lpwstr>http://www.nevo.co.il/case/28180177</vt:lpwstr>
      </vt:variant>
      <vt:variant>
        <vt:lpwstr/>
      </vt:variant>
      <vt:variant>
        <vt:i4>3407987</vt:i4>
      </vt:variant>
      <vt:variant>
        <vt:i4>36</vt:i4>
      </vt:variant>
      <vt:variant>
        <vt:i4>0</vt:i4>
      </vt:variant>
      <vt:variant>
        <vt:i4>5</vt:i4>
      </vt:variant>
      <vt:variant>
        <vt:lpwstr>http://www.nevo.co.il/case/26230242</vt:lpwstr>
      </vt:variant>
      <vt:variant>
        <vt:lpwstr/>
      </vt:variant>
      <vt:variant>
        <vt:i4>3407990</vt:i4>
      </vt:variant>
      <vt:variant>
        <vt:i4>33</vt:i4>
      </vt:variant>
      <vt:variant>
        <vt:i4>0</vt:i4>
      </vt:variant>
      <vt:variant>
        <vt:i4>5</vt:i4>
      </vt:variant>
      <vt:variant>
        <vt:lpwstr>http://www.nevo.co.il/case/5763166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4063357</vt:i4>
      </vt:variant>
      <vt:variant>
        <vt:i4>27</vt:i4>
      </vt:variant>
      <vt:variant>
        <vt:i4>0</vt:i4>
      </vt:variant>
      <vt:variant>
        <vt:i4>5</vt:i4>
      </vt:variant>
      <vt:variant>
        <vt:lpwstr>http://www.nevo.co.il/case/23237993</vt:lpwstr>
      </vt:variant>
      <vt:variant>
        <vt:lpwstr/>
      </vt:variant>
      <vt:variant>
        <vt:i4>4063346</vt:i4>
      </vt:variant>
      <vt:variant>
        <vt:i4>24</vt:i4>
      </vt:variant>
      <vt:variant>
        <vt:i4>0</vt:i4>
      </vt:variant>
      <vt:variant>
        <vt:i4>5</vt:i4>
      </vt:variant>
      <vt:variant>
        <vt:lpwstr>http://www.nevo.co.il/case/26246488</vt:lpwstr>
      </vt:variant>
      <vt:variant>
        <vt:lpwstr/>
      </vt:variant>
      <vt:variant>
        <vt:i4>3932283</vt:i4>
      </vt:variant>
      <vt:variant>
        <vt:i4>21</vt:i4>
      </vt:variant>
      <vt:variant>
        <vt:i4>0</vt:i4>
      </vt:variant>
      <vt:variant>
        <vt:i4>5</vt:i4>
      </vt:variant>
      <vt:variant>
        <vt:lpwstr>http://www.nevo.co.il/case/5698919</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43174</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חיים ציטרון</vt:lpwstr>
  </property>
  <property fmtid="{D5CDD505-2E9C-101B-9397-08002B2CF9AE}" pid="10" name="LAWYER">
    <vt:lpwstr>שיר זהבי;ירון פורר</vt:lpwstr>
  </property>
  <property fmtid="{D5CDD505-2E9C-101B-9397-08002B2CF9AE}" pid="11" name="JUDGE">
    <vt:lpwstr>דורית סבן</vt:lpwstr>
  </property>
  <property fmtid="{D5CDD505-2E9C-101B-9397-08002B2CF9AE}" pid="12" name="CITY">
    <vt:lpwstr>רמ'</vt:lpwstr>
  </property>
  <property fmtid="{D5CDD505-2E9C-101B-9397-08002B2CF9AE}" pid="13" name="DATE">
    <vt:lpwstr>20240725</vt:lpwstr>
  </property>
  <property fmtid="{D5CDD505-2E9C-101B-9397-08002B2CF9AE}" pid="14" name="TYPE_N_DATE">
    <vt:lpwstr>38020240725</vt:lpwstr>
  </property>
  <property fmtid="{D5CDD505-2E9C-101B-9397-08002B2CF9AE}" pid="15" name="WORDNUMPAGES">
    <vt:lpwstr>9</vt:lpwstr>
  </property>
  <property fmtid="{D5CDD505-2E9C-101B-9397-08002B2CF9AE}" pid="16" name="TYPE_ABS_DATE">
    <vt:lpwstr>380020240725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5698919;26246488;23237993;5763166;26230242;28180177;27596218;27615803;24929127;21017469;25789286;29597559;27702535</vt:lpwstr>
  </property>
  <property fmtid="{D5CDD505-2E9C-101B-9397-08002B2CF9AE}" pid="36" name="LAWLISTTMP1">
    <vt:lpwstr>4216/007.a;007.c</vt:lpwstr>
  </property>
  <property fmtid="{D5CDD505-2E9C-101B-9397-08002B2CF9AE}" pid="37" name="LAWLISTTMP2">
    <vt:lpwstr>70301</vt:lpwstr>
  </property>
</Properties>
</file>