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A17DA" w:rsidRPr="00534B20" w14:paraId="3DBB9791" w14:textId="77777777" w:rsidTr="00B6303D">
        <w:trPr>
          <w:trHeight w:hRule="exact" w:val="418"/>
          <w:jc w:val="center"/>
        </w:trPr>
        <w:tc>
          <w:tcPr>
            <w:tcW w:w="8721" w:type="dxa"/>
            <w:gridSpan w:val="2"/>
          </w:tcPr>
          <w:p w14:paraId="74B42350" w14:textId="77777777" w:rsidR="00AA17DA" w:rsidRPr="00534B20" w:rsidRDefault="00AA17DA" w:rsidP="008651C6">
            <w:pPr>
              <w:pStyle w:val="a3"/>
              <w:jc w:val="center"/>
              <w:rPr>
                <w:rFonts w:ascii="Tahoma" w:hAnsi="Tahoma" w:cs="Tahoma"/>
                <w:color w:val="000080"/>
                <w:rtl/>
              </w:rPr>
            </w:pPr>
            <w:r w:rsidRPr="00534B20">
              <w:rPr>
                <w:rFonts w:ascii="Tahoma" w:hAnsi="Tahoma" w:cs="Tahoma"/>
                <w:b/>
                <w:bCs/>
                <w:color w:val="000080"/>
                <w:rtl/>
              </w:rPr>
              <w:t>בית משפט השלום בקריות</w:t>
            </w:r>
          </w:p>
        </w:tc>
      </w:tr>
      <w:tr w:rsidR="00AA17DA" w:rsidRPr="00534B20" w14:paraId="2BF79FE4" w14:textId="77777777" w:rsidTr="00B6303D">
        <w:trPr>
          <w:trHeight w:val="337"/>
          <w:jc w:val="center"/>
        </w:trPr>
        <w:tc>
          <w:tcPr>
            <w:tcW w:w="5054" w:type="dxa"/>
          </w:tcPr>
          <w:p w14:paraId="60B277E8" w14:textId="77777777" w:rsidR="00AA17DA" w:rsidRPr="00534B20" w:rsidRDefault="00AA17DA" w:rsidP="008651C6">
            <w:pPr>
              <w:rPr>
                <w:rFonts w:cs="FrankRuehl"/>
                <w:sz w:val="28"/>
                <w:szCs w:val="28"/>
                <w:rtl/>
              </w:rPr>
            </w:pPr>
            <w:r w:rsidRPr="00534B20">
              <w:rPr>
                <w:rFonts w:cs="FrankRuehl"/>
                <w:sz w:val="28"/>
                <w:szCs w:val="28"/>
                <w:rtl/>
              </w:rPr>
              <w:t>ת"פ</w:t>
            </w:r>
            <w:r w:rsidRPr="00534B20">
              <w:rPr>
                <w:rFonts w:cs="FrankRuehl" w:hint="cs"/>
                <w:sz w:val="28"/>
                <w:szCs w:val="28"/>
                <w:rtl/>
              </w:rPr>
              <w:t xml:space="preserve"> </w:t>
            </w:r>
            <w:r w:rsidRPr="00534B20">
              <w:rPr>
                <w:rFonts w:cs="FrankRuehl"/>
                <w:sz w:val="28"/>
                <w:szCs w:val="28"/>
                <w:rtl/>
              </w:rPr>
              <w:t>57185-01-24</w:t>
            </w:r>
            <w:r w:rsidRPr="00534B20">
              <w:rPr>
                <w:rFonts w:cs="FrankRuehl" w:hint="cs"/>
                <w:sz w:val="28"/>
                <w:szCs w:val="28"/>
                <w:rtl/>
              </w:rPr>
              <w:t xml:space="preserve"> </w:t>
            </w:r>
            <w:r w:rsidRPr="00534B20">
              <w:rPr>
                <w:rFonts w:cs="FrankRuehl"/>
                <w:sz w:val="28"/>
                <w:szCs w:val="28"/>
                <w:rtl/>
              </w:rPr>
              <w:t>מדינת ישראל נ' סופר</w:t>
            </w:r>
          </w:p>
          <w:p w14:paraId="39AEDE24" w14:textId="77777777" w:rsidR="00AA17DA" w:rsidRPr="00534B20" w:rsidRDefault="00AA17DA" w:rsidP="008651C6">
            <w:pPr>
              <w:pStyle w:val="a3"/>
              <w:rPr>
                <w:rFonts w:cs="FrankRuehl"/>
                <w:sz w:val="28"/>
                <w:szCs w:val="28"/>
                <w:rtl/>
              </w:rPr>
            </w:pPr>
          </w:p>
        </w:tc>
        <w:tc>
          <w:tcPr>
            <w:tcW w:w="3667" w:type="dxa"/>
          </w:tcPr>
          <w:p w14:paraId="048CE346" w14:textId="77777777" w:rsidR="00AA17DA" w:rsidRPr="00534B20" w:rsidRDefault="00AA17DA" w:rsidP="008651C6">
            <w:pPr>
              <w:pStyle w:val="a3"/>
              <w:jc w:val="right"/>
              <w:rPr>
                <w:rFonts w:cs="FrankRuehl"/>
                <w:sz w:val="28"/>
                <w:szCs w:val="28"/>
                <w:rtl/>
              </w:rPr>
            </w:pPr>
          </w:p>
        </w:tc>
      </w:tr>
    </w:tbl>
    <w:p w14:paraId="55BDAECA" w14:textId="77777777" w:rsidR="00AA17DA" w:rsidRPr="00534B20" w:rsidRDefault="00AA17DA" w:rsidP="00B6303D">
      <w:pPr>
        <w:pStyle w:val="a3"/>
        <w:rPr>
          <w:sz w:val="26"/>
          <w:szCs w:val="26"/>
          <w:rtl/>
        </w:rPr>
      </w:pPr>
      <w:r w:rsidRPr="00534B20">
        <w:rPr>
          <w:rFonts w:hint="cs"/>
          <w:rtl/>
        </w:rPr>
        <w:t xml:space="preserve"> </w:t>
      </w:r>
    </w:p>
    <w:tbl>
      <w:tblPr>
        <w:bidiVisual/>
        <w:tblW w:w="9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5095"/>
        <w:gridCol w:w="3263"/>
      </w:tblGrid>
      <w:tr w:rsidR="00AA17DA" w:rsidRPr="00534B20" w14:paraId="15D8B6A0" w14:textId="77777777" w:rsidTr="00AA17DA">
        <w:trPr>
          <w:trHeight w:val="345"/>
          <w:jc w:val="center"/>
        </w:trPr>
        <w:tc>
          <w:tcPr>
            <w:tcW w:w="957" w:type="dxa"/>
            <w:tcBorders>
              <w:top w:val="nil"/>
              <w:left w:val="nil"/>
              <w:bottom w:val="nil"/>
              <w:right w:val="nil"/>
            </w:tcBorders>
            <w:shd w:val="clear" w:color="auto" w:fill="auto"/>
          </w:tcPr>
          <w:p w14:paraId="68E767BA" w14:textId="77777777" w:rsidR="00AA17DA" w:rsidRPr="00534B20" w:rsidRDefault="00AA17DA" w:rsidP="00AA17DA">
            <w:pPr>
              <w:jc w:val="both"/>
              <w:rPr>
                <w:rFonts w:ascii="David" w:hAnsi="David"/>
                <w:b/>
                <w:bCs/>
              </w:rPr>
            </w:pPr>
            <w:r w:rsidRPr="00534B20">
              <w:rPr>
                <w:rFonts w:ascii="David" w:hAnsi="David"/>
                <w:b/>
                <w:bCs/>
                <w:rtl/>
              </w:rPr>
              <w:t xml:space="preserve">בפני </w:t>
            </w:r>
          </w:p>
        </w:tc>
        <w:tc>
          <w:tcPr>
            <w:tcW w:w="8358" w:type="dxa"/>
            <w:gridSpan w:val="2"/>
            <w:tcBorders>
              <w:top w:val="nil"/>
              <w:left w:val="nil"/>
              <w:bottom w:val="nil"/>
              <w:right w:val="nil"/>
            </w:tcBorders>
            <w:shd w:val="clear" w:color="auto" w:fill="auto"/>
          </w:tcPr>
          <w:p w14:paraId="10833D70" w14:textId="77777777" w:rsidR="00AA17DA" w:rsidRPr="00534B20" w:rsidRDefault="00AA17DA" w:rsidP="008651C6">
            <w:pPr>
              <w:rPr>
                <w:rFonts w:ascii="David" w:hAnsi="David"/>
                <w:b/>
                <w:bCs/>
              </w:rPr>
            </w:pPr>
            <w:r w:rsidRPr="00534B20">
              <w:rPr>
                <w:rFonts w:ascii="Arial" w:hAnsi="Arial"/>
                <w:b/>
                <w:bCs/>
                <w:rtl/>
              </w:rPr>
              <w:t>כב' השופט יוסי טורס , סגן הנשיאה</w:t>
            </w:r>
          </w:p>
        </w:tc>
      </w:tr>
      <w:tr w:rsidR="00AA17DA" w:rsidRPr="00534B20" w14:paraId="1E8444AB" w14:textId="77777777" w:rsidTr="00AA17DA">
        <w:trPr>
          <w:trHeight w:val="345"/>
          <w:jc w:val="center"/>
        </w:trPr>
        <w:tc>
          <w:tcPr>
            <w:tcW w:w="957" w:type="dxa"/>
            <w:tcBorders>
              <w:top w:val="nil"/>
              <w:left w:val="nil"/>
              <w:bottom w:val="nil"/>
              <w:right w:val="nil"/>
            </w:tcBorders>
            <w:shd w:val="clear" w:color="auto" w:fill="auto"/>
          </w:tcPr>
          <w:p w14:paraId="35E2CFCC" w14:textId="77777777" w:rsidR="00AA17DA" w:rsidRPr="00534B20" w:rsidRDefault="00AA17DA" w:rsidP="00AA17DA">
            <w:pPr>
              <w:jc w:val="both"/>
              <w:rPr>
                <w:rFonts w:ascii="David" w:hAnsi="David"/>
                <w:b/>
                <w:bCs/>
                <w:rtl/>
              </w:rPr>
            </w:pPr>
            <w:bookmarkStart w:id="0" w:name="LastJudge"/>
            <w:bookmarkEnd w:id="0"/>
          </w:p>
        </w:tc>
        <w:tc>
          <w:tcPr>
            <w:tcW w:w="8358" w:type="dxa"/>
            <w:gridSpan w:val="2"/>
            <w:tcBorders>
              <w:top w:val="nil"/>
              <w:left w:val="nil"/>
              <w:bottom w:val="nil"/>
              <w:right w:val="nil"/>
            </w:tcBorders>
            <w:shd w:val="clear" w:color="auto" w:fill="auto"/>
          </w:tcPr>
          <w:p w14:paraId="594A9D60" w14:textId="77777777" w:rsidR="00AA17DA" w:rsidRPr="00534B20" w:rsidRDefault="00AA17DA" w:rsidP="008651C6">
            <w:pPr>
              <w:rPr>
                <w:rFonts w:ascii="Arial" w:hAnsi="Arial"/>
                <w:b/>
                <w:bCs/>
                <w:rtl/>
              </w:rPr>
            </w:pPr>
          </w:p>
        </w:tc>
      </w:tr>
      <w:tr w:rsidR="00AA17DA" w:rsidRPr="00534B20" w14:paraId="73C57D40" w14:textId="77777777" w:rsidTr="00AA17DA">
        <w:trPr>
          <w:trHeight w:val="415"/>
          <w:jc w:val="center"/>
        </w:trPr>
        <w:tc>
          <w:tcPr>
            <w:tcW w:w="957" w:type="dxa"/>
            <w:tcBorders>
              <w:top w:val="nil"/>
              <w:left w:val="nil"/>
              <w:bottom w:val="nil"/>
              <w:right w:val="nil"/>
            </w:tcBorders>
            <w:shd w:val="clear" w:color="auto" w:fill="auto"/>
          </w:tcPr>
          <w:p w14:paraId="534B10F6" w14:textId="77777777" w:rsidR="00AA17DA" w:rsidRPr="00534B20" w:rsidRDefault="00AA17DA" w:rsidP="00AA17DA">
            <w:pPr>
              <w:jc w:val="both"/>
              <w:rPr>
                <w:rFonts w:ascii="David" w:hAnsi="David"/>
                <w:b/>
                <w:bCs/>
                <w:rtl/>
              </w:rPr>
            </w:pPr>
            <w:bookmarkStart w:id="1" w:name="FirstAppellant"/>
          </w:p>
          <w:p w14:paraId="01D69A18" w14:textId="77777777" w:rsidR="00AA17DA" w:rsidRPr="00534B20" w:rsidRDefault="00AA17DA" w:rsidP="00AA17DA">
            <w:pPr>
              <w:jc w:val="both"/>
              <w:rPr>
                <w:rFonts w:ascii="David" w:hAnsi="David"/>
                <w:b/>
                <w:bCs/>
              </w:rPr>
            </w:pPr>
            <w:r w:rsidRPr="00534B20">
              <w:rPr>
                <w:rFonts w:ascii="David" w:hAnsi="David"/>
                <w:b/>
                <w:bCs/>
                <w:rtl/>
              </w:rPr>
              <w:t>בעניין:</w:t>
            </w:r>
          </w:p>
        </w:tc>
        <w:tc>
          <w:tcPr>
            <w:tcW w:w="5095" w:type="dxa"/>
            <w:tcBorders>
              <w:top w:val="nil"/>
              <w:left w:val="nil"/>
              <w:bottom w:val="nil"/>
              <w:right w:val="nil"/>
            </w:tcBorders>
            <w:shd w:val="clear" w:color="auto" w:fill="auto"/>
          </w:tcPr>
          <w:p w14:paraId="20E22D56" w14:textId="77777777" w:rsidR="00AA17DA" w:rsidRPr="00534B20" w:rsidRDefault="00AA17DA" w:rsidP="008651C6">
            <w:pPr>
              <w:rPr>
                <w:rFonts w:ascii="David" w:hAnsi="David"/>
                <w:b/>
                <w:bCs/>
              </w:rPr>
            </w:pPr>
            <w:r w:rsidRPr="00534B20">
              <w:rPr>
                <w:rFonts w:ascii="David" w:hAnsi="David"/>
                <w:b/>
                <w:bCs/>
                <w:rtl/>
              </w:rPr>
              <w:br/>
              <w:t>מדינת ישראל</w:t>
            </w:r>
          </w:p>
        </w:tc>
        <w:tc>
          <w:tcPr>
            <w:tcW w:w="3263" w:type="dxa"/>
            <w:tcBorders>
              <w:top w:val="nil"/>
              <w:left w:val="nil"/>
              <w:bottom w:val="nil"/>
              <w:right w:val="nil"/>
            </w:tcBorders>
            <w:shd w:val="clear" w:color="auto" w:fill="auto"/>
          </w:tcPr>
          <w:p w14:paraId="1FF212F0" w14:textId="77777777" w:rsidR="00AA17DA" w:rsidRPr="00534B20" w:rsidRDefault="00AA17DA" w:rsidP="00AA17DA">
            <w:pPr>
              <w:jc w:val="both"/>
              <w:rPr>
                <w:rFonts w:ascii="David" w:hAnsi="David"/>
                <w:b/>
                <w:bCs/>
                <w:rtl/>
              </w:rPr>
            </w:pPr>
          </w:p>
          <w:p w14:paraId="24CD51BD" w14:textId="77777777" w:rsidR="00AA17DA" w:rsidRPr="00534B20" w:rsidRDefault="00AA17DA" w:rsidP="00AA17DA">
            <w:pPr>
              <w:jc w:val="both"/>
              <w:rPr>
                <w:rFonts w:ascii="David" w:hAnsi="David"/>
                <w:b/>
                <w:bCs/>
              </w:rPr>
            </w:pPr>
            <w:r w:rsidRPr="00534B20">
              <w:rPr>
                <w:rFonts w:ascii="David" w:hAnsi="David"/>
                <w:b/>
                <w:bCs/>
                <w:rtl/>
              </w:rPr>
              <w:t>המאשימה</w:t>
            </w:r>
          </w:p>
        </w:tc>
      </w:tr>
      <w:bookmarkEnd w:id="1"/>
      <w:tr w:rsidR="00AA17DA" w:rsidRPr="00534B20" w14:paraId="2215FE9B" w14:textId="77777777" w:rsidTr="00AA17DA">
        <w:trPr>
          <w:trHeight w:val="415"/>
          <w:jc w:val="center"/>
        </w:trPr>
        <w:tc>
          <w:tcPr>
            <w:tcW w:w="957" w:type="dxa"/>
            <w:tcBorders>
              <w:top w:val="nil"/>
              <w:left w:val="nil"/>
              <w:bottom w:val="nil"/>
              <w:right w:val="nil"/>
            </w:tcBorders>
            <w:shd w:val="clear" w:color="auto" w:fill="auto"/>
          </w:tcPr>
          <w:p w14:paraId="7A62E5ED" w14:textId="77777777" w:rsidR="00AA17DA" w:rsidRPr="00534B20" w:rsidRDefault="00AA17DA" w:rsidP="00AA17DA">
            <w:pPr>
              <w:jc w:val="both"/>
              <w:rPr>
                <w:rFonts w:ascii="David" w:hAnsi="David"/>
                <w:b/>
                <w:bCs/>
                <w:rtl/>
              </w:rPr>
            </w:pPr>
          </w:p>
        </w:tc>
        <w:tc>
          <w:tcPr>
            <w:tcW w:w="8358" w:type="dxa"/>
            <w:gridSpan w:val="2"/>
            <w:tcBorders>
              <w:top w:val="nil"/>
              <w:left w:val="nil"/>
              <w:bottom w:val="nil"/>
              <w:right w:val="nil"/>
            </w:tcBorders>
            <w:shd w:val="clear" w:color="auto" w:fill="auto"/>
          </w:tcPr>
          <w:p w14:paraId="3F1BA1AB" w14:textId="77777777" w:rsidR="00AA17DA" w:rsidRPr="00534B20" w:rsidRDefault="00AA17DA" w:rsidP="008651C6">
            <w:pPr>
              <w:rPr>
                <w:rFonts w:ascii="David" w:hAnsi="David"/>
                <w:b/>
                <w:bCs/>
              </w:rPr>
            </w:pPr>
            <w:r w:rsidRPr="00534B20">
              <w:rPr>
                <w:rFonts w:ascii="David" w:hAnsi="David" w:hint="cs"/>
                <w:b/>
                <w:bCs/>
                <w:rtl/>
              </w:rPr>
              <w:t xml:space="preserve">                                                   </w:t>
            </w:r>
            <w:r w:rsidRPr="00534B20">
              <w:rPr>
                <w:rFonts w:ascii="David" w:hAnsi="David"/>
                <w:b/>
                <w:bCs/>
                <w:rtl/>
              </w:rPr>
              <w:t>נגד</w:t>
            </w:r>
          </w:p>
        </w:tc>
      </w:tr>
      <w:tr w:rsidR="00AA17DA" w:rsidRPr="00534B20" w14:paraId="38B29606" w14:textId="77777777" w:rsidTr="00AA17DA">
        <w:trPr>
          <w:trHeight w:val="415"/>
          <w:jc w:val="center"/>
        </w:trPr>
        <w:tc>
          <w:tcPr>
            <w:tcW w:w="957" w:type="dxa"/>
            <w:tcBorders>
              <w:top w:val="nil"/>
              <w:left w:val="nil"/>
              <w:bottom w:val="nil"/>
              <w:right w:val="nil"/>
            </w:tcBorders>
            <w:shd w:val="clear" w:color="auto" w:fill="auto"/>
          </w:tcPr>
          <w:p w14:paraId="40D53FD9" w14:textId="77777777" w:rsidR="00AA17DA" w:rsidRPr="00534B20" w:rsidRDefault="00AA17DA" w:rsidP="008651C6">
            <w:pPr>
              <w:rPr>
                <w:rFonts w:ascii="David" w:hAnsi="David"/>
                <w:b/>
                <w:bCs/>
                <w:rtl/>
              </w:rPr>
            </w:pPr>
          </w:p>
        </w:tc>
        <w:tc>
          <w:tcPr>
            <w:tcW w:w="5095" w:type="dxa"/>
            <w:tcBorders>
              <w:top w:val="nil"/>
              <w:left w:val="nil"/>
              <w:bottom w:val="nil"/>
              <w:right w:val="nil"/>
            </w:tcBorders>
            <w:shd w:val="clear" w:color="auto" w:fill="auto"/>
          </w:tcPr>
          <w:p w14:paraId="4FFF42DF" w14:textId="77777777" w:rsidR="00AA17DA" w:rsidRPr="00534B20" w:rsidRDefault="00AA17DA" w:rsidP="008651C6">
            <w:pPr>
              <w:rPr>
                <w:rFonts w:ascii="David" w:hAnsi="David"/>
                <w:b/>
                <w:bCs/>
                <w:rtl/>
              </w:rPr>
            </w:pPr>
            <w:r w:rsidRPr="00534B20">
              <w:rPr>
                <w:rFonts w:ascii="David" w:hAnsi="David"/>
                <w:b/>
                <w:bCs/>
                <w:rtl/>
              </w:rPr>
              <w:br/>
            </w:r>
            <w:r w:rsidRPr="00534B20">
              <w:rPr>
                <w:rFonts w:ascii="David" w:hAnsi="David"/>
                <w:b/>
                <w:bCs/>
                <w:rtl/>
              </w:rPr>
              <w:br/>
              <w:t>שי סופר</w:t>
            </w:r>
          </w:p>
        </w:tc>
        <w:tc>
          <w:tcPr>
            <w:tcW w:w="3263" w:type="dxa"/>
            <w:tcBorders>
              <w:top w:val="nil"/>
              <w:left w:val="nil"/>
              <w:bottom w:val="nil"/>
              <w:right w:val="nil"/>
            </w:tcBorders>
            <w:shd w:val="clear" w:color="auto" w:fill="auto"/>
          </w:tcPr>
          <w:p w14:paraId="0EB53317" w14:textId="77777777" w:rsidR="00AA17DA" w:rsidRPr="00534B20" w:rsidRDefault="00AA17DA" w:rsidP="008651C6">
            <w:pPr>
              <w:rPr>
                <w:rFonts w:ascii="David" w:hAnsi="David"/>
                <w:b/>
                <w:bCs/>
                <w:rtl/>
              </w:rPr>
            </w:pPr>
          </w:p>
          <w:p w14:paraId="5875B72C" w14:textId="77777777" w:rsidR="00AA17DA" w:rsidRPr="00534B20" w:rsidRDefault="00AA17DA" w:rsidP="008651C6">
            <w:pPr>
              <w:rPr>
                <w:rFonts w:ascii="David" w:hAnsi="David"/>
                <w:b/>
                <w:bCs/>
                <w:rtl/>
              </w:rPr>
            </w:pPr>
          </w:p>
          <w:p w14:paraId="3700E734" w14:textId="77777777" w:rsidR="00AA17DA" w:rsidRPr="00534B20" w:rsidRDefault="00AA17DA" w:rsidP="008651C6">
            <w:pPr>
              <w:rPr>
                <w:rFonts w:ascii="David" w:hAnsi="David"/>
                <w:b/>
                <w:bCs/>
              </w:rPr>
            </w:pPr>
            <w:r w:rsidRPr="00534B20">
              <w:rPr>
                <w:rFonts w:ascii="David" w:hAnsi="David"/>
                <w:b/>
                <w:bCs/>
                <w:rtl/>
              </w:rPr>
              <w:t>הנאש</w:t>
            </w:r>
            <w:r w:rsidRPr="00534B20">
              <w:rPr>
                <w:rFonts w:ascii="David" w:hAnsi="David" w:hint="cs"/>
                <w:b/>
                <w:bCs/>
                <w:rtl/>
              </w:rPr>
              <w:t>ם</w:t>
            </w:r>
          </w:p>
        </w:tc>
      </w:tr>
    </w:tbl>
    <w:p w14:paraId="36323FBE" w14:textId="77777777" w:rsidR="00AA17DA" w:rsidRPr="00534B20" w:rsidRDefault="00AA17DA" w:rsidP="00AA17DA">
      <w:pPr>
        <w:rPr>
          <w:sz w:val="26"/>
          <w:szCs w:val="26"/>
        </w:rPr>
      </w:pPr>
    </w:p>
    <w:p w14:paraId="40C43484" w14:textId="77777777" w:rsidR="00534B20" w:rsidRPr="00534B20" w:rsidRDefault="00534B20" w:rsidP="00534B20">
      <w:pPr>
        <w:spacing w:before="120" w:after="120" w:line="240" w:lineRule="exact"/>
        <w:ind w:left="283" w:hanging="283"/>
        <w:jc w:val="both"/>
        <w:rPr>
          <w:rFonts w:ascii="FrankRuehl" w:hAnsi="FrankRuehl" w:cs="FrankRuehl"/>
          <w:rtl/>
        </w:rPr>
      </w:pPr>
    </w:p>
    <w:p w14:paraId="421F7349" w14:textId="77777777" w:rsidR="00534B20" w:rsidRPr="00534B20" w:rsidRDefault="00534B20" w:rsidP="00534B20">
      <w:pPr>
        <w:rPr>
          <w:rFonts w:ascii="David" w:hAnsi="David"/>
          <w:sz w:val="26"/>
          <w:szCs w:val="26"/>
          <w:rtl/>
        </w:rPr>
      </w:pPr>
    </w:p>
    <w:p w14:paraId="4B968E5C" w14:textId="77777777" w:rsidR="00B6303D" w:rsidRPr="00B6303D" w:rsidRDefault="00B6303D" w:rsidP="00B6303D">
      <w:pPr>
        <w:spacing w:before="120" w:after="120" w:line="240" w:lineRule="exact"/>
        <w:ind w:left="283" w:hanging="283"/>
        <w:jc w:val="both"/>
        <w:rPr>
          <w:rFonts w:ascii="FrankRuehl" w:hAnsi="FrankRuehl" w:cs="FrankRuehl"/>
          <w:rtl/>
        </w:rPr>
      </w:pPr>
      <w:bookmarkStart w:id="2" w:name="LawTable"/>
      <w:bookmarkEnd w:id="2"/>
    </w:p>
    <w:p w14:paraId="69E04D44" w14:textId="77777777" w:rsidR="00B6303D" w:rsidRPr="00B6303D" w:rsidRDefault="00B6303D" w:rsidP="00B6303D">
      <w:pPr>
        <w:spacing w:before="120" w:after="120" w:line="240" w:lineRule="exact"/>
        <w:ind w:left="283" w:hanging="283"/>
        <w:jc w:val="both"/>
        <w:rPr>
          <w:rFonts w:ascii="FrankRuehl" w:hAnsi="FrankRuehl" w:cs="FrankRuehl"/>
          <w:rtl/>
        </w:rPr>
      </w:pPr>
      <w:r w:rsidRPr="00B6303D">
        <w:rPr>
          <w:rFonts w:ascii="FrankRuehl" w:hAnsi="FrankRuehl" w:cs="FrankRuehl"/>
          <w:rtl/>
        </w:rPr>
        <w:t xml:space="preserve">חקיקה שאוזכרה: </w:t>
      </w:r>
    </w:p>
    <w:p w14:paraId="5D010E7B" w14:textId="77777777" w:rsidR="00B6303D" w:rsidRPr="00B6303D" w:rsidRDefault="00B6303D" w:rsidP="00B6303D">
      <w:pPr>
        <w:spacing w:before="120" w:after="120" w:line="240" w:lineRule="exact"/>
        <w:ind w:left="283" w:hanging="283"/>
        <w:jc w:val="both"/>
        <w:rPr>
          <w:rFonts w:ascii="FrankRuehl" w:hAnsi="FrankRuehl" w:cs="FrankRuehl"/>
          <w:color w:val="0000FF"/>
          <w:rtl/>
        </w:rPr>
      </w:pPr>
      <w:hyperlink r:id="rId7" w:history="1">
        <w:r w:rsidRPr="00B6303D">
          <w:rPr>
            <w:rStyle w:val="Hyperlink"/>
            <w:rFonts w:ascii="FrankRuehl" w:hAnsi="FrankRuehl" w:cs="FrankRuehl"/>
            <w:u w:val="none"/>
            <w:rtl/>
          </w:rPr>
          <w:t>פקודת הסמים המסוכנים [נוסח חדש], תשל"ג-1973</w:t>
        </w:r>
      </w:hyperlink>
      <w:r w:rsidRPr="00B6303D">
        <w:rPr>
          <w:rFonts w:ascii="FrankRuehl" w:hAnsi="FrankRuehl" w:cs="FrankRuehl"/>
          <w:color w:val="0000FF"/>
          <w:rtl/>
        </w:rPr>
        <w:t xml:space="preserve">: סע'  </w:t>
      </w:r>
      <w:hyperlink r:id="rId8" w:history="1">
        <w:r w:rsidRPr="00B6303D">
          <w:rPr>
            <w:rStyle w:val="Hyperlink"/>
            <w:rFonts w:ascii="FrankRuehl" w:hAnsi="FrankRuehl" w:cs="FrankRuehl"/>
            <w:u w:val="none"/>
          </w:rPr>
          <w:t>7.</w:t>
        </w:r>
        <w:r w:rsidRPr="00B6303D">
          <w:rPr>
            <w:rStyle w:val="Hyperlink"/>
            <w:rFonts w:ascii="FrankRuehl" w:hAnsi="FrankRuehl" w:cs="FrankRuehl"/>
            <w:u w:val="none"/>
            <w:rtl/>
          </w:rPr>
          <w:t>א</w:t>
        </w:r>
        <w:r w:rsidRPr="00B6303D">
          <w:rPr>
            <w:rStyle w:val="Hyperlink"/>
            <w:rFonts w:ascii="FrankRuehl" w:hAnsi="FrankRuehl" w:cs="FrankRuehl"/>
            <w:u w:val="none"/>
          </w:rPr>
          <w:t>.</w:t>
        </w:r>
      </w:hyperlink>
      <w:r w:rsidRPr="00B6303D">
        <w:rPr>
          <w:rFonts w:ascii="FrankRuehl" w:hAnsi="FrankRuehl" w:cs="FrankRuehl"/>
          <w:color w:val="0000FF"/>
          <w:rtl/>
        </w:rPr>
        <w:t xml:space="preserve">, </w:t>
      </w:r>
      <w:hyperlink r:id="rId9" w:history="1">
        <w:r w:rsidRPr="00B6303D">
          <w:rPr>
            <w:rStyle w:val="Hyperlink"/>
            <w:rFonts w:ascii="FrankRuehl" w:hAnsi="FrankRuehl" w:cs="FrankRuehl"/>
            <w:u w:val="none"/>
          </w:rPr>
          <w:t>7.</w:t>
        </w:r>
        <w:r w:rsidRPr="00B6303D">
          <w:rPr>
            <w:rStyle w:val="Hyperlink"/>
            <w:rFonts w:ascii="FrankRuehl" w:hAnsi="FrankRuehl" w:cs="FrankRuehl"/>
            <w:u w:val="none"/>
            <w:rtl/>
          </w:rPr>
          <w:t>ג</w:t>
        </w:r>
      </w:hyperlink>
    </w:p>
    <w:p w14:paraId="0C956A4A" w14:textId="77777777" w:rsidR="00B6303D" w:rsidRPr="00B6303D" w:rsidRDefault="00B6303D" w:rsidP="00B6303D">
      <w:pPr>
        <w:spacing w:before="120" w:after="120" w:line="240" w:lineRule="exact"/>
        <w:ind w:left="283" w:hanging="283"/>
        <w:jc w:val="both"/>
        <w:rPr>
          <w:rFonts w:ascii="FrankRuehl" w:hAnsi="FrankRuehl" w:cs="FrankRuehl"/>
          <w:color w:val="0000FF"/>
          <w:rtl/>
        </w:rPr>
      </w:pPr>
      <w:hyperlink r:id="rId10" w:history="1">
        <w:r w:rsidRPr="00B6303D">
          <w:rPr>
            <w:rStyle w:val="Hyperlink"/>
            <w:rFonts w:ascii="FrankRuehl" w:hAnsi="FrankRuehl" w:cs="FrankRuehl"/>
            <w:u w:val="none"/>
            <w:rtl/>
          </w:rPr>
          <w:t>חוק העונשין, תשל"ז-1977</w:t>
        </w:r>
      </w:hyperlink>
      <w:r w:rsidRPr="00B6303D">
        <w:rPr>
          <w:rFonts w:ascii="FrankRuehl" w:hAnsi="FrankRuehl" w:cs="FrankRuehl"/>
          <w:color w:val="0000FF"/>
          <w:rtl/>
        </w:rPr>
        <w:t xml:space="preserve">: סע'  </w:t>
      </w:r>
      <w:hyperlink r:id="rId11" w:history="1">
        <w:r w:rsidRPr="00B6303D">
          <w:rPr>
            <w:rStyle w:val="Hyperlink"/>
            <w:rFonts w:ascii="FrankRuehl" w:hAnsi="FrankRuehl" w:cs="FrankRuehl"/>
            <w:u w:val="none"/>
          </w:rPr>
          <w:t>40</w:t>
        </w:r>
        <w:r w:rsidRPr="00B6303D">
          <w:rPr>
            <w:rStyle w:val="Hyperlink"/>
            <w:rFonts w:ascii="FrankRuehl" w:hAnsi="FrankRuehl" w:cs="FrankRuehl"/>
            <w:u w:val="none"/>
            <w:rtl/>
          </w:rPr>
          <w:t>יא</w:t>
        </w:r>
        <w:r w:rsidRPr="00B6303D">
          <w:rPr>
            <w:rStyle w:val="Hyperlink"/>
            <w:rFonts w:ascii="FrankRuehl" w:hAnsi="FrankRuehl" w:cs="FrankRuehl"/>
            <w:u w:val="none"/>
          </w:rPr>
          <w:t>'</w:t>
        </w:r>
      </w:hyperlink>
      <w:r w:rsidRPr="00B6303D">
        <w:rPr>
          <w:rFonts w:ascii="FrankRuehl" w:hAnsi="FrankRuehl" w:cs="FrankRuehl"/>
          <w:color w:val="0000FF"/>
          <w:rtl/>
        </w:rPr>
        <w:t>(10)</w:t>
      </w:r>
    </w:p>
    <w:p w14:paraId="5B1B580C" w14:textId="77777777" w:rsidR="00AA17DA" w:rsidRPr="00B6303D" w:rsidRDefault="00AA17DA" w:rsidP="00B6303D">
      <w:pPr>
        <w:rPr>
          <w:rFonts w:ascii="David" w:hAnsi="David"/>
          <w:sz w:val="26"/>
          <w:szCs w:val="26"/>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A17DA" w14:paraId="33B27908" w14:textId="77777777" w:rsidTr="00AA17DA">
        <w:trPr>
          <w:trHeight w:val="355"/>
          <w:jc w:val="center"/>
        </w:trPr>
        <w:tc>
          <w:tcPr>
            <w:tcW w:w="8820" w:type="dxa"/>
            <w:tcBorders>
              <w:top w:val="nil"/>
              <w:left w:val="nil"/>
              <w:bottom w:val="nil"/>
              <w:right w:val="nil"/>
            </w:tcBorders>
            <w:shd w:val="clear" w:color="auto" w:fill="auto"/>
          </w:tcPr>
          <w:p w14:paraId="430DA2EB" w14:textId="77777777" w:rsidR="00534B20" w:rsidRPr="00534B20" w:rsidRDefault="00534B20" w:rsidP="00534B20">
            <w:pPr>
              <w:jc w:val="center"/>
              <w:rPr>
                <w:rFonts w:ascii="David" w:hAnsi="David"/>
                <w:b/>
                <w:bCs/>
                <w:sz w:val="32"/>
                <w:szCs w:val="32"/>
                <w:u w:val="single"/>
                <w:rtl/>
              </w:rPr>
            </w:pPr>
            <w:bookmarkStart w:id="4" w:name="PsakDin" w:colFirst="0" w:colLast="0"/>
            <w:r w:rsidRPr="00534B20">
              <w:rPr>
                <w:rFonts w:ascii="David" w:hAnsi="David"/>
                <w:b/>
                <w:bCs/>
                <w:sz w:val="32"/>
                <w:szCs w:val="32"/>
                <w:u w:val="single"/>
                <w:rtl/>
              </w:rPr>
              <w:t>גזר דין</w:t>
            </w:r>
          </w:p>
          <w:p w14:paraId="7D2FF40C" w14:textId="77777777" w:rsidR="00AA17DA" w:rsidRPr="00534B20" w:rsidRDefault="00AA17DA" w:rsidP="00534B20">
            <w:pPr>
              <w:jc w:val="center"/>
              <w:rPr>
                <w:rFonts w:ascii="David" w:hAnsi="David"/>
                <w:bCs/>
                <w:sz w:val="32"/>
                <w:szCs w:val="32"/>
                <w:u w:val="single"/>
                <w:rtl/>
              </w:rPr>
            </w:pPr>
          </w:p>
        </w:tc>
      </w:tr>
      <w:bookmarkEnd w:id="4"/>
    </w:tbl>
    <w:p w14:paraId="60D9E75E" w14:textId="77777777" w:rsidR="00AA17DA" w:rsidRPr="002B7D23" w:rsidRDefault="00AA17DA" w:rsidP="00AA17DA">
      <w:pPr>
        <w:rPr>
          <w:rFonts w:ascii="David" w:hAnsi="David"/>
          <w:sz w:val="26"/>
          <w:szCs w:val="26"/>
          <w:rtl/>
        </w:rPr>
      </w:pPr>
    </w:p>
    <w:p w14:paraId="228DFB95" w14:textId="77777777" w:rsidR="00AA17DA" w:rsidRDefault="00AA17DA" w:rsidP="00AA17DA">
      <w:pPr>
        <w:spacing w:line="360" w:lineRule="auto"/>
        <w:jc w:val="both"/>
        <w:rPr>
          <w:rFonts w:ascii="David" w:hAnsi="David"/>
          <w:rtl/>
        </w:rPr>
      </w:pPr>
      <w:r>
        <w:rPr>
          <w:rFonts w:ascii="David" w:hAnsi="David" w:hint="cs"/>
          <w:b/>
          <w:bCs/>
          <w:u w:val="single"/>
          <w:rtl/>
        </w:rPr>
        <w:t>כתב האישום</w:t>
      </w:r>
    </w:p>
    <w:p w14:paraId="3BF95553" w14:textId="77777777" w:rsidR="00AA17DA" w:rsidRDefault="00AA17DA" w:rsidP="00AA17DA">
      <w:pPr>
        <w:jc w:val="both"/>
        <w:rPr>
          <w:rFonts w:ascii="David" w:hAnsi="David"/>
          <w:rtl/>
        </w:rPr>
      </w:pPr>
    </w:p>
    <w:p w14:paraId="674B34F4" w14:textId="77777777" w:rsidR="00AA17DA" w:rsidRDefault="00AA17DA" w:rsidP="00AA17DA">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במסגרת הסדר טיעון בעבירת החזקת סמים שלא לצריכה עצמית, לפי </w:t>
      </w:r>
      <w:hyperlink r:id="rId12" w:history="1">
        <w:r w:rsidR="00B6303D" w:rsidRPr="00B6303D">
          <w:rPr>
            <w:rStyle w:val="Hyperlink"/>
            <w:rFonts w:ascii="David" w:hAnsi="David" w:hint="eastAsia"/>
            <w:color w:val="0000FF"/>
            <w:rtl/>
          </w:rPr>
          <w:t>סעיף</w:t>
        </w:r>
        <w:r w:rsidR="00B6303D" w:rsidRPr="00B6303D">
          <w:rPr>
            <w:rStyle w:val="Hyperlink"/>
            <w:rFonts w:ascii="David" w:hAnsi="David"/>
            <w:color w:val="0000FF"/>
            <w:rtl/>
          </w:rPr>
          <w:t xml:space="preserve"> 7(א)+7(ג)</w:t>
        </w:r>
      </w:hyperlink>
      <w:r>
        <w:rPr>
          <w:rFonts w:ascii="David" w:hAnsi="David" w:hint="cs"/>
          <w:rtl/>
        </w:rPr>
        <w:t xml:space="preserve"> רישא ל</w:t>
      </w:r>
      <w:hyperlink r:id="rId13" w:history="1">
        <w:r w:rsidR="00534B20" w:rsidRPr="00534B20">
          <w:rPr>
            <w:rFonts w:ascii="David" w:hAnsi="David"/>
            <w:color w:val="0000FF"/>
            <w:u w:val="single"/>
            <w:rtl/>
          </w:rPr>
          <w:t>פקודת הסמים המסוכנים</w:t>
        </w:r>
      </w:hyperlink>
      <w:r>
        <w:rPr>
          <w:rFonts w:ascii="David" w:hAnsi="David" w:hint="cs"/>
          <w:rtl/>
        </w:rPr>
        <w:t xml:space="preserve"> [נוסח חדש], תשל"ג- 1973 (להלן </w:t>
      </w:r>
      <w:r>
        <w:rPr>
          <w:rFonts w:ascii="David" w:hAnsi="David"/>
          <w:rtl/>
        </w:rPr>
        <w:t>–</w:t>
      </w:r>
      <w:r>
        <w:rPr>
          <w:rFonts w:ascii="David" w:hAnsi="David" w:hint="cs"/>
          <w:rtl/>
        </w:rPr>
        <w:t xml:space="preserve"> </w:t>
      </w:r>
      <w:r w:rsidRPr="00074A71">
        <w:rPr>
          <w:rFonts w:ascii="Miriam" w:hAnsi="Miriam" w:cs="Miriam"/>
          <w:rtl/>
        </w:rPr>
        <w:t>פקודת הסמים</w:t>
      </w:r>
      <w:r>
        <w:rPr>
          <w:rFonts w:ascii="David" w:hAnsi="David" w:hint="cs"/>
          <w:rtl/>
        </w:rPr>
        <w:t xml:space="preserve">). על פי עובדות כתב האישום המתוקן, ביום 9.1.22 החזיק הנאשם בביתו סם מסוכן מסוג קוקאין במשקל 7.8384 גרם, שלא לצריכתו העצמית. </w:t>
      </w:r>
    </w:p>
    <w:p w14:paraId="4B3B72BF" w14:textId="77777777" w:rsidR="00AA17DA" w:rsidRDefault="00AA17DA" w:rsidP="00AA17DA">
      <w:pPr>
        <w:pStyle w:val="a9"/>
        <w:spacing w:line="360" w:lineRule="auto"/>
        <w:ind w:left="0"/>
        <w:jc w:val="both"/>
        <w:rPr>
          <w:rFonts w:ascii="David" w:hAnsi="David"/>
        </w:rPr>
      </w:pPr>
      <w:bookmarkStart w:id="6" w:name="ABSTRACT_END"/>
      <w:bookmarkEnd w:id="6"/>
    </w:p>
    <w:p w14:paraId="42ADD7C3" w14:textId="77777777" w:rsidR="00AA17DA" w:rsidRDefault="00AA17DA" w:rsidP="00AA17DA">
      <w:pPr>
        <w:pStyle w:val="a9"/>
        <w:numPr>
          <w:ilvl w:val="0"/>
          <w:numId w:val="1"/>
        </w:numPr>
        <w:spacing w:line="360" w:lineRule="auto"/>
        <w:jc w:val="both"/>
        <w:rPr>
          <w:rFonts w:ascii="David" w:hAnsi="David"/>
        </w:rPr>
      </w:pPr>
      <w:r>
        <w:rPr>
          <w:rFonts w:ascii="David" w:hAnsi="David" w:hint="cs"/>
          <w:rtl/>
        </w:rPr>
        <w:t xml:space="preserve">במסגרת הסדר הטיעון הסכימו הצדדים על הפניית הנאשם לתסקיר וככל שמסקנותיו תהיינה חיוביות (באופן אותו הגדירו הצדדים), תעתור המאשימה לעונש מאסר למשך 9 חודשים, לריצוי בעבודות שירות, ואילו ההגנה תוכל לטעון באופן חופשי בכל מקרה. </w:t>
      </w:r>
    </w:p>
    <w:p w14:paraId="223B2D88" w14:textId="77777777" w:rsidR="00AA17DA" w:rsidRPr="00B42759" w:rsidRDefault="00AA17DA" w:rsidP="00AA17DA">
      <w:pPr>
        <w:pStyle w:val="a9"/>
        <w:rPr>
          <w:rFonts w:ascii="David" w:hAnsi="David"/>
          <w:rtl/>
        </w:rPr>
      </w:pPr>
    </w:p>
    <w:p w14:paraId="534E7E24" w14:textId="77777777" w:rsidR="00AA17DA" w:rsidRPr="0033031B" w:rsidRDefault="00AA17DA" w:rsidP="00AA17DA">
      <w:pPr>
        <w:pStyle w:val="a9"/>
        <w:spacing w:line="360" w:lineRule="auto"/>
        <w:ind w:left="0"/>
        <w:jc w:val="both"/>
        <w:rPr>
          <w:rFonts w:ascii="David" w:hAnsi="David"/>
          <w:b/>
          <w:bCs/>
          <w:u w:val="single"/>
        </w:rPr>
      </w:pPr>
      <w:r>
        <w:rPr>
          <w:rFonts w:ascii="David" w:hAnsi="David" w:hint="cs"/>
          <w:b/>
          <w:bCs/>
          <w:u w:val="single"/>
          <w:rtl/>
        </w:rPr>
        <w:t>תסקיר שירות המבחן</w:t>
      </w:r>
    </w:p>
    <w:p w14:paraId="054A0CB7" w14:textId="77777777" w:rsidR="00AA17DA" w:rsidRPr="0033031B" w:rsidRDefault="00AA17DA" w:rsidP="00AA17DA">
      <w:pPr>
        <w:pStyle w:val="a9"/>
        <w:rPr>
          <w:rFonts w:ascii="David" w:hAnsi="David"/>
          <w:rtl/>
        </w:rPr>
      </w:pPr>
    </w:p>
    <w:p w14:paraId="04D66F99" w14:textId="77777777" w:rsidR="00AA17DA" w:rsidRDefault="00AA17DA" w:rsidP="00AA17DA">
      <w:pPr>
        <w:pStyle w:val="a9"/>
        <w:numPr>
          <w:ilvl w:val="0"/>
          <w:numId w:val="1"/>
        </w:numPr>
        <w:spacing w:line="360" w:lineRule="auto"/>
        <w:jc w:val="both"/>
        <w:rPr>
          <w:rFonts w:ascii="David" w:hAnsi="David"/>
        </w:rPr>
      </w:pPr>
      <w:r>
        <w:rPr>
          <w:rFonts w:ascii="David" w:hAnsi="David" w:hint="cs"/>
          <w:rtl/>
        </w:rPr>
        <w:t xml:space="preserve">בתסקיר שהוגש פורטו בהרחבה נסיבות חייו של הנאשם ומטעמים של צנעת הפרט לא ארחיב. בתמצית ייאמר כי הנאשם כבן 34, נשוי ואב לילדה בת כשנה וחצי. הנאשם שירת בצבא ומאז שחרורו עובד בעסק משפחתי בתחום התכשיטים. לפני כעשור עבר תאונה ונפצע ברגלו ולדבריו </w:t>
      </w:r>
      <w:r>
        <w:rPr>
          <w:rFonts w:ascii="David" w:hAnsi="David" w:hint="cs"/>
          <w:rtl/>
        </w:rPr>
        <w:lastRenderedPageBreak/>
        <w:t>מאז עשה שימוש מוגבר בחומרים פסיכואקטיביים על מנת להתמודד עם כאביו ובמקביל פעל לקבלת היתר לקנביס רפואי. לטענתו, בחודשים האחרונים חדל לעשן קנביס רפואי למרות קיומו של היתר ובדיקות שתן שמסר נמצאו נקיות משרידי סם. ביחס לביצוע העבירה קיבל הנאשם אחריות והביע צער על מעשיו. כן ביטא נכונות להשתלב בהליך טיפול ייעודי בתחום ההתמכרויות וקצינת המבחן ציינה שביכולתו להפיק תועלת מהטיפול, שאף יסייע בהפחתת הסיכון באופן משמעותי. לאור כל זאת המליצה קצינת המבחן על העמדת הנאשם בצו מבחן למשך שנה וענישה חינוכית-שיקומית באמצעות צו של"צ בהיקף 300 שעות. כן צוין כי בענישה זו לא תפגע יכולתו לעבוד, עובדה החשובה לצורך שימור סיכויי השיקום.</w:t>
      </w:r>
    </w:p>
    <w:p w14:paraId="3183ED04" w14:textId="77777777" w:rsidR="00AA17DA" w:rsidRDefault="00AA17DA" w:rsidP="00AA17DA">
      <w:pPr>
        <w:pStyle w:val="a9"/>
        <w:spacing w:line="360" w:lineRule="auto"/>
        <w:ind w:left="0"/>
        <w:jc w:val="both"/>
        <w:rPr>
          <w:rFonts w:ascii="David" w:hAnsi="David"/>
          <w:rtl/>
        </w:rPr>
      </w:pPr>
    </w:p>
    <w:p w14:paraId="2D288147" w14:textId="77777777" w:rsidR="00AA17DA" w:rsidRDefault="00AA17DA" w:rsidP="00AA17DA">
      <w:pPr>
        <w:pStyle w:val="a9"/>
        <w:spacing w:line="360" w:lineRule="auto"/>
        <w:ind w:left="0"/>
        <w:jc w:val="both"/>
        <w:rPr>
          <w:rFonts w:ascii="David" w:hAnsi="David"/>
          <w:b/>
          <w:bCs/>
          <w:u w:val="single"/>
          <w:rtl/>
        </w:rPr>
      </w:pPr>
      <w:r>
        <w:rPr>
          <w:rFonts w:ascii="David" w:hAnsi="David" w:hint="cs"/>
          <w:b/>
          <w:bCs/>
          <w:u w:val="single"/>
          <w:rtl/>
        </w:rPr>
        <w:t xml:space="preserve">טיעוני הצדדים לעונש והראיות </w:t>
      </w:r>
    </w:p>
    <w:p w14:paraId="05F45DEF" w14:textId="77777777" w:rsidR="00AA17DA" w:rsidRDefault="00AA17DA" w:rsidP="00AA17DA">
      <w:pPr>
        <w:pStyle w:val="a9"/>
        <w:spacing w:line="360" w:lineRule="auto"/>
        <w:ind w:left="0"/>
        <w:jc w:val="both"/>
        <w:rPr>
          <w:rFonts w:ascii="David" w:hAnsi="David"/>
        </w:rPr>
      </w:pPr>
      <w:r>
        <w:rPr>
          <w:rFonts w:ascii="David" w:hAnsi="David" w:hint="cs"/>
          <w:rtl/>
        </w:rPr>
        <w:t xml:space="preserve"> </w:t>
      </w:r>
    </w:p>
    <w:p w14:paraId="0AC444D6" w14:textId="77777777" w:rsidR="00AA17DA" w:rsidRDefault="00AA17DA" w:rsidP="00AA17DA">
      <w:pPr>
        <w:pStyle w:val="a9"/>
        <w:numPr>
          <w:ilvl w:val="0"/>
          <w:numId w:val="1"/>
        </w:numPr>
        <w:spacing w:line="360" w:lineRule="auto"/>
        <w:jc w:val="both"/>
        <w:rPr>
          <w:rFonts w:ascii="David" w:hAnsi="David"/>
        </w:rPr>
      </w:pPr>
      <w:r>
        <w:rPr>
          <w:rFonts w:ascii="David" w:hAnsi="David" w:hint="cs"/>
          <w:rtl/>
        </w:rPr>
        <w:t>ב"כ המאשימה הגישה טיעון כתוב והוסיפה טיעון על פה. ביחס למתחם הענישה נטען כי הוא נע בין 10-20 חודשי מאסר בפועל תוך הפנייה לפסיקה. המאשימה התייחסה לעברו הפלילי של הנאשם ולמסקנות התסקיר וציינה שיש הצדקה לסטות לקולה ממתחם ענישה ובהתאם להסדר הטיעון עתרה לעונש מאסר למשך 9 חודשים, שירוצה בדרך של עבודות שירות ולענישה נלווית.</w:t>
      </w:r>
    </w:p>
    <w:p w14:paraId="26918343" w14:textId="77777777" w:rsidR="00AA17DA" w:rsidRDefault="00AA17DA" w:rsidP="00AA17DA">
      <w:pPr>
        <w:pStyle w:val="a9"/>
        <w:spacing w:line="360" w:lineRule="auto"/>
        <w:ind w:left="0"/>
        <w:jc w:val="both"/>
        <w:rPr>
          <w:rFonts w:ascii="David" w:hAnsi="David"/>
        </w:rPr>
      </w:pPr>
    </w:p>
    <w:p w14:paraId="376559B0" w14:textId="77777777" w:rsidR="00AA17DA" w:rsidRDefault="00AA17DA" w:rsidP="00AA17DA">
      <w:pPr>
        <w:pStyle w:val="a9"/>
        <w:numPr>
          <w:ilvl w:val="0"/>
          <w:numId w:val="1"/>
        </w:numPr>
        <w:spacing w:line="360" w:lineRule="auto"/>
        <w:jc w:val="both"/>
        <w:rPr>
          <w:rFonts w:ascii="David" w:hAnsi="David"/>
        </w:rPr>
      </w:pPr>
      <w:r>
        <w:rPr>
          <w:rFonts w:ascii="David" w:hAnsi="David" w:hint="cs"/>
          <w:rtl/>
        </w:rPr>
        <w:t xml:space="preserve">ב"כ הנאשם הציג פסיקה אך לא הציע מתחם ענישה ברור. הסנגור הדגיש את חלוף הזמן מאז ביצוע העבירה, את השיהוי בהגשת כתב האישום ואת העובדה שמאז לא נפתחו תיקים נוספים. נטען כי הנאשם ערך שינוי בחייו, הוא אב לילדה ומפרנס את משפחתו וברמה האופרטיבית עתר הסנגור לאמץ את המלצות התסקיר במלואן. </w:t>
      </w:r>
    </w:p>
    <w:p w14:paraId="462E7F31" w14:textId="77777777" w:rsidR="00AA17DA" w:rsidRPr="003258DE" w:rsidRDefault="00AA17DA" w:rsidP="00AA17DA">
      <w:pPr>
        <w:pStyle w:val="a9"/>
        <w:rPr>
          <w:rFonts w:ascii="David" w:hAnsi="David"/>
          <w:rtl/>
        </w:rPr>
      </w:pPr>
    </w:p>
    <w:p w14:paraId="00D254DE" w14:textId="77777777" w:rsidR="00AA17DA" w:rsidRDefault="00AA17DA" w:rsidP="00AA17DA">
      <w:pPr>
        <w:pStyle w:val="a9"/>
        <w:numPr>
          <w:ilvl w:val="0"/>
          <w:numId w:val="1"/>
        </w:numPr>
        <w:spacing w:line="360" w:lineRule="auto"/>
        <w:jc w:val="both"/>
        <w:rPr>
          <w:rFonts w:ascii="David" w:hAnsi="David"/>
        </w:rPr>
      </w:pPr>
      <w:r>
        <w:rPr>
          <w:rFonts w:ascii="David" w:hAnsi="David" w:hint="cs"/>
          <w:rtl/>
        </w:rPr>
        <w:t xml:space="preserve">הנאשם בדברו האחרון הביע צער וחרטה על מעשיו. כן טען שיתקשה לבצע עבודות שירות וביקש התחשבות. </w:t>
      </w:r>
    </w:p>
    <w:p w14:paraId="200E88DD" w14:textId="77777777" w:rsidR="00AA17DA" w:rsidRPr="003258DE" w:rsidRDefault="00AA17DA" w:rsidP="00AA17DA">
      <w:pPr>
        <w:pStyle w:val="a9"/>
        <w:rPr>
          <w:rFonts w:ascii="David" w:hAnsi="David"/>
          <w:rtl/>
        </w:rPr>
      </w:pPr>
    </w:p>
    <w:p w14:paraId="68A5534F" w14:textId="77777777" w:rsidR="00AA17DA" w:rsidRDefault="00AA17DA" w:rsidP="00AA17DA">
      <w:pPr>
        <w:pStyle w:val="a9"/>
        <w:spacing w:line="360" w:lineRule="auto"/>
        <w:ind w:left="0"/>
        <w:jc w:val="both"/>
        <w:rPr>
          <w:rFonts w:ascii="David" w:hAnsi="David"/>
          <w:b/>
          <w:bCs/>
          <w:u w:val="single"/>
          <w:rtl/>
        </w:rPr>
      </w:pPr>
      <w:r>
        <w:rPr>
          <w:rFonts w:ascii="David" w:hAnsi="David" w:hint="cs"/>
          <w:b/>
          <w:bCs/>
          <w:u w:val="single"/>
          <w:rtl/>
        </w:rPr>
        <w:t>דיון והכרעה</w:t>
      </w:r>
    </w:p>
    <w:p w14:paraId="2979FEEA" w14:textId="77777777" w:rsidR="00AA17DA" w:rsidRPr="003258DE" w:rsidRDefault="00AA17DA" w:rsidP="00AA17DA">
      <w:pPr>
        <w:pStyle w:val="a9"/>
        <w:spacing w:line="360" w:lineRule="auto"/>
        <w:ind w:left="0"/>
        <w:jc w:val="both"/>
        <w:rPr>
          <w:rFonts w:ascii="David" w:hAnsi="David"/>
          <w:b/>
          <w:bCs/>
          <w:u w:val="single"/>
        </w:rPr>
      </w:pPr>
      <w:r>
        <w:rPr>
          <w:rFonts w:ascii="David" w:hAnsi="David" w:hint="cs"/>
          <w:b/>
          <w:bCs/>
          <w:u w:val="single"/>
          <w:rtl/>
        </w:rPr>
        <w:t>קביעת מתחם הענישה</w:t>
      </w:r>
    </w:p>
    <w:p w14:paraId="483526E2" w14:textId="77777777" w:rsidR="00AA17DA" w:rsidRPr="003258DE" w:rsidRDefault="00AA17DA" w:rsidP="00AA17DA">
      <w:pPr>
        <w:pStyle w:val="a9"/>
        <w:rPr>
          <w:rFonts w:ascii="David" w:hAnsi="David"/>
          <w:rtl/>
        </w:rPr>
      </w:pPr>
    </w:p>
    <w:p w14:paraId="3A2177B4" w14:textId="77777777" w:rsidR="00AA17DA" w:rsidRDefault="00AA17DA" w:rsidP="00AA17DA">
      <w:pPr>
        <w:pStyle w:val="a9"/>
        <w:numPr>
          <w:ilvl w:val="0"/>
          <w:numId w:val="1"/>
        </w:numPr>
        <w:spacing w:line="360" w:lineRule="auto"/>
        <w:jc w:val="both"/>
        <w:rPr>
          <w:rFonts w:ascii="David" w:hAnsi="David"/>
        </w:rPr>
      </w:pPr>
      <w:r w:rsidRPr="008F0519">
        <w:rPr>
          <w:rFonts w:ascii="David" w:hAnsi="David"/>
          <w:rtl/>
        </w:rPr>
        <w:t>במעשיו פגע הנאשם בערכים המוגנים שעניינם בטחון הציבור ושלומו. הסכנות הטמונות בה</w:t>
      </w:r>
      <w:r>
        <w:rPr>
          <w:rFonts w:ascii="David" w:hAnsi="David"/>
          <w:rtl/>
        </w:rPr>
        <w:t>חזקת סמים מסוכנים מסוג קוקאין</w:t>
      </w:r>
      <w:r w:rsidRPr="008F0519">
        <w:rPr>
          <w:rFonts w:ascii="David" w:hAnsi="David"/>
          <w:rtl/>
        </w:rPr>
        <w:t xml:space="preserve"> שלא לשימוש עצמי ידועות ואין צורך להכביר מילים על הנזקים העקיפים והישירים שעלולים להיגרם לחבר</w:t>
      </w:r>
      <w:r>
        <w:rPr>
          <w:rFonts w:ascii="David" w:hAnsi="David"/>
          <w:rtl/>
        </w:rPr>
        <w:t>ה ולפרט מעבירות הסמים. קוקאין ה</w:t>
      </w:r>
      <w:r>
        <w:rPr>
          <w:rFonts w:ascii="David" w:hAnsi="David" w:hint="cs"/>
          <w:rtl/>
        </w:rPr>
        <w:t>וא</w:t>
      </w:r>
      <w:r>
        <w:rPr>
          <w:rFonts w:ascii="David" w:hAnsi="David"/>
          <w:rtl/>
        </w:rPr>
        <w:t xml:space="preserve"> ס</w:t>
      </w:r>
      <w:r>
        <w:rPr>
          <w:rFonts w:ascii="David" w:hAnsi="David" w:hint="cs"/>
          <w:rtl/>
        </w:rPr>
        <w:t>ם</w:t>
      </w:r>
      <w:r>
        <w:rPr>
          <w:rFonts w:ascii="David" w:hAnsi="David"/>
          <w:rtl/>
        </w:rPr>
        <w:t xml:space="preserve"> קש</w:t>
      </w:r>
      <w:r>
        <w:rPr>
          <w:rFonts w:ascii="David" w:hAnsi="David" w:hint="cs"/>
          <w:rtl/>
        </w:rPr>
        <w:t>ה</w:t>
      </w:r>
      <w:r w:rsidRPr="008F0519">
        <w:rPr>
          <w:rFonts w:ascii="David" w:hAnsi="David"/>
          <w:rtl/>
        </w:rPr>
        <w:t xml:space="preserve"> ומכאן שפוטנציאל הנזק היה ממשי. הדברים מתעצמים לנוכח הכמות</w:t>
      </w:r>
      <w:r>
        <w:rPr>
          <w:rFonts w:ascii="David" w:hAnsi="David" w:hint="cs"/>
          <w:rtl/>
        </w:rPr>
        <w:t xml:space="preserve"> </w:t>
      </w:r>
      <w:r>
        <w:rPr>
          <w:rFonts w:ascii="David" w:hAnsi="David"/>
          <w:rtl/>
        </w:rPr>
        <w:t>–</w:t>
      </w:r>
      <w:r>
        <w:rPr>
          <w:rFonts w:ascii="David" w:hAnsi="David" w:hint="cs"/>
          <w:rtl/>
        </w:rPr>
        <w:t xml:space="preserve"> מעל ל-7 גרם. </w:t>
      </w:r>
    </w:p>
    <w:p w14:paraId="30FA18CC" w14:textId="77777777" w:rsidR="00AA17DA" w:rsidRPr="00CB3FEA" w:rsidRDefault="00AA17DA" w:rsidP="00AA17DA">
      <w:pPr>
        <w:pStyle w:val="a9"/>
        <w:spacing w:line="360" w:lineRule="auto"/>
        <w:ind w:left="0"/>
        <w:jc w:val="both"/>
        <w:rPr>
          <w:rFonts w:ascii="David" w:hAnsi="David"/>
        </w:rPr>
      </w:pPr>
    </w:p>
    <w:p w14:paraId="05960CE0" w14:textId="77777777" w:rsidR="00AA17DA" w:rsidRPr="00B35D19" w:rsidRDefault="00AA17DA" w:rsidP="00AA17DA">
      <w:pPr>
        <w:pStyle w:val="a9"/>
        <w:numPr>
          <w:ilvl w:val="0"/>
          <w:numId w:val="1"/>
        </w:numPr>
        <w:spacing w:line="360" w:lineRule="auto"/>
        <w:jc w:val="both"/>
        <w:rPr>
          <w:rFonts w:ascii="David" w:hAnsi="David"/>
        </w:rPr>
      </w:pPr>
      <w:r w:rsidRPr="00B35D19">
        <w:rPr>
          <w:rFonts w:ascii="David" w:hAnsi="David"/>
          <w:color w:val="222222"/>
          <w:rtl/>
        </w:rPr>
        <w:t xml:space="preserve">עבירות הקשורות בשרשרת הפצת סם (והחזקת סם שלא לשימוש עצמי היא עבירה כזו) נתפסות כחמורות ובתי המשפט נוקטים </w:t>
      </w:r>
      <w:r>
        <w:rPr>
          <w:rFonts w:ascii="David" w:hAnsi="David" w:hint="cs"/>
          <w:color w:val="222222"/>
          <w:rtl/>
        </w:rPr>
        <w:t xml:space="preserve">בגינן </w:t>
      </w:r>
      <w:r w:rsidRPr="00B35D19">
        <w:rPr>
          <w:rFonts w:ascii="David" w:hAnsi="David"/>
          <w:color w:val="222222"/>
          <w:rtl/>
        </w:rPr>
        <w:t xml:space="preserve">בענישה מחמירה על מנת למגר תופעה זו. כך למשל, ראו </w:t>
      </w:r>
      <w:hyperlink r:id="rId14" w:history="1">
        <w:r w:rsidR="00534B20" w:rsidRPr="00534B20">
          <w:rPr>
            <w:rFonts w:ascii="David" w:hAnsi="David"/>
            <w:color w:val="0000FF"/>
            <w:u w:val="single"/>
            <w:rtl/>
          </w:rPr>
          <w:t>רע"פ 2986/21</w:t>
        </w:r>
      </w:hyperlink>
      <w:r w:rsidR="00534B20">
        <w:rPr>
          <w:rFonts w:ascii="David" w:hAnsi="David"/>
          <w:color w:val="222222"/>
          <w:rtl/>
        </w:rPr>
        <w:t xml:space="preserve"> </w:t>
      </w:r>
      <w:r w:rsidRPr="00B35D19">
        <w:rPr>
          <w:rFonts w:ascii="David" w:hAnsi="David"/>
          <w:b/>
          <w:bCs/>
          <w:color w:val="222222"/>
          <w:rtl/>
        </w:rPr>
        <w:t>עיסאוי נ' מדינת ישראל</w:t>
      </w:r>
      <w:r w:rsidRPr="00B35D19">
        <w:rPr>
          <w:rFonts w:ascii="David" w:hAnsi="David"/>
          <w:color w:val="222222"/>
          <w:rtl/>
        </w:rPr>
        <w:t>, פסקה 8 (10.5.2021) בו נקבע:</w:t>
      </w:r>
    </w:p>
    <w:p w14:paraId="68789AC8" w14:textId="77777777" w:rsidR="00AA17DA" w:rsidRDefault="00534B20" w:rsidP="00AA17DA">
      <w:pPr>
        <w:shd w:val="clear" w:color="auto" w:fill="FFFFFF"/>
        <w:jc w:val="both"/>
        <w:rPr>
          <w:rFonts w:cs="Times New Roman"/>
          <w:color w:val="222222"/>
          <w:rtl/>
        </w:rPr>
      </w:pPr>
      <w:r>
        <w:rPr>
          <w:rFonts w:ascii="David" w:hAnsi="David"/>
          <w:color w:val="222222"/>
          <w:rtl/>
        </w:rPr>
        <w:t xml:space="preserve"> </w:t>
      </w:r>
    </w:p>
    <w:p w14:paraId="75D6C757" w14:textId="77777777" w:rsidR="00AA17DA" w:rsidRDefault="00AA17DA" w:rsidP="00AA17DA">
      <w:pPr>
        <w:shd w:val="clear" w:color="auto" w:fill="FFFFFF"/>
        <w:ind w:left="1134" w:right="1134"/>
        <w:jc w:val="both"/>
        <w:rPr>
          <w:rFonts w:cs="Times New Roman"/>
          <w:color w:val="222222"/>
          <w:rtl/>
        </w:rPr>
      </w:pPr>
      <w:r>
        <w:rPr>
          <w:rFonts w:ascii="Miriam" w:hAnsi="Miriam" w:cs="Miriam"/>
          <w:color w:val="222222"/>
          <w:rtl/>
        </w:rPr>
        <w:lastRenderedPageBreak/>
        <w:t>"על בתי המשפט ליטול חלק במאבק בתופעה ההולכת וגדלה של הפצת סמים מסוכנים, תוך גזירת עונשים משמעותיים על החזקת סמים שלא לשימוש עצמי לשם הרתעת מבצעי העבירות. זאת, באופן שיש לקוות כי יסייע בקטיעת מערך הפצת הסמים, ובצמצום תופעה נפסדת זו".</w:t>
      </w:r>
    </w:p>
    <w:p w14:paraId="4BAA48E5" w14:textId="77777777" w:rsidR="00AA17DA" w:rsidRDefault="00AA17DA" w:rsidP="00AA17DA">
      <w:pPr>
        <w:shd w:val="clear" w:color="auto" w:fill="FFFFFF"/>
        <w:ind w:left="1134" w:right="1134"/>
        <w:jc w:val="both"/>
        <w:rPr>
          <w:rFonts w:cs="Times New Roman"/>
          <w:color w:val="222222"/>
          <w:rtl/>
        </w:rPr>
      </w:pPr>
    </w:p>
    <w:p w14:paraId="5EBB4F6F" w14:textId="77777777" w:rsidR="00AA17DA" w:rsidRDefault="00AA17DA" w:rsidP="00AA17DA">
      <w:pPr>
        <w:pStyle w:val="a9"/>
        <w:numPr>
          <w:ilvl w:val="0"/>
          <w:numId w:val="1"/>
        </w:numPr>
        <w:spacing w:line="360" w:lineRule="auto"/>
        <w:jc w:val="both"/>
        <w:rPr>
          <w:rFonts w:ascii="David" w:hAnsi="David"/>
        </w:rPr>
      </w:pPr>
      <w:r w:rsidRPr="00B35D19">
        <w:rPr>
          <w:rFonts w:ascii="David" w:hAnsi="David"/>
          <w:rtl/>
        </w:rPr>
        <w:t>ביחס למדיניות הענישה הנוהגת בע</w:t>
      </w:r>
      <w:r>
        <w:rPr>
          <w:rFonts w:ascii="David" w:hAnsi="David"/>
          <w:rtl/>
        </w:rPr>
        <w:t>בירות של החזקת סם מסוג קוקאין</w:t>
      </w:r>
      <w:r w:rsidRPr="00B35D19">
        <w:rPr>
          <w:rFonts w:ascii="David" w:hAnsi="David"/>
          <w:rtl/>
        </w:rPr>
        <w:t xml:space="preserve"> שלא לצריכה עצמית, אפנה למקרים הבאים:</w:t>
      </w:r>
      <w:r>
        <w:rPr>
          <w:rFonts w:ascii="David" w:hAnsi="David" w:hint="cs"/>
          <w:rtl/>
        </w:rPr>
        <w:t xml:space="preserve"> </w:t>
      </w:r>
      <w:r>
        <w:rPr>
          <w:rFonts w:ascii="David" w:hAnsi="David"/>
          <w:color w:val="222222"/>
          <w:rtl/>
        </w:rPr>
        <w:t>עפ"ג 65932-02-20</w:t>
      </w:r>
      <w:r w:rsidR="00534B20">
        <w:rPr>
          <w:rFonts w:ascii="David" w:hAnsi="David"/>
          <w:color w:val="222222"/>
          <w:rtl/>
        </w:rPr>
        <w:t xml:space="preserve"> </w:t>
      </w:r>
      <w:r>
        <w:rPr>
          <w:rFonts w:ascii="David" w:hAnsi="David"/>
          <w:b/>
          <w:bCs/>
          <w:color w:val="222222"/>
          <w:rtl/>
        </w:rPr>
        <w:t>מדינת ישראל נ' לולו</w:t>
      </w:r>
      <w:r w:rsidR="00534B20">
        <w:rPr>
          <w:rFonts w:ascii="David" w:hAnsi="David"/>
          <w:color w:val="222222"/>
          <w:rtl/>
        </w:rPr>
        <w:t xml:space="preserve"> </w:t>
      </w:r>
      <w:r>
        <w:rPr>
          <w:rFonts w:ascii="David" w:hAnsi="David"/>
          <w:color w:val="222222"/>
          <w:rtl/>
        </w:rPr>
        <w:t xml:space="preserve">(16.6.2020), בו הוחמר עונשו של נאשם והועמד על 32 חודשי מאסר בשל החזקת 15.8 גר' קוקאין ובתיק אחר כ-34 גר' קוקאין וכ-5 גר' קנבוס; </w:t>
      </w:r>
      <w:hyperlink r:id="rId15" w:history="1">
        <w:r w:rsidR="00534B20" w:rsidRPr="00534B20">
          <w:rPr>
            <w:rFonts w:ascii="David" w:hAnsi="David"/>
            <w:color w:val="0000FF"/>
            <w:u w:val="single"/>
            <w:rtl/>
          </w:rPr>
          <w:t>עפ"ג 37749-10-22</w:t>
        </w:r>
      </w:hyperlink>
      <w:r w:rsidR="00534B20">
        <w:rPr>
          <w:rFonts w:ascii="David" w:hAnsi="David"/>
          <w:color w:val="222222"/>
          <w:rtl/>
        </w:rPr>
        <w:t xml:space="preserve"> </w:t>
      </w:r>
      <w:r>
        <w:rPr>
          <w:rFonts w:ascii="David" w:hAnsi="David"/>
          <w:b/>
          <w:bCs/>
          <w:color w:val="222222"/>
          <w:rtl/>
        </w:rPr>
        <w:t>באסם אסמאעיל נ' מדינת ישראל</w:t>
      </w:r>
      <w:r w:rsidR="00534B20">
        <w:rPr>
          <w:rFonts w:ascii="David" w:hAnsi="David"/>
          <w:color w:val="222222"/>
          <w:rtl/>
        </w:rPr>
        <w:t xml:space="preserve"> </w:t>
      </w:r>
      <w:r>
        <w:rPr>
          <w:rFonts w:ascii="David" w:hAnsi="David"/>
          <w:color w:val="222222"/>
          <w:rtl/>
        </w:rPr>
        <w:t xml:space="preserve">(1.3.2023), בו נידון עניינו של נאשם שהורשע בהחזקת 23 גרם קוקאין, כשחמישה מתוכם לשימוש עצמי, ובהחזקת כלים ושידול להשמדת ראיה ונידון ל-15 חודשי מאסר בפועל; </w:t>
      </w:r>
      <w:hyperlink r:id="rId16" w:history="1">
        <w:r w:rsidR="00534B20" w:rsidRPr="00534B20">
          <w:rPr>
            <w:rFonts w:ascii="David" w:hAnsi="David"/>
            <w:color w:val="0000FF"/>
            <w:u w:val="single"/>
            <w:rtl/>
          </w:rPr>
          <w:t>עפ"ג 11305-09-22</w:t>
        </w:r>
      </w:hyperlink>
      <w:r w:rsidR="00534B20">
        <w:rPr>
          <w:rFonts w:ascii="David" w:hAnsi="David"/>
          <w:color w:val="222222"/>
          <w:rtl/>
        </w:rPr>
        <w:t xml:space="preserve"> </w:t>
      </w:r>
      <w:r>
        <w:rPr>
          <w:rFonts w:ascii="David" w:hAnsi="David"/>
          <w:b/>
          <w:bCs/>
          <w:color w:val="222222"/>
          <w:rtl/>
        </w:rPr>
        <w:t>מחמד סלאמין נ' מדינת ישראל</w:t>
      </w:r>
      <w:r w:rsidR="00534B20">
        <w:rPr>
          <w:rFonts w:ascii="David" w:hAnsi="David"/>
          <w:color w:val="222222"/>
          <w:rtl/>
        </w:rPr>
        <w:t xml:space="preserve"> </w:t>
      </w:r>
      <w:r>
        <w:rPr>
          <w:rFonts w:ascii="David" w:hAnsi="David"/>
          <w:color w:val="222222"/>
          <w:rtl/>
        </w:rPr>
        <w:t>(22.9.2022), בו נקבע כי מתחם הענישה בשל החזקת 10 גרם קוקאין ו-180 כדורי</w:t>
      </w:r>
      <w:r w:rsidR="00534B20">
        <w:rPr>
          <w:rFonts w:ascii="David" w:hAnsi="David"/>
          <w:color w:val="222222"/>
          <w:rtl/>
        </w:rPr>
        <w:t xml:space="preserve"> </w:t>
      </w:r>
      <w:r>
        <w:rPr>
          <w:rFonts w:ascii="David" w:hAnsi="David"/>
          <w:color w:val="222222"/>
        </w:rPr>
        <w:t>MDMA</w:t>
      </w:r>
      <w:r>
        <w:rPr>
          <w:rFonts w:ascii="David" w:hAnsi="David" w:hint="cs"/>
          <w:color w:val="222222"/>
          <w:rtl/>
        </w:rPr>
        <w:t xml:space="preserve"> עולה על שנת מאסר בפועל בחלקו התחתון; </w:t>
      </w:r>
      <w:hyperlink r:id="rId17" w:history="1">
        <w:r w:rsidR="00534B20" w:rsidRPr="00534B20">
          <w:rPr>
            <w:rFonts w:ascii="David" w:hAnsi="David"/>
            <w:color w:val="0000FF"/>
            <w:u w:val="single"/>
            <w:rtl/>
          </w:rPr>
          <w:t>ת"פ 4712-02-24</w:t>
        </w:r>
      </w:hyperlink>
      <w:r>
        <w:rPr>
          <w:rFonts w:ascii="David" w:hAnsi="David" w:hint="cs"/>
          <w:rtl/>
        </w:rPr>
        <w:t xml:space="preserve"> </w:t>
      </w:r>
      <w:r>
        <w:rPr>
          <w:rFonts w:ascii="David" w:hAnsi="David" w:hint="cs"/>
          <w:b/>
          <w:bCs/>
          <w:rtl/>
        </w:rPr>
        <w:t>מדינת ישראל נ' יפרח</w:t>
      </w:r>
      <w:r>
        <w:rPr>
          <w:rFonts w:ascii="David" w:hAnsi="David" w:hint="cs"/>
          <w:rtl/>
        </w:rPr>
        <w:t xml:space="preserve"> (19.8.2024), בו נידון עניינו של נאשם שהחזיק 5 גרם קוקאין,</w:t>
      </w:r>
      <w:r w:rsidRPr="00505F72">
        <w:rPr>
          <w:rFonts w:ascii="David" w:hAnsi="David"/>
          <w:rtl/>
        </w:rPr>
        <w:t xml:space="preserve">  </w:t>
      </w:r>
      <w:r w:rsidRPr="00717C8D">
        <w:rPr>
          <w:rFonts w:ascii="David" w:hAnsi="David"/>
          <w:sz w:val="22"/>
          <w:szCs w:val="22"/>
        </w:rPr>
        <w:t>MDMA</w:t>
      </w:r>
      <w:r w:rsidRPr="00505F72">
        <w:rPr>
          <w:rFonts w:ascii="David" w:hAnsi="David"/>
          <w:rtl/>
        </w:rPr>
        <w:t xml:space="preserve"> במשקל 4.9306 גרם נטו</w:t>
      </w:r>
      <w:r>
        <w:rPr>
          <w:rFonts w:ascii="David" w:hAnsi="David" w:hint="cs"/>
          <w:rtl/>
        </w:rPr>
        <w:t xml:space="preserve">, חשיש וקנביס. נקבע מתחם ענישה הנע בין 8-24 חודשי מאסר והנאשם נידון ל-12 חודשי מאסר בפועל; </w:t>
      </w:r>
      <w:hyperlink r:id="rId18" w:history="1">
        <w:r w:rsidR="00534B20" w:rsidRPr="00534B20">
          <w:rPr>
            <w:rFonts w:ascii="David" w:hAnsi="David"/>
            <w:color w:val="0000FF"/>
            <w:u w:val="single"/>
            <w:rtl/>
          </w:rPr>
          <w:t>ת"פ 59017-02-21</w:t>
        </w:r>
      </w:hyperlink>
      <w:r w:rsidRPr="00505F72">
        <w:rPr>
          <w:rFonts w:ascii="David" w:hAnsi="David"/>
          <w:rtl/>
        </w:rPr>
        <w:t xml:space="preserve"> </w:t>
      </w:r>
      <w:r w:rsidRPr="00505F72">
        <w:rPr>
          <w:rFonts w:ascii="David" w:hAnsi="David"/>
          <w:b/>
          <w:bCs/>
          <w:rtl/>
        </w:rPr>
        <w:t>מדינת ישראל נ' אלירן מויאל</w:t>
      </w:r>
      <w:r w:rsidRPr="00505F72">
        <w:rPr>
          <w:rFonts w:ascii="David" w:hAnsi="David"/>
          <w:rtl/>
        </w:rPr>
        <w:t xml:space="preserve"> (12.9.2022), בו נקבע מתחם ענישה הנע בין 3 חודשי מאסר לריצוי בעבודות שירות לבין 9 חודשי מאסר בפועל בגין החזקת קוקאין במשקל 1.2 גרם; </w:t>
      </w:r>
      <w:hyperlink r:id="rId19" w:history="1">
        <w:r w:rsidR="00534B20" w:rsidRPr="00534B20">
          <w:rPr>
            <w:rFonts w:ascii="David" w:hAnsi="David"/>
            <w:color w:val="0000FF"/>
            <w:u w:val="single"/>
            <w:rtl/>
          </w:rPr>
          <w:t>ת"פ 39391-05-23</w:t>
        </w:r>
      </w:hyperlink>
      <w:r w:rsidRPr="00505F72">
        <w:rPr>
          <w:rFonts w:ascii="David" w:hAnsi="David"/>
          <w:rtl/>
        </w:rPr>
        <w:t xml:space="preserve"> </w:t>
      </w:r>
      <w:r w:rsidRPr="00505F72">
        <w:rPr>
          <w:rFonts w:ascii="David" w:hAnsi="David"/>
          <w:b/>
          <w:bCs/>
          <w:rtl/>
        </w:rPr>
        <w:t>מדינת ישראל נ' זאהי אלאעסם</w:t>
      </w:r>
      <w:r w:rsidRPr="00505F72">
        <w:rPr>
          <w:rFonts w:ascii="David" w:hAnsi="David"/>
          <w:rtl/>
        </w:rPr>
        <w:t xml:space="preserve"> (13.6.2024), בו נקבע מתחם ענישה הנע בין 7-16 חודשי מאסר בפועל בגין החזקת 1.216 גרם קוקאין מחולק ל-8 יחידות ובית המשפט סטה לקולה ממתחם הענישה והסתפק בענישה שיקומית.</w:t>
      </w:r>
    </w:p>
    <w:p w14:paraId="52E331C9" w14:textId="77777777" w:rsidR="00AA17DA" w:rsidRPr="00CB3FEA" w:rsidRDefault="00AA17DA" w:rsidP="00AA17DA">
      <w:pPr>
        <w:pStyle w:val="a9"/>
        <w:ind w:left="0"/>
        <w:jc w:val="both"/>
        <w:rPr>
          <w:rFonts w:ascii="David" w:hAnsi="David"/>
        </w:rPr>
      </w:pPr>
    </w:p>
    <w:p w14:paraId="70F9CB67" w14:textId="77777777" w:rsidR="00AA17DA" w:rsidRDefault="00AA17DA" w:rsidP="00AA17DA">
      <w:pPr>
        <w:pStyle w:val="a9"/>
        <w:numPr>
          <w:ilvl w:val="0"/>
          <w:numId w:val="1"/>
        </w:numPr>
        <w:spacing w:line="360" w:lineRule="auto"/>
        <w:jc w:val="both"/>
        <w:rPr>
          <w:rFonts w:ascii="David" w:hAnsi="David"/>
        </w:rPr>
      </w:pPr>
      <w:r w:rsidRPr="00B35D19">
        <w:rPr>
          <w:rFonts w:ascii="David" w:hAnsi="David"/>
          <w:rtl/>
        </w:rPr>
        <w:t>לאור כך, דעתי ה</w:t>
      </w:r>
      <w:r>
        <w:rPr>
          <w:rFonts w:ascii="David" w:hAnsi="David"/>
          <w:rtl/>
        </w:rPr>
        <w:t>יא שמתחם הענישה ההולם את העביר</w:t>
      </w:r>
      <w:r>
        <w:rPr>
          <w:rFonts w:ascii="David" w:hAnsi="David" w:hint="cs"/>
          <w:rtl/>
        </w:rPr>
        <w:t>ה</w:t>
      </w:r>
      <w:r>
        <w:rPr>
          <w:rFonts w:ascii="David" w:hAnsi="David"/>
          <w:rtl/>
        </w:rPr>
        <w:t xml:space="preserve"> שביצע הנאשם, בנסיבות ביצוע</w:t>
      </w:r>
      <w:r>
        <w:rPr>
          <w:rFonts w:ascii="David" w:hAnsi="David" w:hint="cs"/>
          <w:rtl/>
        </w:rPr>
        <w:t>ה</w:t>
      </w:r>
      <w:r w:rsidRPr="00B35D19">
        <w:rPr>
          <w:rFonts w:ascii="David" w:hAnsi="David"/>
          <w:rtl/>
        </w:rPr>
        <w:t xml:space="preserve">, נע בין </w:t>
      </w:r>
      <w:r>
        <w:rPr>
          <w:rFonts w:ascii="David" w:hAnsi="David" w:hint="cs"/>
          <w:rtl/>
        </w:rPr>
        <w:t xml:space="preserve">6-20 </w:t>
      </w:r>
      <w:r w:rsidRPr="00B35D19">
        <w:rPr>
          <w:rFonts w:ascii="David" w:hAnsi="David"/>
          <w:rtl/>
        </w:rPr>
        <w:t>חודשי מאסר בפועל.</w:t>
      </w:r>
    </w:p>
    <w:p w14:paraId="39FD1106" w14:textId="77777777" w:rsidR="00AA17DA" w:rsidRPr="00505F72" w:rsidRDefault="00AA17DA" w:rsidP="00AA17DA">
      <w:pPr>
        <w:pStyle w:val="a9"/>
        <w:rPr>
          <w:rFonts w:ascii="David" w:hAnsi="David"/>
          <w:rtl/>
        </w:rPr>
      </w:pPr>
    </w:p>
    <w:p w14:paraId="3C82EE85" w14:textId="77777777" w:rsidR="00AA17DA" w:rsidRPr="00505F72" w:rsidRDefault="00AA17DA" w:rsidP="00AA17DA">
      <w:pPr>
        <w:pStyle w:val="a9"/>
        <w:spacing w:line="360" w:lineRule="auto"/>
        <w:ind w:left="0"/>
        <w:jc w:val="both"/>
        <w:rPr>
          <w:rFonts w:ascii="David" w:hAnsi="David"/>
          <w:b/>
          <w:bCs/>
          <w:u w:val="single"/>
        </w:rPr>
      </w:pPr>
      <w:r>
        <w:rPr>
          <w:rFonts w:ascii="David" w:hAnsi="David" w:hint="cs"/>
          <w:b/>
          <w:bCs/>
          <w:u w:val="single"/>
          <w:rtl/>
        </w:rPr>
        <w:t>קביעת עונשו של הנאשם</w:t>
      </w:r>
    </w:p>
    <w:p w14:paraId="060527E8" w14:textId="77777777" w:rsidR="00AA17DA" w:rsidRPr="00505F72" w:rsidRDefault="00AA17DA" w:rsidP="00AA17DA">
      <w:pPr>
        <w:pStyle w:val="a9"/>
        <w:rPr>
          <w:rFonts w:ascii="David" w:hAnsi="David"/>
          <w:rtl/>
        </w:rPr>
      </w:pPr>
    </w:p>
    <w:p w14:paraId="0ED89C9E" w14:textId="77777777" w:rsidR="00AA17DA" w:rsidRDefault="00AA17DA" w:rsidP="00AA17DA">
      <w:pPr>
        <w:pStyle w:val="a9"/>
        <w:numPr>
          <w:ilvl w:val="0"/>
          <w:numId w:val="1"/>
        </w:numPr>
        <w:spacing w:line="360" w:lineRule="auto"/>
        <w:jc w:val="both"/>
        <w:rPr>
          <w:rFonts w:ascii="David" w:hAnsi="David"/>
        </w:rPr>
      </w:pPr>
      <w:r>
        <w:rPr>
          <w:rFonts w:ascii="David" w:hAnsi="David" w:hint="cs"/>
          <w:rtl/>
        </w:rPr>
        <w:t xml:space="preserve">נקודת המוצא היא שאין מחלוקת בין הצדדים בדבר כך שקיימים סיכויי שיקום המצדיקים חריגה ממתחם הענישה. המחלוקת היא מידת החריגה ובכלל זה האם ניתן להסתפק בצו של"צ או שמא מתחייב עונש מאסר בעבודות שירות. </w:t>
      </w:r>
    </w:p>
    <w:p w14:paraId="26FD08C1" w14:textId="77777777" w:rsidR="00AA17DA" w:rsidRDefault="00AA17DA" w:rsidP="00AA17DA">
      <w:pPr>
        <w:pStyle w:val="a9"/>
        <w:ind w:left="0"/>
        <w:jc w:val="both"/>
        <w:rPr>
          <w:rFonts w:ascii="David" w:hAnsi="David"/>
        </w:rPr>
      </w:pPr>
    </w:p>
    <w:p w14:paraId="5445A629" w14:textId="77777777" w:rsidR="00AA17DA" w:rsidRDefault="00AA17DA" w:rsidP="00AA17DA">
      <w:pPr>
        <w:pStyle w:val="a9"/>
        <w:numPr>
          <w:ilvl w:val="0"/>
          <w:numId w:val="1"/>
        </w:numPr>
        <w:spacing w:line="360" w:lineRule="auto"/>
        <w:jc w:val="both"/>
        <w:rPr>
          <w:rFonts w:ascii="David" w:hAnsi="David"/>
        </w:rPr>
      </w:pPr>
      <w:r w:rsidRPr="00061B7C">
        <w:rPr>
          <w:rFonts w:ascii="David" w:hAnsi="David"/>
          <w:rtl/>
        </w:rPr>
        <w:t xml:space="preserve">אקדים ואומר כי עמדת הצדדים בדבר קיומם של סיכויי שיקום מקובלת עלי. הנאשם הוא צעיר כבן </w:t>
      </w:r>
      <w:r w:rsidRPr="00061B7C">
        <w:rPr>
          <w:rFonts w:ascii="David" w:hAnsi="David" w:hint="cs"/>
          <w:rtl/>
        </w:rPr>
        <w:t>34</w:t>
      </w:r>
      <w:r w:rsidRPr="00061B7C">
        <w:rPr>
          <w:rFonts w:ascii="David" w:hAnsi="David"/>
          <w:rtl/>
        </w:rPr>
        <w:t xml:space="preserve">. הוא קיבל אחריות מלאה למעשיו </w:t>
      </w:r>
      <w:r w:rsidRPr="00061B7C">
        <w:rPr>
          <w:rFonts w:ascii="David" w:hAnsi="David" w:hint="cs"/>
          <w:rtl/>
        </w:rPr>
        <w:t>והביע נכונות להשתלב</w:t>
      </w:r>
      <w:r w:rsidRPr="00061B7C">
        <w:rPr>
          <w:rFonts w:ascii="David" w:hAnsi="David"/>
          <w:rtl/>
        </w:rPr>
        <w:t xml:space="preserve"> בהליך טיפולי.</w:t>
      </w:r>
      <w:r w:rsidRPr="00061B7C">
        <w:rPr>
          <w:rFonts w:ascii="David" w:hAnsi="David" w:hint="cs"/>
          <w:rtl/>
        </w:rPr>
        <w:t xml:space="preserve"> קצינת המבחן התרשמה </w:t>
      </w:r>
      <w:r>
        <w:rPr>
          <w:rFonts w:ascii="David" w:hAnsi="David" w:hint="cs"/>
          <w:rtl/>
        </w:rPr>
        <w:t>ש</w:t>
      </w:r>
      <w:r w:rsidRPr="00061B7C">
        <w:rPr>
          <w:rFonts w:ascii="David" w:hAnsi="David" w:hint="cs"/>
          <w:rtl/>
        </w:rPr>
        <w:t>ביכולתו להפיק תועלת מהליך טיפולי בתחום ההתמכרויות ו</w:t>
      </w:r>
      <w:r>
        <w:rPr>
          <w:rFonts w:ascii="David" w:hAnsi="David" w:hint="cs"/>
          <w:rtl/>
        </w:rPr>
        <w:t xml:space="preserve">שאף </w:t>
      </w:r>
      <w:r w:rsidRPr="00061B7C">
        <w:rPr>
          <w:rFonts w:ascii="David" w:hAnsi="David" w:hint="cs"/>
          <w:rtl/>
        </w:rPr>
        <w:t xml:space="preserve">יהיה בו כדי להפחית משמעותית את הסיכון להישנות עבירות. </w:t>
      </w:r>
      <w:r>
        <w:rPr>
          <w:rFonts w:ascii="David" w:hAnsi="David" w:hint="cs"/>
          <w:rtl/>
        </w:rPr>
        <w:t>הנאשם</w:t>
      </w:r>
      <w:r w:rsidRPr="00061B7C">
        <w:rPr>
          <w:rFonts w:ascii="David" w:hAnsi="David" w:hint="cs"/>
          <w:rtl/>
        </w:rPr>
        <w:t xml:space="preserve"> מסר בדיקות שתן נקיות משרידי סם, הכיר בפסול שבמעשיו וסיפר על תפקודו החיובי. מאז ביצוע העבירה חלפו כשלוש שנים במהלכן לא נפתחו נגדו תיקים נוספים. </w:t>
      </w:r>
      <w:r w:rsidRPr="00061B7C">
        <w:rPr>
          <w:rFonts w:ascii="David" w:hAnsi="David"/>
          <w:rtl/>
        </w:rPr>
        <w:t>כל אלו מלמדים על סיכויי שיקום המצדיקים חריגה ממתחם הענישה (</w:t>
      </w:r>
      <w:hyperlink r:id="rId20" w:history="1">
        <w:r w:rsidR="00534B20" w:rsidRPr="00534B20">
          <w:rPr>
            <w:rFonts w:ascii="David" w:hAnsi="David"/>
            <w:color w:val="0000FF"/>
            <w:u w:val="single"/>
            <w:rtl/>
          </w:rPr>
          <w:t>ע"פ 6637/17</w:t>
        </w:r>
      </w:hyperlink>
      <w:r w:rsidRPr="00061B7C">
        <w:rPr>
          <w:rFonts w:ascii="David" w:hAnsi="David"/>
          <w:rtl/>
        </w:rPr>
        <w:t xml:space="preserve"> </w:t>
      </w:r>
      <w:r w:rsidRPr="00061B7C">
        <w:rPr>
          <w:rFonts w:ascii="David" w:hAnsi="David"/>
          <w:b/>
          <w:bCs/>
          <w:rtl/>
        </w:rPr>
        <w:t>אליזבת קרנדל נ' מדינת ישראל</w:t>
      </w:r>
      <w:r w:rsidRPr="00061B7C">
        <w:rPr>
          <w:rFonts w:ascii="David" w:hAnsi="David"/>
          <w:rtl/>
        </w:rPr>
        <w:t xml:space="preserve"> (18.4.2018), פסקאות 23-25 לפסק דינה של כב' השופטת ברק-ארז) כן ראו </w:t>
      </w:r>
      <w:hyperlink r:id="rId21" w:history="1">
        <w:r w:rsidR="00534B20" w:rsidRPr="00534B20">
          <w:rPr>
            <w:rFonts w:ascii="David" w:hAnsi="David"/>
            <w:color w:val="0000FF"/>
            <w:u w:val="single"/>
            <w:rtl/>
          </w:rPr>
          <w:t>רע"פ 7683/13</w:t>
        </w:r>
      </w:hyperlink>
      <w:r w:rsidRPr="00061B7C">
        <w:rPr>
          <w:rFonts w:ascii="David" w:hAnsi="David"/>
          <w:rtl/>
        </w:rPr>
        <w:t xml:space="preserve"> </w:t>
      </w:r>
      <w:r w:rsidRPr="00061B7C">
        <w:rPr>
          <w:rFonts w:ascii="David" w:hAnsi="David"/>
          <w:b/>
          <w:bCs/>
          <w:rtl/>
        </w:rPr>
        <w:t>דוד פרלמן נ' מדינת ישראל</w:t>
      </w:r>
      <w:r w:rsidRPr="00061B7C">
        <w:rPr>
          <w:rFonts w:ascii="David" w:hAnsi="David"/>
          <w:rtl/>
        </w:rPr>
        <w:t xml:space="preserve"> (23.2.2014)). </w:t>
      </w:r>
    </w:p>
    <w:p w14:paraId="0F0448C4" w14:textId="77777777" w:rsidR="00AA17DA" w:rsidRDefault="00AA17DA" w:rsidP="00AA17DA">
      <w:pPr>
        <w:pStyle w:val="a9"/>
        <w:rPr>
          <w:rFonts w:ascii="David" w:hAnsi="David"/>
          <w:rtl/>
        </w:rPr>
      </w:pPr>
    </w:p>
    <w:p w14:paraId="326840D3" w14:textId="77777777" w:rsidR="00AA17DA" w:rsidRPr="00061B7C" w:rsidRDefault="00AA17DA" w:rsidP="00AA17DA">
      <w:pPr>
        <w:pStyle w:val="a9"/>
        <w:numPr>
          <w:ilvl w:val="0"/>
          <w:numId w:val="1"/>
        </w:numPr>
        <w:spacing w:line="360" w:lineRule="auto"/>
        <w:jc w:val="both"/>
        <w:rPr>
          <w:rFonts w:ascii="David" w:hAnsi="David"/>
        </w:rPr>
      </w:pPr>
      <w:r>
        <w:rPr>
          <w:rFonts w:ascii="David" w:hAnsi="David"/>
          <w:rtl/>
        </w:rPr>
        <w:t xml:space="preserve">השאלה היא </w:t>
      </w:r>
      <w:r>
        <w:rPr>
          <w:rFonts w:ascii="David" w:hAnsi="David" w:hint="cs"/>
          <w:rtl/>
        </w:rPr>
        <w:t xml:space="preserve">כאמור </w:t>
      </w:r>
      <w:r>
        <w:rPr>
          <w:rFonts w:ascii="David" w:hAnsi="David"/>
          <w:rtl/>
        </w:rPr>
        <w:t xml:space="preserve">מידת החריגה הראויה </w:t>
      </w:r>
      <w:r>
        <w:rPr>
          <w:rFonts w:ascii="David" w:hAnsi="David" w:hint="cs"/>
          <w:rtl/>
        </w:rPr>
        <w:t xml:space="preserve">ולאחר שבחנתי את מכלול השיקולים ובכלל זה את ההודאה; העבר הקל יחסית; חלוף הזמן והעובדה שלא נפתחו תיקים נוספים מאז; והתרשמות שירות המבחן מהנאשם ומיכולתו להפיק תועלת מהליך טיפולי, סברתי שיש מקום לאמץ את המלצות התסקיר ולקבל את עתירת ההגנה. אכן, צו של"צ אינו דומה בחומרתו לעונש מאסר בעבודות שירות, הן מבחינה נורמטיבית והן מעשית, ואולם שירות המבחן המליץ על צו של"צ בהיקף משמעותי של 300 שעות כך שאין לומר שהנאשם אינו נענש באופן מוחשי. עונש זה יאפשר אף לנאשם להמשיך במקום העבודה והדבר צוין בתסקיר כחשוב לצורך שיקומו. כן אציין שיוטל על הנאשם צו מבחן והוא </w:t>
      </w:r>
      <w:r w:rsidRPr="00BC4796">
        <w:rPr>
          <w:rFonts w:ascii="David" w:hAnsi="David"/>
          <w:rtl/>
        </w:rPr>
        <w:t>אינו מסיים את ההליך</w:t>
      </w:r>
      <w:r>
        <w:rPr>
          <w:rFonts w:ascii="David" w:hAnsi="David" w:hint="cs"/>
          <w:rtl/>
        </w:rPr>
        <w:t xml:space="preserve"> כעת</w:t>
      </w:r>
      <w:r w:rsidRPr="00BC4796">
        <w:rPr>
          <w:rFonts w:ascii="David" w:hAnsi="David"/>
          <w:rtl/>
        </w:rPr>
        <w:t xml:space="preserve"> ו</w:t>
      </w:r>
      <w:r>
        <w:rPr>
          <w:rFonts w:ascii="David" w:hAnsi="David" w:hint="cs"/>
          <w:rtl/>
        </w:rPr>
        <w:t xml:space="preserve">לכן </w:t>
      </w:r>
      <w:r w:rsidRPr="00BC4796">
        <w:rPr>
          <w:rFonts w:ascii="David" w:hAnsi="David"/>
          <w:rtl/>
        </w:rPr>
        <w:t>אם לא יקיים את הצווים כנדרש, קל וחומר אם יעבור עבירה נוספת, הוא ישוב ליתן את הדין וניתן יהיה להטיל עליו עונשים נוספים.</w:t>
      </w:r>
    </w:p>
    <w:p w14:paraId="648BAC47" w14:textId="77777777" w:rsidR="00AA17DA" w:rsidRPr="005E32CC" w:rsidRDefault="00AA17DA" w:rsidP="00AA17DA">
      <w:pPr>
        <w:pStyle w:val="a9"/>
        <w:rPr>
          <w:rFonts w:ascii="David" w:hAnsi="David"/>
          <w:rtl/>
        </w:rPr>
      </w:pPr>
    </w:p>
    <w:p w14:paraId="5D5D0086" w14:textId="77777777" w:rsidR="00AA17DA" w:rsidRDefault="00AA17DA" w:rsidP="00AA17DA">
      <w:pPr>
        <w:pStyle w:val="a9"/>
        <w:numPr>
          <w:ilvl w:val="0"/>
          <w:numId w:val="1"/>
        </w:numPr>
        <w:spacing w:line="360" w:lineRule="auto"/>
        <w:jc w:val="both"/>
        <w:rPr>
          <w:rFonts w:ascii="David" w:hAnsi="David"/>
        </w:rPr>
      </w:pPr>
      <w:r>
        <w:rPr>
          <w:rFonts w:ascii="David" w:hAnsi="David" w:hint="cs"/>
          <w:rtl/>
        </w:rPr>
        <w:t xml:space="preserve">נקודה נוספת הראויה להתייחסות היא </w:t>
      </w:r>
      <w:r>
        <w:rPr>
          <w:rFonts w:ascii="David" w:hAnsi="David"/>
          <w:rtl/>
        </w:rPr>
        <w:t>השיהוי המשמעותי</w:t>
      </w:r>
      <w:r w:rsidRPr="000A39BD">
        <w:rPr>
          <w:rFonts w:ascii="David" w:hAnsi="David"/>
          <w:rtl/>
        </w:rPr>
        <w:t xml:space="preserve"> שבהגשת כתב האישום. </w:t>
      </w:r>
      <w:r>
        <w:rPr>
          <w:rFonts w:ascii="David" w:hAnsi="David" w:hint="cs"/>
          <w:rtl/>
        </w:rPr>
        <w:t>העבירות בוצעו בחודש 1/22 בעוד שכתב האישום הוגש כשנתיים לאחר מכן, בחודש 1/24.</w:t>
      </w:r>
      <w:r w:rsidRPr="000A39BD">
        <w:rPr>
          <w:rFonts w:ascii="David" w:hAnsi="David"/>
          <w:rtl/>
        </w:rPr>
        <w:t xml:space="preserve"> המאשימה לא מסרה</w:t>
      </w:r>
      <w:r>
        <w:rPr>
          <w:rFonts w:ascii="David" w:hAnsi="David" w:hint="cs"/>
          <w:rtl/>
        </w:rPr>
        <w:t xml:space="preserve"> כל</w:t>
      </w:r>
      <w:r w:rsidRPr="000A39BD">
        <w:rPr>
          <w:rFonts w:ascii="David" w:hAnsi="David"/>
          <w:rtl/>
        </w:rPr>
        <w:t xml:space="preserve"> הסבר </w:t>
      </w:r>
      <w:r>
        <w:rPr>
          <w:rFonts w:ascii="David" w:hAnsi="David"/>
          <w:rtl/>
        </w:rPr>
        <w:t xml:space="preserve">לשיהוי </w:t>
      </w:r>
      <w:r>
        <w:rPr>
          <w:rFonts w:ascii="David" w:hAnsi="David" w:hint="cs"/>
          <w:rtl/>
        </w:rPr>
        <w:t xml:space="preserve">משמעותי </w:t>
      </w:r>
      <w:r>
        <w:rPr>
          <w:rFonts w:ascii="David" w:hAnsi="David"/>
          <w:rtl/>
        </w:rPr>
        <w:t>זה</w:t>
      </w:r>
      <w:r>
        <w:rPr>
          <w:rFonts w:ascii="David" w:hAnsi="David" w:hint="cs"/>
          <w:rtl/>
        </w:rPr>
        <w:t xml:space="preserve"> ו</w:t>
      </w:r>
      <w:r w:rsidRPr="00BC4796">
        <w:rPr>
          <w:rFonts w:ascii="David" w:hAnsi="David"/>
          <w:rtl/>
        </w:rPr>
        <w:t>כידוע לשיהוי משמעותי נפקות לעניין הענישה (</w:t>
      </w:r>
      <w:hyperlink r:id="rId22" w:history="1">
        <w:r w:rsidR="00B6303D" w:rsidRPr="00B6303D">
          <w:rPr>
            <w:rStyle w:val="Hyperlink"/>
            <w:rFonts w:ascii="David" w:hAnsi="David"/>
            <w:color w:val="0000FF"/>
            <w:rtl/>
          </w:rPr>
          <w:t>סעיף 40יא'(10)</w:t>
        </w:r>
      </w:hyperlink>
      <w:r w:rsidRPr="00BC4796">
        <w:rPr>
          <w:rFonts w:ascii="David" w:hAnsi="David"/>
          <w:rtl/>
        </w:rPr>
        <w:t xml:space="preserve"> ל</w:t>
      </w:r>
      <w:hyperlink r:id="rId23" w:history="1">
        <w:r w:rsidR="00534B20" w:rsidRPr="00534B20">
          <w:rPr>
            <w:rFonts w:ascii="David" w:hAnsi="David"/>
            <w:color w:val="0000FF"/>
            <w:u w:val="single"/>
            <w:rtl/>
          </w:rPr>
          <w:t>חוק העונשין</w:t>
        </w:r>
      </w:hyperlink>
      <w:r w:rsidRPr="00BC4796">
        <w:rPr>
          <w:rFonts w:ascii="David" w:hAnsi="David"/>
          <w:rtl/>
        </w:rPr>
        <w:t xml:space="preserve">; </w:t>
      </w:r>
      <w:hyperlink r:id="rId24" w:history="1">
        <w:r w:rsidR="00534B20" w:rsidRPr="00534B20">
          <w:rPr>
            <w:rFonts w:ascii="David" w:hAnsi="David"/>
            <w:color w:val="0000FF"/>
            <w:u w:val="single"/>
            <w:rtl/>
          </w:rPr>
          <w:t>רע"פ 1611/16</w:t>
        </w:r>
      </w:hyperlink>
      <w:r w:rsidRPr="00BC4796">
        <w:rPr>
          <w:rFonts w:ascii="David" w:hAnsi="David"/>
          <w:rtl/>
        </w:rPr>
        <w:t xml:space="preserve"> </w:t>
      </w:r>
      <w:r w:rsidRPr="00BC4796">
        <w:rPr>
          <w:rFonts w:ascii="David" w:hAnsi="David"/>
          <w:b/>
          <w:bCs/>
          <w:rtl/>
        </w:rPr>
        <w:t>מדינת ישראל נ' יוסף ורדי</w:t>
      </w:r>
      <w:r w:rsidRPr="00BC4796">
        <w:rPr>
          <w:rFonts w:ascii="David" w:hAnsi="David"/>
          <w:rtl/>
        </w:rPr>
        <w:t xml:space="preserve"> (31.10.2018); פסקה 109 לפסק דינו ש</w:t>
      </w:r>
      <w:r>
        <w:rPr>
          <w:rFonts w:ascii="David" w:hAnsi="David"/>
          <w:rtl/>
        </w:rPr>
        <w:t>ל המשנה לנשיאה, כב' השופט מלצר)</w:t>
      </w:r>
      <w:r>
        <w:rPr>
          <w:rFonts w:ascii="David" w:hAnsi="David" w:hint="cs"/>
          <w:rtl/>
        </w:rPr>
        <w:t xml:space="preserve">. </w:t>
      </w:r>
      <w:r w:rsidRPr="00BC4796">
        <w:rPr>
          <w:rFonts w:ascii="David" w:hAnsi="David"/>
          <w:rtl/>
        </w:rPr>
        <w:t xml:space="preserve">בפסיקה נקבע ששיהוי משמעותי עשוי להביא במקרים </w:t>
      </w:r>
      <w:r>
        <w:rPr>
          <w:rFonts w:ascii="David" w:hAnsi="David" w:hint="cs"/>
          <w:rtl/>
        </w:rPr>
        <w:t xml:space="preserve">מתאימים </w:t>
      </w:r>
      <w:r w:rsidRPr="00BC4796">
        <w:rPr>
          <w:rFonts w:ascii="David" w:hAnsi="David"/>
          <w:rtl/>
        </w:rPr>
        <w:t>אף להימנעות מהטלת עונש מאסר, מקום בו אפשר והיה מקום להטילו אלמלא השיהוי (</w:t>
      </w:r>
      <w:hyperlink r:id="rId25" w:history="1">
        <w:r w:rsidR="00534B20" w:rsidRPr="00534B20">
          <w:rPr>
            <w:rFonts w:ascii="David" w:hAnsi="David"/>
            <w:color w:val="0000FF"/>
            <w:u w:val="single"/>
            <w:rtl/>
          </w:rPr>
          <w:t>ע"פ 8421/12</w:t>
        </w:r>
      </w:hyperlink>
      <w:r w:rsidRPr="00BC4796">
        <w:rPr>
          <w:rFonts w:ascii="David" w:hAnsi="David"/>
          <w:rtl/>
        </w:rPr>
        <w:t xml:space="preserve"> </w:t>
      </w:r>
      <w:r w:rsidRPr="00BC4796">
        <w:rPr>
          <w:rFonts w:ascii="David" w:hAnsi="David"/>
          <w:b/>
          <w:bCs/>
          <w:rtl/>
        </w:rPr>
        <w:t>ינון בן חיים נ' מדינת ישראל</w:t>
      </w:r>
      <w:r w:rsidRPr="00BC4796">
        <w:rPr>
          <w:rFonts w:ascii="David" w:hAnsi="David"/>
          <w:rtl/>
        </w:rPr>
        <w:t xml:space="preserve"> (29.9.2013); </w:t>
      </w:r>
      <w:hyperlink r:id="rId26" w:history="1">
        <w:r w:rsidR="00534B20" w:rsidRPr="00534B20">
          <w:rPr>
            <w:rFonts w:ascii="David" w:hAnsi="David"/>
            <w:color w:val="0000FF"/>
            <w:u w:val="single"/>
            <w:rtl/>
          </w:rPr>
          <w:t>ע"פ 5822/08</w:t>
        </w:r>
      </w:hyperlink>
      <w:r w:rsidRPr="00BC4796">
        <w:rPr>
          <w:rFonts w:ascii="David" w:hAnsi="David"/>
          <w:rtl/>
        </w:rPr>
        <w:t xml:space="preserve"> </w:t>
      </w:r>
      <w:r w:rsidRPr="00BC4796">
        <w:rPr>
          <w:rFonts w:ascii="David" w:hAnsi="David"/>
          <w:b/>
          <w:bCs/>
          <w:rtl/>
        </w:rPr>
        <w:t>טרייטל נ' מדינת ישראל</w:t>
      </w:r>
      <w:r w:rsidRPr="00BC4796">
        <w:rPr>
          <w:rFonts w:ascii="David" w:hAnsi="David"/>
          <w:rtl/>
        </w:rPr>
        <w:t xml:space="preserve">, פסקה 37 (12.3.2009)). </w:t>
      </w:r>
      <w:r>
        <w:rPr>
          <w:rFonts w:ascii="David" w:hAnsi="David" w:hint="cs"/>
          <w:rtl/>
        </w:rPr>
        <w:t>שילוב סיכויי השיקום עם ה</w:t>
      </w:r>
      <w:r w:rsidRPr="00BC4796">
        <w:rPr>
          <w:rFonts w:ascii="David" w:hAnsi="David"/>
          <w:rtl/>
        </w:rPr>
        <w:t xml:space="preserve">שיהוי </w:t>
      </w:r>
      <w:r>
        <w:rPr>
          <w:rFonts w:ascii="David" w:hAnsi="David" w:hint="cs"/>
          <w:rtl/>
        </w:rPr>
        <w:t xml:space="preserve">והאפשרות שעונש מאסר בעבודות שירות עלול לפגוע בשיקום הנאשם, מביא למסקנה לפיה צו של"צ בהיקף משמעותי הוא עונש ההולם נכונה את נתוני המקרה. </w:t>
      </w:r>
    </w:p>
    <w:p w14:paraId="53EA01A0" w14:textId="77777777" w:rsidR="00AA17DA" w:rsidRPr="00061B7C" w:rsidRDefault="00AA17DA" w:rsidP="00AA17DA">
      <w:pPr>
        <w:pStyle w:val="a9"/>
        <w:rPr>
          <w:rFonts w:ascii="David" w:hAnsi="David"/>
          <w:rtl/>
        </w:rPr>
      </w:pPr>
    </w:p>
    <w:p w14:paraId="534D3502" w14:textId="77777777" w:rsidR="00AA17DA" w:rsidRDefault="00AA17DA" w:rsidP="00AA17DA">
      <w:pPr>
        <w:pStyle w:val="a9"/>
        <w:numPr>
          <w:ilvl w:val="0"/>
          <w:numId w:val="1"/>
        </w:numPr>
        <w:spacing w:line="360" w:lineRule="auto"/>
        <w:jc w:val="both"/>
      </w:pPr>
      <w:r>
        <w:rPr>
          <w:rtl/>
        </w:rPr>
        <w:t xml:space="preserve">סיכומו של דבר, אני גוזר על הנאשם את העונשים הבאים: </w:t>
      </w:r>
    </w:p>
    <w:p w14:paraId="53F77E6B" w14:textId="77777777" w:rsidR="00AA17DA" w:rsidRPr="00861CA0" w:rsidRDefault="00AA17DA" w:rsidP="00AA17DA">
      <w:pPr>
        <w:pStyle w:val="a9"/>
        <w:ind w:left="0"/>
        <w:jc w:val="both"/>
        <w:rPr>
          <w:rFonts w:ascii="David" w:hAnsi="David"/>
          <w:rtl/>
        </w:rPr>
      </w:pPr>
    </w:p>
    <w:p w14:paraId="58B9AFE7" w14:textId="77777777" w:rsidR="00AA17DA" w:rsidRDefault="00AA17DA" w:rsidP="00AA17DA">
      <w:pPr>
        <w:pStyle w:val="a9"/>
        <w:numPr>
          <w:ilvl w:val="0"/>
          <w:numId w:val="2"/>
        </w:numPr>
        <w:spacing w:line="360" w:lineRule="auto"/>
        <w:jc w:val="both"/>
        <w:rPr>
          <w:rFonts w:ascii="David" w:hAnsi="David"/>
        </w:rPr>
      </w:pPr>
      <w:r w:rsidRPr="00057046">
        <w:rPr>
          <w:rFonts w:ascii="David" w:hAnsi="David"/>
          <w:rtl/>
        </w:rPr>
        <w:t xml:space="preserve">אני מחייב את הנאשם לבצע </w:t>
      </w:r>
      <w:r>
        <w:rPr>
          <w:rFonts w:ascii="David" w:hAnsi="David" w:hint="cs"/>
          <w:rtl/>
        </w:rPr>
        <w:t>300</w:t>
      </w:r>
      <w:r w:rsidRPr="00057046">
        <w:rPr>
          <w:rFonts w:ascii="David" w:hAnsi="David"/>
          <w:rtl/>
        </w:rPr>
        <w:t xml:space="preserve"> שעות של"צ בהתאם לתכנית שיגיש שירות המבחן בתוך 45 ימים.</w:t>
      </w:r>
      <w:r>
        <w:rPr>
          <w:rFonts w:ascii="David" w:hAnsi="David" w:hint="cs"/>
          <w:rtl/>
        </w:rPr>
        <w:t xml:space="preserve"> </w:t>
      </w:r>
    </w:p>
    <w:p w14:paraId="669E135F" w14:textId="77777777" w:rsidR="00AA17DA" w:rsidRPr="00057046" w:rsidRDefault="00AA17DA" w:rsidP="00AA17DA">
      <w:pPr>
        <w:pStyle w:val="a9"/>
        <w:numPr>
          <w:ilvl w:val="0"/>
          <w:numId w:val="2"/>
        </w:numPr>
        <w:spacing w:line="360" w:lineRule="auto"/>
        <w:jc w:val="both"/>
        <w:rPr>
          <w:rFonts w:ascii="David" w:hAnsi="David"/>
          <w:rtl/>
        </w:rPr>
      </w:pPr>
      <w:r w:rsidRPr="00057046">
        <w:rPr>
          <w:rFonts w:ascii="David" w:hAnsi="David"/>
          <w:rtl/>
        </w:rPr>
        <w:t>אני מעמיד את הנאשם בפיקוח שירות המבחן למשך 12 חודשים.</w:t>
      </w:r>
    </w:p>
    <w:p w14:paraId="595A1746" w14:textId="77777777" w:rsidR="00AA17DA" w:rsidRDefault="00AA17DA" w:rsidP="00AA17DA">
      <w:pPr>
        <w:pStyle w:val="a9"/>
        <w:spacing w:line="360" w:lineRule="auto"/>
        <w:jc w:val="both"/>
        <w:rPr>
          <w:rFonts w:ascii="David" w:hAnsi="David"/>
          <w:b/>
          <w:bCs/>
          <w:rtl/>
        </w:rPr>
      </w:pPr>
      <w:r w:rsidRPr="00057046">
        <w:rPr>
          <w:rFonts w:ascii="David" w:hAnsi="David"/>
          <w:b/>
          <w:bCs/>
          <w:rtl/>
        </w:rPr>
        <w:t>הובהר לנאשם, בלשון פשוטה, כי עליו לבצע את שני הצווים בהתאם להוראות שירות המבחן וכי אם לא יעשה כן ניתן יהיה להפקיע, ולהטיל עליו ענישה נוספת.</w:t>
      </w:r>
    </w:p>
    <w:p w14:paraId="703BCA9E" w14:textId="77777777" w:rsidR="00AA17DA" w:rsidRDefault="00AA17DA" w:rsidP="00AA17DA">
      <w:pPr>
        <w:pStyle w:val="a9"/>
        <w:numPr>
          <w:ilvl w:val="0"/>
          <w:numId w:val="2"/>
        </w:numPr>
        <w:spacing w:line="360" w:lineRule="auto"/>
        <w:jc w:val="both"/>
        <w:rPr>
          <w:rFonts w:ascii="David" w:hAnsi="David"/>
        </w:rPr>
      </w:pPr>
      <w:r w:rsidRPr="00057046">
        <w:rPr>
          <w:rFonts w:ascii="David" w:hAnsi="David"/>
          <w:rtl/>
        </w:rPr>
        <w:t>מאסר על תנאי למשך שלושה חודשים והתנאי הוא שלא יעבור בתוך שנתיים כל עבירה על פקודת הסמים שהיא פשע.</w:t>
      </w:r>
    </w:p>
    <w:p w14:paraId="40D908B5" w14:textId="77777777" w:rsidR="00AA17DA" w:rsidRPr="00057046" w:rsidRDefault="00AA17DA" w:rsidP="00AA17DA">
      <w:pPr>
        <w:pStyle w:val="a9"/>
        <w:numPr>
          <w:ilvl w:val="0"/>
          <w:numId w:val="2"/>
        </w:numPr>
        <w:spacing w:line="360" w:lineRule="auto"/>
        <w:jc w:val="both"/>
        <w:rPr>
          <w:rFonts w:ascii="David" w:hAnsi="David"/>
          <w:rtl/>
        </w:rPr>
      </w:pPr>
      <w:r w:rsidRPr="00057046">
        <w:rPr>
          <w:rFonts w:ascii="David" w:hAnsi="David"/>
          <w:rtl/>
        </w:rPr>
        <w:t xml:space="preserve">קנס בסך </w:t>
      </w:r>
      <w:r>
        <w:rPr>
          <w:rFonts w:ascii="David" w:hAnsi="David" w:hint="cs"/>
          <w:rtl/>
        </w:rPr>
        <w:t>3</w:t>
      </w:r>
      <w:r w:rsidRPr="00057046">
        <w:rPr>
          <w:rFonts w:ascii="David" w:hAnsi="David"/>
          <w:rtl/>
        </w:rPr>
        <w:t xml:space="preserve">,000 ₪ או </w:t>
      </w:r>
      <w:r>
        <w:rPr>
          <w:rFonts w:ascii="David" w:hAnsi="David" w:hint="cs"/>
          <w:rtl/>
        </w:rPr>
        <w:t>10</w:t>
      </w:r>
      <w:r w:rsidRPr="00057046">
        <w:rPr>
          <w:rFonts w:ascii="David" w:hAnsi="David"/>
          <w:rtl/>
        </w:rPr>
        <w:t xml:space="preserve"> ימי מאסר תמורתו. הקנס ישולם ב-5 תשלומים שווים ורצופים מיום 1.</w:t>
      </w:r>
      <w:r>
        <w:rPr>
          <w:rFonts w:ascii="David" w:hAnsi="David" w:hint="cs"/>
          <w:rtl/>
        </w:rPr>
        <w:t>5</w:t>
      </w:r>
      <w:r>
        <w:rPr>
          <w:rFonts w:ascii="David" w:hAnsi="David"/>
          <w:rtl/>
        </w:rPr>
        <w:t xml:space="preserve">.25 ובכל </w:t>
      </w:r>
      <w:r w:rsidRPr="00057046">
        <w:rPr>
          <w:rFonts w:ascii="David" w:hAnsi="David"/>
          <w:rtl/>
        </w:rPr>
        <w:t>1 לחודש שלאחריו. לא ישולם אחד התשלומים במועדו, תעמוד היתרה לפירעון מידי.</w:t>
      </w:r>
    </w:p>
    <w:p w14:paraId="612FE497" w14:textId="77777777" w:rsidR="00AA17DA" w:rsidRPr="002B3DCD" w:rsidRDefault="00AA17DA" w:rsidP="00AA17DA">
      <w:pPr>
        <w:pStyle w:val="a9"/>
        <w:ind w:left="0"/>
        <w:jc w:val="both"/>
        <w:rPr>
          <w:rFonts w:ascii="David" w:hAnsi="David"/>
          <w:rtl/>
        </w:rPr>
      </w:pPr>
    </w:p>
    <w:p w14:paraId="056150B9" w14:textId="77777777" w:rsidR="00AA17DA" w:rsidRDefault="00534B20" w:rsidP="00AA17DA">
      <w:pPr>
        <w:spacing w:line="360" w:lineRule="auto"/>
        <w:jc w:val="both"/>
        <w:rPr>
          <w:rFonts w:ascii="David" w:hAnsi="David"/>
          <w:b/>
          <w:bCs/>
          <w:rtl/>
        </w:rPr>
      </w:pPr>
      <w:r w:rsidRPr="00534B20">
        <w:rPr>
          <w:rFonts w:ascii="David" w:hAnsi="David"/>
          <w:b/>
          <w:bCs/>
          <w:color w:val="FFFFFF"/>
          <w:sz w:val="2"/>
          <w:szCs w:val="2"/>
          <w:rtl/>
        </w:rPr>
        <w:t>5129371</w:t>
      </w:r>
      <w:r w:rsidR="00AA17DA" w:rsidRPr="00A96E36">
        <w:rPr>
          <w:rFonts w:ascii="David" w:hAnsi="David" w:hint="cs"/>
          <w:b/>
          <w:bCs/>
          <w:rtl/>
        </w:rPr>
        <w:t xml:space="preserve">מוצג- סם- להשמדה. </w:t>
      </w:r>
    </w:p>
    <w:p w14:paraId="016270D9" w14:textId="77777777" w:rsidR="00AA17DA" w:rsidRDefault="00534B20" w:rsidP="00AA17DA">
      <w:pPr>
        <w:spacing w:line="360" w:lineRule="auto"/>
        <w:jc w:val="both"/>
        <w:rPr>
          <w:rFonts w:ascii="David" w:hAnsi="David"/>
          <w:b/>
          <w:bCs/>
          <w:rtl/>
        </w:rPr>
      </w:pPr>
      <w:r w:rsidRPr="00534B20">
        <w:rPr>
          <w:rFonts w:ascii="David" w:hAnsi="David"/>
          <w:b/>
          <w:bCs/>
          <w:color w:val="FFFFFF"/>
          <w:sz w:val="2"/>
          <w:szCs w:val="2"/>
          <w:rtl/>
        </w:rPr>
        <w:t>54678313</w:t>
      </w:r>
      <w:r w:rsidR="00AA17DA">
        <w:rPr>
          <w:rFonts w:ascii="David" w:hAnsi="David" w:hint="cs"/>
          <w:b/>
          <w:bCs/>
          <w:rtl/>
        </w:rPr>
        <w:t>מזכירות - להמציא לשירות המבחן לצורך הגשת תכנית של"צ.</w:t>
      </w:r>
    </w:p>
    <w:p w14:paraId="388FEBAE" w14:textId="77777777" w:rsidR="00AA17DA" w:rsidRPr="00A96E36" w:rsidRDefault="00AA17DA" w:rsidP="00AA17DA">
      <w:pPr>
        <w:spacing w:line="360" w:lineRule="auto"/>
        <w:jc w:val="both"/>
        <w:rPr>
          <w:rFonts w:ascii="David" w:hAnsi="David"/>
          <w:b/>
          <w:bCs/>
          <w:rtl/>
        </w:rPr>
      </w:pPr>
    </w:p>
    <w:p w14:paraId="04514A8E" w14:textId="77777777" w:rsidR="00AA17DA" w:rsidRPr="00057046" w:rsidRDefault="00AA17DA" w:rsidP="00AA17DA">
      <w:pPr>
        <w:spacing w:line="360" w:lineRule="auto"/>
        <w:jc w:val="both"/>
        <w:rPr>
          <w:rFonts w:ascii="David" w:hAnsi="David"/>
          <w:rtl/>
        </w:rPr>
      </w:pPr>
      <w:r>
        <w:rPr>
          <w:rFonts w:ascii="David" w:hAnsi="David"/>
          <w:b/>
          <w:bCs/>
          <w:color w:val="222222"/>
          <w:u w:val="single"/>
          <w:rtl/>
        </w:rPr>
        <w:t>הודעה זכות ערעור לבית המשפט המחוזי בתוך 45 ימים</w:t>
      </w:r>
      <w:r>
        <w:rPr>
          <w:rFonts w:ascii="David" w:hAnsi="David"/>
          <w:b/>
          <w:bCs/>
          <w:color w:val="222222"/>
          <w:u w:val="single"/>
        </w:rPr>
        <w:t>.</w:t>
      </w:r>
      <w:r>
        <w:rPr>
          <w:rFonts w:ascii="David" w:hAnsi="David" w:hint="cs"/>
          <w:rtl/>
        </w:rPr>
        <w:t xml:space="preserve"> </w:t>
      </w:r>
    </w:p>
    <w:p w14:paraId="3DA5EE72" w14:textId="77777777" w:rsidR="00AA17DA" w:rsidRPr="002B3DCD" w:rsidRDefault="00534B20" w:rsidP="00534B20">
      <w:pPr>
        <w:jc w:val="center"/>
      </w:pPr>
      <w:bookmarkStart w:id="7" w:name="Nitan"/>
      <w:r>
        <w:rPr>
          <w:rFonts w:ascii="David" w:hAnsi="David"/>
          <w:rtl/>
        </w:rPr>
        <w:t xml:space="preserve">ניתן היום,  כ' שבט תשפ"ה, 18 פברואר 2025, במעמד הצדדים. </w:t>
      </w:r>
      <w:bookmarkEnd w:id="7"/>
      <w:r w:rsidR="00AA17DA" w:rsidRPr="002B3DCD">
        <w:rPr>
          <w:rFonts w:ascii="David" w:hAnsi="David"/>
          <w:rtl/>
        </w:rPr>
        <w:t xml:space="preserve">   </w:t>
      </w:r>
      <w:r w:rsidR="00AA17DA" w:rsidRPr="002B3DCD">
        <w:rPr>
          <w:rFonts w:ascii="David" w:hAnsi="David"/>
          <w:rtl/>
        </w:rPr>
        <w:tab/>
      </w:r>
      <w:r w:rsidR="00AA17DA" w:rsidRPr="002B3DCD">
        <w:rPr>
          <w:rFonts w:ascii="David" w:hAnsi="David"/>
          <w:rtl/>
        </w:rPr>
        <w:tab/>
      </w:r>
      <w:r w:rsidR="00AA17DA" w:rsidRPr="002B3DCD">
        <w:rPr>
          <w:rFonts w:ascii="David" w:hAnsi="David"/>
          <w:rtl/>
        </w:rPr>
        <w:tab/>
      </w:r>
      <w:r w:rsidR="00AA17DA" w:rsidRPr="002B3DCD">
        <w:rPr>
          <w:rFonts w:ascii="David" w:hAnsi="David"/>
          <w:rtl/>
        </w:rPr>
        <w:tab/>
      </w:r>
      <w:r w:rsidR="00AA17DA" w:rsidRPr="002B3DCD">
        <w:rPr>
          <w:rFonts w:ascii="David" w:hAnsi="David"/>
          <w:rtl/>
        </w:rPr>
        <w:tab/>
      </w:r>
    </w:p>
    <w:p w14:paraId="21B9627C" w14:textId="77777777" w:rsidR="00AA17DA" w:rsidRPr="00B6303D" w:rsidRDefault="00B6303D" w:rsidP="00AA17DA">
      <w:pPr>
        <w:jc w:val="center"/>
        <w:rPr>
          <w:rFonts w:ascii="David" w:hAnsi="David"/>
          <w:color w:val="FFFFFF"/>
          <w:sz w:val="2"/>
          <w:szCs w:val="2"/>
          <w:rtl/>
        </w:rPr>
      </w:pPr>
      <w:r w:rsidRPr="00B6303D">
        <w:rPr>
          <w:rFonts w:ascii="David" w:hAnsi="David"/>
          <w:color w:val="FFFFFF"/>
          <w:sz w:val="2"/>
          <w:szCs w:val="2"/>
          <w:rtl/>
        </w:rPr>
        <w:t>5129371</w:t>
      </w:r>
    </w:p>
    <w:p w14:paraId="6003E512" w14:textId="77777777" w:rsidR="00490E1B" w:rsidRPr="00B6303D" w:rsidRDefault="00B6303D" w:rsidP="00534B20">
      <w:pPr>
        <w:keepNext/>
        <w:rPr>
          <w:rFonts w:ascii="David" w:hAnsi="David"/>
          <w:color w:val="FFFFFF"/>
          <w:sz w:val="2"/>
          <w:szCs w:val="2"/>
          <w:rtl/>
        </w:rPr>
      </w:pPr>
      <w:r w:rsidRPr="00B6303D">
        <w:rPr>
          <w:rFonts w:ascii="David" w:hAnsi="David"/>
          <w:color w:val="FFFFFF"/>
          <w:sz w:val="2"/>
          <w:szCs w:val="2"/>
          <w:rtl/>
        </w:rPr>
        <w:t>54678313</w:t>
      </w:r>
    </w:p>
    <w:p w14:paraId="1077BBF5" w14:textId="77777777" w:rsidR="00534B20" w:rsidRDefault="00534B20" w:rsidP="00534B20">
      <w:pPr>
        <w:rPr>
          <w:rtl/>
        </w:rPr>
      </w:pPr>
    </w:p>
    <w:p w14:paraId="5C72665E" w14:textId="77777777" w:rsidR="00534B20" w:rsidRDefault="00534B20" w:rsidP="00534B20">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2BCDFF1D" w14:textId="77777777" w:rsidR="00B6303D" w:rsidRPr="00B6303D" w:rsidRDefault="00B6303D" w:rsidP="00B6303D">
      <w:pPr>
        <w:keepNext/>
        <w:rPr>
          <w:rFonts w:ascii="David" w:hAnsi="David"/>
          <w:color w:val="000000"/>
          <w:sz w:val="22"/>
          <w:szCs w:val="22"/>
          <w:rtl/>
        </w:rPr>
      </w:pPr>
    </w:p>
    <w:p w14:paraId="18C0C2A5" w14:textId="77777777" w:rsidR="00B6303D" w:rsidRPr="00B6303D" w:rsidRDefault="00B6303D" w:rsidP="00B6303D">
      <w:pPr>
        <w:keepNext/>
        <w:rPr>
          <w:rFonts w:ascii="David" w:hAnsi="David"/>
          <w:color w:val="000000"/>
          <w:sz w:val="22"/>
          <w:szCs w:val="22"/>
          <w:rtl/>
        </w:rPr>
      </w:pPr>
      <w:r w:rsidRPr="00B6303D">
        <w:rPr>
          <w:rFonts w:ascii="David" w:hAnsi="David"/>
          <w:color w:val="000000"/>
          <w:sz w:val="22"/>
          <w:szCs w:val="22"/>
          <w:rtl/>
        </w:rPr>
        <w:t>יוסי טורס 54678313</w:t>
      </w:r>
    </w:p>
    <w:p w14:paraId="35F7F5E1" w14:textId="77777777" w:rsidR="00534B20" w:rsidRPr="00534B20" w:rsidRDefault="00B6303D" w:rsidP="00B6303D">
      <w:pPr>
        <w:rPr>
          <w:color w:val="0000FF"/>
          <w:u w:val="single"/>
        </w:rPr>
      </w:pPr>
      <w:r w:rsidRPr="00B6303D">
        <w:rPr>
          <w:color w:val="000000"/>
          <w:u w:val="single"/>
          <w:rtl/>
        </w:rPr>
        <w:t>נוסח מסמך זה כפוף לשינויי ניסוח ועריכה</w:t>
      </w:r>
    </w:p>
    <w:sectPr w:rsidR="00534B20" w:rsidRPr="00534B20" w:rsidSect="00B6303D">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B6F82" w14:textId="77777777" w:rsidR="00C4354F" w:rsidRDefault="00C4354F" w:rsidP="00CA0FC0">
      <w:r>
        <w:separator/>
      </w:r>
    </w:p>
  </w:endnote>
  <w:endnote w:type="continuationSeparator" w:id="0">
    <w:p w14:paraId="51779570" w14:textId="77777777" w:rsidR="00C4354F" w:rsidRDefault="00C4354F" w:rsidP="00CA0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7A22D" w14:textId="77777777" w:rsidR="00B6303D" w:rsidRDefault="00B6303D" w:rsidP="00B6303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63455962" w14:textId="77777777" w:rsidR="008651C6" w:rsidRPr="00B6303D" w:rsidRDefault="00B6303D" w:rsidP="00B6303D">
    <w:pPr>
      <w:pStyle w:val="a5"/>
      <w:pBdr>
        <w:top w:val="single" w:sz="4" w:space="1" w:color="auto"/>
        <w:between w:val="single" w:sz="4" w:space="0" w:color="auto"/>
      </w:pBdr>
      <w:spacing w:after="60"/>
      <w:jc w:val="center"/>
      <w:rPr>
        <w:rFonts w:ascii="FrankRuehl" w:hAnsi="FrankRuehl" w:cs="FrankRuehl"/>
        <w:color w:val="000000"/>
      </w:rPr>
    </w:pPr>
    <w:r w:rsidRPr="00B6303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DBAC1" w14:textId="77777777" w:rsidR="00B6303D" w:rsidRDefault="00B6303D" w:rsidP="00B6303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64885">
      <w:rPr>
        <w:rFonts w:ascii="FrankRuehl" w:hAnsi="FrankRuehl" w:cs="FrankRuehl"/>
        <w:noProof/>
        <w:rtl/>
      </w:rPr>
      <w:t>1</w:t>
    </w:r>
    <w:r>
      <w:rPr>
        <w:rFonts w:ascii="FrankRuehl" w:hAnsi="FrankRuehl" w:cs="FrankRuehl"/>
        <w:rtl/>
      </w:rPr>
      <w:fldChar w:fldCharType="end"/>
    </w:r>
  </w:p>
  <w:p w14:paraId="21A24393" w14:textId="77777777" w:rsidR="008651C6" w:rsidRPr="00B6303D" w:rsidRDefault="00B6303D" w:rsidP="00B6303D">
    <w:pPr>
      <w:pStyle w:val="a5"/>
      <w:pBdr>
        <w:top w:val="single" w:sz="4" w:space="1" w:color="auto"/>
        <w:between w:val="single" w:sz="4" w:space="0" w:color="auto"/>
      </w:pBdr>
      <w:spacing w:after="60"/>
      <w:jc w:val="center"/>
      <w:rPr>
        <w:rFonts w:ascii="FrankRuehl" w:hAnsi="FrankRuehl" w:cs="FrankRuehl"/>
        <w:color w:val="000000"/>
      </w:rPr>
    </w:pPr>
    <w:r w:rsidRPr="00B6303D">
      <w:rPr>
        <w:rFonts w:ascii="FrankRuehl" w:hAnsi="FrankRuehl" w:cs="FrankRuehl"/>
        <w:color w:val="000000"/>
      </w:rPr>
      <w:pict w14:anchorId="40165C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E13C9" w14:textId="77777777" w:rsidR="00C4354F" w:rsidRDefault="00C4354F" w:rsidP="00CA0FC0">
      <w:r>
        <w:separator/>
      </w:r>
    </w:p>
  </w:footnote>
  <w:footnote w:type="continuationSeparator" w:id="0">
    <w:p w14:paraId="17F6A846" w14:textId="77777777" w:rsidR="00C4354F" w:rsidRDefault="00C4354F" w:rsidP="00CA0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28150" w14:textId="77777777" w:rsidR="00534B20" w:rsidRPr="00B6303D" w:rsidRDefault="00B6303D" w:rsidP="00B6303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57185-01-24</w:t>
    </w:r>
    <w:r>
      <w:rPr>
        <w:rFonts w:ascii="David" w:hAnsi="David"/>
        <w:color w:val="000000"/>
        <w:sz w:val="22"/>
        <w:szCs w:val="22"/>
        <w:rtl/>
      </w:rPr>
      <w:tab/>
      <w:t xml:space="preserve"> מדינת ישראל נ' שי סופר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EDB2B" w14:textId="77777777" w:rsidR="00534B20" w:rsidRPr="00B6303D" w:rsidRDefault="00B6303D" w:rsidP="00B6303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57185-01-24</w:t>
    </w:r>
    <w:r>
      <w:rPr>
        <w:rFonts w:ascii="David" w:hAnsi="David"/>
        <w:color w:val="000000"/>
        <w:sz w:val="22"/>
        <w:szCs w:val="22"/>
        <w:rtl/>
      </w:rPr>
      <w:tab/>
      <w:t xml:space="preserve"> מדינת ישראל נ' שי סופר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8642AF"/>
    <w:multiLevelType w:val="hybridMultilevel"/>
    <w:tmpl w:val="0DD4F9A6"/>
    <w:lvl w:ilvl="0" w:tplc="DF2C43C8">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6067C"/>
    <w:multiLevelType w:val="hybridMultilevel"/>
    <w:tmpl w:val="34782990"/>
    <w:lvl w:ilvl="0" w:tplc="F5741D2A">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3561271">
    <w:abstractNumId w:val="1"/>
  </w:num>
  <w:num w:numId="2" w16cid:durableId="155183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A17DA"/>
    <w:rsid w:val="001F7903"/>
    <w:rsid w:val="00490E1B"/>
    <w:rsid w:val="00534B20"/>
    <w:rsid w:val="00764885"/>
    <w:rsid w:val="008651C6"/>
    <w:rsid w:val="00A912ED"/>
    <w:rsid w:val="00AA17DA"/>
    <w:rsid w:val="00B6303D"/>
    <w:rsid w:val="00C4354F"/>
    <w:rsid w:val="00CA0F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6F7B59"/>
  <w15:chartTrackingRefBased/>
  <w15:docId w15:val="{E01C0D32-A0A6-46AE-9F29-69D853C7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17D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A17DA"/>
    <w:pPr>
      <w:tabs>
        <w:tab w:val="center" w:pos="4153"/>
        <w:tab w:val="right" w:pos="8306"/>
      </w:tabs>
    </w:pPr>
  </w:style>
  <w:style w:type="character" w:customStyle="1" w:styleId="a4">
    <w:name w:val="כותרת עליונה תו"/>
    <w:link w:val="a3"/>
    <w:rsid w:val="00AA17DA"/>
    <w:rPr>
      <w:rFonts w:ascii="Times New Roman" w:eastAsia="Times New Roman" w:hAnsi="Times New Roman" w:cs="David"/>
      <w:sz w:val="24"/>
      <w:szCs w:val="24"/>
    </w:rPr>
  </w:style>
  <w:style w:type="paragraph" w:styleId="a5">
    <w:name w:val="footer"/>
    <w:basedOn w:val="a"/>
    <w:link w:val="a6"/>
    <w:rsid w:val="00AA17DA"/>
    <w:pPr>
      <w:tabs>
        <w:tab w:val="center" w:pos="4153"/>
        <w:tab w:val="right" w:pos="8306"/>
      </w:tabs>
    </w:pPr>
  </w:style>
  <w:style w:type="character" w:customStyle="1" w:styleId="a6">
    <w:name w:val="כותרת תחתונה תו"/>
    <w:link w:val="a5"/>
    <w:rsid w:val="00AA17DA"/>
    <w:rPr>
      <w:rFonts w:ascii="Times New Roman" w:eastAsia="Times New Roman" w:hAnsi="Times New Roman" w:cs="David"/>
      <w:sz w:val="24"/>
      <w:szCs w:val="24"/>
    </w:rPr>
  </w:style>
  <w:style w:type="table" w:styleId="a7">
    <w:name w:val="Table Grid"/>
    <w:basedOn w:val="a1"/>
    <w:rsid w:val="00AA17D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A17DA"/>
  </w:style>
  <w:style w:type="paragraph" w:styleId="a9">
    <w:name w:val="List Paragraph"/>
    <w:basedOn w:val="a"/>
    <w:link w:val="aa"/>
    <w:qFormat/>
    <w:rsid w:val="00AA17DA"/>
    <w:pPr>
      <w:ind w:left="720"/>
      <w:contextualSpacing/>
    </w:pPr>
  </w:style>
  <w:style w:type="character" w:customStyle="1" w:styleId="aa">
    <w:name w:val="פיסקת רשימה תו"/>
    <w:link w:val="a9"/>
    <w:locked/>
    <w:rsid w:val="00AA17DA"/>
    <w:rPr>
      <w:rFonts w:ascii="Times New Roman" w:eastAsia="Times New Roman" w:hAnsi="Times New Roman" w:cs="David"/>
      <w:sz w:val="24"/>
      <w:szCs w:val="24"/>
    </w:rPr>
  </w:style>
  <w:style w:type="character" w:styleId="Hyperlink">
    <w:name w:val="Hyperlink"/>
    <w:rsid w:val="00534B2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7435100" TargetMode="External"/><Relationship Id="rId26" Type="http://schemas.openxmlformats.org/officeDocument/2006/relationships/hyperlink" Target="http://www.nevo.co.il/case/6034646" TargetMode="External"/><Relationship Id="rId3" Type="http://schemas.openxmlformats.org/officeDocument/2006/relationships/settings" Target="settings.xml"/><Relationship Id="rId21" Type="http://schemas.openxmlformats.org/officeDocument/2006/relationships/hyperlink" Target="http://www.nevo.co.il/case/10459128"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30410167" TargetMode="External"/><Relationship Id="rId25" Type="http://schemas.openxmlformats.org/officeDocument/2006/relationships/hyperlink" Target="http://www.nevo.co.il/case/560784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8919441" TargetMode="External"/><Relationship Id="rId20" Type="http://schemas.openxmlformats.org/officeDocument/2006/relationships/hyperlink" Target="http://www.nevo.co.il/case/22938500"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10" TargetMode="External"/><Relationship Id="rId24" Type="http://schemas.openxmlformats.org/officeDocument/2006/relationships/hyperlink" Target="http://www.nevo.co.il/case/2102446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9072600" TargetMode="External"/><Relationship Id="rId23" Type="http://schemas.openxmlformats.org/officeDocument/2006/relationships/hyperlink" Target="http://www.nevo.co.il/law/70301" TargetMode="External"/><Relationship Id="rId28"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29662475"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7589322" TargetMode="External"/><Relationship Id="rId22" Type="http://schemas.openxmlformats.org/officeDocument/2006/relationships/hyperlink" Target="http://www.nevo.co.il/law/70301/40ja.10"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1501</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8991</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3473524</vt:i4>
      </vt:variant>
      <vt:variant>
        <vt:i4>57</vt:i4>
      </vt:variant>
      <vt:variant>
        <vt:i4>0</vt:i4>
      </vt:variant>
      <vt:variant>
        <vt:i4>5</vt:i4>
      </vt:variant>
      <vt:variant>
        <vt:lpwstr>http://www.nevo.co.il/case/6034646</vt:lpwstr>
      </vt:variant>
      <vt:variant>
        <vt:lpwstr/>
      </vt:variant>
      <vt:variant>
        <vt:i4>3670129</vt:i4>
      </vt:variant>
      <vt:variant>
        <vt:i4>54</vt:i4>
      </vt:variant>
      <vt:variant>
        <vt:i4>0</vt:i4>
      </vt:variant>
      <vt:variant>
        <vt:i4>5</vt:i4>
      </vt:variant>
      <vt:variant>
        <vt:lpwstr>http://www.nevo.co.il/case/5607845</vt:lpwstr>
      </vt:variant>
      <vt:variant>
        <vt:lpwstr/>
      </vt:variant>
      <vt:variant>
        <vt:i4>3145843</vt:i4>
      </vt:variant>
      <vt:variant>
        <vt:i4>51</vt:i4>
      </vt:variant>
      <vt:variant>
        <vt:i4>0</vt:i4>
      </vt:variant>
      <vt:variant>
        <vt:i4>5</vt:i4>
      </vt:variant>
      <vt:variant>
        <vt:lpwstr>http://www.nevo.co.il/case/21024461</vt:lpwstr>
      </vt:variant>
      <vt:variant>
        <vt:lpwstr/>
      </vt:variant>
      <vt:variant>
        <vt:i4>7995492</vt:i4>
      </vt:variant>
      <vt:variant>
        <vt:i4>48</vt:i4>
      </vt:variant>
      <vt:variant>
        <vt:i4>0</vt:i4>
      </vt:variant>
      <vt:variant>
        <vt:i4>5</vt:i4>
      </vt:variant>
      <vt:variant>
        <vt:lpwstr>http://www.nevo.co.il/law/70301</vt:lpwstr>
      </vt:variant>
      <vt:variant>
        <vt:lpwstr/>
      </vt:variant>
      <vt:variant>
        <vt:i4>3473445</vt:i4>
      </vt:variant>
      <vt:variant>
        <vt:i4>45</vt:i4>
      </vt:variant>
      <vt:variant>
        <vt:i4>0</vt:i4>
      </vt:variant>
      <vt:variant>
        <vt:i4>5</vt:i4>
      </vt:variant>
      <vt:variant>
        <vt:lpwstr>http://www.nevo.co.il/law/70301/40ja.10</vt:lpwstr>
      </vt:variant>
      <vt:variant>
        <vt:lpwstr/>
      </vt:variant>
      <vt:variant>
        <vt:i4>4063344</vt:i4>
      </vt:variant>
      <vt:variant>
        <vt:i4>42</vt:i4>
      </vt:variant>
      <vt:variant>
        <vt:i4>0</vt:i4>
      </vt:variant>
      <vt:variant>
        <vt:i4>5</vt:i4>
      </vt:variant>
      <vt:variant>
        <vt:lpwstr>http://www.nevo.co.il/case/10459128</vt:lpwstr>
      </vt:variant>
      <vt:variant>
        <vt:lpwstr/>
      </vt:variant>
      <vt:variant>
        <vt:i4>3342448</vt:i4>
      </vt:variant>
      <vt:variant>
        <vt:i4>39</vt:i4>
      </vt:variant>
      <vt:variant>
        <vt:i4>0</vt:i4>
      </vt:variant>
      <vt:variant>
        <vt:i4>5</vt:i4>
      </vt:variant>
      <vt:variant>
        <vt:lpwstr>http://www.nevo.co.il/case/22938500</vt:lpwstr>
      </vt:variant>
      <vt:variant>
        <vt:lpwstr/>
      </vt:variant>
      <vt:variant>
        <vt:i4>3211391</vt:i4>
      </vt:variant>
      <vt:variant>
        <vt:i4>36</vt:i4>
      </vt:variant>
      <vt:variant>
        <vt:i4>0</vt:i4>
      </vt:variant>
      <vt:variant>
        <vt:i4>5</vt:i4>
      </vt:variant>
      <vt:variant>
        <vt:lpwstr>http://www.nevo.co.il/case/29662475</vt:lpwstr>
      </vt:variant>
      <vt:variant>
        <vt:lpwstr/>
      </vt:variant>
      <vt:variant>
        <vt:i4>3342449</vt:i4>
      </vt:variant>
      <vt:variant>
        <vt:i4>33</vt:i4>
      </vt:variant>
      <vt:variant>
        <vt:i4>0</vt:i4>
      </vt:variant>
      <vt:variant>
        <vt:i4>5</vt:i4>
      </vt:variant>
      <vt:variant>
        <vt:lpwstr>http://www.nevo.co.il/case/27435100</vt:lpwstr>
      </vt:variant>
      <vt:variant>
        <vt:lpwstr/>
      </vt:variant>
      <vt:variant>
        <vt:i4>3211380</vt:i4>
      </vt:variant>
      <vt:variant>
        <vt:i4>30</vt:i4>
      </vt:variant>
      <vt:variant>
        <vt:i4>0</vt:i4>
      </vt:variant>
      <vt:variant>
        <vt:i4>5</vt:i4>
      </vt:variant>
      <vt:variant>
        <vt:lpwstr>http://www.nevo.co.il/case/30410167</vt:lpwstr>
      </vt:variant>
      <vt:variant>
        <vt:lpwstr/>
      </vt:variant>
      <vt:variant>
        <vt:i4>3539065</vt:i4>
      </vt:variant>
      <vt:variant>
        <vt:i4>27</vt:i4>
      </vt:variant>
      <vt:variant>
        <vt:i4>0</vt:i4>
      </vt:variant>
      <vt:variant>
        <vt:i4>5</vt:i4>
      </vt:variant>
      <vt:variant>
        <vt:lpwstr>http://www.nevo.co.il/case/28919441</vt:lpwstr>
      </vt:variant>
      <vt:variant>
        <vt:lpwstr/>
      </vt:variant>
      <vt:variant>
        <vt:i4>3145852</vt:i4>
      </vt:variant>
      <vt:variant>
        <vt:i4>24</vt:i4>
      </vt:variant>
      <vt:variant>
        <vt:i4>0</vt:i4>
      </vt:variant>
      <vt:variant>
        <vt:i4>5</vt:i4>
      </vt:variant>
      <vt:variant>
        <vt:lpwstr>http://www.nevo.co.il/case/29072600</vt:lpwstr>
      </vt:variant>
      <vt:variant>
        <vt:lpwstr/>
      </vt:variant>
      <vt:variant>
        <vt:i4>3932280</vt:i4>
      </vt:variant>
      <vt:variant>
        <vt:i4>21</vt:i4>
      </vt:variant>
      <vt:variant>
        <vt:i4>0</vt:i4>
      </vt:variant>
      <vt:variant>
        <vt:i4>5</vt:i4>
      </vt:variant>
      <vt:variant>
        <vt:lpwstr>http://www.nevo.co.il/case/27589322</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3473445</vt:i4>
      </vt:variant>
      <vt:variant>
        <vt:i4>12</vt:i4>
      </vt:variant>
      <vt:variant>
        <vt:i4>0</vt:i4>
      </vt:variant>
      <vt:variant>
        <vt:i4>5</vt:i4>
      </vt:variant>
      <vt:variant>
        <vt:lpwstr>http://www.nevo.co.il/law/70301/40ja.10</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2025-04-23T01:54:00Z</dcterms:created>
  <dcterms:modified xsi:type="dcterms:W3CDTF">2025-04-23T01:54:00Z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57185</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שי סופר</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20250218</vt:lpwstr>
  </property>
  <property fmtid="{D5CDD505-2E9C-101B-9397-08002B2CF9AE}" pid="13" name="TYPE_N_DATE">
    <vt:lpwstr>38020250218</vt:lpwstr>
  </property>
  <property fmtid="{D5CDD505-2E9C-101B-9397-08002B2CF9AE}" pid="14" name="CASESLISTTMP1">
    <vt:lpwstr>27589322;29072600;28919441;30410167;27435100;29662475;22938500;10459128;21024461;5607845;6034646</vt:lpwstr>
  </property>
  <property fmtid="{D5CDD505-2E9C-101B-9397-08002B2CF9AE}" pid="15" name="CASENOTES1">
    <vt:lpwstr>ProcID=135&amp;PartA=65932&amp;PartB=02&amp;PartC=20</vt:lpwstr>
  </property>
  <property fmtid="{D5CDD505-2E9C-101B-9397-08002B2CF9AE}" pid="16" name="CASENOTES2">
    <vt:lpwstr>ProcID=213&amp;PartA=23&amp;PartC=25</vt:lpwstr>
  </property>
  <property fmtid="{D5CDD505-2E9C-101B-9397-08002B2CF9AE}" pid="17" name="CASENOTES3">
    <vt:lpwstr>ProcID=179&amp;PartA=1&amp;PartC=22</vt:lpwstr>
  </property>
  <property fmtid="{D5CDD505-2E9C-101B-9397-08002B2CF9AE}" pid="18" name="CASENOTES4">
    <vt:lpwstr>ProcID=179&amp;PartA=1&amp;PartC=24</vt:lpwstr>
  </property>
  <property fmtid="{D5CDD505-2E9C-101B-9397-08002B2CF9AE}" pid="19" name="WORDNUMPAGES">
    <vt:lpwstr>5</vt:lpwstr>
  </property>
  <property fmtid="{D5CDD505-2E9C-101B-9397-08002B2CF9AE}" pid="20" name="TYPE_ABS_DATE">
    <vt:lpwstr>380020250218</vt:lpwstr>
  </property>
  <property fmtid="{D5CDD505-2E9C-101B-9397-08002B2CF9AE}" pid="21" name="LAWLISTTMP1">
    <vt:lpwstr>4216/007.a;007.c</vt:lpwstr>
  </property>
  <property fmtid="{D5CDD505-2E9C-101B-9397-08002B2CF9AE}" pid="22" name="LAWLISTTMP2">
    <vt:lpwstr>70301/40ja.10</vt:lpwstr>
  </property>
  <property fmtid="{D5CDD505-2E9C-101B-9397-08002B2CF9AE}" pid="23" name="ISABSTRACT">
    <vt:lpwstr>Y</vt:lpwstr>
  </property>
</Properties>
</file>