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334CB" w:rsidRPr="004B63FE" w14:paraId="7CD9D3F6" w14:textId="77777777" w:rsidTr="00462993">
        <w:trPr>
          <w:trHeight w:hRule="exact" w:val="418"/>
          <w:jc w:val="center"/>
        </w:trPr>
        <w:tc>
          <w:tcPr>
            <w:tcW w:w="8721" w:type="dxa"/>
            <w:gridSpan w:val="2"/>
          </w:tcPr>
          <w:p w14:paraId="744E59D9" w14:textId="77777777" w:rsidR="008334CB" w:rsidRPr="004B63FE" w:rsidRDefault="008334CB" w:rsidP="008D4E6C">
            <w:pPr>
              <w:pStyle w:val="a3"/>
              <w:jc w:val="center"/>
              <w:rPr>
                <w:rFonts w:ascii="Tahoma" w:hAnsi="Tahoma" w:cs="Tahoma"/>
                <w:color w:val="000080"/>
                <w:rtl/>
              </w:rPr>
            </w:pPr>
            <w:r w:rsidRPr="004B63FE">
              <w:rPr>
                <w:rFonts w:ascii="Tahoma" w:hAnsi="Tahoma" w:cs="Tahoma"/>
                <w:b/>
                <w:bCs/>
                <w:color w:val="000080"/>
                <w:rtl/>
              </w:rPr>
              <w:t>בית משפט השלום בקריות</w:t>
            </w:r>
          </w:p>
        </w:tc>
      </w:tr>
      <w:tr w:rsidR="008334CB" w:rsidRPr="004B63FE" w14:paraId="2E83D474" w14:textId="77777777" w:rsidTr="00462993">
        <w:trPr>
          <w:trHeight w:val="337"/>
          <w:jc w:val="center"/>
        </w:trPr>
        <w:tc>
          <w:tcPr>
            <w:tcW w:w="5057" w:type="dxa"/>
          </w:tcPr>
          <w:p w14:paraId="4BA58791" w14:textId="77777777" w:rsidR="008334CB" w:rsidRPr="004B63FE" w:rsidRDefault="008334CB" w:rsidP="008D4E6C">
            <w:pPr>
              <w:rPr>
                <w:rFonts w:cs="FrankRuehl"/>
                <w:sz w:val="28"/>
                <w:szCs w:val="28"/>
                <w:rtl/>
              </w:rPr>
            </w:pPr>
            <w:r w:rsidRPr="004B63FE">
              <w:rPr>
                <w:rFonts w:cs="FrankRuehl"/>
                <w:sz w:val="28"/>
                <w:szCs w:val="28"/>
                <w:rtl/>
              </w:rPr>
              <w:t>ת"פ</w:t>
            </w:r>
            <w:r w:rsidRPr="004B63FE">
              <w:rPr>
                <w:rFonts w:cs="FrankRuehl" w:hint="cs"/>
                <w:sz w:val="28"/>
                <w:szCs w:val="28"/>
                <w:rtl/>
              </w:rPr>
              <w:t xml:space="preserve"> </w:t>
            </w:r>
            <w:r w:rsidRPr="004B63FE">
              <w:rPr>
                <w:rFonts w:cs="FrankRuehl"/>
                <w:sz w:val="28"/>
                <w:szCs w:val="28"/>
                <w:rtl/>
              </w:rPr>
              <w:t>4712-02-24</w:t>
            </w:r>
            <w:r w:rsidRPr="004B63FE">
              <w:rPr>
                <w:rFonts w:cs="FrankRuehl" w:hint="cs"/>
                <w:sz w:val="28"/>
                <w:szCs w:val="28"/>
                <w:rtl/>
              </w:rPr>
              <w:t xml:space="preserve"> </w:t>
            </w:r>
            <w:r w:rsidRPr="004B63FE">
              <w:rPr>
                <w:rFonts w:cs="FrankRuehl"/>
                <w:sz w:val="28"/>
                <w:szCs w:val="28"/>
                <w:rtl/>
              </w:rPr>
              <w:t>מדינת ישראל נ' יפרח(עציר)</w:t>
            </w:r>
          </w:p>
          <w:p w14:paraId="284EA19D" w14:textId="77777777" w:rsidR="008334CB" w:rsidRPr="004B63FE" w:rsidRDefault="008334CB" w:rsidP="008D4E6C">
            <w:pPr>
              <w:pStyle w:val="a3"/>
              <w:rPr>
                <w:rFonts w:cs="FrankRuehl"/>
                <w:sz w:val="28"/>
                <w:szCs w:val="28"/>
                <w:rtl/>
              </w:rPr>
            </w:pPr>
          </w:p>
        </w:tc>
        <w:tc>
          <w:tcPr>
            <w:tcW w:w="3664" w:type="dxa"/>
          </w:tcPr>
          <w:p w14:paraId="6B9AD900" w14:textId="77777777" w:rsidR="008334CB" w:rsidRPr="004B63FE" w:rsidRDefault="008334CB" w:rsidP="008D4E6C">
            <w:pPr>
              <w:pStyle w:val="a3"/>
              <w:jc w:val="right"/>
              <w:rPr>
                <w:rFonts w:cs="FrankRuehl"/>
                <w:sz w:val="28"/>
                <w:szCs w:val="28"/>
                <w:rtl/>
              </w:rPr>
            </w:pPr>
          </w:p>
        </w:tc>
      </w:tr>
    </w:tbl>
    <w:p w14:paraId="127A3EEF" w14:textId="77777777" w:rsidR="008334CB" w:rsidRPr="004B63FE" w:rsidRDefault="008334CB" w:rsidP="00462993">
      <w:pPr>
        <w:pStyle w:val="a3"/>
        <w:rPr>
          <w:sz w:val="26"/>
          <w:szCs w:val="26"/>
          <w:rtl/>
        </w:rPr>
      </w:pPr>
      <w:r w:rsidRPr="004B63FE">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8334CB" w:rsidRPr="004B63FE" w14:paraId="064130BE" w14:textId="77777777" w:rsidTr="008334CB">
        <w:trPr>
          <w:trHeight w:val="345"/>
          <w:jc w:val="center"/>
        </w:trPr>
        <w:tc>
          <w:tcPr>
            <w:tcW w:w="957" w:type="dxa"/>
            <w:tcBorders>
              <w:top w:val="nil"/>
              <w:left w:val="nil"/>
              <w:bottom w:val="nil"/>
              <w:right w:val="nil"/>
            </w:tcBorders>
            <w:shd w:val="clear" w:color="auto" w:fill="auto"/>
          </w:tcPr>
          <w:p w14:paraId="76CD13AA" w14:textId="77777777" w:rsidR="008334CB" w:rsidRPr="004B63FE" w:rsidRDefault="008334CB" w:rsidP="008334CB">
            <w:pPr>
              <w:jc w:val="both"/>
              <w:rPr>
                <w:rFonts w:ascii="David" w:hAnsi="David"/>
                <w:b/>
                <w:bCs/>
              </w:rPr>
            </w:pPr>
            <w:r w:rsidRPr="004B63FE">
              <w:rPr>
                <w:rFonts w:ascii="David" w:hAnsi="David"/>
                <w:b/>
                <w:bCs/>
                <w:rtl/>
              </w:rPr>
              <w:t xml:space="preserve">בפני </w:t>
            </w:r>
          </w:p>
        </w:tc>
        <w:tc>
          <w:tcPr>
            <w:tcW w:w="8358" w:type="dxa"/>
            <w:gridSpan w:val="2"/>
            <w:tcBorders>
              <w:top w:val="nil"/>
              <w:left w:val="nil"/>
              <w:bottom w:val="nil"/>
              <w:right w:val="nil"/>
            </w:tcBorders>
            <w:shd w:val="clear" w:color="auto" w:fill="auto"/>
          </w:tcPr>
          <w:p w14:paraId="34784D7B" w14:textId="77777777" w:rsidR="008334CB" w:rsidRPr="004B63FE" w:rsidRDefault="008334CB" w:rsidP="008D4E6C">
            <w:pPr>
              <w:rPr>
                <w:rFonts w:ascii="David" w:hAnsi="David"/>
                <w:b/>
                <w:bCs/>
              </w:rPr>
            </w:pPr>
            <w:r w:rsidRPr="004B63FE">
              <w:rPr>
                <w:rFonts w:ascii="Arial" w:hAnsi="Arial"/>
                <w:b/>
                <w:bCs/>
                <w:rtl/>
              </w:rPr>
              <w:t>כב' השופט יוסי טורס , סגן הנשיאה</w:t>
            </w:r>
          </w:p>
        </w:tc>
      </w:tr>
      <w:tr w:rsidR="008334CB" w:rsidRPr="004B63FE" w14:paraId="575005CC" w14:textId="77777777" w:rsidTr="008334CB">
        <w:trPr>
          <w:trHeight w:val="345"/>
          <w:jc w:val="center"/>
        </w:trPr>
        <w:tc>
          <w:tcPr>
            <w:tcW w:w="957" w:type="dxa"/>
            <w:tcBorders>
              <w:top w:val="nil"/>
              <w:left w:val="nil"/>
              <w:bottom w:val="nil"/>
              <w:right w:val="nil"/>
            </w:tcBorders>
            <w:shd w:val="clear" w:color="auto" w:fill="auto"/>
          </w:tcPr>
          <w:p w14:paraId="0DF7A053" w14:textId="77777777" w:rsidR="008334CB" w:rsidRPr="004B63FE" w:rsidRDefault="008334CB" w:rsidP="008334CB">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6FCE4593" w14:textId="77777777" w:rsidR="008334CB" w:rsidRPr="004B63FE" w:rsidRDefault="008334CB" w:rsidP="008D4E6C">
            <w:pPr>
              <w:rPr>
                <w:rFonts w:ascii="Arial" w:hAnsi="Arial"/>
                <w:b/>
                <w:bCs/>
                <w:rtl/>
              </w:rPr>
            </w:pPr>
          </w:p>
        </w:tc>
      </w:tr>
      <w:tr w:rsidR="008334CB" w:rsidRPr="004B63FE" w14:paraId="0BCB98A0" w14:textId="77777777" w:rsidTr="008334CB">
        <w:trPr>
          <w:trHeight w:val="415"/>
          <w:jc w:val="center"/>
        </w:trPr>
        <w:tc>
          <w:tcPr>
            <w:tcW w:w="957" w:type="dxa"/>
            <w:tcBorders>
              <w:top w:val="nil"/>
              <w:left w:val="nil"/>
              <w:bottom w:val="nil"/>
              <w:right w:val="nil"/>
            </w:tcBorders>
            <w:shd w:val="clear" w:color="auto" w:fill="auto"/>
          </w:tcPr>
          <w:p w14:paraId="33FB4471" w14:textId="77777777" w:rsidR="008334CB" w:rsidRPr="004B63FE" w:rsidRDefault="008334CB" w:rsidP="008334CB">
            <w:pPr>
              <w:jc w:val="both"/>
              <w:rPr>
                <w:rFonts w:ascii="David" w:hAnsi="David"/>
                <w:b/>
                <w:bCs/>
              </w:rPr>
            </w:pPr>
            <w:bookmarkStart w:id="1" w:name="FirstAppellant"/>
            <w:r w:rsidRPr="004B63FE">
              <w:rPr>
                <w:rFonts w:ascii="David" w:hAnsi="David"/>
                <w:b/>
                <w:bCs/>
                <w:rtl/>
              </w:rPr>
              <w:t>בעניין:</w:t>
            </w:r>
          </w:p>
        </w:tc>
        <w:tc>
          <w:tcPr>
            <w:tcW w:w="5095" w:type="dxa"/>
            <w:tcBorders>
              <w:top w:val="nil"/>
              <w:left w:val="nil"/>
              <w:bottom w:val="nil"/>
              <w:right w:val="nil"/>
            </w:tcBorders>
            <w:shd w:val="clear" w:color="auto" w:fill="auto"/>
          </w:tcPr>
          <w:p w14:paraId="497D7B04" w14:textId="77777777" w:rsidR="008334CB" w:rsidRPr="004B63FE" w:rsidRDefault="008334CB" w:rsidP="008D4E6C">
            <w:pPr>
              <w:rPr>
                <w:rFonts w:ascii="David" w:hAnsi="David"/>
                <w:b/>
                <w:bCs/>
              </w:rPr>
            </w:pPr>
            <w:r w:rsidRPr="004B63FE">
              <w:rPr>
                <w:rFonts w:ascii="David" w:hAnsi="David"/>
                <w:b/>
                <w:bCs/>
                <w:rtl/>
              </w:rPr>
              <w:t>מדינת ישראל</w:t>
            </w:r>
          </w:p>
        </w:tc>
        <w:tc>
          <w:tcPr>
            <w:tcW w:w="3263" w:type="dxa"/>
            <w:tcBorders>
              <w:top w:val="nil"/>
              <w:left w:val="nil"/>
              <w:bottom w:val="nil"/>
              <w:right w:val="nil"/>
            </w:tcBorders>
            <w:shd w:val="clear" w:color="auto" w:fill="auto"/>
          </w:tcPr>
          <w:p w14:paraId="6DE52BBB" w14:textId="77777777" w:rsidR="008334CB" w:rsidRPr="004B63FE" w:rsidRDefault="008334CB" w:rsidP="008334CB">
            <w:pPr>
              <w:jc w:val="both"/>
              <w:rPr>
                <w:rFonts w:ascii="David" w:hAnsi="David"/>
                <w:b/>
                <w:bCs/>
              </w:rPr>
            </w:pPr>
            <w:r w:rsidRPr="004B63FE">
              <w:rPr>
                <w:rFonts w:ascii="David" w:hAnsi="David"/>
                <w:b/>
                <w:bCs/>
                <w:rtl/>
              </w:rPr>
              <w:t>המאשימה</w:t>
            </w:r>
          </w:p>
        </w:tc>
      </w:tr>
      <w:bookmarkEnd w:id="1"/>
      <w:tr w:rsidR="008334CB" w:rsidRPr="004B63FE" w14:paraId="433B7B6C" w14:textId="77777777" w:rsidTr="008334CB">
        <w:trPr>
          <w:trHeight w:val="415"/>
          <w:jc w:val="center"/>
        </w:trPr>
        <w:tc>
          <w:tcPr>
            <w:tcW w:w="957" w:type="dxa"/>
            <w:tcBorders>
              <w:top w:val="nil"/>
              <w:left w:val="nil"/>
              <w:bottom w:val="nil"/>
              <w:right w:val="nil"/>
            </w:tcBorders>
            <w:shd w:val="clear" w:color="auto" w:fill="auto"/>
          </w:tcPr>
          <w:p w14:paraId="1CAAF6FD" w14:textId="77777777" w:rsidR="008334CB" w:rsidRPr="004B63FE" w:rsidRDefault="008334CB" w:rsidP="008334CB">
            <w:pPr>
              <w:jc w:val="both"/>
              <w:rPr>
                <w:rFonts w:ascii="David" w:hAnsi="David"/>
                <w:b/>
                <w:bCs/>
                <w:rtl/>
              </w:rPr>
            </w:pPr>
          </w:p>
        </w:tc>
        <w:tc>
          <w:tcPr>
            <w:tcW w:w="8358" w:type="dxa"/>
            <w:gridSpan w:val="2"/>
            <w:tcBorders>
              <w:top w:val="nil"/>
              <w:left w:val="nil"/>
              <w:bottom w:val="nil"/>
              <w:right w:val="nil"/>
            </w:tcBorders>
            <w:shd w:val="clear" w:color="auto" w:fill="auto"/>
          </w:tcPr>
          <w:p w14:paraId="65D1F89D" w14:textId="77777777" w:rsidR="008334CB" w:rsidRPr="004B63FE" w:rsidRDefault="008334CB" w:rsidP="008D4E6C">
            <w:pPr>
              <w:rPr>
                <w:rFonts w:ascii="David" w:hAnsi="David"/>
                <w:b/>
                <w:bCs/>
              </w:rPr>
            </w:pPr>
            <w:r w:rsidRPr="004B63FE">
              <w:rPr>
                <w:rFonts w:ascii="David" w:hAnsi="David" w:hint="cs"/>
                <w:b/>
                <w:bCs/>
                <w:rtl/>
              </w:rPr>
              <w:t xml:space="preserve">                                                   </w:t>
            </w:r>
            <w:r w:rsidRPr="004B63FE">
              <w:rPr>
                <w:rFonts w:ascii="David" w:hAnsi="David"/>
                <w:b/>
                <w:bCs/>
                <w:rtl/>
              </w:rPr>
              <w:t>נגד</w:t>
            </w:r>
          </w:p>
        </w:tc>
      </w:tr>
      <w:tr w:rsidR="008334CB" w:rsidRPr="004B63FE" w14:paraId="6E043F32" w14:textId="77777777" w:rsidTr="008334CB">
        <w:trPr>
          <w:trHeight w:val="415"/>
          <w:jc w:val="center"/>
        </w:trPr>
        <w:tc>
          <w:tcPr>
            <w:tcW w:w="957" w:type="dxa"/>
            <w:tcBorders>
              <w:top w:val="nil"/>
              <w:left w:val="nil"/>
              <w:bottom w:val="nil"/>
              <w:right w:val="nil"/>
            </w:tcBorders>
            <w:shd w:val="clear" w:color="auto" w:fill="auto"/>
          </w:tcPr>
          <w:p w14:paraId="5BFAB6A6" w14:textId="77777777" w:rsidR="008334CB" w:rsidRPr="004B63FE" w:rsidRDefault="008334CB" w:rsidP="008D4E6C">
            <w:pPr>
              <w:rPr>
                <w:rFonts w:ascii="David" w:hAnsi="David"/>
                <w:b/>
                <w:bCs/>
                <w:rtl/>
              </w:rPr>
            </w:pPr>
          </w:p>
        </w:tc>
        <w:tc>
          <w:tcPr>
            <w:tcW w:w="5095" w:type="dxa"/>
            <w:tcBorders>
              <w:top w:val="nil"/>
              <w:left w:val="nil"/>
              <w:bottom w:val="nil"/>
              <w:right w:val="nil"/>
            </w:tcBorders>
            <w:shd w:val="clear" w:color="auto" w:fill="auto"/>
          </w:tcPr>
          <w:p w14:paraId="3C3DE508" w14:textId="77777777" w:rsidR="008334CB" w:rsidRPr="004B63FE" w:rsidRDefault="008334CB" w:rsidP="008D4E6C">
            <w:pPr>
              <w:rPr>
                <w:rFonts w:ascii="David" w:hAnsi="David"/>
                <w:b/>
                <w:bCs/>
                <w:rtl/>
              </w:rPr>
            </w:pPr>
            <w:r w:rsidRPr="004B63FE">
              <w:rPr>
                <w:rFonts w:ascii="David" w:hAnsi="David"/>
                <w:b/>
                <w:bCs/>
                <w:rtl/>
              </w:rPr>
              <w:br/>
              <w:t xml:space="preserve">מאיר יפרח </w:t>
            </w:r>
          </w:p>
        </w:tc>
        <w:tc>
          <w:tcPr>
            <w:tcW w:w="3263" w:type="dxa"/>
            <w:tcBorders>
              <w:top w:val="nil"/>
              <w:left w:val="nil"/>
              <w:bottom w:val="nil"/>
              <w:right w:val="nil"/>
            </w:tcBorders>
            <w:shd w:val="clear" w:color="auto" w:fill="auto"/>
          </w:tcPr>
          <w:p w14:paraId="2D883EDF" w14:textId="77777777" w:rsidR="008334CB" w:rsidRPr="004B63FE" w:rsidRDefault="008334CB" w:rsidP="008D4E6C">
            <w:pPr>
              <w:rPr>
                <w:rFonts w:ascii="David" w:hAnsi="David"/>
                <w:b/>
                <w:bCs/>
                <w:rtl/>
              </w:rPr>
            </w:pPr>
          </w:p>
          <w:p w14:paraId="5EE0B81E" w14:textId="77777777" w:rsidR="008334CB" w:rsidRPr="004B63FE" w:rsidRDefault="008334CB" w:rsidP="008D4E6C">
            <w:pPr>
              <w:rPr>
                <w:rFonts w:ascii="David" w:hAnsi="David"/>
                <w:b/>
                <w:bCs/>
              </w:rPr>
            </w:pPr>
            <w:r w:rsidRPr="004B63FE">
              <w:rPr>
                <w:rFonts w:ascii="David" w:hAnsi="David"/>
                <w:b/>
                <w:bCs/>
                <w:rtl/>
              </w:rPr>
              <w:t>הנאש</w:t>
            </w:r>
            <w:r w:rsidRPr="004B63FE">
              <w:rPr>
                <w:rFonts w:ascii="David" w:hAnsi="David" w:hint="cs"/>
                <w:b/>
                <w:bCs/>
                <w:rtl/>
              </w:rPr>
              <w:t>ם</w:t>
            </w:r>
          </w:p>
        </w:tc>
      </w:tr>
    </w:tbl>
    <w:p w14:paraId="33F95B60" w14:textId="77777777" w:rsidR="008334CB" w:rsidRPr="004B63FE" w:rsidRDefault="008334CB" w:rsidP="008334CB">
      <w:pPr>
        <w:rPr>
          <w:sz w:val="26"/>
          <w:szCs w:val="26"/>
        </w:rPr>
      </w:pPr>
    </w:p>
    <w:p w14:paraId="00332F3F" w14:textId="77777777" w:rsidR="004B63FE" w:rsidRPr="004B63FE" w:rsidRDefault="004B63FE" w:rsidP="004B63FE">
      <w:pPr>
        <w:spacing w:before="120" w:after="120" w:line="240" w:lineRule="exact"/>
        <w:ind w:left="283" w:hanging="283"/>
        <w:jc w:val="both"/>
        <w:rPr>
          <w:rFonts w:ascii="FrankRuehl" w:hAnsi="FrankRuehl" w:cs="FrankRuehl"/>
          <w:rtl/>
        </w:rPr>
      </w:pPr>
    </w:p>
    <w:p w14:paraId="46A82E4C" w14:textId="77777777" w:rsidR="004B63FE" w:rsidRPr="004B63FE" w:rsidRDefault="004B63FE" w:rsidP="004B63FE">
      <w:pPr>
        <w:rPr>
          <w:rFonts w:ascii="David" w:hAnsi="David"/>
          <w:sz w:val="26"/>
          <w:szCs w:val="26"/>
          <w:rtl/>
        </w:rPr>
      </w:pPr>
    </w:p>
    <w:p w14:paraId="3D04EC1B" w14:textId="77777777" w:rsidR="00462993" w:rsidRPr="00462993" w:rsidRDefault="00462993" w:rsidP="00462993">
      <w:pPr>
        <w:spacing w:before="120" w:after="120" w:line="240" w:lineRule="exact"/>
        <w:ind w:left="283" w:hanging="283"/>
        <w:jc w:val="both"/>
        <w:rPr>
          <w:rFonts w:ascii="FrankRuehl" w:hAnsi="FrankRuehl" w:cs="FrankRuehl"/>
          <w:rtl/>
        </w:rPr>
      </w:pPr>
    </w:p>
    <w:p w14:paraId="00E2AF83" w14:textId="77777777" w:rsidR="00D87C91" w:rsidRPr="00D87C91" w:rsidRDefault="00D87C91" w:rsidP="00D87C91">
      <w:pPr>
        <w:spacing w:before="120" w:after="120" w:line="240" w:lineRule="exact"/>
        <w:ind w:left="283" w:hanging="283"/>
        <w:jc w:val="both"/>
        <w:rPr>
          <w:rFonts w:ascii="FrankRuehl" w:hAnsi="FrankRuehl" w:cs="FrankRuehl"/>
          <w:rtl/>
        </w:rPr>
      </w:pPr>
    </w:p>
    <w:p w14:paraId="1373F70E" w14:textId="77777777" w:rsidR="00EF1ACE" w:rsidRDefault="00EF1ACE" w:rsidP="00EF1ACE">
      <w:pPr>
        <w:rPr>
          <w:rFonts w:ascii="David" w:hAnsi="David"/>
          <w:sz w:val="26"/>
          <w:szCs w:val="26"/>
          <w:rtl/>
        </w:rPr>
      </w:pPr>
      <w:bookmarkStart w:id="2" w:name="LawTable"/>
      <w:bookmarkEnd w:id="2"/>
    </w:p>
    <w:p w14:paraId="62D98BFB" w14:textId="77777777" w:rsidR="00EF1ACE" w:rsidRPr="00EF1ACE" w:rsidRDefault="00EF1ACE" w:rsidP="00EF1ACE">
      <w:pPr>
        <w:spacing w:before="120" w:after="120" w:line="240" w:lineRule="exact"/>
        <w:ind w:left="283" w:hanging="283"/>
        <w:jc w:val="both"/>
        <w:rPr>
          <w:rFonts w:ascii="FrankRuehl" w:hAnsi="FrankRuehl" w:cs="FrankRuehl"/>
          <w:rtl/>
        </w:rPr>
      </w:pPr>
    </w:p>
    <w:p w14:paraId="4EDC14DB" w14:textId="77777777" w:rsidR="00EF1ACE" w:rsidRPr="00EF1ACE" w:rsidRDefault="00EF1ACE" w:rsidP="00EF1ACE">
      <w:pPr>
        <w:spacing w:before="120" w:after="120" w:line="240" w:lineRule="exact"/>
        <w:ind w:left="283" w:hanging="283"/>
        <w:jc w:val="both"/>
        <w:rPr>
          <w:rFonts w:ascii="FrankRuehl" w:hAnsi="FrankRuehl" w:cs="FrankRuehl"/>
          <w:rtl/>
        </w:rPr>
      </w:pPr>
    </w:p>
    <w:p w14:paraId="6C18F0AB" w14:textId="77777777" w:rsidR="00EF1ACE" w:rsidRPr="00EF1ACE" w:rsidRDefault="00EF1ACE" w:rsidP="00EF1ACE">
      <w:pPr>
        <w:spacing w:before="120" w:after="120" w:line="240" w:lineRule="exact"/>
        <w:ind w:left="283" w:hanging="283"/>
        <w:jc w:val="both"/>
        <w:rPr>
          <w:rFonts w:ascii="FrankRuehl" w:hAnsi="FrankRuehl" w:cs="FrankRuehl"/>
          <w:rtl/>
        </w:rPr>
      </w:pPr>
      <w:r w:rsidRPr="00EF1ACE">
        <w:rPr>
          <w:rFonts w:ascii="FrankRuehl" w:hAnsi="FrankRuehl" w:cs="FrankRuehl"/>
          <w:rtl/>
        </w:rPr>
        <w:t xml:space="preserve">חקיקה שאוזכרה: </w:t>
      </w:r>
    </w:p>
    <w:p w14:paraId="13D5CB88" w14:textId="77777777" w:rsidR="00EF1ACE" w:rsidRPr="00EF1ACE" w:rsidRDefault="00EF1ACE" w:rsidP="00EF1ACE">
      <w:pPr>
        <w:spacing w:before="120" w:after="120" w:line="240" w:lineRule="exact"/>
        <w:ind w:left="283" w:hanging="283"/>
        <w:jc w:val="both"/>
        <w:rPr>
          <w:rFonts w:ascii="FrankRuehl" w:hAnsi="FrankRuehl" w:cs="FrankRuehl"/>
          <w:rtl/>
        </w:rPr>
      </w:pPr>
      <w:hyperlink r:id="rId7" w:history="1">
        <w:r w:rsidRPr="00EF1ACE">
          <w:rPr>
            <w:rFonts w:ascii="FrankRuehl" w:hAnsi="FrankRuehl" w:cs="FrankRuehl"/>
            <w:color w:val="0000FF"/>
            <w:rtl/>
          </w:rPr>
          <w:t>פקודת הסמים המסוכנים [נוסח חדש], תשל"ג-1973</w:t>
        </w:r>
      </w:hyperlink>
      <w:r w:rsidRPr="00EF1ACE">
        <w:rPr>
          <w:rFonts w:ascii="FrankRuehl" w:hAnsi="FrankRuehl" w:cs="FrankRuehl"/>
          <w:rtl/>
        </w:rPr>
        <w:t xml:space="preserve">: סע'  </w:t>
      </w:r>
      <w:hyperlink r:id="rId8" w:history="1">
        <w:r w:rsidRPr="00EF1ACE">
          <w:rPr>
            <w:rFonts w:ascii="FrankRuehl" w:hAnsi="FrankRuehl" w:cs="FrankRuehl"/>
            <w:color w:val="0000FF"/>
            <w:rtl/>
          </w:rPr>
          <w:t>7.א.</w:t>
        </w:r>
      </w:hyperlink>
      <w:r w:rsidRPr="00EF1ACE">
        <w:rPr>
          <w:rFonts w:ascii="FrankRuehl" w:hAnsi="FrankRuehl" w:cs="FrankRuehl"/>
          <w:rtl/>
        </w:rPr>
        <w:t xml:space="preserve">, </w:t>
      </w:r>
      <w:hyperlink r:id="rId9" w:history="1">
        <w:r w:rsidRPr="00EF1ACE">
          <w:rPr>
            <w:rFonts w:ascii="FrankRuehl" w:hAnsi="FrankRuehl" w:cs="FrankRuehl"/>
            <w:color w:val="0000FF"/>
            <w:rtl/>
          </w:rPr>
          <w:t>7.ג</w:t>
        </w:r>
      </w:hyperlink>
    </w:p>
    <w:p w14:paraId="0BEDDA2E" w14:textId="77777777" w:rsidR="00EF1ACE" w:rsidRPr="00EF1ACE" w:rsidRDefault="00EF1ACE" w:rsidP="00EF1ACE">
      <w:pPr>
        <w:spacing w:before="120" w:after="120" w:line="240" w:lineRule="exact"/>
        <w:ind w:left="283" w:hanging="283"/>
        <w:jc w:val="both"/>
        <w:rPr>
          <w:rFonts w:ascii="FrankRuehl" w:hAnsi="FrankRuehl" w:cs="FrankRuehl"/>
          <w:rtl/>
        </w:rPr>
      </w:pPr>
      <w:hyperlink r:id="rId10" w:history="1">
        <w:r w:rsidRPr="00EF1ACE">
          <w:rPr>
            <w:rFonts w:ascii="FrankRuehl" w:hAnsi="FrankRuehl" w:cs="FrankRuehl"/>
            <w:color w:val="0000FF"/>
            <w:rtl/>
          </w:rPr>
          <w:t>תקנות העבירות המינהליות, תשמ"ו-1986</w:t>
        </w:r>
      </w:hyperlink>
    </w:p>
    <w:p w14:paraId="3ED7CBE9" w14:textId="77777777" w:rsidR="00EF1ACE" w:rsidRPr="00EF1ACE" w:rsidRDefault="00EF1ACE" w:rsidP="00EF1ACE">
      <w:pPr>
        <w:spacing w:before="120" w:after="120" w:line="240" w:lineRule="exact"/>
        <w:ind w:left="283" w:hanging="283"/>
        <w:jc w:val="both"/>
        <w:rPr>
          <w:rFonts w:ascii="FrankRuehl" w:hAnsi="FrankRuehl" w:cs="FrankRuehl"/>
          <w:rtl/>
        </w:rPr>
      </w:pPr>
      <w:hyperlink r:id="rId11" w:history="1">
        <w:r w:rsidRPr="00EF1ACE">
          <w:rPr>
            <w:rFonts w:ascii="FrankRuehl" w:hAnsi="FrankRuehl" w:cs="FrankRuehl"/>
            <w:color w:val="0000FF"/>
            <w:rtl/>
          </w:rPr>
          <w:t>חוק העבירות המינהליות, תשמ"ו-1985</w:t>
        </w:r>
      </w:hyperlink>
      <w:r w:rsidRPr="00EF1ACE">
        <w:rPr>
          <w:rFonts w:ascii="FrankRuehl" w:hAnsi="FrankRuehl" w:cs="FrankRuehl"/>
          <w:rtl/>
        </w:rPr>
        <w:t xml:space="preserve">: סע'  </w:t>
      </w:r>
      <w:hyperlink r:id="rId12" w:history="1">
        <w:r w:rsidRPr="00EF1ACE">
          <w:rPr>
            <w:rFonts w:ascii="FrankRuehl" w:hAnsi="FrankRuehl" w:cs="FrankRuehl"/>
            <w:color w:val="0000FF"/>
            <w:rtl/>
          </w:rPr>
          <w:t>15</w:t>
        </w:r>
      </w:hyperlink>
    </w:p>
    <w:p w14:paraId="77B68222" w14:textId="77777777" w:rsidR="00EF1ACE" w:rsidRPr="00EF1ACE" w:rsidRDefault="00EF1ACE" w:rsidP="00EF1ACE">
      <w:pPr>
        <w:spacing w:before="120" w:after="120" w:line="240" w:lineRule="exact"/>
        <w:ind w:left="283" w:hanging="283"/>
        <w:jc w:val="both"/>
        <w:rPr>
          <w:rFonts w:ascii="FrankRuehl" w:hAnsi="FrankRuehl" w:cs="FrankRuehl"/>
          <w:rtl/>
        </w:rPr>
      </w:pPr>
      <w:hyperlink r:id="rId13" w:history="1">
        <w:r w:rsidRPr="00EF1ACE">
          <w:rPr>
            <w:rFonts w:ascii="FrankRuehl" w:hAnsi="FrankRuehl" w:cs="FrankRuehl"/>
            <w:color w:val="0000FF"/>
            <w:rtl/>
          </w:rPr>
          <w:t>חוק העונשין, תשל"ז-1977</w:t>
        </w:r>
      </w:hyperlink>
      <w:r w:rsidRPr="00EF1ACE">
        <w:rPr>
          <w:rFonts w:ascii="FrankRuehl" w:hAnsi="FrankRuehl" w:cs="FrankRuehl"/>
          <w:rtl/>
        </w:rPr>
        <w:t xml:space="preserve">: סע'  </w:t>
      </w:r>
      <w:hyperlink r:id="rId14" w:history="1">
        <w:r w:rsidRPr="00EF1ACE">
          <w:rPr>
            <w:rFonts w:ascii="FrankRuehl" w:hAnsi="FrankRuehl" w:cs="FrankRuehl"/>
            <w:color w:val="0000FF"/>
            <w:rtl/>
          </w:rPr>
          <w:t>45(ב)</w:t>
        </w:r>
      </w:hyperlink>
    </w:p>
    <w:p w14:paraId="2FAB400C" w14:textId="77777777" w:rsidR="00EF1ACE" w:rsidRPr="00EF1ACE" w:rsidRDefault="00EF1ACE" w:rsidP="00EF1ACE">
      <w:pPr>
        <w:rPr>
          <w:rFonts w:ascii="David" w:hAnsi="David"/>
          <w:sz w:val="26"/>
          <w:szCs w:val="26"/>
          <w:rtl/>
        </w:rPr>
      </w:pPr>
      <w:bookmarkStart w:id="3" w:name="LawTable_End"/>
      <w:bookmarkEnd w:id="3"/>
    </w:p>
    <w:p w14:paraId="57C4E333" w14:textId="77777777" w:rsidR="00462993" w:rsidRPr="00D87C91" w:rsidRDefault="00462993" w:rsidP="00D87C91">
      <w:pPr>
        <w:rPr>
          <w:rFonts w:ascii="David" w:hAnsi="David"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34CB" w14:paraId="7CFA0A7B" w14:textId="77777777" w:rsidTr="008334CB">
        <w:trPr>
          <w:trHeight w:val="355"/>
          <w:jc w:val="center"/>
        </w:trPr>
        <w:tc>
          <w:tcPr>
            <w:tcW w:w="8820" w:type="dxa"/>
            <w:tcBorders>
              <w:top w:val="nil"/>
              <w:left w:val="nil"/>
              <w:bottom w:val="nil"/>
              <w:right w:val="nil"/>
            </w:tcBorders>
            <w:shd w:val="clear" w:color="auto" w:fill="auto"/>
          </w:tcPr>
          <w:p w14:paraId="374D0960" w14:textId="77777777" w:rsidR="004B63FE" w:rsidRPr="004B63FE" w:rsidRDefault="004B63FE" w:rsidP="004B63FE">
            <w:pPr>
              <w:jc w:val="center"/>
              <w:rPr>
                <w:rFonts w:ascii="David" w:hAnsi="David"/>
                <w:b/>
                <w:bCs/>
                <w:sz w:val="32"/>
                <w:szCs w:val="32"/>
                <w:u w:val="single"/>
                <w:rtl/>
              </w:rPr>
            </w:pPr>
            <w:bookmarkStart w:id="4" w:name="PsakDin" w:colFirst="0" w:colLast="0"/>
            <w:r w:rsidRPr="004B63FE">
              <w:rPr>
                <w:rFonts w:ascii="David" w:hAnsi="David"/>
                <w:b/>
                <w:bCs/>
                <w:sz w:val="32"/>
                <w:szCs w:val="32"/>
                <w:u w:val="single"/>
                <w:rtl/>
              </w:rPr>
              <w:t>גזר דין</w:t>
            </w:r>
          </w:p>
          <w:p w14:paraId="216D664B" w14:textId="77777777" w:rsidR="008334CB" w:rsidRPr="004B63FE" w:rsidRDefault="008334CB" w:rsidP="004B63FE">
            <w:pPr>
              <w:jc w:val="center"/>
              <w:rPr>
                <w:rFonts w:ascii="David" w:hAnsi="David"/>
                <w:bCs/>
                <w:sz w:val="32"/>
                <w:szCs w:val="32"/>
                <w:u w:val="single"/>
                <w:rtl/>
              </w:rPr>
            </w:pPr>
          </w:p>
        </w:tc>
      </w:tr>
      <w:bookmarkEnd w:id="4"/>
    </w:tbl>
    <w:p w14:paraId="1F711C94" w14:textId="77777777" w:rsidR="008334CB" w:rsidRPr="002B7D23" w:rsidRDefault="008334CB" w:rsidP="008334CB">
      <w:pPr>
        <w:rPr>
          <w:rFonts w:ascii="David" w:hAnsi="David"/>
          <w:sz w:val="26"/>
          <w:szCs w:val="26"/>
          <w:rtl/>
        </w:rPr>
      </w:pPr>
    </w:p>
    <w:p w14:paraId="51621209" w14:textId="77777777" w:rsidR="008334CB" w:rsidRPr="00DC5D0E" w:rsidRDefault="008334CB" w:rsidP="008334CB">
      <w:pPr>
        <w:shd w:val="clear" w:color="auto" w:fill="FFFFFF"/>
        <w:spacing w:line="293" w:lineRule="atLeast"/>
        <w:jc w:val="both"/>
        <w:rPr>
          <w:rFonts w:ascii="David" w:hAnsi="David"/>
          <w:color w:val="222222"/>
        </w:rPr>
      </w:pPr>
      <w:r w:rsidRPr="00DC5D0E">
        <w:rPr>
          <w:rFonts w:ascii="David" w:hAnsi="David"/>
          <w:b/>
          <w:bCs/>
          <w:color w:val="222222"/>
          <w:u w:val="single"/>
          <w:rtl/>
        </w:rPr>
        <w:t>כתב האישום</w:t>
      </w:r>
    </w:p>
    <w:p w14:paraId="3A5ACCEB" w14:textId="77777777" w:rsidR="008334CB" w:rsidRDefault="004B63FE" w:rsidP="008334CB">
      <w:pPr>
        <w:shd w:val="clear" w:color="auto" w:fill="FFFFFF"/>
        <w:spacing w:line="293" w:lineRule="atLeast"/>
        <w:jc w:val="both"/>
        <w:rPr>
          <w:rFonts w:ascii="Arial" w:hAnsi="Arial" w:cs="Arial"/>
          <w:color w:val="222222"/>
        </w:rPr>
      </w:pPr>
      <w:r>
        <w:rPr>
          <w:rFonts w:ascii="Arial" w:hAnsi="Arial" w:cs="Arial"/>
          <w:color w:val="222222"/>
          <w:rtl/>
        </w:rPr>
        <w:t xml:space="preserve"> </w:t>
      </w:r>
    </w:p>
    <w:p w14:paraId="4874318E" w14:textId="77777777" w:rsidR="008334CB" w:rsidRPr="00E963DD" w:rsidRDefault="008334CB" w:rsidP="008334CB">
      <w:pPr>
        <w:pStyle w:val="a9"/>
        <w:numPr>
          <w:ilvl w:val="0"/>
          <w:numId w:val="2"/>
        </w:numPr>
        <w:shd w:val="clear" w:color="auto" w:fill="FFFFFF"/>
        <w:spacing w:line="360" w:lineRule="atLeast"/>
        <w:jc w:val="both"/>
        <w:rPr>
          <w:rFonts w:cs="Times New Roman"/>
          <w:color w:val="222222"/>
        </w:rPr>
      </w:pPr>
      <w:bookmarkStart w:id="5" w:name="ABSTRACT_START"/>
      <w:bookmarkEnd w:id="5"/>
      <w:r w:rsidRPr="00CE51FB">
        <w:rPr>
          <w:rFonts w:ascii="David" w:hAnsi="David"/>
          <w:color w:val="222222"/>
          <w:rtl/>
        </w:rPr>
        <w:t>הנאשם הורשע במסגרת הסדר טיעון שלא כלל הסכמה עונשית בעבירת החזקת סמים שלא לצריכה</w:t>
      </w:r>
      <w:r w:rsidRPr="00CE51FB">
        <w:rPr>
          <w:rFonts w:ascii="David" w:hAnsi="David" w:hint="cs"/>
          <w:color w:val="222222"/>
          <w:rtl/>
        </w:rPr>
        <w:t xml:space="preserve"> עצמית</w:t>
      </w:r>
      <w:r w:rsidRPr="00CE51FB">
        <w:rPr>
          <w:rFonts w:ascii="David" w:hAnsi="David"/>
          <w:color w:val="222222"/>
          <w:rtl/>
        </w:rPr>
        <w:t xml:space="preserve">, לפי </w:t>
      </w:r>
      <w:hyperlink r:id="rId15" w:history="1">
        <w:r w:rsidR="00462993" w:rsidRPr="00462993">
          <w:rPr>
            <w:rStyle w:val="Hyperlink"/>
            <w:rFonts w:ascii="David" w:hAnsi="David"/>
            <w:rtl/>
          </w:rPr>
          <w:t>סעיף 7(א)+7(ג)</w:t>
        </w:r>
      </w:hyperlink>
      <w:r w:rsidRPr="00CE51FB">
        <w:rPr>
          <w:rFonts w:ascii="David" w:hAnsi="David"/>
          <w:color w:val="222222"/>
          <w:rtl/>
        </w:rPr>
        <w:t xml:space="preserve"> רישא ל</w:t>
      </w:r>
      <w:hyperlink r:id="rId16" w:history="1">
        <w:r w:rsidR="004B63FE" w:rsidRPr="004B63FE">
          <w:rPr>
            <w:rFonts w:ascii="David" w:hAnsi="David"/>
            <w:color w:val="0000FF"/>
            <w:u w:val="single"/>
            <w:rtl/>
          </w:rPr>
          <w:t>פקודת הסמים המסוכנים</w:t>
        </w:r>
      </w:hyperlink>
      <w:r w:rsidRPr="00CE51FB">
        <w:rPr>
          <w:rFonts w:ascii="David" w:hAnsi="David"/>
          <w:color w:val="222222"/>
          <w:rtl/>
        </w:rPr>
        <w:t xml:space="preserve"> [נוסח חדש], תשל"ג-1973 (להלן –</w:t>
      </w:r>
      <w:r w:rsidR="004B63FE">
        <w:rPr>
          <w:rFonts w:ascii="David" w:hAnsi="David"/>
          <w:color w:val="222222"/>
          <w:rtl/>
        </w:rPr>
        <w:t xml:space="preserve"> </w:t>
      </w:r>
      <w:r w:rsidRPr="00CE51FB">
        <w:rPr>
          <w:rFonts w:ascii="Miriam" w:hAnsi="Miriam" w:cs="Miriam"/>
          <w:color w:val="222222"/>
          <w:rtl/>
        </w:rPr>
        <w:t>פקודת הסמים</w:t>
      </w:r>
      <w:r w:rsidRPr="00CE51FB">
        <w:rPr>
          <w:rFonts w:ascii="David" w:hAnsi="David"/>
          <w:color w:val="222222"/>
          <w:rtl/>
        </w:rPr>
        <w:t>) ו</w:t>
      </w:r>
      <w:r w:rsidRPr="00CE51FB">
        <w:rPr>
          <w:rFonts w:ascii="David" w:hAnsi="David" w:hint="cs"/>
          <w:color w:val="222222"/>
          <w:rtl/>
        </w:rPr>
        <w:t xml:space="preserve">כן </w:t>
      </w:r>
      <w:r w:rsidRPr="00CE51FB">
        <w:rPr>
          <w:rFonts w:ascii="David" w:hAnsi="David"/>
          <w:color w:val="222222"/>
          <w:rtl/>
        </w:rPr>
        <w:t xml:space="preserve">עבירת החזקת סמים לשימוש עצמי, לפי </w:t>
      </w:r>
      <w:hyperlink r:id="rId17" w:history="1">
        <w:r w:rsidR="00462993" w:rsidRPr="00462993">
          <w:rPr>
            <w:rStyle w:val="Hyperlink"/>
            <w:rFonts w:ascii="David" w:hAnsi="David"/>
            <w:rtl/>
          </w:rPr>
          <w:t>סעיף 7(א)+ל7(ג)</w:t>
        </w:r>
      </w:hyperlink>
      <w:r w:rsidRPr="00CE51FB">
        <w:rPr>
          <w:rFonts w:ascii="David" w:hAnsi="David"/>
          <w:color w:val="222222"/>
          <w:rtl/>
        </w:rPr>
        <w:t xml:space="preserve"> סיפא לפקודת הסמים. במועד הרלוונטי לכתב האישום המתוקן התגורר הנאשם בבית אמו וביום 22.1.24 החזיק בתוך קופסת סיגריות שהוחבאה במשקוף דלת חדר השינה,</w:t>
      </w:r>
      <w:r w:rsidR="004B63FE">
        <w:rPr>
          <w:rFonts w:ascii="David" w:hAnsi="David"/>
          <w:color w:val="222222"/>
          <w:rtl/>
        </w:rPr>
        <w:t xml:space="preserve"> </w:t>
      </w:r>
      <w:r w:rsidRPr="00CE51FB">
        <w:rPr>
          <w:rFonts w:ascii="David" w:hAnsi="David"/>
          <w:color w:val="222222"/>
          <w:rtl/>
        </w:rPr>
        <w:t>מספר שקיות שהכילו סמים מסוכנים כמפורט להלן:</w:t>
      </w:r>
      <w:r w:rsidRPr="00CE51FB">
        <w:rPr>
          <w:rFonts w:cs="Times New Roman" w:hint="cs"/>
          <w:color w:val="222222"/>
          <w:rtl/>
        </w:rPr>
        <w:t xml:space="preserve"> </w:t>
      </w:r>
      <w:r>
        <w:rPr>
          <w:rFonts w:ascii="David" w:hAnsi="David"/>
          <w:color w:val="222222"/>
          <w:rtl/>
        </w:rPr>
        <w:t>קוקאין במשקל</w:t>
      </w:r>
      <w:r>
        <w:rPr>
          <w:rFonts w:ascii="David" w:hAnsi="David" w:hint="cs"/>
          <w:color w:val="222222"/>
          <w:rtl/>
        </w:rPr>
        <w:t xml:space="preserve"> כולל של</w:t>
      </w:r>
      <w:r>
        <w:rPr>
          <w:rFonts w:ascii="David" w:hAnsi="David"/>
          <w:color w:val="222222"/>
          <w:rtl/>
        </w:rPr>
        <w:t xml:space="preserve"> </w:t>
      </w:r>
      <w:r>
        <w:rPr>
          <w:rFonts w:ascii="David" w:hAnsi="David" w:hint="cs"/>
          <w:color w:val="222222"/>
          <w:rtl/>
        </w:rPr>
        <w:t>5.816</w:t>
      </w:r>
      <w:r>
        <w:rPr>
          <w:rFonts w:ascii="David" w:hAnsi="David"/>
          <w:color w:val="222222"/>
          <w:rtl/>
        </w:rPr>
        <w:t xml:space="preserve"> גרם נטו</w:t>
      </w:r>
      <w:r>
        <w:rPr>
          <w:rFonts w:ascii="David" w:hAnsi="David" w:hint="cs"/>
          <w:color w:val="222222"/>
          <w:rtl/>
        </w:rPr>
        <w:t xml:space="preserve">; </w:t>
      </w:r>
      <w:r w:rsidR="004B63FE">
        <w:rPr>
          <w:rFonts w:cs="Times New Roman"/>
          <w:color w:val="222222"/>
          <w:sz w:val="14"/>
          <w:szCs w:val="14"/>
          <w:rtl/>
        </w:rPr>
        <w:t xml:space="preserve"> </w:t>
      </w:r>
      <w:r w:rsidRPr="00CE51FB">
        <w:rPr>
          <w:rFonts w:ascii="David" w:hAnsi="David"/>
          <w:color w:val="222222"/>
        </w:rPr>
        <w:t>MDMA</w:t>
      </w:r>
      <w:r w:rsidR="004B63FE">
        <w:rPr>
          <w:rFonts w:ascii="David" w:hAnsi="David"/>
          <w:color w:val="222222"/>
          <w:rtl/>
        </w:rPr>
        <w:t xml:space="preserve"> </w:t>
      </w:r>
      <w:r w:rsidRPr="00CE51FB">
        <w:rPr>
          <w:rFonts w:ascii="David" w:hAnsi="David"/>
          <w:color w:val="222222"/>
          <w:rtl/>
        </w:rPr>
        <w:t>במשק</w:t>
      </w:r>
      <w:r>
        <w:rPr>
          <w:rFonts w:ascii="David" w:hAnsi="David"/>
          <w:color w:val="222222"/>
          <w:rtl/>
        </w:rPr>
        <w:t>ל 4.9306 גרם נט</w:t>
      </w:r>
      <w:r>
        <w:rPr>
          <w:rFonts w:ascii="David" w:hAnsi="David" w:hint="cs"/>
          <w:color w:val="222222"/>
          <w:rtl/>
        </w:rPr>
        <w:t xml:space="preserve">ו; </w:t>
      </w:r>
      <w:r w:rsidRPr="00CE51FB">
        <w:rPr>
          <w:rFonts w:ascii="David" w:hAnsi="David"/>
          <w:color w:val="222222"/>
          <w:rtl/>
        </w:rPr>
        <w:t>חשיש</w:t>
      </w:r>
      <w:r>
        <w:rPr>
          <w:rFonts w:ascii="David" w:hAnsi="David" w:hint="cs"/>
          <w:color w:val="222222"/>
          <w:rtl/>
        </w:rPr>
        <w:t xml:space="preserve"> </w:t>
      </w:r>
      <w:r>
        <w:rPr>
          <w:rFonts w:ascii="David" w:hAnsi="David" w:hint="cs"/>
          <w:color w:val="222222"/>
          <w:rtl/>
        </w:rPr>
        <w:lastRenderedPageBreak/>
        <w:t>במשקל של 19.56 גרם ברוטו לצריכה עצמית וקנביס</w:t>
      </w:r>
      <w:r w:rsidRPr="00CE51FB">
        <w:rPr>
          <w:rFonts w:ascii="David" w:hAnsi="David"/>
          <w:color w:val="222222"/>
          <w:rtl/>
        </w:rPr>
        <w:t xml:space="preserve"> במשקל</w:t>
      </w:r>
      <w:r>
        <w:rPr>
          <w:rFonts w:ascii="David" w:hAnsi="David" w:hint="cs"/>
          <w:color w:val="222222"/>
          <w:rtl/>
        </w:rPr>
        <w:t xml:space="preserve"> 10.15 גרם נטו </w:t>
      </w:r>
      <w:r w:rsidRPr="00CE51FB">
        <w:rPr>
          <w:rFonts w:ascii="David" w:hAnsi="David"/>
          <w:color w:val="222222"/>
          <w:rtl/>
        </w:rPr>
        <w:t>לצריכה עצמית.</w:t>
      </w:r>
      <w:r w:rsidRPr="006A4212">
        <w:rPr>
          <w:rFonts w:ascii="David" w:hAnsi="David" w:hint="cs"/>
          <w:color w:val="222222"/>
          <w:rtl/>
        </w:rPr>
        <w:t xml:space="preserve"> כן החזיק הנאשם שקיות חלוקה.</w:t>
      </w:r>
    </w:p>
    <w:p w14:paraId="2C9DFACA" w14:textId="77777777" w:rsidR="008334CB" w:rsidRDefault="008334CB" w:rsidP="008334CB">
      <w:pPr>
        <w:pStyle w:val="a9"/>
        <w:shd w:val="clear" w:color="auto" w:fill="FFFFFF"/>
        <w:ind w:left="0"/>
        <w:jc w:val="both"/>
        <w:rPr>
          <w:rFonts w:ascii="David" w:hAnsi="David"/>
          <w:color w:val="222222"/>
          <w:rtl/>
        </w:rPr>
      </w:pPr>
      <w:bookmarkStart w:id="6" w:name="ABSTRACT_END"/>
      <w:bookmarkEnd w:id="6"/>
    </w:p>
    <w:p w14:paraId="43AAE7EE" w14:textId="77777777" w:rsidR="008334CB" w:rsidRDefault="008334CB" w:rsidP="008334CB">
      <w:pPr>
        <w:shd w:val="clear" w:color="auto" w:fill="FFFFFF"/>
        <w:spacing w:line="360" w:lineRule="auto"/>
        <w:jc w:val="both"/>
        <w:rPr>
          <w:rFonts w:ascii="Arial" w:hAnsi="Arial" w:cs="Arial"/>
          <w:color w:val="222222"/>
          <w:rtl/>
        </w:rPr>
      </w:pPr>
    </w:p>
    <w:p w14:paraId="0E90796B" w14:textId="77777777" w:rsidR="008334CB" w:rsidRPr="00DC5D0E" w:rsidRDefault="008334CB" w:rsidP="008334CB">
      <w:pPr>
        <w:shd w:val="clear" w:color="auto" w:fill="FFFFFF"/>
        <w:spacing w:line="360" w:lineRule="auto"/>
        <w:jc w:val="both"/>
        <w:rPr>
          <w:rFonts w:ascii="David" w:hAnsi="David"/>
          <w:color w:val="222222"/>
          <w:rtl/>
        </w:rPr>
      </w:pPr>
      <w:r w:rsidRPr="00DC5D0E">
        <w:rPr>
          <w:rFonts w:ascii="David" w:hAnsi="David"/>
          <w:b/>
          <w:bCs/>
          <w:color w:val="222222"/>
          <w:u w:val="single"/>
          <w:rtl/>
        </w:rPr>
        <w:t>טיעוני הצדדים לעונש והראיות</w:t>
      </w:r>
    </w:p>
    <w:p w14:paraId="578EBD2F" w14:textId="77777777" w:rsidR="008334CB" w:rsidRPr="00E963DD" w:rsidRDefault="008334CB" w:rsidP="008334CB">
      <w:pPr>
        <w:pStyle w:val="a9"/>
        <w:numPr>
          <w:ilvl w:val="0"/>
          <w:numId w:val="2"/>
        </w:numPr>
        <w:shd w:val="clear" w:color="auto" w:fill="FFFFFF"/>
        <w:spacing w:line="360" w:lineRule="atLeast"/>
        <w:jc w:val="both"/>
        <w:rPr>
          <w:rFonts w:cs="Times New Roman"/>
          <w:color w:val="222222"/>
          <w:rtl/>
        </w:rPr>
      </w:pPr>
      <w:r w:rsidRPr="00E963DD">
        <w:rPr>
          <w:rFonts w:ascii="David" w:hAnsi="David"/>
          <w:color w:val="222222"/>
          <w:rtl/>
        </w:rPr>
        <w:t>ב"כ המאשימה הגיש טיעון כתוב והשלי</w:t>
      </w:r>
      <w:r w:rsidRPr="00E963DD">
        <w:rPr>
          <w:rFonts w:ascii="David" w:hAnsi="David" w:hint="cs"/>
          <w:color w:val="222222"/>
          <w:rtl/>
        </w:rPr>
        <w:t>ם טיעון</w:t>
      </w:r>
      <w:r w:rsidRPr="00E963DD">
        <w:rPr>
          <w:rFonts w:ascii="David" w:hAnsi="David"/>
          <w:color w:val="222222"/>
          <w:rtl/>
        </w:rPr>
        <w:t xml:space="preserve"> על פה. הודגשו הערכים המוגנים שנפגעו, חומרת העבירות בדגש על משקל הסמים והסוגים השונים וכן הוצגה פסיקה. המאשימה עתרה לקביעת מתחם ענישה הנע בין 18-36 חודשי מאסר בפועל</w:t>
      </w:r>
      <w:r w:rsidRPr="00E963DD">
        <w:rPr>
          <w:rFonts w:ascii="David" w:hAnsi="David" w:hint="cs"/>
          <w:color w:val="222222"/>
          <w:rtl/>
        </w:rPr>
        <w:t xml:space="preserve"> ובשים לב לעבר </w:t>
      </w:r>
      <w:r>
        <w:rPr>
          <w:rFonts w:ascii="David" w:hAnsi="David" w:hint="cs"/>
          <w:color w:val="222222"/>
          <w:rtl/>
        </w:rPr>
        <w:t>ה</w:t>
      </w:r>
      <w:r w:rsidRPr="00E963DD">
        <w:rPr>
          <w:rFonts w:ascii="David" w:hAnsi="David"/>
          <w:color w:val="222222"/>
          <w:rtl/>
        </w:rPr>
        <w:t xml:space="preserve">פלילי </w:t>
      </w:r>
      <w:r w:rsidRPr="00E963DD">
        <w:rPr>
          <w:rFonts w:ascii="David" w:hAnsi="David" w:hint="cs"/>
          <w:color w:val="222222"/>
          <w:rtl/>
        </w:rPr>
        <w:t>טענה ש</w:t>
      </w:r>
      <w:r w:rsidRPr="00E963DD">
        <w:rPr>
          <w:rFonts w:ascii="David" w:hAnsi="David"/>
          <w:color w:val="222222"/>
          <w:rtl/>
        </w:rPr>
        <w:t>יש למקם את העונש בחלקו הבינוני-עליון של המתחם, לצד ענישה נלווית.</w:t>
      </w:r>
    </w:p>
    <w:p w14:paraId="19FCA093" w14:textId="77777777" w:rsidR="008334CB" w:rsidRDefault="004B63FE" w:rsidP="008334CB">
      <w:pPr>
        <w:shd w:val="clear" w:color="auto" w:fill="FFFFFF"/>
        <w:jc w:val="both"/>
        <w:rPr>
          <w:rFonts w:cs="Times New Roman"/>
          <w:color w:val="222222"/>
          <w:rtl/>
        </w:rPr>
      </w:pPr>
      <w:r>
        <w:rPr>
          <w:rFonts w:ascii="David" w:hAnsi="David"/>
          <w:color w:val="222222"/>
        </w:rPr>
        <w:t xml:space="preserve"> </w:t>
      </w:r>
    </w:p>
    <w:p w14:paraId="0BA8DB7B" w14:textId="77777777" w:rsidR="008334CB" w:rsidRPr="00DA2DAC" w:rsidRDefault="008334CB" w:rsidP="008334CB">
      <w:pPr>
        <w:pStyle w:val="a9"/>
        <w:numPr>
          <w:ilvl w:val="0"/>
          <w:numId w:val="2"/>
        </w:numPr>
        <w:shd w:val="clear" w:color="auto" w:fill="FFFFFF"/>
        <w:spacing w:line="360" w:lineRule="atLeast"/>
        <w:jc w:val="both"/>
        <w:rPr>
          <w:rFonts w:cs="Times New Roman"/>
          <w:color w:val="222222"/>
          <w:rtl/>
        </w:rPr>
      </w:pPr>
      <w:r w:rsidRPr="00DA2DAC">
        <w:rPr>
          <w:rFonts w:ascii="David" w:hAnsi="David"/>
          <w:color w:val="222222"/>
          <w:rtl/>
        </w:rPr>
        <w:t>ב"כ הנאשם עתר לקביעת מתחם ענישה הנע בין מספר חודשי מאסר בפועל לבין 12 חודשי מאסר בפועל והפנה לפסיקה. הודגש כי מדובר בבחור צעיר שהודה בעבירות בהזדמנות הראשונה והוא עצור מזה זמן רב. ברמה האופרטיבית עתרה ההגנה למקם את עונשו של הנאשם בחלקו האמצעי של המתחם לו עתרה ולגזור עליו שישה חודשי מאסר בפועל.</w:t>
      </w:r>
    </w:p>
    <w:p w14:paraId="67F8BA60" w14:textId="77777777" w:rsidR="008334CB" w:rsidRDefault="004B63FE" w:rsidP="008334CB">
      <w:pPr>
        <w:shd w:val="clear" w:color="auto" w:fill="FFFFFF"/>
        <w:ind w:left="720"/>
        <w:rPr>
          <w:rFonts w:cs="Times New Roman"/>
          <w:color w:val="222222"/>
          <w:rtl/>
        </w:rPr>
      </w:pPr>
      <w:r>
        <w:rPr>
          <w:rFonts w:ascii="David" w:hAnsi="David"/>
          <w:color w:val="222222"/>
        </w:rPr>
        <w:t xml:space="preserve"> </w:t>
      </w:r>
    </w:p>
    <w:p w14:paraId="4C12D3A9" w14:textId="77777777" w:rsidR="008334CB" w:rsidRDefault="008334CB" w:rsidP="008334CB">
      <w:pPr>
        <w:pStyle w:val="a9"/>
        <w:numPr>
          <w:ilvl w:val="0"/>
          <w:numId w:val="2"/>
        </w:numPr>
        <w:shd w:val="clear" w:color="auto" w:fill="FFFFFF"/>
        <w:spacing w:line="360" w:lineRule="atLeast"/>
        <w:jc w:val="both"/>
        <w:rPr>
          <w:rFonts w:cs="Times New Roman"/>
          <w:color w:val="222222"/>
        </w:rPr>
      </w:pPr>
      <w:r w:rsidRPr="00DA2DAC">
        <w:rPr>
          <w:rFonts w:ascii="David" w:hAnsi="David"/>
          <w:color w:val="222222"/>
          <w:rtl/>
        </w:rPr>
        <w:t xml:space="preserve">הנאשם בדברו האחרון התייחס </w:t>
      </w:r>
      <w:r>
        <w:rPr>
          <w:rFonts w:ascii="David" w:hAnsi="David" w:hint="cs"/>
          <w:color w:val="222222"/>
          <w:rtl/>
        </w:rPr>
        <w:t>לכך שהשקיות שנתפסו לא היו לחלוקה אלא לדיג והסנגור הבהיר שאין מדובר בחזרה מהודאה.</w:t>
      </w:r>
      <w:r w:rsidR="004B63FE">
        <w:rPr>
          <w:rFonts w:ascii="David" w:hAnsi="David"/>
          <w:color w:val="222222"/>
        </w:rPr>
        <w:t xml:space="preserve"> </w:t>
      </w:r>
    </w:p>
    <w:p w14:paraId="094ECB9F" w14:textId="77777777" w:rsidR="008334CB" w:rsidRPr="00E963DD" w:rsidRDefault="008334CB" w:rsidP="008334CB">
      <w:pPr>
        <w:pStyle w:val="a9"/>
        <w:rPr>
          <w:rFonts w:cs="Times New Roman"/>
          <w:color w:val="222222"/>
          <w:rtl/>
        </w:rPr>
      </w:pPr>
    </w:p>
    <w:p w14:paraId="2EE64258" w14:textId="77777777" w:rsidR="008334CB" w:rsidRDefault="008334CB" w:rsidP="008334CB">
      <w:pPr>
        <w:shd w:val="clear" w:color="auto" w:fill="FFFFFF"/>
        <w:spacing w:line="360" w:lineRule="atLeast"/>
        <w:jc w:val="both"/>
        <w:rPr>
          <w:rFonts w:cs="Times New Roman"/>
          <w:color w:val="222222"/>
          <w:rtl/>
        </w:rPr>
      </w:pPr>
      <w:r>
        <w:rPr>
          <w:rFonts w:ascii="David" w:hAnsi="David"/>
          <w:b/>
          <w:bCs/>
          <w:color w:val="222222"/>
          <w:u w:val="single"/>
          <w:rtl/>
        </w:rPr>
        <w:t>דיון והכרעה</w:t>
      </w:r>
    </w:p>
    <w:p w14:paraId="528BEA8E" w14:textId="77777777" w:rsidR="008334CB" w:rsidRDefault="008334CB" w:rsidP="008334CB">
      <w:pPr>
        <w:shd w:val="clear" w:color="auto" w:fill="FFFFFF"/>
        <w:spacing w:line="360" w:lineRule="atLeast"/>
        <w:jc w:val="both"/>
        <w:rPr>
          <w:rFonts w:cs="Times New Roman"/>
          <w:color w:val="222222"/>
          <w:rtl/>
        </w:rPr>
      </w:pPr>
      <w:r>
        <w:rPr>
          <w:rFonts w:ascii="David" w:hAnsi="David"/>
          <w:b/>
          <w:bCs/>
          <w:color w:val="222222"/>
          <w:u w:val="single"/>
          <w:rtl/>
        </w:rPr>
        <w:t>קביעת מתחם הענישה</w:t>
      </w:r>
    </w:p>
    <w:p w14:paraId="5CB23974" w14:textId="77777777" w:rsidR="008334CB" w:rsidRDefault="004B63FE" w:rsidP="008334CB">
      <w:pPr>
        <w:shd w:val="clear" w:color="auto" w:fill="FFFFFF"/>
        <w:ind w:left="720"/>
        <w:rPr>
          <w:rFonts w:cs="Times New Roman"/>
          <w:color w:val="222222"/>
          <w:rtl/>
        </w:rPr>
      </w:pPr>
      <w:r>
        <w:rPr>
          <w:rFonts w:ascii="David" w:hAnsi="David"/>
          <w:color w:val="222222"/>
        </w:rPr>
        <w:t xml:space="preserve"> </w:t>
      </w:r>
    </w:p>
    <w:p w14:paraId="3C52F840" w14:textId="77777777" w:rsidR="008334CB" w:rsidRPr="00B044A4" w:rsidRDefault="008334CB" w:rsidP="008334CB">
      <w:pPr>
        <w:pStyle w:val="a9"/>
        <w:numPr>
          <w:ilvl w:val="0"/>
          <w:numId w:val="2"/>
        </w:numPr>
        <w:shd w:val="clear" w:color="auto" w:fill="FFFFFF"/>
        <w:spacing w:line="360" w:lineRule="atLeast"/>
        <w:jc w:val="both"/>
        <w:rPr>
          <w:rFonts w:cs="Times New Roman"/>
          <w:color w:val="222222"/>
        </w:rPr>
      </w:pPr>
      <w:r w:rsidRPr="00DA2DAC">
        <w:rPr>
          <w:rFonts w:ascii="David" w:hAnsi="David"/>
          <w:color w:val="222222"/>
          <w:rtl/>
        </w:rPr>
        <w:t>במעשיו פגע הנאשם בערכים המוגנים שעניינם בטחון הציבור ושלומו. הסכנות הטמונות בהחזקת סמים מסוכנים מסוג קוקאין ו-</w:t>
      </w:r>
      <w:r w:rsidRPr="00DA2DAC">
        <w:rPr>
          <w:rFonts w:ascii="David" w:hAnsi="David"/>
          <w:color w:val="222222"/>
        </w:rPr>
        <w:t>MDMA</w:t>
      </w:r>
      <w:r w:rsidR="004B63FE">
        <w:rPr>
          <w:rFonts w:ascii="David" w:hAnsi="David"/>
          <w:color w:val="222222"/>
          <w:rtl/>
        </w:rPr>
        <w:t xml:space="preserve"> </w:t>
      </w:r>
      <w:r w:rsidRPr="00DA2DAC">
        <w:rPr>
          <w:rFonts w:ascii="David" w:hAnsi="David"/>
          <w:color w:val="222222"/>
          <w:rtl/>
        </w:rPr>
        <w:t xml:space="preserve">שלא לשימוש עצמי בלבד ידועות ואין צורך להכביר מילים על הנזקים העקיפים והישירים שעלולים להיגרם לחברה ולפרט מעבירות הסמים. קוקאין </w:t>
      </w:r>
      <w:r>
        <w:rPr>
          <w:rFonts w:ascii="David" w:hAnsi="David" w:hint="cs"/>
          <w:color w:val="222222"/>
          <w:rtl/>
        </w:rPr>
        <w:t>ו-</w:t>
      </w:r>
      <w:r>
        <w:rPr>
          <w:rFonts w:ascii="David" w:hAnsi="David" w:hint="cs"/>
          <w:color w:val="222222"/>
        </w:rPr>
        <w:t>MDMA</w:t>
      </w:r>
      <w:r>
        <w:rPr>
          <w:rFonts w:ascii="David" w:hAnsi="David" w:hint="cs"/>
          <w:color w:val="222222"/>
          <w:rtl/>
        </w:rPr>
        <w:t xml:space="preserve"> הם </w:t>
      </w:r>
      <w:r w:rsidRPr="00DA2DAC">
        <w:rPr>
          <w:rFonts w:ascii="David" w:hAnsi="David"/>
          <w:color w:val="222222"/>
          <w:rtl/>
        </w:rPr>
        <w:t xml:space="preserve">סמים קשים ומכאן שפוטנציאל הנזק </w:t>
      </w:r>
      <w:r>
        <w:rPr>
          <w:rFonts w:ascii="David" w:hAnsi="David" w:hint="cs"/>
          <w:color w:val="222222"/>
          <w:rtl/>
        </w:rPr>
        <w:t xml:space="preserve">היה </w:t>
      </w:r>
      <w:r w:rsidRPr="00DA2DAC">
        <w:rPr>
          <w:rFonts w:ascii="David" w:hAnsi="David"/>
          <w:color w:val="222222"/>
          <w:rtl/>
        </w:rPr>
        <w:t xml:space="preserve">ממשי. הדברים מתעצמים לנוכח </w:t>
      </w:r>
      <w:r>
        <w:rPr>
          <w:rFonts w:ascii="David" w:hAnsi="David" w:hint="cs"/>
          <w:color w:val="222222"/>
          <w:rtl/>
        </w:rPr>
        <w:t>ה</w:t>
      </w:r>
      <w:r w:rsidRPr="00DA2DAC">
        <w:rPr>
          <w:rFonts w:ascii="David" w:hAnsi="David"/>
          <w:color w:val="222222"/>
          <w:rtl/>
        </w:rPr>
        <w:t xml:space="preserve">כמות. אף בהחזקת הקנביס והחשיש ישנה חומרה ממשית, אולם לאור כך שמדובר היה בהחזקה לצריכה עצמית, הפגיעה בערכים המוגנים פחותה </w:t>
      </w:r>
      <w:r>
        <w:rPr>
          <w:rFonts w:ascii="David" w:hAnsi="David" w:hint="cs"/>
          <w:color w:val="222222"/>
          <w:rtl/>
        </w:rPr>
        <w:t xml:space="preserve">אך </w:t>
      </w:r>
      <w:r w:rsidRPr="00DA2DAC">
        <w:rPr>
          <w:rFonts w:ascii="David" w:hAnsi="David"/>
          <w:color w:val="222222"/>
          <w:rtl/>
        </w:rPr>
        <w:t xml:space="preserve">מובן שאין להקל ראש בחומרת התנהגות זו (ראו למשל: </w:t>
      </w:r>
      <w:hyperlink r:id="rId18" w:history="1">
        <w:r w:rsidR="004B63FE" w:rsidRPr="004B63FE">
          <w:rPr>
            <w:rFonts w:ascii="David" w:hAnsi="David"/>
            <w:color w:val="0000FF"/>
            <w:u w:val="single"/>
            <w:rtl/>
          </w:rPr>
          <w:t>ע"פ 6299/20</w:t>
        </w:r>
      </w:hyperlink>
      <w:r w:rsidR="004B63FE">
        <w:rPr>
          <w:rFonts w:ascii="David" w:hAnsi="David"/>
          <w:color w:val="222222"/>
          <w:rtl/>
        </w:rPr>
        <w:t xml:space="preserve"> </w:t>
      </w:r>
      <w:r w:rsidRPr="00DA2DAC">
        <w:rPr>
          <w:rFonts w:ascii="David" w:hAnsi="David"/>
          <w:b/>
          <w:bCs/>
          <w:color w:val="222222"/>
          <w:rtl/>
        </w:rPr>
        <w:t>שחר חן נ' מדינת ישראל</w:t>
      </w:r>
      <w:r w:rsidR="004B63FE">
        <w:rPr>
          <w:rFonts w:ascii="David" w:hAnsi="David"/>
          <w:color w:val="222222"/>
          <w:rtl/>
        </w:rPr>
        <w:t xml:space="preserve"> </w:t>
      </w:r>
      <w:r w:rsidRPr="00DA2DAC">
        <w:rPr>
          <w:rFonts w:ascii="David" w:hAnsi="David"/>
          <w:color w:val="222222"/>
          <w:rtl/>
        </w:rPr>
        <w:t xml:space="preserve">(4.2.2021); </w:t>
      </w:r>
      <w:hyperlink r:id="rId19" w:history="1">
        <w:r w:rsidR="004B63FE" w:rsidRPr="004B63FE">
          <w:rPr>
            <w:rFonts w:ascii="David" w:hAnsi="David"/>
            <w:color w:val="0000FF"/>
            <w:u w:val="single"/>
            <w:rtl/>
          </w:rPr>
          <w:t>ע"פ 2596/18</w:t>
        </w:r>
      </w:hyperlink>
      <w:r w:rsidR="004B63FE">
        <w:rPr>
          <w:rFonts w:ascii="David" w:hAnsi="David"/>
          <w:color w:val="222222"/>
          <w:rtl/>
        </w:rPr>
        <w:t xml:space="preserve"> </w:t>
      </w:r>
      <w:r w:rsidRPr="00DA2DAC">
        <w:rPr>
          <w:rFonts w:ascii="David" w:hAnsi="David"/>
          <w:b/>
          <w:bCs/>
          <w:color w:val="222222"/>
          <w:rtl/>
        </w:rPr>
        <w:t>כפיר זנזורי נ' מדינת ישראל</w:t>
      </w:r>
      <w:r w:rsidR="004B63FE">
        <w:rPr>
          <w:rFonts w:ascii="David" w:hAnsi="David"/>
          <w:color w:val="222222"/>
          <w:rtl/>
        </w:rPr>
        <w:t xml:space="preserve"> </w:t>
      </w:r>
      <w:r w:rsidRPr="00DA2DAC">
        <w:rPr>
          <w:rFonts w:ascii="David" w:hAnsi="David"/>
          <w:color w:val="222222"/>
          <w:rtl/>
        </w:rPr>
        <w:t>(12.8.2018)). בעניין זה ראיתי להדגיש שהחזקת סם מסוג קנביס לשימוש עצמי מהווה כיום עבירה מנהלית שעונשה קנס (</w:t>
      </w:r>
      <w:hyperlink r:id="rId20" w:history="1">
        <w:r w:rsidR="004B63FE" w:rsidRPr="004B63FE">
          <w:rPr>
            <w:rFonts w:ascii="David" w:hAnsi="David"/>
            <w:color w:val="0000FF"/>
            <w:u w:val="single"/>
            <w:rtl/>
          </w:rPr>
          <w:t>תקנות העבירות המנהליות</w:t>
        </w:r>
      </w:hyperlink>
      <w:r w:rsidRPr="00DA2DAC">
        <w:rPr>
          <w:rFonts w:ascii="David" w:hAnsi="David"/>
          <w:color w:val="222222"/>
          <w:rtl/>
        </w:rPr>
        <w:t xml:space="preserve"> (קנס מנהלי – החזקת קנאביס ושימוש בו לצריכה עצמית), תשפ"ב-2022). עם זאת, אף אם עבירה הוגדרה כעבירה מנהלית, רשאי תובע להגיש כתב אישום בעניינה (</w:t>
      </w:r>
      <w:hyperlink r:id="rId21" w:history="1">
        <w:r w:rsidR="00462993" w:rsidRPr="00462993">
          <w:rPr>
            <w:rStyle w:val="Hyperlink"/>
            <w:rFonts w:ascii="David" w:hAnsi="David"/>
            <w:rtl/>
          </w:rPr>
          <w:t>סעיף 15</w:t>
        </w:r>
      </w:hyperlink>
      <w:r w:rsidRPr="00DA2DAC">
        <w:rPr>
          <w:rFonts w:ascii="David" w:hAnsi="David"/>
          <w:color w:val="222222"/>
          <w:rtl/>
        </w:rPr>
        <w:t xml:space="preserve"> ל</w:t>
      </w:r>
      <w:hyperlink r:id="rId22" w:history="1">
        <w:r w:rsidR="004B63FE" w:rsidRPr="004B63FE">
          <w:rPr>
            <w:rFonts w:ascii="David" w:hAnsi="David"/>
            <w:color w:val="0000FF"/>
            <w:u w:val="single"/>
            <w:rtl/>
          </w:rPr>
          <w:t>חוק העבירות המנהליות</w:t>
        </w:r>
      </w:hyperlink>
      <w:r w:rsidRPr="00DA2DAC">
        <w:rPr>
          <w:rFonts w:ascii="David" w:hAnsi="David"/>
          <w:color w:val="222222"/>
          <w:rtl/>
        </w:rPr>
        <w:t>, תשמ"ו-1985) ובענייננו מדובר בתיקון לקולה של כתב האישום לעבירה של החזקת סם קנביס לשימוש עצמי, במסגרת סמכותו של תובע (ובכל מקרה בהסכמת הנאשם). כך או כך, העובדה שמדובר בעבירה מנהלית מש</w:t>
      </w:r>
      <w:r>
        <w:rPr>
          <w:rFonts w:ascii="David" w:hAnsi="David"/>
          <w:color w:val="222222"/>
          <w:rtl/>
        </w:rPr>
        <w:t>ליכה כמובן על גבולות מתחם העניש</w:t>
      </w:r>
      <w:r>
        <w:rPr>
          <w:rFonts w:ascii="David" w:hAnsi="David" w:hint="cs"/>
          <w:color w:val="222222"/>
          <w:rtl/>
        </w:rPr>
        <w:t xml:space="preserve">ה. </w:t>
      </w:r>
    </w:p>
    <w:p w14:paraId="560A724F" w14:textId="77777777" w:rsidR="008334CB" w:rsidRPr="00761F71" w:rsidRDefault="008334CB" w:rsidP="008334CB">
      <w:pPr>
        <w:pStyle w:val="a9"/>
        <w:shd w:val="clear" w:color="auto" w:fill="FFFFFF"/>
        <w:ind w:left="0"/>
        <w:jc w:val="both"/>
        <w:rPr>
          <w:rFonts w:ascii="David" w:hAnsi="David"/>
          <w:color w:val="222222"/>
        </w:rPr>
      </w:pPr>
    </w:p>
    <w:p w14:paraId="69D03057" w14:textId="77777777" w:rsidR="008334CB" w:rsidRPr="00761F71" w:rsidRDefault="008334CB" w:rsidP="008334CB">
      <w:pPr>
        <w:pStyle w:val="a9"/>
        <w:numPr>
          <w:ilvl w:val="0"/>
          <w:numId w:val="2"/>
        </w:numPr>
        <w:shd w:val="clear" w:color="auto" w:fill="FFFFFF"/>
        <w:spacing w:line="360" w:lineRule="atLeast"/>
        <w:jc w:val="both"/>
        <w:rPr>
          <w:rFonts w:ascii="David" w:hAnsi="David"/>
          <w:color w:val="222222"/>
        </w:rPr>
      </w:pPr>
      <w:r w:rsidRPr="00761F71">
        <w:rPr>
          <w:rFonts w:ascii="David" w:hAnsi="David" w:hint="cs"/>
          <w:color w:val="222222"/>
          <w:rtl/>
        </w:rPr>
        <w:lastRenderedPageBreak/>
        <w:t xml:space="preserve">בעניין נסיבות ביצוע העבירות אציין </w:t>
      </w:r>
      <w:r>
        <w:rPr>
          <w:rFonts w:ascii="David" w:hAnsi="David" w:hint="cs"/>
          <w:color w:val="222222"/>
          <w:rtl/>
        </w:rPr>
        <w:t>כי כמות הסם מסוג קוקאין משמעותית והוא הדין בעניין סם ה-</w:t>
      </w:r>
      <w:r>
        <w:rPr>
          <w:rFonts w:ascii="David" w:hAnsi="David" w:hint="cs"/>
          <w:color w:val="222222"/>
        </w:rPr>
        <w:t>M</w:t>
      </w:r>
      <w:r>
        <w:rPr>
          <w:rFonts w:ascii="David" w:hAnsi="David"/>
          <w:color w:val="222222"/>
        </w:rPr>
        <w:t xml:space="preserve">DMA </w:t>
      </w:r>
      <w:r>
        <w:rPr>
          <w:rFonts w:ascii="David" w:hAnsi="David" w:hint="cs"/>
          <w:color w:val="222222"/>
          <w:rtl/>
        </w:rPr>
        <w:t>. ביחס לסם החשיש צוין בכתב האישום שמדובר בכמות ברוטו של 19.56. הצדדים לא התייחסו לנקודה זו וניסוח זה חריג שכן יש לפרט את הכמות נטו שהרי החלק שאינו סם (ההבדל שבין הנטו לברוטו) אינו עבירה. לכן אזקוף עובדה זו לטובת הנאשם. כן אציין שהגם שבכתב האישום צוין שהנאשם החזיק "שקיות חלוקה" לא יוחסה לו עבירה כלשהי בשל כך.</w:t>
      </w:r>
    </w:p>
    <w:p w14:paraId="72DB6C2B" w14:textId="77777777" w:rsidR="008334CB" w:rsidRPr="00761F71" w:rsidRDefault="008334CB" w:rsidP="008334CB">
      <w:pPr>
        <w:shd w:val="clear" w:color="auto" w:fill="FFFFFF"/>
        <w:jc w:val="both"/>
        <w:rPr>
          <w:rFonts w:ascii="David" w:hAnsi="David"/>
          <w:color w:val="222222"/>
          <w:rtl/>
        </w:rPr>
      </w:pPr>
    </w:p>
    <w:p w14:paraId="66D1A368" w14:textId="77777777" w:rsidR="008334CB" w:rsidRPr="00DA2DAC" w:rsidRDefault="008334CB" w:rsidP="008334CB">
      <w:pPr>
        <w:pStyle w:val="a9"/>
        <w:numPr>
          <w:ilvl w:val="0"/>
          <w:numId w:val="2"/>
        </w:numPr>
        <w:shd w:val="clear" w:color="auto" w:fill="FFFFFF"/>
        <w:spacing w:line="360" w:lineRule="atLeast"/>
        <w:jc w:val="both"/>
        <w:rPr>
          <w:rFonts w:cs="Times New Roman"/>
          <w:color w:val="222222"/>
          <w:rtl/>
        </w:rPr>
      </w:pPr>
      <w:r w:rsidRPr="00DA2DAC">
        <w:rPr>
          <w:rFonts w:ascii="David" w:hAnsi="David"/>
          <w:color w:val="222222"/>
          <w:rtl/>
        </w:rPr>
        <w:t xml:space="preserve">עבירות הקשורות בשרשרת הפצת סם </w:t>
      </w:r>
      <w:r>
        <w:rPr>
          <w:rFonts w:ascii="David" w:hAnsi="David" w:hint="cs"/>
          <w:color w:val="222222"/>
          <w:rtl/>
        </w:rPr>
        <w:t xml:space="preserve">(והחזקת סם שלא לשימוש עצמי היא עבירה כזו) </w:t>
      </w:r>
      <w:r w:rsidRPr="00DA2DAC">
        <w:rPr>
          <w:rFonts w:ascii="David" w:hAnsi="David"/>
          <w:color w:val="222222"/>
          <w:rtl/>
        </w:rPr>
        <w:t xml:space="preserve">נתפסות כחמורות ובתי המשפט נוקטים בענישה מחמירה על מנת למגר תופעה זו. כך למשל, ראו </w:t>
      </w:r>
      <w:hyperlink r:id="rId23" w:history="1">
        <w:r w:rsidR="004B63FE" w:rsidRPr="004B63FE">
          <w:rPr>
            <w:rFonts w:ascii="David" w:hAnsi="David"/>
            <w:color w:val="0000FF"/>
            <w:u w:val="single"/>
            <w:rtl/>
          </w:rPr>
          <w:t>רע"פ 2986/21</w:t>
        </w:r>
      </w:hyperlink>
      <w:r w:rsidR="004B63FE">
        <w:rPr>
          <w:rFonts w:ascii="David" w:hAnsi="David"/>
          <w:color w:val="222222"/>
          <w:rtl/>
        </w:rPr>
        <w:t xml:space="preserve"> </w:t>
      </w:r>
      <w:r w:rsidRPr="00DA2DAC">
        <w:rPr>
          <w:rFonts w:ascii="David" w:hAnsi="David"/>
          <w:b/>
          <w:bCs/>
          <w:color w:val="222222"/>
          <w:rtl/>
        </w:rPr>
        <w:t>עיסאוי נ' מדינת ישראל</w:t>
      </w:r>
      <w:r w:rsidRPr="00DA2DAC">
        <w:rPr>
          <w:rFonts w:ascii="David" w:hAnsi="David"/>
          <w:color w:val="222222"/>
          <w:rtl/>
        </w:rPr>
        <w:t>, פסקה 8 (10.5.2021) בו נקבע:</w:t>
      </w:r>
    </w:p>
    <w:p w14:paraId="1376BB4E" w14:textId="77777777" w:rsidR="008334CB" w:rsidRDefault="004B63FE" w:rsidP="008334CB">
      <w:pPr>
        <w:shd w:val="clear" w:color="auto" w:fill="FFFFFF"/>
        <w:spacing w:line="360" w:lineRule="atLeast"/>
        <w:jc w:val="both"/>
        <w:rPr>
          <w:rFonts w:cs="Times New Roman"/>
          <w:color w:val="222222"/>
          <w:rtl/>
        </w:rPr>
      </w:pPr>
      <w:r>
        <w:rPr>
          <w:rFonts w:ascii="David" w:hAnsi="David"/>
          <w:color w:val="222222"/>
          <w:rtl/>
        </w:rPr>
        <w:t xml:space="preserve"> </w:t>
      </w:r>
    </w:p>
    <w:p w14:paraId="4CFC4FBD" w14:textId="77777777" w:rsidR="008334CB" w:rsidRDefault="008334CB" w:rsidP="008334CB">
      <w:pPr>
        <w:shd w:val="clear" w:color="auto" w:fill="FFFFFF"/>
        <w:ind w:left="1134" w:right="1134"/>
        <w:jc w:val="both"/>
        <w:rPr>
          <w:rFonts w:cs="Times New Roman"/>
          <w:color w:val="222222"/>
          <w:rtl/>
        </w:rPr>
      </w:pPr>
      <w:r>
        <w:rPr>
          <w:rFonts w:ascii="Miriam" w:hAnsi="Miriam" w:cs="Miriam"/>
          <w:color w:val="222222"/>
          <w:rtl/>
        </w:rPr>
        <w:t>"על בתי המשפט ליטול חלק במאבק בתופעה ההולכת וגדלה של הפצת סמים מסוכנים, תוך גזירת עונשים משמעותיים על החזקת סמים שלא לשימוש עצמי לשם הרתעת מבצעי העבירות. זאת, באופן שיש לקוות כי יסייע בקטיעת מערך הפצת הסמים, ובצמצום תופעה נפסדת זו".</w:t>
      </w:r>
    </w:p>
    <w:p w14:paraId="068BEC8A" w14:textId="77777777" w:rsidR="008334CB" w:rsidRDefault="004B63FE" w:rsidP="008334CB">
      <w:pPr>
        <w:shd w:val="clear" w:color="auto" w:fill="FFFFFF"/>
        <w:jc w:val="both"/>
        <w:rPr>
          <w:rFonts w:cs="Times New Roman"/>
          <w:color w:val="222222"/>
          <w:rtl/>
        </w:rPr>
      </w:pPr>
      <w:r>
        <w:rPr>
          <w:rFonts w:ascii="David" w:hAnsi="David"/>
          <w:color w:val="222222"/>
        </w:rPr>
        <w:t xml:space="preserve"> </w:t>
      </w:r>
    </w:p>
    <w:p w14:paraId="40FE2CAB" w14:textId="77777777" w:rsidR="008334CB" w:rsidRPr="00435130" w:rsidRDefault="008334CB" w:rsidP="008334CB">
      <w:pPr>
        <w:pStyle w:val="a9"/>
        <w:numPr>
          <w:ilvl w:val="0"/>
          <w:numId w:val="2"/>
        </w:numPr>
        <w:shd w:val="clear" w:color="auto" w:fill="FFFFFF"/>
        <w:spacing w:line="360" w:lineRule="atLeast"/>
        <w:jc w:val="both"/>
        <w:rPr>
          <w:rFonts w:cs="Times New Roman"/>
          <w:color w:val="222222"/>
        </w:rPr>
      </w:pPr>
      <w:r w:rsidRPr="00DA2DAC">
        <w:rPr>
          <w:rFonts w:ascii="David" w:hAnsi="David"/>
          <w:color w:val="222222"/>
          <w:rtl/>
        </w:rPr>
        <w:t>ביחס למדיניות הענישה הנוהגת בעבירות של החזקת סם מסוג קוקאין ו-</w:t>
      </w:r>
      <w:r w:rsidRPr="00DA2DAC">
        <w:rPr>
          <w:rFonts w:ascii="David" w:hAnsi="David"/>
          <w:color w:val="222222"/>
        </w:rPr>
        <w:t>MDMA</w:t>
      </w:r>
      <w:r w:rsidR="004B63FE">
        <w:rPr>
          <w:rFonts w:ascii="David" w:hAnsi="David"/>
          <w:color w:val="222222"/>
          <w:rtl/>
        </w:rPr>
        <w:t xml:space="preserve"> </w:t>
      </w:r>
      <w:r w:rsidRPr="00DA2DAC">
        <w:rPr>
          <w:rFonts w:ascii="David" w:hAnsi="David"/>
          <w:color w:val="222222"/>
          <w:rtl/>
        </w:rPr>
        <w:t>שלא לצריכה עצמית, אפנה למקרים הבאים:</w:t>
      </w:r>
      <w:r>
        <w:rPr>
          <w:rFonts w:ascii="Arial" w:hAnsi="Arial" w:hint="cs"/>
          <w:rtl/>
        </w:rPr>
        <w:t xml:space="preserve"> </w:t>
      </w:r>
      <w:hyperlink r:id="rId24" w:history="1">
        <w:r w:rsidR="004B63FE" w:rsidRPr="004B63FE">
          <w:rPr>
            <w:color w:val="0000FF"/>
            <w:u w:val="single"/>
            <w:rtl/>
          </w:rPr>
          <w:t>רע"פ 7572/12</w:t>
        </w:r>
      </w:hyperlink>
      <w:r>
        <w:rPr>
          <w:rtl/>
        </w:rPr>
        <w:t xml:space="preserve"> </w:t>
      </w:r>
      <w:r w:rsidRPr="00435130">
        <w:rPr>
          <w:b/>
          <w:bCs/>
          <w:rtl/>
        </w:rPr>
        <w:t>הוזייל נ' מדינת ישראל</w:t>
      </w:r>
      <w:r>
        <w:rPr>
          <w:rtl/>
        </w:rPr>
        <w:t xml:space="preserve"> (23.10.2012) בו הורשע נאשם בעבירות של החזקת סם שלא לשימוש עצמי והפרעה לשוטר, בכך שהחזיק 8 יחידות של סם מסוכן מסוג הרואין במשקל כולל של כ-5.3 גרם נטו ונגזרו עליו 12 חודשי מאסר בפוע</w:t>
      </w:r>
      <w:r>
        <w:rPr>
          <w:rFonts w:hint="cs"/>
          <w:rtl/>
        </w:rPr>
        <w:t xml:space="preserve">ל; </w:t>
      </w:r>
      <w:hyperlink r:id="rId25" w:history="1">
        <w:r w:rsidR="004B63FE" w:rsidRPr="004B63FE">
          <w:rPr>
            <w:rFonts w:ascii="David" w:hAnsi="David"/>
            <w:color w:val="0000FF"/>
            <w:u w:val="single"/>
            <w:rtl/>
          </w:rPr>
          <w:t>רע"פ 1122-17</w:t>
        </w:r>
      </w:hyperlink>
      <w:r w:rsidR="004B63FE">
        <w:rPr>
          <w:rFonts w:ascii="David" w:hAnsi="David"/>
          <w:color w:val="222222"/>
          <w:rtl/>
        </w:rPr>
        <w:t xml:space="preserve"> </w:t>
      </w:r>
      <w:r w:rsidRPr="00435130">
        <w:rPr>
          <w:rFonts w:ascii="David" w:hAnsi="David"/>
          <w:b/>
          <w:bCs/>
          <w:color w:val="222222"/>
          <w:rtl/>
        </w:rPr>
        <w:t>אלון גולדשטיין נ' מדינת ישראל</w:t>
      </w:r>
      <w:r w:rsidR="004B63FE">
        <w:rPr>
          <w:rFonts w:ascii="David" w:hAnsi="David"/>
          <w:color w:val="222222"/>
          <w:rtl/>
        </w:rPr>
        <w:t xml:space="preserve"> </w:t>
      </w:r>
      <w:r w:rsidRPr="00435130">
        <w:rPr>
          <w:rFonts w:ascii="David" w:hAnsi="David"/>
          <w:color w:val="222222"/>
          <w:rtl/>
        </w:rPr>
        <w:t>(5.7.2017), בו נידון עניינו של נאשם שהורשע בהחזקת 5.28 גרם קוקאין כשהוא רוכב על קטנוע תחת השפעת סמים ובמועד נוסף נתפס מחזיק 9 מנות של</w:t>
      </w:r>
      <w:r w:rsidR="004B63FE">
        <w:rPr>
          <w:rFonts w:ascii="David" w:hAnsi="David"/>
          <w:color w:val="222222"/>
          <w:rtl/>
        </w:rPr>
        <w:t xml:space="preserve"> </w:t>
      </w:r>
      <w:r w:rsidRPr="00435130">
        <w:rPr>
          <w:rFonts w:ascii="David" w:hAnsi="David"/>
          <w:color w:val="222222"/>
        </w:rPr>
        <w:t>MDMA</w:t>
      </w:r>
      <w:r w:rsidR="004B63FE">
        <w:rPr>
          <w:rFonts w:ascii="David" w:hAnsi="David"/>
          <w:color w:val="222222"/>
          <w:rtl/>
        </w:rPr>
        <w:t xml:space="preserve"> </w:t>
      </w:r>
      <w:r w:rsidRPr="00435130">
        <w:rPr>
          <w:rFonts w:ascii="David" w:hAnsi="David"/>
          <w:color w:val="222222"/>
          <w:rtl/>
        </w:rPr>
        <w:t>במשקל כולל של 5.5 גרם וקוקאין במשקל 13 גרם. עונשו של הנאשם הוחמר משישה חודשי מאסר בעבודות שירות לעשרה חודשי מאסר בפועל; עפ"ג 65932-02-20</w:t>
      </w:r>
      <w:r w:rsidR="004B63FE">
        <w:rPr>
          <w:rFonts w:ascii="David" w:hAnsi="David"/>
          <w:color w:val="222222"/>
          <w:rtl/>
        </w:rPr>
        <w:t xml:space="preserve"> </w:t>
      </w:r>
      <w:r w:rsidRPr="00435130">
        <w:rPr>
          <w:rFonts w:ascii="David" w:hAnsi="David"/>
          <w:b/>
          <w:bCs/>
          <w:color w:val="222222"/>
          <w:rtl/>
        </w:rPr>
        <w:t>מדינת ישראל נ' לולו</w:t>
      </w:r>
      <w:r w:rsidR="004B63FE">
        <w:rPr>
          <w:rFonts w:ascii="David" w:hAnsi="David"/>
          <w:color w:val="222222"/>
          <w:rtl/>
        </w:rPr>
        <w:t xml:space="preserve"> </w:t>
      </w:r>
      <w:r w:rsidRPr="00435130">
        <w:rPr>
          <w:rFonts w:ascii="David" w:hAnsi="David"/>
          <w:color w:val="222222"/>
          <w:rtl/>
        </w:rPr>
        <w:t xml:space="preserve">(16.6.2020), בו הוחמר עונשו של נאשם והועמד על 32 חודשי מאסר בשל החזקת 15.8 גר' קוקאין ובתיק אחר כ-34 גר' קוקאין וכ-5 גר' קנבוס; </w:t>
      </w:r>
      <w:hyperlink r:id="rId26" w:history="1">
        <w:r w:rsidR="004B63FE" w:rsidRPr="004B63FE">
          <w:rPr>
            <w:rFonts w:ascii="David" w:hAnsi="David"/>
            <w:color w:val="0000FF"/>
            <w:u w:val="single"/>
            <w:rtl/>
          </w:rPr>
          <w:t>עפ"ג 37749-10-22</w:t>
        </w:r>
      </w:hyperlink>
      <w:r w:rsidR="004B63FE">
        <w:rPr>
          <w:rFonts w:ascii="David" w:hAnsi="David"/>
          <w:color w:val="222222"/>
          <w:rtl/>
        </w:rPr>
        <w:t xml:space="preserve"> </w:t>
      </w:r>
      <w:r w:rsidRPr="00435130">
        <w:rPr>
          <w:rFonts w:ascii="David" w:hAnsi="David"/>
          <w:b/>
          <w:bCs/>
          <w:color w:val="222222"/>
          <w:rtl/>
        </w:rPr>
        <w:t>באסם אסמאעיל נ' מדינת ישראל</w:t>
      </w:r>
      <w:r w:rsidR="004B63FE">
        <w:rPr>
          <w:rFonts w:ascii="David" w:hAnsi="David"/>
          <w:color w:val="222222"/>
          <w:rtl/>
        </w:rPr>
        <w:t xml:space="preserve"> </w:t>
      </w:r>
      <w:r w:rsidRPr="00435130">
        <w:rPr>
          <w:rFonts w:ascii="David" w:hAnsi="David"/>
          <w:color w:val="222222"/>
          <w:rtl/>
        </w:rPr>
        <w:t xml:space="preserve">(1.3.2023), בו נידון עניינו של נאשם שהורשע בהחזקת 23 גרם קוקאין, כשחמישה מתוכם לשימוש עצמי, ובהחזקת כלים ושידול להשמדת ראיה ונידון ל-15 חודשי מאסר בפועל; </w:t>
      </w:r>
      <w:hyperlink r:id="rId27" w:history="1">
        <w:r w:rsidR="004B63FE" w:rsidRPr="004B63FE">
          <w:rPr>
            <w:rFonts w:ascii="David" w:hAnsi="David"/>
            <w:color w:val="0000FF"/>
            <w:u w:val="single"/>
            <w:rtl/>
          </w:rPr>
          <w:t>עפ"ג 11305-09-22</w:t>
        </w:r>
      </w:hyperlink>
      <w:r w:rsidR="004B63FE">
        <w:rPr>
          <w:rFonts w:ascii="David" w:hAnsi="David"/>
          <w:color w:val="222222"/>
          <w:rtl/>
        </w:rPr>
        <w:t xml:space="preserve"> </w:t>
      </w:r>
      <w:r w:rsidRPr="00435130">
        <w:rPr>
          <w:rFonts w:ascii="David" w:hAnsi="David"/>
          <w:b/>
          <w:bCs/>
          <w:color w:val="222222"/>
          <w:rtl/>
        </w:rPr>
        <w:t>מחמד סלאמין נ' מדינת ישראל</w:t>
      </w:r>
      <w:r w:rsidR="004B63FE">
        <w:rPr>
          <w:rFonts w:ascii="David" w:hAnsi="David"/>
          <w:color w:val="222222"/>
          <w:rtl/>
        </w:rPr>
        <w:t xml:space="preserve"> </w:t>
      </w:r>
      <w:r w:rsidRPr="00435130">
        <w:rPr>
          <w:rFonts w:ascii="David" w:hAnsi="David"/>
          <w:color w:val="222222"/>
          <w:rtl/>
        </w:rPr>
        <w:t xml:space="preserve">(22.9.2022), בו </w:t>
      </w:r>
      <w:r w:rsidRPr="00435130">
        <w:rPr>
          <w:rFonts w:ascii="David" w:hAnsi="David" w:hint="cs"/>
          <w:color w:val="222222"/>
          <w:rtl/>
        </w:rPr>
        <w:t xml:space="preserve">נקבע כי מתחם הענישה בשל </w:t>
      </w:r>
      <w:r w:rsidRPr="00435130">
        <w:rPr>
          <w:rFonts w:ascii="David" w:hAnsi="David"/>
          <w:color w:val="222222"/>
          <w:rtl/>
        </w:rPr>
        <w:t>החזקת 10 גרם קוקאין ו-180 כדורי</w:t>
      </w:r>
      <w:r w:rsidR="004B63FE">
        <w:rPr>
          <w:rFonts w:ascii="David" w:hAnsi="David"/>
          <w:color w:val="222222"/>
          <w:rtl/>
        </w:rPr>
        <w:t xml:space="preserve"> </w:t>
      </w:r>
      <w:r w:rsidRPr="00435130">
        <w:rPr>
          <w:rFonts w:ascii="David" w:hAnsi="David"/>
          <w:color w:val="222222"/>
        </w:rPr>
        <w:t>MDMA</w:t>
      </w:r>
      <w:r w:rsidRPr="00435130">
        <w:rPr>
          <w:rFonts w:ascii="David" w:hAnsi="David"/>
          <w:color w:val="222222"/>
          <w:rtl/>
        </w:rPr>
        <w:t xml:space="preserve"> עולה על שנת מאסר בפועל</w:t>
      </w:r>
      <w:r w:rsidRPr="00435130">
        <w:rPr>
          <w:rFonts w:ascii="David" w:hAnsi="David" w:hint="cs"/>
          <w:color w:val="222222"/>
          <w:rtl/>
        </w:rPr>
        <w:t xml:space="preserve"> בחלקו התחתון</w:t>
      </w:r>
      <w:r>
        <w:rPr>
          <w:rFonts w:ascii="David" w:hAnsi="David"/>
          <w:color w:val="222222"/>
          <w:rtl/>
        </w:rPr>
        <w:t>;</w:t>
      </w:r>
      <w:r>
        <w:rPr>
          <w:rFonts w:ascii="David" w:hAnsi="David" w:hint="cs"/>
          <w:color w:val="222222"/>
          <w:rtl/>
        </w:rPr>
        <w:t xml:space="preserve"> </w:t>
      </w:r>
      <w:hyperlink r:id="rId28" w:history="1">
        <w:r w:rsidR="004B63FE" w:rsidRPr="004B63FE">
          <w:rPr>
            <w:color w:val="0000FF"/>
            <w:u w:val="single"/>
            <w:rtl/>
          </w:rPr>
          <w:t>עפ"ג 26655-04-14</w:t>
        </w:r>
      </w:hyperlink>
      <w:r>
        <w:rPr>
          <w:rtl/>
        </w:rPr>
        <w:t xml:space="preserve"> </w:t>
      </w:r>
      <w:r w:rsidRPr="00435130">
        <w:rPr>
          <w:rFonts w:hint="cs"/>
          <w:b/>
          <w:bCs/>
          <w:rtl/>
        </w:rPr>
        <w:t>חמדאן</w:t>
      </w:r>
      <w:r>
        <w:rPr>
          <w:rFonts w:hint="cs"/>
          <w:rtl/>
        </w:rPr>
        <w:t xml:space="preserve"> </w:t>
      </w:r>
      <w:r w:rsidRPr="00435130">
        <w:rPr>
          <w:rFonts w:hint="cs"/>
          <w:b/>
          <w:bCs/>
          <w:rtl/>
        </w:rPr>
        <w:t xml:space="preserve">נ' מדינת ישראל </w:t>
      </w:r>
      <w:r>
        <w:rPr>
          <w:rFonts w:hint="cs"/>
          <w:rtl/>
        </w:rPr>
        <w:t>(10.9.2014), בו נידון נאשם שהורשע בהחזקת סם מסוג קוקאין במשקל 5.24 גרם ונגזרו עליו 8 חודשי מאסר בפועל</w:t>
      </w:r>
      <w:r>
        <w:rPr>
          <w:rFonts w:ascii="David" w:hAnsi="David" w:hint="cs"/>
          <w:color w:val="222222"/>
          <w:rtl/>
        </w:rPr>
        <w:t xml:space="preserve">; </w:t>
      </w:r>
      <w:hyperlink r:id="rId29" w:history="1">
        <w:r w:rsidR="004B63FE" w:rsidRPr="004B63FE">
          <w:rPr>
            <w:rFonts w:ascii="David" w:hAnsi="David"/>
            <w:color w:val="0000FF"/>
            <w:u w:val="single"/>
            <w:rtl/>
          </w:rPr>
          <w:t>עפ"ג 61351-01-19</w:t>
        </w:r>
      </w:hyperlink>
      <w:r w:rsidR="004B63FE">
        <w:rPr>
          <w:rFonts w:ascii="David" w:hAnsi="David"/>
          <w:color w:val="222222"/>
          <w:rtl/>
        </w:rPr>
        <w:t xml:space="preserve"> </w:t>
      </w:r>
      <w:r w:rsidRPr="00435130">
        <w:rPr>
          <w:rFonts w:ascii="David" w:hAnsi="David"/>
          <w:b/>
          <w:bCs/>
          <w:color w:val="222222"/>
          <w:rtl/>
        </w:rPr>
        <w:t>זובידאת נ' מדינת ישראל</w:t>
      </w:r>
      <w:r w:rsidR="004B63FE">
        <w:rPr>
          <w:rFonts w:ascii="David" w:hAnsi="David"/>
          <w:b/>
          <w:bCs/>
          <w:color w:val="222222"/>
          <w:rtl/>
        </w:rPr>
        <w:t xml:space="preserve"> </w:t>
      </w:r>
      <w:r w:rsidRPr="00435130">
        <w:rPr>
          <w:rFonts w:ascii="David" w:hAnsi="David"/>
          <w:color w:val="222222"/>
          <w:rtl/>
        </w:rPr>
        <w:t>(7.3.2019), בו נידון נאשם לעשרה חודשי מאסר בשל כך שהחזיק 19.22 גרם קוקאין. מתחם הענישה שנקבע בבית משפט השלום היה 10-24 חודשי מאסר. ערעור הנאשם נדחה תוך שצוין שהעונש הוא על הצד הנמוך</w:t>
      </w:r>
      <w:r>
        <w:rPr>
          <w:rFonts w:ascii="David" w:hAnsi="David" w:hint="cs"/>
          <w:color w:val="222222"/>
          <w:rtl/>
        </w:rPr>
        <w:t xml:space="preserve">; </w:t>
      </w:r>
      <w:r w:rsidRPr="00435130">
        <w:rPr>
          <w:rFonts w:ascii="David" w:hAnsi="David"/>
          <w:color w:val="222222"/>
          <w:rtl/>
        </w:rPr>
        <w:t xml:space="preserve">ביחס לעבירה של החזקת סמים מסוג חשיש/קנבוס לשימוש עצמי </w:t>
      </w:r>
      <w:r w:rsidRPr="00435130">
        <w:rPr>
          <w:rFonts w:ascii="David" w:hAnsi="David" w:hint="cs"/>
          <w:color w:val="222222"/>
          <w:rtl/>
        </w:rPr>
        <w:t xml:space="preserve">אפנה לדברים שצוינו </w:t>
      </w:r>
      <w:r>
        <w:rPr>
          <w:rFonts w:ascii="David" w:hAnsi="David" w:hint="cs"/>
          <w:color w:val="222222"/>
          <w:rtl/>
        </w:rPr>
        <w:t>ב</w:t>
      </w:r>
      <w:hyperlink r:id="rId30" w:history="1">
        <w:r w:rsidR="004B63FE" w:rsidRPr="004B63FE">
          <w:rPr>
            <w:rFonts w:ascii="David" w:hAnsi="David"/>
            <w:color w:val="0000FF"/>
            <w:u w:val="single"/>
            <w:rtl/>
          </w:rPr>
          <w:t>ת.פ (קריות)  23498-04-22</w:t>
        </w:r>
      </w:hyperlink>
      <w:r>
        <w:rPr>
          <w:rFonts w:ascii="David" w:hAnsi="David" w:hint="cs"/>
          <w:color w:val="222222"/>
          <w:rtl/>
        </w:rPr>
        <w:t xml:space="preserve"> </w:t>
      </w:r>
      <w:r w:rsidRPr="00435130">
        <w:rPr>
          <w:rFonts w:ascii="David" w:hAnsi="David" w:hint="cs"/>
          <w:b/>
          <w:bCs/>
          <w:color w:val="222222"/>
          <w:rtl/>
        </w:rPr>
        <w:t>מדינת ישראל נ' סעד</w:t>
      </w:r>
      <w:r>
        <w:rPr>
          <w:rFonts w:ascii="David" w:hAnsi="David" w:hint="cs"/>
          <w:color w:val="222222"/>
          <w:rtl/>
        </w:rPr>
        <w:t xml:space="preserve"> (</w:t>
      </w:r>
      <w:r w:rsidRPr="00435130">
        <w:rPr>
          <w:rFonts w:ascii="David" w:hAnsi="David" w:hint="cs"/>
          <w:color w:val="222222"/>
          <w:rtl/>
        </w:rPr>
        <w:t>17.7.2024) ולאסמכתאות שהובאו שם.</w:t>
      </w:r>
    </w:p>
    <w:p w14:paraId="72048159" w14:textId="77777777" w:rsidR="008334CB" w:rsidRDefault="008334CB" w:rsidP="008334CB">
      <w:pPr>
        <w:shd w:val="clear" w:color="auto" w:fill="FFFFFF"/>
        <w:jc w:val="both"/>
        <w:rPr>
          <w:rFonts w:cs="Times New Roman"/>
          <w:color w:val="222222"/>
          <w:rtl/>
        </w:rPr>
      </w:pPr>
    </w:p>
    <w:p w14:paraId="31E31C62" w14:textId="77777777" w:rsidR="008334CB" w:rsidRPr="00DA2DAC" w:rsidRDefault="008334CB" w:rsidP="008334CB">
      <w:pPr>
        <w:pStyle w:val="a9"/>
        <w:numPr>
          <w:ilvl w:val="0"/>
          <w:numId w:val="2"/>
        </w:numPr>
        <w:shd w:val="clear" w:color="auto" w:fill="FFFFFF"/>
        <w:spacing w:line="360" w:lineRule="atLeast"/>
        <w:jc w:val="both"/>
        <w:rPr>
          <w:rFonts w:cs="Times New Roman"/>
          <w:color w:val="222222"/>
          <w:rtl/>
        </w:rPr>
      </w:pPr>
      <w:r w:rsidRPr="00DA2DAC">
        <w:rPr>
          <w:rFonts w:ascii="David" w:hAnsi="David"/>
          <w:color w:val="222222"/>
          <w:rtl/>
        </w:rPr>
        <w:t xml:space="preserve">לאור כך, דעתי היא שמתחם הענישה ההולם את העבירות שביצע הנאשם, בנסיבות ביצוען, נע בין </w:t>
      </w:r>
      <w:r>
        <w:rPr>
          <w:rFonts w:ascii="David" w:hAnsi="David" w:hint="cs"/>
          <w:color w:val="222222"/>
          <w:rtl/>
        </w:rPr>
        <w:t>8</w:t>
      </w:r>
      <w:r w:rsidRPr="00DA2DAC">
        <w:rPr>
          <w:rFonts w:ascii="David" w:hAnsi="David"/>
          <w:color w:val="222222"/>
          <w:rtl/>
        </w:rPr>
        <w:t xml:space="preserve"> חודשי מאסר בפועל לבין </w:t>
      </w:r>
      <w:r>
        <w:rPr>
          <w:rFonts w:ascii="David" w:hAnsi="David" w:hint="cs"/>
          <w:color w:val="222222"/>
          <w:rtl/>
        </w:rPr>
        <w:t>20</w:t>
      </w:r>
      <w:r w:rsidRPr="00DA2DAC">
        <w:rPr>
          <w:rFonts w:ascii="David" w:hAnsi="David"/>
          <w:color w:val="222222"/>
          <w:rtl/>
        </w:rPr>
        <w:t xml:space="preserve"> חודשי מאסר בפועל.</w:t>
      </w:r>
    </w:p>
    <w:p w14:paraId="70C4A88D" w14:textId="77777777" w:rsidR="008334CB" w:rsidRDefault="004B63FE" w:rsidP="008334CB">
      <w:pPr>
        <w:shd w:val="clear" w:color="auto" w:fill="FFFFFF"/>
        <w:ind w:left="720"/>
        <w:rPr>
          <w:rFonts w:cs="Times New Roman"/>
          <w:color w:val="222222"/>
          <w:rtl/>
        </w:rPr>
      </w:pPr>
      <w:r>
        <w:rPr>
          <w:rFonts w:ascii="David" w:hAnsi="David"/>
          <w:color w:val="222222"/>
        </w:rPr>
        <w:t xml:space="preserve"> </w:t>
      </w:r>
    </w:p>
    <w:p w14:paraId="438317F7" w14:textId="77777777" w:rsidR="008334CB" w:rsidRDefault="008334CB" w:rsidP="008334CB">
      <w:pPr>
        <w:shd w:val="clear" w:color="auto" w:fill="FFFFFF"/>
        <w:spacing w:line="360" w:lineRule="atLeast"/>
        <w:jc w:val="both"/>
        <w:rPr>
          <w:rFonts w:cs="Times New Roman"/>
          <w:color w:val="222222"/>
          <w:rtl/>
        </w:rPr>
      </w:pPr>
      <w:r>
        <w:rPr>
          <w:rFonts w:ascii="David" w:hAnsi="David"/>
          <w:b/>
          <w:bCs/>
          <w:color w:val="000000"/>
          <w:u w:val="single"/>
          <w:rtl/>
        </w:rPr>
        <w:t>קביעת עונשו של הנאשם</w:t>
      </w:r>
    </w:p>
    <w:p w14:paraId="173B4A8E" w14:textId="77777777" w:rsidR="008334CB" w:rsidRDefault="004B63FE" w:rsidP="008334CB">
      <w:pPr>
        <w:shd w:val="clear" w:color="auto" w:fill="FFFFFF"/>
        <w:ind w:left="720"/>
        <w:rPr>
          <w:rFonts w:cs="Times New Roman"/>
          <w:color w:val="222222"/>
          <w:rtl/>
        </w:rPr>
      </w:pPr>
      <w:r>
        <w:rPr>
          <w:rFonts w:ascii="David" w:hAnsi="David"/>
          <w:color w:val="222222"/>
        </w:rPr>
        <w:t xml:space="preserve"> </w:t>
      </w:r>
    </w:p>
    <w:p w14:paraId="58A7EBAC" w14:textId="77777777" w:rsidR="008334CB" w:rsidRPr="00DA2DAC" w:rsidRDefault="008334CB" w:rsidP="008334CB">
      <w:pPr>
        <w:pStyle w:val="a9"/>
        <w:numPr>
          <w:ilvl w:val="0"/>
          <w:numId w:val="2"/>
        </w:numPr>
        <w:shd w:val="clear" w:color="auto" w:fill="FFFFFF"/>
        <w:spacing w:line="360" w:lineRule="atLeast"/>
        <w:jc w:val="both"/>
        <w:rPr>
          <w:rFonts w:ascii="David" w:hAnsi="David"/>
          <w:color w:val="222222"/>
          <w:rtl/>
        </w:rPr>
      </w:pPr>
      <w:r w:rsidRPr="00DA2DAC">
        <w:rPr>
          <w:rFonts w:ascii="David" w:hAnsi="David"/>
          <w:color w:val="222222"/>
          <w:rtl/>
        </w:rPr>
        <w:t xml:space="preserve">לא הייתה מחלוקת בין הצדדים כי העונש אמור להיגזר בגדרי מתחם הענישה. לא נטען דבר בעניין סיכויי שיקומו של הנאשם המצדיקים חריגה לקולה ממתחם הענישה. בכל מקרה, אציין כי לא התבקש תסקיר ולא הובאו בפני כל נתונים מהם ניתן להסיק מסקנה בדבר סיכויי שיקום. </w:t>
      </w:r>
    </w:p>
    <w:p w14:paraId="3D090744" w14:textId="77777777" w:rsidR="008334CB" w:rsidRDefault="008334CB" w:rsidP="008334CB">
      <w:pPr>
        <w:shd w:val="clear" w:color="auto" w:fill="FFFFFF"/>
        <w:spacing w:line="360" w:lineRule="atLeast"/>
        <w:jc w:val="both"/>
        <w:rPr>
          <w:rFonts w:ascii="David" w:hAnsi="David"/>
          <w:color w:val="222222"/>
          <w:rtl/>
        </w:rPr>
      </w:pPr>
    </w:p>
    <w:p w14:paraId="1E68971E" w14:textId="77777777" w:rsidR="008334CB" w:rsidRPr="005827C6" w:rsidRDefault="008334CB" w:rsidP="008334CB">
      <w:pPr>
        <w:pStyle w:val="a9"/>
        <w:numPr>
          <w:ilvl w:val="0"/>
          <w:numId w:val="2"/>
        </w:numPr>
        <w:shd w:val="clear" w:color="auto" w:fill="FFFFFF"/>
        <w:spacing w:line="360" w:lineRule="atLeast"/>
        <w:jc w:val="both"/>
        <w:rPr>
          <w:rFonts w:ascii="David" w:hAnsi="David"/>
          <w:color w:val="222222"/>
        </w:rPr>
      </w:pPr>
      <w:r w:rsidRPr="00DA2DAC">
        <w:rPr>
          <w:rFonts w:ascii="David" w:hAnsi="David"/>
          <w:color w:val="222222"/>
          <w:rtl/>
        </w:rPr>
        <w:t>לצורך קביעת עונשו של הנאשם הבאתי בחשבון את גילו (כבן</w:t>
      </w:r>
      <w:r w:rsidRPr="00DA2DAC">
        <w:rPr>
          <w:rFonts w:ascii="David" w:hAnsi="David" w:hint="cs"/>
          <w:color w:val="222222"/>
          <w:rtl/>
        </w:rPr>
        <w:t xml:space="preserve"> 33)</w:t>
      </w:r>
      <w:r w:rsidRPr="00DA2DAC">
        <w:rPr>
          <w:rFonts w:ascii="David" w:hAnsi="David"/>
          <w:color w:val="222222"/>
          <w:rtl/>
        </w:rPr>
        <w:t xml:space="preserve"> ואת הודאתו בביצוע העבירות שחסכה בזמן שיפוטי וראיתי בה כהבעת חרטה והבנת הפסול. כן הבאתי בחשבון את התקופה בה הנאשם עצור, כאשר תנאי המעצר לא אחת קשים ממאסר, ובמיוחד בימים אלו. מנגד, הבאתי בחשבון את עברו הפלילי </w:t>
      </w:r>
      <w:r w:rsidRPr="00DA2DAC">
        <w:rPr>
          <w:rFonts w:ascii="David" w:hAnsi="David" w:hint="cs"/>
          <w:color w:val="222222"/>
          <w:rtl/>
        </w:rPr>
        <w:t xml:space="preserve">המכביד </w:t>
      </w:r>
      <w:r w:rsidRPr="00DA2DAC">
        <w:rPr>
          <w:rFonts w:ascii="David" w:hAnsi="David"/>
          <w:color w:val="222222"/>
          <w:rtl/>
        </w:rPr>
        <w:t>הכולל</w:t>
      </w:r>
      <w:r w:rsidRPr="00DA2DAC">
        <w:rPr>
          <w:rFonts w:ascii="David" w:hAnsi="David" w:hint="cs"/>
          <w:color w:val="222222"/>
          <w:rtl/>
        </w:rPr>
        <w:t xml:space="preserve"> הרשעות בעבירות אלימות, רכוש וסמים</w:t>
      </w:r>
      <w:r w:rsidRPr="00DA2DAC">
        <w:rPr>
          <w:rFonts w:ascii="David" w:hAnsi="David"/>
          <w:color w:val="222222"/>
          <w:rtl/>
        </w:rPr>
        <w:t xml:space="preserve"> </w:t>
      </w:r>
      <w:r w:rsidRPr="00DA2DAC">
        <w:rPr>
          <w:rFonts w:ascii="David" w:hAnsi="David" w:hint="cs"/>
          <w:color w:val="222222"/>
          <w:rtl/>
        </w:rPr>
        <w:t>ו</w:t>
      </w:r>
      <w:r>
        <w:rPr>
          <w:rFonts w:ascii="David" w:hAnsi="David" w:hint="cs"/>
          <w:color w:val="222222"/>
          <w:rtl/>
        </w:rPr>
        <w:t xml:space="preserve">כי </w:t>
      </w:r>
      <w:r w:rsidRPr="00DA2DAC">
        <w:rPr>
          <w:rFonts w:ascii="David" w:hAnsi="David" w:hint="cs"/>
          <w:color w:val="222222"/>
          <w:rtl/>
        </w:rPr>
        <w:t xml:space="preserve">הוא ריצה מאסרים בכליאה. </w:t>
      </w:r>
      <w:r w:rsidRPr="005827C6">
        <w:rPr>
          <w:rFonts w:ascii="David" w:hAnsi="David"/>
          <w:color w:val="222222"/>
          <w:rtl/>
        </w:rPr>
        <w:t xml:space="preserve">העונש ההולם אפוא את המעשים מחייב מאסר בכליאה, ולכך גם עתרה ההגנה. בכך יבואו לידי ביטוי חומרת המעשים, עקרון הגמול וההלימה וכן יינתן משקל ראוי לצורך בהרתעה מפני ביצוע עבירות דומות. </w:t>
      </w:r>
    </w:p>
    <w:p w14:paraId="2D7A2474" w14:textId="77777777" w:rsidR="008334CB" w:rsidRPr="00C03B4E" w:rsidRDefault="008334CB" w:rsidP="008334CB">
      <w:pPr>
        <w:pStyle w:val="a9"/>
        <w:rPr>
          <w:rFonts w:ascii="David" w:hAnsi="David"/>
          <w:color w:val="222222"/>
          <w:rtl/>
        </w:rPr>
      </w:pPr>
    </w:p>
    <w:p w14:paraId="41D545B7" w14:textId="77777777" w:rsidR="008334CB" w:rsidRPr="00DA2DAC" w:rsidRDefault="008334CB" w:rsidP="008334CB">
      <w:pPr>
        <w:pStyle w:val="a9"/>
        <w:numPr>
          <w:ilvl w:val="0"/>
          <w:numId w:val="2"/>
        </w:numPr>
        <w:shd w:val="clear" w:color="auto" w:fill="FFFFFF"/>
        <w:spacing w:line="360" w:lineRule="atLeast"/>
        <w:jc w:val="both"/>
        <w:rPr>
          <w:rFonts w:ascii="David" w:hAnsi="David"/>
          <w:color w:val="222222"/>
          <w:rtl/>
        </w:rPr>
      </w:pPr>
      <w:r w:rsidRPr="00DA2DAC">
        <w:rPr>
          <w:rFonts w:ascii="David" w:hAnsi="David"/>
          <w:color w:val="222222"/>
          <w:rtl/>
        </w:rPr>
        <w:t>סיכומו של דבר, לאחר שבחנתי את מכלול השיקולים, הן לקולה והן לחומרה, אני מטיל על הנאשם את העונשים הבאים:</w:t>
      </w:r>
    </w:p>
    <w:p w14:paraId="2DE05393" w14:textId="77777777" w:rsidR="008334CB" w:rsidRDefault="008334CB" w:rsidP="008334CB">
      <w:pPr>
        <w:shd w:val="clear" w:color="auto" w:fill="FFFFFF"/>
        <w:jc w:val="both"/>
        <w:rPr>
          <w:rFonts w:ascii="David" w:hAnsi="David"/>
          <w:color w:val="222222"/>
          <w:rtl/>
        </w:rPr>
      </w:pPr>
    </w:p>
    <w:p w14:paraId="11F2FCEE" w14:textId="77777777" w:rsidR="008334CB" w:rsidRDefault="008334CB" w:rsidP="008334CB">
      <w:pPr>
        <w:pStyle w:val="a9"/>
        <w:numPr>
          <w:ilvl w:val="0"/>
          <w:numId w:val="1"/>
        </w:numPr>
        <w:shd w:val="clear" w:color="auto" w:fill="FFFFFF"/>
        <w:spacing w:line="360" w:lineRule="atLeast"/>
        <w:jc w:val="both"/>
        <w:rPr>
          <w:rFonts w:ascii="David" w:hAnsi="David"/>
          <w:color w:val="222222"/>
        </w:rPr>
      </w:pPr>
      <w:r w:rsidRPr="004F5A33">
        <w:rPr>
          <w:rFonts w:ascii="David" w:hAnsi="David"/>
          <w:color w:val="222222"/>
          <w:rtl/>
        </w:rPr>
        <w:t>12 חודשי מאסר</w:t>
      </w:r>
      <w:r>
        <w:rPr>
          <w:rFonts w:ascii="David" w:hAnsi="David" w:hint="cs"/>
          <w:color w:val="222222"/>
          <w:rtl/>
        </w:rPr>
        <w:t>, בניכוי ימי המעצר מיום 22.1.24 ועד היום</w:t>
      </w:r>
      <w:r w:rsidRPr="004F5A33">
        <w:rPr>
          <w:rFonts w:ascii="David" w:hAnsi="David" w:hint="cs"/>
          <w:color w:val="222222"/>
          <w:rtl/>
        </w:rPr>
        <w:t xml:space="preserve">. </w:t>
      </w:r>
    </w:p>
    <w:p w14:paraId="31DDF7BA" w14:textId="77777777" w:rsidR="008334CB" w:rsidRPr="004F5A33" w:rsidRDefault="008334CB" w:rsidP="008334CB">
      <w:pPr>
        <w:pStyle w:val="a9"/>
        <w:numPr>
          <w:ilvl w:val="0"/>
          <w:numId w:val="1"/>
        </w:numPr>
        <w:shd w:val="clear" w:color="auto" w:fill="FFFFFF"/>
        <w:spacing w:line="360" w:lineRule="atLeast"/>
        <w:jc w:val="both"/>
        <w:rPr>
          <w:rFonts w:ascii="David" w:hAnsi="David"/>
          <w:color w:val="222222"/>
        </w:rPr>
      </w:pPr>
      <w:r>
        <w:rPr>
          <w:rFonts w:ascii="David" w:hAnsi="David" w:hint="cs"/>
          <w:color w:val="222222"/>
          <w:rtl/>
        </w:rPr>
        <w:t xml:space="preserve">בהתאם להוראות </w:t>
      </w:r>
      <w:hyperlink r:id="rId31" w:history="1">
        <w:r w:rsidR="00462993" w:rsidRPr="00462993">
          <w:rPr>
            <w:rStyle w:val="Hyperlink"/>
            <w:rFonts w:ascii="David" w:hAnsi="David" w:hint="eastAsia"/>
            <w:rtl/>
          </w:rPr>
          <w:t>סעיף</w:t>
        </w:r>
        <w:r w:rsidR="00462993" w:rsidRPr="00462993">
          <w:rPr>
            <w:rStyle w:val="Hyperlink"/>
            <w:rFonts w:ascii="David" w:hAnsi="David"/>
            <w:rtl/>
          </w:rPr>
          <w:t xml:space="preserve"> 45(ב)</w:t>
        </w:r>
      </w:hyperlink>
      <w:r>
        <w:rPr>
          <w:rFonts w:ascii="David" w:hAnsi="David" w:hint="cs"/>
          <w:color w:val="222222"/>
          <w:rtl/>
        </w:rPr>
        <w:t xml:space="preserve"> ל</w:t>
      </w:r>
      <w:hyperlink r:id="rId32" w:history="1">
        <w:r w:rsidR="004B63FE" w:rsidRPr="004B63FE">
          <w:rPr>
            <w:rFonts w:ascii="David" w:hAnsi="David"/>
            <w:color w:val="0000FF"/>
            <w:u w:val="single"/>
            <w:rtl/>
          </w:rPr>
          <w:t>חוק העונשין</w:t>
        </w:r>
      </w:hyperlink>
      <w:r>
        <w:rPr>
          <w:rFonts w:ascii="David" w:hAnsi="David" w:hint="cs"/>
          <w:color w:val="222222"/>
          <w:rtl/>
        </w:rPr>
        <w:t xml:space="preserve"> הנאשם יישא עונש זה באופן שחודש יחפוף לעונש אותו הוא נושא כעת והיתרה תצטבר לו.</w:t>
      </w:r>
    </w:p>
    <w:p w14:paraId="2B755611" w14:textId="77777777" w:rsidR="008334CB" w:rsidRDefault="008334CB" w:rsidP="008334CB">
      <w:pPr>
        <w:pStyle w:val="a9"/>
        <w:numPr>
          <w:ilvl w:val="0"/>
          <w:numId w:val="1"/>
        </w:numPr>
        <w:shd w:val="clear" w:color="auto" w:fill="FFFFFF"/>
        <w:spacing w:line="360" w:lineRule="atLeast"/>
        <w:jc w:val="both"/>
        <w:rPr>
          <w:rFonts w:ascii="David" w:hAnsi="David"/>
          <w:color w:val="222222"/>
        </w:rPr>
      </w:pPr>
      <w:r>
        <w:rPr>
          <w:rFonts w:ascii="David" w:hAnsi="David"/>
          <w:color w:val="222222"/>
          <w:rtl/>
        </w:rPr>
        <w:t>מאסר על תנאי למשך שלושה חודשים והתנאי הוא שלא יעבור בתוך שנתיים כל עבירה על פקודת הסמים שהיא פשע.</w:t>
      </w:r>
    </w:p>
    <w:p w14:paraId="4F738631" w14:textId="77777777" w:rsidR="008334CB" w:rsidRDefault="008334CB" w:rsidP="008334CB">
      <w:pPr>
        <w:pStyle w:val="a9"/>
        <w:numPr>
          <w:ilvl w:val="0"/>
          <w:numId w:val="1"/>
        </w:numPr>
        <w:shd w:val="clear" w:color="auto" w:fill="FFFFFF"/>
        <w:spacing w:line="293" w:lineRule="atLeast"/>
        <w:jc w:val="both"/>
        <w:rPr>
          <w:rFonts w:ascii="David" w:hAnsi="David"/>
          <w:color w:val="222222"/>
        </w:rPr>
      </w:pPr>
      <w:r>
        <w:rPr>
          <w:rFonts w:ascii="David" w:hAnsi="David" w:hint="cs"/>
          <w:color w:val="222222"/>
          <w:rtl/>
        </w:rPr>
        <w:t>המאשימה לא עתרה לקנס ולכן אמנע מכך</w:t>
      </w:r>
      <w:r w:rsidRPr="00771C0E">
        <w:rPr>
          <w:rFonts w:ascii="David" w:hAnsi="David" w:hint="cs"/>
          <w:color w:val="222222"/>
          <w:rtl/>
        </w:rPr>
        <w:t xml:space="preserve">. </w:t>
      </w:r>
    </w:p>
    <w:p w14:paraId="1DEFF299" w14:textId="77777777" w:rsidR="008334CB" w:rsidRPr="00EC1892" w:rsidRDefault="008334CB" w:rsidP="008334CB">
      <w:pPr>
        <w:pStyle w:val="a9"/>
        <w:shd w:val="clear" w:color="auto" w:fill="FFFFFF"/>
        <w:spacing w:line="293" w:lineRule="atLeast"/>
        <w:jc w:val="both"/>
        <w:rPr>
          <w:rFonts w:ascii="David" w:hAnsi="David"/>
          <w:color w:val="222222"/>
          <w:rtl/>
        </w:rPr>
      </w:pPr>
    </w:p>
    <w:p w14:paraId="193AA789" w14:textId="77777777" w:rsidR="008334CB" w:rsidRPr="008334CB" w:rsidRDefault="008334CB" w:rsidP="008334CB">
      <w:pPr>
        <w:ind w:left="720"/>
        <w:rPr>
          <w:rFonts w:ascii="David" w:eastAsia="Calibri" w:hAnsi="David"/>
          <w:u w:val="single"/>
          <w:rtl/>
        </w:rPr>
      </w:pPr>
      <w:r w:rsidRPr="008334CB">
        <w:rPr>
          <w:rFonts w:ascii="David" w:eastAsia="Calibri" w:hAnsi="David" w:hint="cs"/>
          <w:u w:val="single"/>
          <w:rtl/>
        </w:rPr>
        <w:t xml:space="preserve">מוצגים- סמים ושקיות- להשמיד בחלוף תקופת הערעור. </w:t>
      </w:r>
    </w:p>
    <w:p w14:paraId="7A39DEF9" w14:textId="77777777" w:rsidR="008334CB" w:rsidRPr="008334CB" w:rsidRDefault="008334CB" w:rsidP="008334CB">
      <w:pPr>
        <w:ind w:left="720"/>
        <w:rPr>
          <w:rFonts w:ascii="David" w:eastAsia="Calibri" w:hAnsi="David"/>
          <w:u w:val="single"/>
          <w:rtl/>
        </w:rPr>
      </w:pPr>
    </w:p>
    <w:p w14:paraId="192BFD1B" w14:textId="77777777" w:rsidR="008334CB" w:rsidRPr="008334CB" w:rsidRDefault="008334CB" w:rsidP="008334CB">
      <w:pPr>
        <w:ind w:left="720"/>
        <w:rPr>
          <w:rFonts w:ascii="David" w:eastAsia="Calibri" w:hAnsi="David"/>
          <w:u w:val="single"/>
          <w:rtl/>
        </w:rPr>
      </w:pPr>
      <w:r w:rsidRPr="008334CB">
        <w:rPr>
          <w:rFonts w:ascii="David" w:eastAsia="Calibri" w:hAnsi="David" w:hint="cs"/>
          <w:u w:val="single"/>
          <w:rtl/>
        </w:rPr>
        <w:t xml:space="preserve">שני מכשירי טלפון נייד- יוחזרו לנאשם. </w:t>
      </w:r>
    </w:p>
    <w:p w14:paraId="4799B805" w14:textId="77777777" w:rsidR="008334CB" w:rsidRDefault="008334CB" w:rsidP="008334CB">
      <w:pPr>
        <w:spacing w:line="360" w:lineRule="auto"/>
        <w:jc w:val="both"/>
        <w:rPr>
          <w:rFonts w:ascii="David" w:hAnsi="David"/>
          <w:rtl/>
        </w:rPr>
      </w:pPr>
    </w:p>
    <w:p w14:paraId="6F356F08" w14:textId="77777777" w:rsidR="008334CB" w:rsidRDefault="008334CB" w:rsidP="008334CB">
      <w:pPr>
        <w:shd w:val="clear" w:color="auto" w:fill="FFFFFF"/>
        <w:spacing w:line="293" w:lineRule="atLeast"/>
        <w:jc w:val="both"/>
        <w:rPr>
          <w:rFonts w:ascii="David" w:hAnsi="David"/>
          <w:b/>
          <w:bCs/>
          <w:color w:val="222222"/>
          <w:u w:val="single"/>
          <w:rtl/>
        </w:rPr>
      </w:pPr>
      <w:r>
        <w:rPr>
          <w:rFonts w:ascii="David" w:hAnsi="David"/>
          <w:b/>
          <w:bCs/>
          <w:color w:val="222222"/>
          <w:u w:val="single"/>
          <w:rtl/>
        </w:rPr>
        <w:t xml:space="preserve">הודעה זכות ערעור לבית המשפט המחוזי בתוך 45 ימים. </w:t>
      </w:r>
    </w:p>
    <w:p w14:paraId="6FF1703A" w14:textId="77777777" w:rsidR="008334CB" w:rsidRPr="004B63FE" w:rsidRDefault="004B63FE" w:rsidP="008334CB">
      <w:pPr>
        <w:rPr>
          <w:rFonts w:ascii="David" w:hAnsi="David"/>
          <w:color w:val="FFFFFF"/>
          <w:sz w:val="2"/>
          <w:szCs w:val="2"/>
          <w:rtl/>
        </w:rPr>
      </w:pPr>
      <w:r w:rsidRPr="004B63FE">
        <w:rPr>
          <w:rFonts w:ascii="David" w:hAnsi="David"/>
          <w:color w:val="FFFFFF"/>
          <w:sz w:val="2"/>
          <w:szCs w:val="2"/>
          <w:rtl/>
        </w:rPr>
        <w:t>5129371</w:t>
      </w:r>
    </w:p>
    <w:p w14:paraId="1C6B57AF" w14:textId="77777777" w:rsidR="008334CB" w:rsidRPr="004B63FE" w:rsidRDefault="004B63FE" w:rsidP="008334CB">
      <w:pPr>
        <w:rPr>
          <w:rFonts w:ascii="David" w:hAnsi="David"/>
          <w:color w:val="FFFFFF"/>
          <w:sz w:val="2"/>
          <w:szCs w:val="2"/>
          <w:rtl/>
        </w:rPr>
      </w:pPr>
      <w:r w:rsidRPr="004B63FE">
        <w:rPr>
          <w:rFonts w:ascii="David" w:hAnsi="David"/>
          <w:color w:val="FFFFFF"/>
          <w:sz w:val="2"/>
          <w:szCs w:val="2"/>
          <w:rtl/>
        </w:rPr>
        <w:t>54678313</w:t>
      </w:r>
    </w:p>
    <w:p w14:paraId="5D0F9CBB" w14:textId="77777777" w:rsidR="008334CB" w:rsidRPr="001F6BAB" w:rsidRDefault="008334CB" w:rsidP="008334CB">
      <w:pPr>
        <w:rPr>
          <w:rFonts w:ascii="David" w:hAnsi="David"/>
          <w:rtl/>
        </w:rPr>
      </w:pPr>
    </w:p>
    <w:p w14:paraId="3AFC88B4" w14:textId="77777777" w:rsidR="008334CB" w:rsidRPr="001F6BAB" w:rsidRDefault="004B63FE" w:rsidP="008334CB">
      <w:pPr>
        <w:rPr>
          <w:rFonts w:ascii="David" w:hAnsi="David"/>
          <w:rtl/>
        </w:rPr>
      </w:pPr>
      <w:bookmarkStart w:id="7" w:name="Nitan"/>
      <w:r>
        <w:rPr>
          <w:rFonts w:ascii="David" w:hAnsi="David"/>
          <w:rtl/>
        </w:rPr>
        <w:t xml:space="preserve">ניתן היום,  ט"ו אב תשפ"ד, 19 אוגוסט 2024, במעמד הצדדים. </w:t>
      </w:r>
      <w:bookmarkEnd w:id="7"/>
    </w:p>
    <w:p w14:paraId="051521E8" w14:textId="77777777" w:rsidR="008334CB" w:rsidRPr="001F6BAB" w:rsidRDefault="008334CB" w:rsidP="004B63FE">
      <w:pPr>
        <w:jc w:val="center"/>
      </w:pPr>
      <w:r w:rsidRPr="001F6BAB">
        <w:rPr>
          <w:rFonts w:ascii="David" w:hAnsi="David"/>
          <w:rtl/>
        </w:rPr>
        <w:t xml:space="preserve">   </w:t>
      </w:r>
      <w:r w:rsidRPr="001F6BAB">
        <w:rPr>
          <w:rFonts w:ascii="David" w:hAnsi="David"/>
          <w:rtl/>
        </w:rPr>
        <w:tab/>
      </w:r>
      <w:r w:rsidRPr="001F6BAB">
        <w:rPr>
          <w:rFonts w:ascii="David" w:hAnsi="David"/>
          <w:rtl/>
        </w:rPr>
        <w:tab/>
      </w:r>
      <w:r w:rsidRPr="001F6BAB">
        <w:rPr>
          <w:rFonts w:ascii="David" w:hAnsi="David"/>
          <w:rtl/>
        </w:rPr>
        <w:tab/>
      </w:r>
      <w:r w:rsidRPr="001F6BAB">
        <w:rPr>
          <w:rFonts w:ascii="David" w:hAnsi="David"/>
          <w:rtl/>
        </w:rPr>
        <w:tab/>
      </w:r>
      <w:r w:rsidRPr="001F6BAB">
        <w:rPr>
          <w:rFonts w:ascii="David" w:hAnsi="David"/>
          <w:rtl/>
        </w:rPr>
        <w:tab/>
      </w:r>
    </w:p>
    <w:p w14:paraId="16C283D2" w14:textId="77777777" w:rsidR="008334CB" w:rsidRPr="001F6BAB" w:rsidRDefault="008334CB" w:rsidP="008334CB">
      <w:pPr>
        <w:jc w:val="center"/>
        <w:rPr>
          <w:rFonts w:ascii="David" w:hAnsi="David"/>
          <w:rtl/>
        </w:rPr>
      </w:pPr>
    </w:p>
    <w:p w14:paraId="3F47CE27" w14:textId="77777777" w:rsidR="00014DD3" w:rsidRPr="004B63FE" w:rsidRDefault="00014DD3" w:rsidP="004B63FE">
      <w:pPr>
        <w:keepNext/>
        <w:rPr>
          <w:rFonts w:ascii="David" w:hAnsi="David"/>
          <w:color w:val="000000"/>
          <w:sz w:val="22"/>
          <w:szCs w:val="22"/>
          <w:rtl/>
        </w:rPr>
      </w:pPr>
    </w:p>
    <w:p w14:paraId="40BC9738" w14:textId="77777777" w:rsidR="004B63FE" w:rsidRPr="004B63FE" w:rsidRDefault="004B63FE" w:rsidP="004B63FE">
      <w:pPr>
        <w:keepNext/>
        <w:rPr>
          <w:rFonts w:ascii="David" w:hAnsi="David"/>
          <w:color w:val="000000"/>
          <w:sz w:val="22"/>
          <w:szCs w:val="22"/>
          <w:rtl/>
        </w:rPr>
      </w:pPr>
      <w:r w:rsidRPr="004B63FE">
        <w:rPr>
          <w:rFonts w:ascii="David" w:hAnsi="David"/>
          <w:color w:val="000000"/>
          <w:sz w:val="22"/>
          <w:szCs w:val="22"/>
          <w:rtl/>
        </w:rPr>
        <w:t>יוסי טורס 54678313</w:t>
      </w:r>
    </w:p>
    <w:p w14:paraId="1E020C26" w14:textId="77777777" w:rsidR="004B63FE" w:rsidRDefault="004B63FE" w:rsidP="004B63FE">
      <w:r w:rsidRPr="004B63FE">
        <w:rPr>
          <w:color w:val="000000"/>
          <w:rtl/>
        </w:rPr>
        <w:t>נוסח מסמך זה כפוף לשינויי ניסוח ועריכה</w:t>
      </w:r>
    </w:p>
    <w:p w14:paraId="4F98C840" w14:textId="77777777" w:rsidR="004B63FE" w:rsidRDefault="004B63FE" w:rsidP="004B63FE">
      <w:pPr>
        <w:rPr>
          <w:rtl/>
        </w:rPr>
      </w:pPr>
    </w:p>
    <w:p w14:paraId="33470CCD" w14:textId="77777777" w:rsidR="004B63FE" w:rsidRDefault="004B63FE" w:rsidP="004B63FE">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47C2EE3D" w14:textId="77777777" w:rsidR="004B63FE" w:rsidRPr="004B63FE" w:rsidRDefault="004B63FE" w:rsidP="004B63FE">
      <w:pPr>
        <w:jc w:val="center"/>
        <w:rPr>
          <w:color w:val="0000FF"/>
          <w:u w:val="single"/>
        </w:rPr>
      </w:pPr>
    </w:p>
    <w:sectPr w:rsidR="004B63FE" w:rsidRPr="004B63FE" w:rsidSect="004B63FE">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88DE8" w14:textId="77777777" w:rsidR="009F00A1" w:rsidRDefault="009F00A1" w:rsidP="00900E5A">
      <w:r>
        <w:separator/>
      </w:r>
    </w:p>
  </w:endnote>
  <w:endnote w:type="continuationSeparator" w:id="0">
    <w:p w14:paraId="7A293EF0" w14:textId="77777777" w:rsidR="009F00A1" w:rsidRDefault="009F00A1" w:rsidP="00900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2A14" w14:textId="77777777" w:rsidR="004B63FE" w:rsidRDefault="004B63FE" w:rsidP="004B63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611830" w14:textId="77777777" w:rsidR="008D4E6C" w:rsidRPr="004B63FE" w:rsidRDefault="004B63FE" w:rsidP="004B63F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0A256" w14:textId="77777777" w:rsidR="004B63FE" w:rsidRDefault="004B63FE" w:rsidP="004B63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0F04">
      <w:rPr>
        <w:rFonts w:ascii="FrankRuehl" w:hAnsi="FrankRuehl" w:cs="FrankRuehl"/>
        <w:noProof/>
        <w:rtl/>
      </w:rPr>
      <w:t>1</w:t>
    </w:r>
    <w:r>
      <w:rPr>
        <w:rFonts w:ascii="FrankRuehl" w:hAnsi="FrankRuehl" w:cs="FrankRuehl"/>
        <w:rtl/>
      </w:rPr>
      <w:fldChar w:fldCharType="end"/>
    </w:r>
  </w:p>
  <w:p w14:paraId="06E0A339" w14:textId="77777777" w:rsidR="008D4E6C" w:rsidRPr="004B63FE" w:rsidRDefault="004B63FE" w:rsidP="004B63F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325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C4FCD" w14:textId="77777777" w:rsidR="009F00A1" w:rsidRDefault="009F00A1" w:rsidP="00900E5A">
      <w:r>
        <w:separator/>
      </w:r>
    </w:p>
  </w:footnote>
  <w:footnote w:type="continuationSeparator" w:id="0">
    <w:p w14:paraId="0FBA36A5" w14:textId="77777777" w:rsidR="009F00A1" w:rsidRDefault="009F00A1" w:rsidP="00900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9A0B7" w14:textId="77777777" w:rsidR="004B63FE" w:rsidRPr="004B63FE" w:rsidRDefault="004B63FE" w:rsidP="004B63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4712-02-24</w:t>
    </w:r>
    <w:r>
      <w:rPr>
        <w:rFonts w:ascii="David" w:hAnsi="David"/>
        <w:color w:val="000000"/>
        <w:sz w:val="22"/>
        <w:szCs w:val="22"/>
        <w:rtl/>
      </w:rPr>
      <w:tab/>
      <w:t xml:space="preserve"> מדינת ישראל נ' מאיר יפרח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B5728" w14:textId="77777777" w:rsidR="004B63FE" w:rsidRPr="004B63FE" w:rsidRDefault="004B63FE" w:rsidP="004B63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4712-02-24</w:t>
    </w:r>
    <w:r>
      <w:rPr>
        <w:rFonts w:ascii="David" w:hAnsi="David"/>
        <w:color w:val="000000"/>
        <w:sz w:val="22"/>
        <w:szCs w:val="22"/>
        <w:rtl/>
      </w:rPr>
      <w:tab/>
      <w:t xml:space="preserve"> מדינת ישראל נ' מאיר יפרח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410CE"/>
    <w:multiLevelType w:val="hybridMultilevel"/>
    <w:tmpl w:val="340E524A"/>
    <w:lvl w:ilvl="0" w:tplc="36A00738">
      <w:start w:val="1"/>
      <w:numFmt w:val="hebrew1"/>
      <w:lvlText w:val="%1."/>
      <w:lvlJc w:val="left"/>
      <w:pPr>
        <w:ind w:left="720" w:hanging="360"/>
      </w:pPr>
    </w:lvl>
    <w:lvl w:ilvl="1" w:tplc="39D03E76">
      <w:start w:val="1"/>
      <w:numFmt w:val="lowerLetter"/>
      <w:lvlText w:val="%2."/>
      <w:lvlJc w:val="left"/>
      <w:pPr>
        <w:ind w:left="1440" w:hanging="360"/>
      </w:pPr>
    </w:lvl>
    <w:lvl w:ilvl="2" w:tplc="C4EE90C2">
      <w:start w:val="1"/>
      <w:numFmt w:val="lowerRoman"/>
      <w:lvlText w:val="%3."/>
      <w:lvlJc w:val="right"/>
      <w:pPr>
        <w:ind w:left="2160" w:hanging="180"/>
      </w:pPr>
    </w:lvl>
    <w:lvl w:ilvl="3" w:tplc="DA64AFFA">
      <w:start w:val="1"/>
      <w:numFmt w:val="decimal"/>
      <w:lvlText w:val="%4."/>
      <w:lvlJc w:val="left"/>
      <w:pPr>
        <w:ind w:left="2880" w:hanging="360"/>
      </w:pPr>
    </w:lvl>
    <w:lvl w:ilvl="4" w:tplc="79C02598">
      <w:start w:val="1"/>
      <w:numFmt w:val="lowerLetter"/>
      <w:lvlText w:val="%5."/>
      <w:lvlJc w:val="left"/>
      <w:pPr>
        <w:ind w:left="3600" w:hanging="360"/>
      </w:pPr>
    </w:lvl>
    <w:lvl w:ilvl="5" w:tplc="B038C8A8">
      <w:start w:val="1"/>
      <w:numFmt w:val="lowerRoman"/>
      <w:lvlText w:val="%6."/>
      <w:lvlJc w:val="right"/>
      <w:pPr>
        <w:ind w:left="4320" w:hanging="180"/>
      </w:pPr>
    </w:lvl>
    <w:lvl w:ilvl="6" w:tplc="79D2D508">
      <w:start w:val="1"/>
      <w:numFmt w:val="decimal"/>
      <w:lvlText w:val="%7."/>
      <w:lvlJc w:val="left"/>
      <w:pPr>
        <w:ind w:left="5040" w:hanging="360"/>
      </w:pPr>
    </w:lvl>
    <w:lvl w:ilvl="7" w:tplc="3126EA18">
      <w:start w:val="1"/>
      <w:numFmt w:val="lowerLetter"/>
      <w:lvlText w:val="%8."/>
      <w:lvlJc w:val="left"/>
      <w:pPr>
        <w:ind w:left="5760" w:hanging="360"/>
      </w:pPr>
    </w:lvl>
    <w:lvl w:ilvl="8" w:tplc="368E5EAC">
      <w:start w:val="1"/>
      <w:numFmt w:val="lowerRoman"/>
      <w:lvlText w:val="%9."/>
      <w:lvlJc w:val="right"/>
      <w:pPr>
        <w:ind w:left="6480" w:hanging="180"/>
      </w:pPr>
    </w:lvl>
  </w:abstractNum>
  <w:abstractNum w:abstractNumId="1" w15:restartNumberingAfterBreak="0">
    <w:nsid w:val="6DB163B2"/>
    <w:multiLevelType w:val="hybridMultilevel"/>
    <w:tmpl w:val="06843848"/>
    <w:lvl w:ilvl="0" w:tplc="7D3A788C">
      <w:start w:val="1"/>
      <w:numFmt w:val="decimal"/>
      <w:lvlText w:val="%1."/>
      <w:lvlJc w:val="left"/>
      <w:pPr>
        <w:tabs>
          <w:tab w:val="num" w:pos="567"/>
        </w:tabs>
        <w:ind w:left="0" w:firstLine="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9957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2453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34CB"/>
    <w:rsid w:val="00014DD3"/>
    <w:rsid w:val="00083028"/>
    <w:rsid w:val="00164A72"/>
    <w:rsid w:val="00177EFD"/>
    <w:rsid w:val="001B5A3B"/>
    <w:rsid w:val="00462993"/>
    <w:rsid w:val="004B63FE"/>
    <w:rsid w:val="007564B2"/>
    <w:rsid w:val="008334CB"/>
    <w:rsid w:val="008D4E6C"/>
    <w:rsid w:val="008D7069"/>
    <w:rsid w:val="00900E5A"/>
    <w:rsid w:val="009F00A1"/>
    <w:rsid w:val="00C30F04"/>
    <w:rsid w:val="00D87C91"/>
    <w:rsid w:val="00EF1A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80E00C"/>
  <w15:chartTrackingRefBased/>
  <w15:docId w15:val="{61C8800A-850F-4D73-9050-5E054D32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34C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34CB"/>
    <w:pPr>
      <w:tabs>
        <w:tab w:val="center" w:pos="4153"/>
        <w:tab w:val="right" w:pos="8306"/>
      </w:tabs>
    </w:pPr>
  </w:style>
  <w:style w:type="character" w:customStyle="1" w:styleId="a4">
    <w:name w:val="כותרת עליונה תו"/>
    <w:link w:val="a3"/>
    <w:rsid w:val="008334CB"/>
    <w:rPr>
      <w:rFonts w:ascii="Times New Roman" w:eastAsia="Times New Roman" w:hAnsi="Times New Roman" w:cs="David"/>
      <w:sz w:val="24"/>
      <w:szCs w:val="24"/>
    </w:rPr>
  </w:style>
  <w:style w:type="paragraph" w:styleId="a5">
    <w:name w:val="footer"/>
    <w:basedOn w:val="a"/>
    <w:link w:val="a6"/>
    <w:rsid w:val="008334CB"/>
    <w:pPr>
      <w:tabs>
        <w:tab w:val="center" w:pos="4153"/>
        <w:tab w:val="right" w:pos="8306"/>
      </w:tabs>
    </w:pPr>
  </w:style>
  <w:style w:type="character" w:customStyle="1" w:styleId="a6">
    <w:name w:val="כותרת תחתונה תו"/>
    <w:link w:val="a5"/>
    <w:rsid w:val="008334CB"/>
    <w:rPr>
      <w:rFonts w:ascii="Times New Roman" w:eastAsia="Times New Roman" w:hAnsi="Times New Roman" w:cs="David"/>
      <w:sz w:val="24"/>
      <w:szCs w:val="24"/>
    </w:rPr>
  </w:style>
  <w:style w:type="table" w:styleId="a7">
    <w:name w:val="Table Grid"/>
    <w:basedOn w:val="a1"/>
    <w:rsid w:val="008334C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34CB"/>
  </w:style>
  <w:style w:type="paragraph" w:styleId="a9">
    <w:name w:val="List Paragraph"/>
    <w:basedOn w:val="a"/>
    <w:link w:val="aa"/>
    <w:qFormat/>
    <w:rsid w:val="008334CB"/>
    <w:pPr>
      <w:ind w:left="720"/>
      <w:contextualSpacing/>
    </w:pPr>
  </w:style>
  <w:style w:type="character" w:customStyle="1" w:styleId="aa">
    <w:name w:val="פיסקת רשימה תו"/>
    <w:link w:val="a9"/>
    <w:locked/>
    <w:rsid w:val="008334CB"/>
    <w:rPr>
      <w:rFonts w:ascii="Times New Roman" w:eastAsia="Times New Roman" w:hAnsi="Times New Roman" w:cs="David"/>
      <w:sz w:val="24"/>
      <w:szCs w:val="24"/>
    </w:rPr>
  </w:style>
  <w:style w:type="character" w:styleId="Hyperlink">
    <w:name w:val="Hyperlink"/>
    <w:rsid w:val="004B63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6991436" TargetMode="External"/><Relationship Id="rId26" Type="http://schemas.openxmlformats.org/officeDocument/2006/relationships/hyperlink" Target="http://www.nevo.co.il/case/29072600" TargetMode="External"/><Relationship Id="rId39" Type="http://schemas.openxmlformats.org/officeDocument/2006/relationships/theme" Target="theme/theme1.xml"/><Relationship Id="rId21" Type="http://schemas.openxmlformats.org/officeDocument/2006/relationships/hyperlink" Target="http://www.nevo.co.il/law/74248/15"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4248/15"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221795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323" TargetMode="External"/><Relationship Id="rId29" Type="http://schemas.openxmlformats.org/officeDocument/2006/relationships/hyperlink" Target="http://www.nevo.co.il/case/253679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48" TargetMode="External"/><Relationship Id="rId24" Type="http://schemas.openxmlformats.org/officeDocument/2006/relationships/hyperlink" Target="http://www.nevo.co.il/case/5601732"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7589322" TargetMode="External"/><Relationship Id="rId28" Type="http://schemas.openxmlformats.org/officeDocument/2006/relationships/hyperlink" Target="http://www.nevo.co.il/case/16879489" TargetMode="External"/><Relationship Id="rId36" Type="http://schemas.openxmlformats.org/officeDocument/2006/relationships/footer" Target="footer1.xml"/><Relationship Id="rId10" Type="http://schemas.openxmlformats.org/officeDocument/2006/relationships/hyperlink" Target="http://www.nevo.co.il/law/4323"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law/70301/45.b"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5.b" TargetMode="External"/><Relationship Id="rId22" Type="http://schemas.openxmlformats.org/officeDocument/2006/relationships/hyperlink" Target="http://www.nevo.co.il/law/74248" TargetMode="External"/><Relationship Id="rId27" Type="http://schemas.openxmlformats.org/officeDocument/2006/relationships/hyperlink" Target="http://www.nevo.co.il/case/28919441" TargetMode="External"/><Relationship Id="rId30" Type="http://schemas.openxmlformats.org/officeDocument/2006/relationships/hyperlink" Target="http://www.nevo.co.il/case/28524794"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1419</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8499</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131151</vt:i4>
      </vt:variant>
      <vt:variant>
        <vt:i4>72</vt:i4>
      </vt:variant>
      <vt:variant>
        <vt:i4>0</vt:i4>
      </vt:variant>
      <vt:variant>
        <vt:i4>5</vt:i4>
      </vt:variant>
      <vt:variant>
        <vt:lpwstr>http://www.nevo.co.il/law/70301/45.b</vt:lpwstr>
      </vt:variant>
      <vt:variant>
        <vt:lpwstr/>
      </vt:variant>
      <vt:variant>
        <vt:i4>3801209</vt:i4>
      </vt:variant>
      <vt:variant>
        <vt:i4>69</vt:i4>
      </vt:variant>
      <vt:variant>
        <vt:i4>0</vt:i4>
      </vt:variant>
      <vt:variant>
        <vt:i4>5</vt:i4>
      </vt:variant>
      <vt:variant>
        <vt:lpwstr>http://www.nevo.co.il/case/28524794</vt:lpwstr>
      </vt:variant>
      <vt:variant>
        <vt:lpwstr/>
      </vt:variant>
      <vt:variant>
        <vt:i4>3145854</vt:i4>
      </vt:variant>
      <vt:variant>
        <vt:i4>66</vt:i4>
      </vt:variant>
      <vt:variant>
        <vt:i4>0</vt:i4>
      </vt:variant>
      <vt:variant>
        <vt:i4>5</vt:i4>
      </vt:variant>
      <vt:variant>
        <vt:lpwstr>http://www.nevo.co.il/case/25367963</vt:lpwstr>
      </vt:variant>
      <vt:variant>
        <vt:lpwstr/>
      </vt:variant>
      <vt:variant>
        <vt:i4>3670129</vt:i4>
      </vt:variant>
      <vt:variant>
        <vt:i4>63</vt:i4>
      </vt:variant>
      <vt:variant>
        <vt:i4>0</vt:i4>
      </vt:variant>
      <vt:variant>
        <vt:i4>5</vt:i4>
      </vt:variant>
      <vt:variant>
        <vt:lpwstr>http://www.nevo.co.il/case/16879489</vt:lpwstr>
      </vt:variant>
      <vt:variant>
        <vt:lpwstr/>
      </vt:variant>
      <vt:variant>
        <vt:i4>3539065</vt:i4>
      </vt:variant>
      <vt:variant>
        <vt:i4>60</vt:i4>
      </vt:variant>
      <vt:variant>
        <vt:i4>0</vt:i4>
      </vt:variant>
      <vt:variant>
        <vt:i4>5</vt:i4>
      </vt:variant>
      <vt:variant>
        <vt:lpwstr>http://www.nevo.co.il/case/28919441</vt:lpwstr>
      </vt:variant>
      <vt:variant>
        <vt:lpwstr/>
      </vt:variant>
      <vt:variant>
        <vt:i4>3145852</vt:i4>
      </vt:variant>
      <vt:variant>
        <vt:i4>57</vt:i4>
      </vt:variant>
      <vt:variant>
        <vt:i4>0</vt:i4>
      </vt:variant>
      <vt:variant>
        <vt:i4>5</vt:i4>
      </vt:variant>
      <vt:variant>
        <vt:lpwstr>http://www.nevo.co.il/case/29072600</vt:lpwstr>
      </vt:variant>
      <vt:variant>
        <vt:lpwstr/>
      </vt:variant>
      <vt:variant>
        <vt:i4>3276926</vt:i4>
      </vt:variant>
      <vt:variant>
        <vt:i4>54</vt:i4>
      </vt:variant>
      <vt:variant>
        <vt:i4>0</vt:i4>
      </vt:variant>
      <vt:variant>
        <vt:i4>5</vt:i4>
      </vt:variant>
      <vt:variant>
        <vt:lpwstr>http://www.nevo.co.il/case/22217955</vt:lpwstr>
      </vt:variant>
      <vt:variant>
        <vt:lpwstr/>
      </vt:variant>
      <vt:variant>
        <vt:i4>3145840</vt:i4>
      </vt:variant>
      <vt:variant>
        <vt:i4>51</vt:i4>
      </vt:variant>
      <vt:variant>
        <vt:i4>0</vt:i4>
      </vt:variant>
      <vt:variant>
        <vt:i4>5</vt:i4>
      </vt:variant>
      <vt:variant>
        <vt:lpwstr>http://www.nevo.co.il/case/5601732</vt:lpwstr>
      </vt:variant>
      <vt:variant>
        <vt:lpwstr/>
      </vt:variant>
      <vt:variant>
        <vt:i4>3932280</vt:i4>
      </vt:variant>
      <vt:variant>
        <vt:i4>48</vt:i4>
      </vt:variant>
      <vt:variant>
        <vt:i4>0</vt:i4>
      </vt:variant>
      <vt:variant>
        <vt:i4>5</vt:i4>
      </vt:variant>
      <vt:variant>
        <vt:lpwstr>http://www.nevo.co.il/case/27589322</vt:lpwstr>
      </vt:variant>
      <vt:variant>
        <vt:lpwstr/>
      </vt:variant>
      <vt:variant>
        <vt:i4>7995493</vt:i4>
      </vt:variant>
      <vt:variant>
        <vt:i4>45</vt:i4>
      </vt:variant>
      <vt:variant>
        <vt:i4>0</vt:i4>
      </vt:variant>
      <vt:variant>
        <vt:i4>5</vt:i4>
      </vt:variant>
      <vt:variant>
        <vt:lpwstr>http://www.nevo.co.il/law/74248</vt:lpwstr>
      </vt:variant>
      <vt:variant>
        <vt:lpwstr/>
      </vt:variant>
      <vt:variant>
        <vt:i4>6291564</vt:i4>
      </vt:variant>
      <vt:variant>
        <vt:i4>42</vt:i4>
      </vt:variant>
      <vt:variant>
        <vt:i4>0</vt:i4>
      </vt:variant>
      <vt:variant>
        <vt:i4>5</vt:i4>
      </vt:variant>
      <vt:variant>
        <vt:lpwstr>http://www.nevo.co.il/law/74248/15</vt:lpwstr>
      </vt:variant>
      <vt:variant>
        <vt:lpwstr/>
      </vt:variant>
      <vt:variant>
        <vt:i4>7995494</vt:i4>
      </vt:variant>
      <vt:variant>
        <vt:i4>39</vt:i4>
      </vt:variant>
      <vt:variant>
        <vt:i4>0</vt:i4>
      </vt:variant>
      <vt:variant>
        <vt:i4>5</vt:i4>
      </vt:variant>
      <vt:variant>
        <vt:lpwstr>http://www.nevo.co.il/law/4323</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3735679</vt:i4>
      </vt:variant>
      <vt:variant>
        <vt:i4>33</vt:i4>
      </vt:variant>
      <vt:variant>
        <vt:i4>0</vt:i4>
      </vt:variant>
      <vt:variant>
        <vt:i4>5</vt:i4>
      </vt:variant>
      <vt:variant>
        <vt:lpwstr>http://www.nevo.co.il/case/26991436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131151</vt:i4>
      </vt:variant>
      <vt:variant>
        <vt:i4>21</vt:i4>
      </vt:variant>
      <vt:variant>
        <vt:i4>0</vt:i4>
      </vt:variant>
      <vt:variant>
        <vt:i4>5</vt:i4>
      </vt:variant>
      <vt:variant>
        <vt:lpwstr>http://www.nevo.co.il/law/70301/45.b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6291564</vt:i4>
      </vt:variant>
      <vt:variant>
        <vt:i4>15</vt:i4>
      </vt:variant>
      <vt:variant>
        <vt:i4>0</vt:i4>
      </vt:variant>
      <vt:variant>
        <vt:i4>5</vt:i4>
      </vt:variant>
      <vt:variant>
        <vt:lpwstr>http://www.nevo.co.il/law/74248/15</vt:lpwstr>
      </vt:variant>
      <vt:variant>
        <vt:lpwstr/>
      </vt:variant>
      <vt:variant>
        <vt:i4>7995493</vt:i4>
      </vt:variant>
      <vt:variant>
        <vt:i4>12</vt:i4>
      </vt:variant>
      <vt:variant>
        <vt:i4>0</vt:i4>
      </vt:variant>
      <vt:variant>
        <vt:i4>5</vt:i4>
      </vt:variant>
      <vt:variant>
        <vt:lpwstr>http://www.nevo.co.il/law/74248</vt:lpwstr>
      </vt:variant>
      <vt:variant>
        <vt:lpwstr/>
      </vt:variant>
      <vt:variant>
        <vt:i4>7995494</vt:i4>
      </vt:variant>
      <vt:variant>
        <vt:i4>9</vt:i4>
      </vt:variant>
      <vt:variant>
        <vt:i4>0</vt:i4>
      </vt:variant>
      <vt:variant>
        <vt:i4>5</vt:i4>
      </vt:variant>
      <vt:variant>
        <vt:lpwstr>http://www.nevo.co.il/law/4323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2025-04-23T01:55:00Z</dcterms:created>
  <dcterms:modified xsi:type="dcterms:W3CDTF">2025-04-23T01:55:00Z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4712</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מאיר יפרח</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20240819</vt:lpwstr>
  </property>
  <property fmtid="{D5CDD505-2E9C-101B-9397-08002B2CF9AE}" pid="13" name="TYPE_N_DATE">
    <vt:lpwstr>38020240819</vt:lpwstr>
  </property>
  <property fmtid="{D5CDD505-2E9C-101B-9397-08002B2CF9AE}" pid="14" name="WORDNUMPAGES">
    <vt:lpwstr>4</vt:lpwstr>
  </property>
  <property fmtid="{D5CDD505-2E9C-101B-9397-08002B2CF9AE}" pid="15" name="TYPE_ABS_DATE">
    <vt:lpwstr>380020240819</vt:lpwstr>
  </property>
  <property fmtid="{D5CDD505-2E9C-101B-9397-08002B2CF9AE}" pid="16" name="ISABSTRACT">
    <vt:lpwstr>Y</vt:lpwstr>
  </property>
  <property fmtid="{D5CDD505-2E9C-101B-9397-08002B2CF9AE}" pid="17" name="CASESLISTTMP1">
    <vt:lpwstr>26991436;23827604;27589322;5601732;22217955;29072600;28919441;16879489;25367963;28524794</vt:lpwstr>
  </property>
  <property fmtid="{D5CDD505-2E9C-101B-9397-08002B2CF9AE}" pid="18" name="LAWLISTTMP1">
    <vt:lpwstr>4216/007.a:2;007.c:2</vt:lpwstr>
  </property>
  <property fmtid="{D5CDD505-2E9C-101B-9397-08002B2CF9AE}" pid="19" name="LAWLISTTMP2">
    <vt:lpwstr>4323</vt:lpwstr>
  </property>
  <property fmtid="{D5CDD505-2E9C-101B-9397-08002B2CF9AE}" pid="20" name="LAWLISTTMP3">
    <vt:lpwstr>74248/015</vt:lpwstr>
  </property>
  <property fmtid="{D5CDD505-2E9C-101B-9397-08002B2CF9AE}" pid="21" name="LAWLISTTMP4">
    <vt:lpwstr>70301/045.b</vt:lpwstr>
  </property>
</Properties>
</file>