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797200" w:rsidRPr="0075591B" w14:paraId="44393231" w14:textId="77777777" w:rsidTr="001E68BB">
        <w:trPr>
          <w:gridAfter w:val="1"/>
          <w:wAfter w:w="99" w:type="dxa"/>
          <w:trHeight w:hRule="exact" w:val="418"/>
          <w:jc w:val="center"/>
        </w:trPr>
        <w:tc>
          <w:tcPr>
            <w:tcW w:w="8721" w:type="dxa"/>
            <w:gridSpan w:val="4"/>
          </w:tcPr>
          <w:p w14:paraId="4CADD7B6" w14:textId="77777777" w:rsidR="00797200" w:rsidRPr="0075591B" w:rsidRDefault="00797200" w:rsidP="006017E1">
            <w:pPr>
              <w:pStyle w:val="a3"/>
              <w:jc w:val="center"/>
              <w:rPr>
                <w:rFonts w:ascii="Tahoma" w:hAnsi="Tahoma" w:cs="Tahoma"/>
                <w:color w:val="000080"/>
                <w:rtl/>
              </w:rPr>
            </w:pPr>
            <w:r w:rsidRPr="0075591B">
              <w:rPr>
                <w:rFonts w:ascii="Tahoma" w:hAnsi="Tahoma" w:cs="Tahoma"/>
                <w:b/>
                <w:bCs/>
                <w:color w:val="000080"/>
                <w:rtl/>
              </w:rPr>
              <w:t>בית משפט השלום בבאר שבע</w:t>
            </w:r>
          </w:p>
        </w:tc>
      </w:tr>
      <w:tr w:rsidR="00797200" w:rsidRPr="0075591B" w14:paraId="2363958C" w14:textId="77777777" w:rsidTr="001E68BB">
        <w:trPr>
          <w:gridAfter w:val="1"/>
          <w:wAfter w:w="99" w:type="dxa"/>
          <w:trHeight w:val="337"/>
          <w:jc w:val="center"/>
        </w:trPr>
        <w:tc>
          <w:tcPr>
            <w:tcW w:w="5056" w:type="dxa"/>
            <w:gridSpan w:val="3"/>
          </w:tcPr>
          <w:p w14:paraId="614749CE" w14:textId="77777777" w:rsidR="00797200" w:rsidRPr="0075591B" w:rsidRDefault="00797200" w:rsidP="006017E1">
            <w:pPr>
              <w:rPr>
                <w:rFonts w:cs="FrankRuehl"/>
                <w:sz w:val="28"/>
                <w:szCs w:val="28"/>
                <w:rtl/>
              </w:rPr>
            </w:pPr>
            <w:r w:rsidRPr="0075591B">
              <w:rPr>
                <w:rFonts w:cs="FrankRuehl"/>
                <w:sz w:val="28"/>
                <w:szCs w:val="28"/>
                <w:rtl/>
              </w:rPr>
              <w:t>ת"פ</w:t>
            </w:r>
            <w:r w:rsidRPr="0075591B">
              <w:rPr>
                <w:rFonts w:cs="FrankRuehl" w:hint="cs"/>
                <w:sz w:val="28"/>
                <w:szCs w:val="28"/>
                <w:rtl/>
              </w:rPr>
              <w:t xml:space="preserve"> </w:t>
            </w:r>
            <w:r w:rsidRPr="0075591B">
              <w:rPr>
                <w:rFonts w:cs="FrankRuehl"/>
                <w:sz w:val="28"/>
                <w:szCs w:val="28"/>
                <w:rtl/>
              </w:rPr>
              <w:t>63738-02-24</w:t>
            </w:r>
            <w:r w:rsidRPr="0075591B">
              <w:rPr>
                <w:rFonts w:cs="FrankRuehl" w:hint="cs"/>
                <w:sz w:val="28"/>
                <w:szCs w:val="28"/>
                <w:rtl/>
              </w:rPr>
              <w:t xml:space="preserve"> </w:t>
            </w:r>
            <w:r w:rsidRPr="0075591B">
              <w:rPr>
                <w:rFonts w:cs="FrankRuehl"/>
                <w:sz w:val="28"/>
                <w:szCs w:val="28"/>
                <w:rtl/>
              </w:rPr>
              <w:t>מדינת ישראל נ' שלו(עציר)</w:t>
            </w:r>
          </w:p>
          <w:p w14:paraId="06E75309" w14:textId="77777777" w:rsidR="00797200" w:rsidRPr="0075591B" w:rsidRDefault="00797200" w:rsidP="006017E1">
            <w:pPr>
              <w:pStyle w:val="a3"/>
              <w:rPr>
                <w:rFonts w:cs="FrankRuehl"/>
                <w:sz w:val="28"/>
                <w:szCs w:val="28"/>
                <w:rtl/>
              </w:rPr>
            </w:pPr>
          </w:p>
        </w:tc>
        <w:tc>
          <w:tcPr>
            <w:tcW w:w="3665" w:type="dxa"/>
          </w:tcPr>
          <w:p w14:paraId="736922A9" w14:textId="77777777" w:rsidR="00797200" w:rsidRPr="0075591B" w:rsidRDefault="00797200" w:rsidP="006017E1">
            <w:pPr>
              <w:pStyle w:val="a3"/>
              <w:jc w:val="right"/>
              <w:rPr>
                <w:rFonts w:cs="FrankRuehl"/>
                <w:sz w:val="28"/>
                <w:szCs w:val="28"/>
                <w:rtl/>
              </w:rPr>
            </w:pPr>
          </w:p>
        </w:tc>
      </w:tr>
      <w:tr w:rsidR="00797200" w:rsidRPr="0075591B" w14:paraId="7028B14A" w14:textId="77777777" w:rsidTr="001E68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E6CE1EB" w14:textId="77777777" w:rsidR="00797200" w:rsidRPr="0075591B" w:rsidRDefault="00797200" w:rsidP="00797200">
            <w:pPr>
              <w:jc w:val="both"/>
              <w:rPr>
                <w:rFonts w:ascii="David" w:hAnsi="David"/>
                <w:sz w:val="26"/>
                <w:szCs w:val="26"/>
              </w:rPr>
            </w:pPr>
            <w:r w:rsidRPr="0075591B">
              <w:rPr>
                <w:rFonts w:hint="cs"/>
                <w:rtl/>
              </w:rPr>
              <w:t xml:space="preserve"> </w:t>
            </w:r>
            <w:r w:rsidRPr="0075591B">
              <w:rPr>
                <w:rFonts w:ascii="David" w:hAnsi="David" w:hint="cs"/>
                <w:sz w:val="26"/>
                <w:szCs w:val="26"/>
                <w:rtl/>
              </w:rPr>
              <w:t>ל</w:t>
            </w:r>
            <w:r w:rsidRPr="0075591B">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223C7D7" w14:textId="77777777" w:rsidR="00797200" w:rsidRPr="0075591B" w:rsidRDefault="00797200" w:rsidP="006017E1">
            <w:pPr>
              <w:rPr>
                <w:rFonts w:ascii="David" w:hAnsi="David"/>
                <w:b/>
                <w:bCs/>
                <w:sz w:val="26"/>
                <w:szCs w:val="26"/>
                <w:rtl/>
              </w:rPr>
            </w:pPr>
            <w:r w:rsidRPr="0075591B">
              <w:rPr>
                <w:rFonts w:ascii="David" w:hAnsi="David"/>
                <w:b/>
                <w:bCs/>
                <w:sz w:val="26"/>
                <w:szCs w:val="26"/>
                <w:rtl/>
              </w:rPr>
              <w:t>כבוד השופט, סגן הנשיא  אבישי כהן</w:t>
            </w:r>
          </w:p>
          <w:p w14:paraId="61B66A48" w14:textId="77777777" w:rsidR="00797200" w:rsidRPr="0075591B" w:rsidRDefault="00797200" w:rsidP="006017E1">
            <w:pPr>
              <w:rPr>
                <w:rFonts w:ascii="David" w:hAnsi="David"/>
                <w:sz w:val="26"/>
                <w:szCs w:val="26"/>
                <w:rtl/>
              </w:rPr>
            </w:pPr>
          </w:p>
          <w:p w14:paraId="2E182AA4" w14:textId="77777777" w:rsidR="00797200" w:rsidRPr="0075591B" w:rsidRDefault="00797200" w:rsidP="00797200">
            <w:pPr>
              <w:jc w:val="both"/>
              <w:rPr>
                <w:rFonts w:ascii="David" w:hAnsi="David"/>
                <w:sz w:val="26"/>
                <w:szCs w:val="26"/>
              </w:rPr>
            </w:pPr>
          </w:p>
        </w:tc>
      </w:tr>
      <w:tr w:rsidR="00797200" w:rsidRPr="0075591B" w14:paraId="10D6BC2C" w14:textId="77777777" w:rsidTr="001E68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264A4F" w14:textId="77777777" w:rsidR="00797200" w:rsidRPr="0075591B" w:rsidRDefault="00797200" w:rsidP="00797200">
            <w:pPr>
              <w:jc w:val="both"/>
              <w:rPr>
                <w:rFonts w:ascii="David" w:hAnsi="David"/>
                <w:sz w:val="26"/>
                <w:szCs w:val="26"/>
              </w:rPr>
            </w:pPr>
            <w:bookmarkStart w:id="0" w:name="FirstAppellant"/>
            <w:bookmarkStart w:id="1" w:name="FirstLawyer"/>
            <w:bookmarkStart w:id="2" w:name="LastJudge"/>
            <w:bookmarkEnd w:id="2"/>
            <w:r w:rsidRPr="0075591B">
              <w:rPr>
                <w:rFonts w:ascii="David" w:hAnsi="David"/>
                <w:sz w:val="26"/>
                <w:szCs w:val="26"/>
                <w:rtl/>
              </w:rPr>
              <w:t>בעניין:</w:t>
            </w:r>
          </w:p>
        </w:tc>
        <w:tc>
          <w:tcPr>
            <w:tcW w:w="3219" w:type="dxa"/>
            <w:tcBorders>
              <w:top w:val="nil"/>
              <w:left w:val="nil"/>
              <w:bottom w:val="nil"/>
              <w:right w:val="nil"/>
            </w:tcBorders>
            <w:shd w:val="clear" w:color="auto" w:fill="auto"/>
          </w:tcPr>
          <w:p w14:paraId="2BFD9E3B" w14:textId="77777777" w:rsidR="00797200" w:rsidRPr="0075591B" w:rsidRDefault="00797200" w:rsidP="00797200">
            <w:pPr>
              <w:suppressLineNumbers/>
            </w:pPr>
            <w:r w:rsidRPr="0075591B">
              <w:rPr>
                <w:rFonts w:ascii="Arial" w:hAnsi="Arial" w:hint="cs"/>
                <w:b/>
                <w:bCs/>
                <w:sz w:val="26"/>
                <w:szCs w:val="26"/>
                <w:rtl/>
              </w:rPr>
              <w:t>ה</w:t>
            </w:r>
            <w:r w:rsidRPr="0075591B">
              <w:rPr>
                <w:rFonts w:ascii="Arial" w:hAnsi="Arial"/>
                <w:b/>
                <w:bCs/>
                <w:sz w:val="26"/>
                <w:szCs w:val="26"/>
                <w:rtl/>
              </w:rPr>
              <w:t>מאשימה</w:t>
            </w:r>
          </w:p>
          <w:p w14:paraId="3BABF5A1" w14:textId="77777777" w:rsidR="00797200" w:rsidRPr="0075591B" w:rsidRDefault="00797200" w:rsidP="006017E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EFB042B" w14:textId="77777777" w:rsidR="00797200" w:rsidRPr="0075591B" w:rsidRDefault="00797200" w:rsidP="00797200">
            <w:pPr>
              <w:suppressLineNumbers/>
              <w:rPr>
                <w:rFonts w:ascii="Arial" w:hAnsi="Arial"/>
                <w:b/>
                <w:bCs/>
                <w:sz w:val="26"/>
                <w:szCs w:val="26"/>
                <w:rtl/>
              </w:rPr>
            </w:pPr>
            <w:r w:rsidRPr="0075591B">
              <w:rPr>
                <w:rFonts w:ascii="Arial" w:hAnsi="Arial"/>
                <w:b/>
                <w:bCs/>
                <w:sz w:val="26"/>
                <w:szCs w:val="26"/>
                <w:rtl/>
              </w:rPr>
              <w:t>מדינת ישראל</w:t>
            </w:r>
          </w:p>
          <w:p w14:paraId="0EDBC7EE" w14:textId="77777777" w:rsidR="00797200" w:rsidRPr="0075591B" w:rsidRDefault="00797200" w:rsidP="00797200">
            <w:pPr>
              <w:suppressLineNumbers/>
            </w:pPr>
            <w:r w:rsidRPr="0075591B">
              <w:rPr>
                <w:rFonts w:ascii="Arial" w:hAnsi="Arial"/>
                <w:b/>
                <w:bCs/>
                <w:sz w:val="26"/>
                <w:szCs w:val="26"/>
                <w:rtl/>
              </w:rPr>
              <w:t>ע"י ב"כ עוה"</w:t>
            </w:r>
            <w:r w:rsidRPr="0075591B">
              <w:rPr>
                <w:rFonts w:ascii="Arial" w:hAnsi="Arial" w:hint="cs"/>
                <w:b/>
                <w:bCs/>
                <w:sz w:val="26"/>
                <w:szCs w:val="26"/>
                <w:rtl/>
              </w:rPr>
              <w:t>ד עדי יזרעאלי</w:t>
            </w:r>
          </w:p>
          <w:p w14:paraId="2091B4ED" w14:textId="77777777" w:rsidR="00797200" w:rsidRPr="0075591B" w:rsidRDefault="00797200" w:rsidP="006017E1">
            <w:pPr>
              <w:rPr>
                <w:rFonts w:ascii="David" w:hAnsi="David"/>
                <w:sz w:val="26"/>
                <w:szCs w:val="26"/>
              </w:rPr>
            </w:pPr>
          </w:p>
        </w:tc>
      </w:tr>
      <w:bookmarkEnd w:id="0"/>
      <w:bookmarkEnd w:id="1"/>
      <w:tr w:rsidR="00797200" w:rsidRPr="0075591B" w14:paraId="7F4F6C38" w14:textId="77777777" w:rsidTr="001E68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FD8FD2" w14:textId="77777777" w:rsidR="00797200" w:rsidRPr="0075591B" w:rsidRDefault="00797200" w:rsidP="0079720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28328BB" w14:textId="77777777" w:rsidR="00797200" w:rsidRPr="0075591B" w:rsidRDefault="00797200" w:rsidP="00797200">
            <w:pPr>
              <w:jc w:val="center"/>
              <w:rPr>
                <w:rFonts w:ascii="David" w:hAnsi="David"/>
                <w:b/>
                <w:bCs/>
                <w:sz w:val="26"/>
                <w:szCs w:val="26"/>
                <w:rtl/>
              </w:rPr>
            </w:pPr>
            <w:r w:rsidRPr="0075591B">
              <w:rPr>
                <w:rFonts w:ascii="David" w:hAnsi="David"/>
                <w:b/>
                <w:bCs/>
                <w:sz w:val="26"/>
                <w:szCs w:val="26"/>
                <w:rtl/>
              </w:rPr>
              <w:t>נגד</w:t>
            </w:r>
          </w:p>
          <w:p w14:paraId="0CBE65AE" w14:textId="77777777" w:rsidR="00797200" w:rsidRPr="0075591B" w:rsidRDefault="00797200" w:rsidP="00797200">
            <w:pPr>
              <w:jc w:val="both"/>
              <w:rPr>
                <w:rFonts w:ascii="David" w:hAnsi="David"/>
                <w:sz w:val="26"/>
                <w:szCs w:val="26"/>
              </w:rPr>
            </w:pPr>
          </w:p>
        </w:tc>
      </w:tr>
      <w:tr w:rsidR="00797200" w:rsidRPr="0075591B" w14:paraId="117EB82C" w14:textId="77777777" w:rsidTr="001E68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F7A066" w14:textId="77777777" w:rsidR="00797200" w:rsidRPr="0075591B" w:rsidRDefault="00797200" w:rsidP="006017E1">
            <w:pPr>
              <w:rPr>
                <w:rFonts w:ascii="David" w:hAnsi="David"/>
                <w:sz w:val="26"/>
                <w:szCs w:val="26"/>
                <w:rtl/>
              </w:rPr>
            </w:pPr>
          </w:p>
        </w:tc>
        <w:tc>
          <w:tcPr>
            <w:tcW w:w="3219" w:type="dxa"/>
            <w:tcBorders>
              <w:top w:val="nil"/>
              <w:left w:val="nil"/>
              <w:bottom w:val="nil"/>
              <w:right w:val="nil"/>
            </w:tcBorders>
            <w:shd w:val="clear" w:color="auto" w:fill="auto"/>
          </w:tcPr>
          <w:p w14:paraId="4AD12CDD" w14:textId="77777777" w:rsidR="00797200" w:rsidRPr="0075591B" w:rsidRDefault="00797200" w:rsidP="006017E1">
            <w:pPr>
              <w:rPr>
                <w:rFonts w:ascii="Arial" w:hAnsi="Arial"/>
                <w:b/>
                <w:bCs/>
                <w:sz w:val="26"/>
                <w:szCs w:val="26"/>
                <w:rtl/>
              </w:rPr>
            </w:pPr>
            <w:r w:rsidRPr="0075591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5B302E2" w14:textId="77777777" w:rsidR="00797200" w:rsidRPr="0075591B" w:rsidRDefault="00797200" w:rsidP="00797200">
            <w:pPr>
              <w:suppressLineNumbers/>
              <w:rPr>
                <w:rFonts w:ascii="Arial" w:hAnsi="Arial"/>
                <w:b/>
                <w:bCs/>
                <w:sz w:val="26"/>
                <w:szCs w:val="26"/>
                <w:rtl/>
              </w:rPr>
            </w:pPr>
            <w:r w:rsidRPr="0075591B">
              <w:rPr>
                <w:rFonts w:ascii="Arial" w:hAnsi="Arial"/>
                <w:b/>
                <w:bCs/>
                <w:sz w:val="26"/>
                <w:szCs w:val="26"/>
                <w:rtl/>
              </w:rPr>
              <w:t>דוד שלו (עציר)</w:t>
            </w:r>
            <w:r w:rsidRPr="0075591B">
              <w:rPr>
                <w:rFonts w:ascii="Arial" w:hAnsi="Arial" w:hint="cs"/>
                <w:b/>
                <w:bCs/>
                <w:sz w:val="26"/>
                <w:szCs w:val="26"/>
                <w:rtl/>
              </w:rPr>
              <w:t xml:space="preserve"> </w:t>
            </w:r>
            <w:r w:rsidRPr="0075591B">
              <w:rPr>
                <w:rFonts w:ascii="Arial" w:hAnsi="Arial"/>
                <w:b/>
                <w:bCs/>
                <w:sz w:val="26"/>
                <w:szCs w:val="26"/>
                <w:rtl/>
              </w:rPr>
              <w:t>–</w:t>
            </w:r>
            <w:r w:rsidRPr="0075591B">
              <w:rPr>
                <w:rFonts w:ascii="Arial" w:hAnsi="Arial" w:hint="cs"/>
                <w:b/>
                <w:bCs/>
                <w:sz w:val="26"/>
                <w:szCs w:val="26"/>
                <w:rtl/>
              </w:rPr>
              <w:t xml:space="preserve"> הובא ע"י שב"ס</w:t>
            </w:r>
          </w:p>
          <w:p w14:paraId="4F8287D2" w14:textId="77777777" w:rsidR="00797200" w:rsidRPr="0075591B" w:rsidRDefault="00797200" w:rsidP="00797200">
            <w:pPr>
              <w:suppressLineNumbers/>
            </w:pPr>
            <w:r w:rsidRPr="0075591B">
              <w:rPr>
                <w:rFonts w:ascii="Arial" w:hAnsi="Arial"/>
                <w:b/>
                <w:bCs/>
                <w:sz w:val="26"/>
                <w:szCs w:val="26"/>
                <w:rtl/>
              </w:rPr>
              <w:t>ע"י ב"כ עוה"ד</w:t>
            </w:r>
            <w:r w:rsidRPr="0075591B">
              <w:rPr>
                <w:rFonts w:ascii="Arial" w:hAnsi="Arial" w:hint="cs"/>
                <w:b/>
                <w:bCs/>
                <w:sz w:val="26"/>
                <w:szCs w:val="26"/>
                <w:rtl/>
              </w:rPr>
              <w:t xml:space="preserve"> אפרת צרפתי</w:t>
            </w:r>
          </w:p>
          <w:p w14:paraId="5DA15675" w14:textId="77777777" w:rsidR="00797200" w:rsidRPr="0075591B" w:rsidRDefault="00797200" w:rsidP="006017E1">
            <w:pPr>
              <w:rPr>
                <w:rFonts w:ascii="David" w:hAnsi="David"/>
                <w:sz w:val="26"/>
                <w:szCs w:val="26"/>
              </w:rPr>
            </w:pPr>
          </w:p>
        </w:tc>
      </w:tr>
    </w:tbl>
    <w:p w14:paraId="456C3884" w14:textId="77777777" w:rsidR="0075591B" w:rsidRPr="0075591B" w:rsidRDefault="0075591B" w:rsidP="0075591B">
      <w:pPr>
        <w:spacing w:before="120" w:after="120" w:line="240" w:lineRule="exact"/>
        <w:ind w:left="283" w:hanging="283"/>
        <w:jc w:val="both"/>
        <w:rPr>
          <w:rFonts w:ascii="FrankRuehl" w:hAnsi="FrankRuehl" w:cs="FrankRuehl"/>
          <w:rtl/>
        </w:rPr>
      </w:pPr>
    </w:p>
    <w:p w14:paraId="63C0F332" w14:textId="77777777" w:rsidR="0075591B" w:rsidRPr="0075591B" w:rsidRDefault="0075591B" w:rsidP="0075591B">
      <w:pPr>
        <w:rPr>
          <w:rtl/>
        </w:rPr>
      </w:pPr>
    </w:p>
    <w:p w14:paraId="7C3EBDCC" w14:textId="77777777" w:rsidR="001E68BB" w:rsidRPr="001E68BB" w:rsidRDefault="001E68BB" w:rsidP="001E68BB">
      <w:pPr>
        <w:spacing w:before="120" w:after="120" w:line="240" w:lineRule="exact"/>
        <w:ind w:left="283" w:hanging="283"/>
        <w:jc w:val="both"/>
        <w:rPr>
          <w:rFonts w:ascii="FrankRuehl" w:hAnsi="FrankRuehl" w:cs="FrankRuehl"/>
          <w:rtl/>
        </w:rPr>
      </w:pPr>
      <w:bookmarkStart w:id="3" w:name="LawTable"/>
      <w:bookmarkEnd w:id="3"/>
    </w:p>
    <w:p w14:paraId="0E0425E3" w14:textId="77777777" w:rsidR="001E68BB" w:rsidRPr="001E68BB" w:rsidRDefault="001E68BB" w:rsidP="001E68BB">
      <w:pPr>
        <w:spacing w:before="120" w:after="120" w:line="240" w:lineRule="exact"/>
        <w:ind w:left="283" w:hanging="283"/>
        <w:jc w:val="both"/>
        <w:rPr>
          <w:rFonts w:ascii="FrankRuehl" w:hAnsi="FrankRuehl" w:cs="FrankRuehl"/>
          <w:rtl/>
        </w:rPr>
      </w:pPr>
      <w:r w:rsidRPr="001E68BB">
        <w:rPr>
          <w:rFonts w:ascii="FrankRuehl" w:hAnsi="FrankRuehl" w:cs="FrankRuehl"/>
          <w:rtl/>
        </w:rPr>
        <w:t xml:space="preserve">חקיקה שאוזכרה: </w:t>
      </w:r>
    </w:p>
    <w:p w14:paraId="502E22CC" w14:textId="77777777" w:rsidR="001E68BB" w:rsidRPr="001E68BB" w:rsidRDefault="001E68BB" w:rsidP="001E68BB">
      <w:pPr>
        <w:spacing w:before="120" w:after="120" w:line="240" w:lineRule="exact"/>
        <w:ind w:left="283" w:hanging="283"/>
        <w:jc w:val="both"/>
        <w:rPr>
          <w:rFonts w:ascii="FrankRuehl" w:hAnsi="FrankRuehl" w:cs="FrankRuehl"/>
          <w:color w:val="0000FF"/>
          <w:rtl/>
        </w:rPr>
      </w:pPr>
      <w:hyperlink r:id="rId7" w:history="1">
        <w:r w:rsidRPr="001E68BB">
          <w:rPr>
            <w:rStyle w:val="Hyperlink"/>
            <w:rFonts w:ascii="FrankRuehl" w:hAnsi="FrankRuehl" w:cs="FrankRuehl"/>
            <w:u w:val="none"/>
            <w:rtl/>
          </w:rPr>
          <w:t>פקודת הסמים המסוכנים [נוסח חדש], תשל"ג-1973</w:t>
        </w:r>
      </w:hyperlink>
      <w:r w:rsidRPr="001E68BB">
        <w:rPr>
          <w:rFonts w:ascii="FrankRuehl" w:hAnsi="FrankRuehl" w:cs="FrankRuehl"/>
          <w:color w:val="0000FF"/>
          <w:rtl/>
        </w:rPr>
        <w:t xml:space="preserve">: סע'  </w:t>
      </w:r>
      <w:hyperlink r:id="rId8" w:history="1">
        <w:r w:rsidRPr="001E68BB">
          <w:rPr>
            <w:rStyle w:val="Hyperlink"/>
            <w:rFonts w:ascii="FrankRuehl" w:hAnsi="FrankRuehl" w:cs="FrankRuehl"/>
            <w:u w:val="none"/>
          </w:rPr>
          <w:t>7.</w:t>
        </w:r>
        <w:r w:rsidRPr="001E68BB">
          <w:rPr>
            <w:rStyle w:val="Hyperlink"/>
            <w:rFonts w:ascii="FrankRuehl" w:hAnsi="FrankRuehl" w:cs="FrankRuehl"/>
            <w:u w:val="none"/>
            <w:rtl/>
          </w:rPr>
          <w:t>א</w:t>
        </w:r>
        <w:r w:rsidRPr="001E68BB">
          <w:rPr>
            <w:rStyle w:val="Hyperlink"/>
            <w:rFonts w:ascii="FrankRuehl" w:hAnsi="FrankRuehl" w:cs="FrankRuehl"/>
            <w:u w:val="none"/>
          </w:rPr>
          <w:t>.</w:t>
        </w:r>
      </w:hyperlink>
      <w:r w:rsidRPr="001E68BB">
        <w:rPr>
          <w:rFonts w:ascii="FrankRuehl" w:hAnsi="FrankRuehl" w:cs="FrankRuehl"/>
          <w:color w:val="0000FF"/>
          <w:rtl/>
        </w:rPr>
        <w:t xml:space="preserve">, </w:t>
      </w:r>
      <w:hyperlink r:id="rId9" w:history="1">
        <w:r w:rsidRPr="001E68BB">
          <w:rPr>
            <w:rStyle w:val="Hyperlink"/>
            <w:rFonts w:ascii="FrankRuehl" w:hAnsi="FrankRuehl" w:cs="FrankRuehl"/>
            <w:u w:val="none"/>
          </w:rPr>
          <w:t>7.</w:t>
        </w:r>
        <w:r w:rsidRPr="001E68BB">
          <w:rPr>
            <w:rStyle w:val="Hyperlink"/>
            <w:rFonts w:ascii="FrankRuehl" w:hAnsi="FrankRuehl" w:cs="FrankRuehl"/>
            <w:u w:val="none"/>
            <w:rtl/>
          </w:rPr>
          <w:t>ג</w:t>
        </w:r>
      </w:hyperlink>
      <w:r w:rsidRPr="001E68BB">
        <w:rPr>
          <w:rFonts w:ascii="FrankRuehl" w:hAnsi="FrankRuehl" w:cs="FrankRuehl"/>
          <w:color w:val="0000FF"/>
          <w:rtl/>
        </w:rPr>
        <w:t xml:space="preserve">, </w:t>
      </w:r>
      <w:hyperlink r:id="rId10" w:history="1">
        <w:r w:rsidRPr="001E68BB">
          <w:rPr>
            <w:rStyle w:val="Hyperlink"/>
            <w:rFonts w:ascii="FrankRuehl" w:hAnsi="FrankRuehl" w:cs="FrankRuehl"/>
            <w:u w:val="none"/>
          </w:rPr>
          <w:t>13</w:t>
        </w:r>
      </w:hyperlink>
      <w:r w:rsidRPr="001E68BB">
        <w:rPr>
          <w:rFonts w:ascii="FrankRuehl" w:hAnsi="FrankRuehl" w:cs="FrankRuehl"/>
          <w:color w:val="0000FF"/>
          <w:rtl/>
        </w:rPr>
        <w:t xml:space="preserve">, </w:t>
      </w:r>
      <w:hyperlink r:id="rId11" w:history="1">
        <w:r w:rsidRPr="001E68BB">
          <w:rPr>
            <w:rStyle w:val="Hyperlink"/>
            <w:rFonts w:ascii="FrankRuehl" w:hAnsi="FrankRuehl" w:cs="FrankRuehl"/>
            <w:u w:val="none"/>
          </w:rPr>
          <w:t>19</w:t>
        </w:r>
        <w:r w:rsidRPr="001E68BB">
          <w:rPr>
            <w:rStyle w:val="Hyperlink"/>
            <w:rFonts w:ascii="FrankRuehl" w:hAnsi="FrankRuehl" w:cs="FrankRuehl"/>
            <w:u w:val="none"/>
            <w:rtl/>
          </w:rPr>
          <w:t>א</w:t>
        </w:r>
      </w:hyperlink>
    </w:p>
    <w:p w14:paraId="14F9C1D5" w14:textId="77777777" w:rsidR="001E68BB" w:rsidRPr="001E68BB" w:rsidRDefault="001E68BB" w:rsidP="001E68BB">
      <w:pPr>
        <w:spacing w:before="120" w:after="120" w:line="240" w:lineRule="exact"/>
        <w:ind w:left="283" w:hanging="283"/>
        <w:jc w:val="both"/>
        <w:rPr>
          <w:rFonts w:ascii="FrankRuehl" w:hAnsi="FrankRuehl" w:cs="FrankRuehl"/>
          <w:color w:val="0000FF"/>
          <w:rtl/>
        </w:rPr>
      </w:pPr>
      <w:hyperlink r:id="rId12" w:history="1">
        <w:r w:rsidRPr="001E68BB">
          <w:rPr>
            <w:rStyle w:val="Hyperlink"/>
            <w:rFonts w:ascii="FrankRuehl" w:hAnsi="FrankRuehl" w:cs="FrankRuehl"/>
            <w:u w:val="none"/>
            <w:rtl/>
          </w:rPr>
          <w:t>פקודת התעבורה [נוסח חדש</w:t>
        </w:r>
        <w:r w:rsidRPr="001E68BB">
          <w:rPr>
            <w:rStyle w:val="Hyperlink"/>
            <w:rFonts w:ascii="FrankRuehl" w:hAnsi="FrankRuehl" w:cs="FrankRuehl"/>
            <w:u w:val="none"/>
          </w:rPr>
          <w:t>]</w:t>
        </w:r>
      </w:hyperlink>
      <w:r w:rsidRPr="001E68BB">
        <w:rPr>
          <w:rFonts w:ascii="FrankRuehl" w:hAnsi="FrankRuehl" w:cs="FrankRuehl"/>
          <w:color w:val="0000FF"/>
          <w:rtl/>
        </w:rPr>
        <w:t xml:space="preserve">: סע'  </w:t>
      </w:r>
      <w:hyperlink r:id="rId13" w:history="1">
        <w:r w:rsidRPr="001E68BB">
          <w:rPr>
            <w:rStyle w:val="Hyperlink"/>
            <w:rFonts w:ascii="FrankRuehl" w:hAnsi="FrankRuehl" w:cs="FrankRuehl"/>
            <w:u w:val="none"/>
          </w:rPr>
          <w:t>40</w:t>
        </w:r>
        <w:r w:rsidRPr="001E68BB">
          <w:rPr>
            <w:rStyle w:val="Hyperlink"/>
            <w:rFonts w:ascii="FrankRuehl" w:hAnsi="FrankRuehl" w:cs="FrankRuehl"/>
            <w:u w:val="none"/>
            <w:rtl/>
          </w:rPr>
          <w:t>א</w:t>
        </w:r>
      </w:hyperlink>
      <w:r w:rsidRPr="001E68BB">
        <w:rPr>
          <w:rFonts w:ascii="FrankRuehl" w:hAnsi="FrankRuehl" w:cs="FrankRuehl"/>
          <w:color w:val="0000FF"/>
          <w:rtl/>
        </w:rPr>
        <w:t xml:space="preserve">, </w:t>
      </w:r>
      <w:hyperlink r:id="rId14" w:history="1">
        <w:r w:rsidRPr="001E68BB">
          <w:rPr>
            <w:rStyle w:val="Hyperlink"/>
            <w:rFonts w:ascii="FrankRuehl" w:hAnsi="FrankRuehl" w:cs="FrankRuehl"/>
            <w:u w:val="none"/>
          </w:rPr>
          <w:t>40</w:t>
        </w:r>
        <w:r w:rsidRPr="001E68BB">
          <w:rPr>
            <w:rStyle w:val="Hyperlink"/>
            <w:rFonts w:ascii="FrankRuehl" w:hAnsi="FrankRuehl" w:cs="FrankRuehl"/>
            <w:u w:val="none"/>
            <w:rtl/>
          </w:rPr>
          <w:t>א</w:t>
        </w:r>
      </w:hyperlink>
      <w:r w:rsidRPr="001E68BB">
        <w:rPr>
          <w:rFonts w:ascii="FrankRuehl" w:hAnsi="FrankRuehl" w:cs="FrankRuehl"/>
          <w:color w:val="0000FF"/>
          <w:rtl/>
        </w:rPr>
        <w:t xml:space="preserve">(א)(1), </w:t>
      </w:r>
      <w:hyperlink r:id="rId15" w:history="1">
        <w:r w:rsidRPr="001E68BB">
          <w:rPr>
            <w:rStyle w:val="Hyperlink"/>
            <w:rFonts w:ascii="FrankRuehl" w:hAnsi="FrankRuehl" w:cs="FrankRuehl"/>
            <w:u w:val="none"/>
          </w:rPr>
          <w:t>66</w:t>
        </w:r>
      </w:hyperlink>
      <w:r w:rsidRPr="001E68BB">
        <w:rPr>
          <w:rFonts w:ascii="FrankRuehl" w:hAnsi="FrankRuehl" w:cs="FrankRuehl"/>
          <w:color w:val="0000FF"/>
          <w:rtl/>
        </w:rPr>
        <w:t xml:space="preserve">, </w:t>
      </w:r>
      <w:hyperlink r:id="rId16" w:history="1">
        <w:r w:rsidRPr="001E68BB">
          <w:rPr>
            <w:rStyle w:val="Hyperlink"/>
            <w:rFonts w:ascii="FrankRuehl" w:hAnsi="FrankRuehl" w:cs="FrankRuehl"/>
            <w:u w:val="none"/>
          </w:rPr>
          <w:t>67</w:t>
        </w:r>
      </w:hyperlink>
    </w:p>
    <w:p w14:paraId="4C8DB410" w14:textId="77777777" w:rsidR="001E68BB" w:rsidRPr="001E68BB" w:rsidRDefault="001E68BB" w:rsidP="001E68BB">
      <w:pPr>
        <w:spacing w:before="120" w:after="120" w:line="240" w:lineRule="exact"/>
        <w:ind w:left="283" w:hanging="283"/>
        <w:jc w:val="both"/>
        <w:rPr>
          <w:rFonts w:ascii="FrankRuehl" w:hAnsi="FrankRuehl" w:cs="FrankRuehl"/>
          <w:color w:val="0000FF"/>
          <w:rtl/>
        </w:rPr>
      </w:pPr>
      <w:hyperlink r:id="rId17" w:history="1">
        <w:r w:rsidRPr="001E68BB">
          <w:rPr>
            <w:rStyle w:val="Hyperlink"/>
            <w:rFonts w:ascii="FrankRuehl" w:hAnsi="FrankRuehl" w:cs="FrankRuehl"/>
            <w:u w:val="none"/>
            <w:rtl/>
          </w:rPr>
          <w:t>חוק העונשין, תשל"ז-1977</w:t>
        </w:r>
      </w:hyperlink>
    </w:p>
    <w:p w14:paraId="73419FAD" w14:textId="77777777" w:rsidR="0075591B" w:rsidRPr="001E68BB" w:rsidRDefault="0075591B" w:rsidP="001E68BB">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97200" w14:paraId="662B2AFC" w14:textId="77777777" w:rsidTr="00797200">
        <w:trPr>
          <w:trHeight w:val="355"/>
          <w:jc w:val="center"/>
        </w:trPr>
        <w:tc>
          <w:tcPr>
            <w:tcW w:w="8820" w:type="dxa"/>
            <w:tcBorders>
              <w:top w:val="nil"/>
              <w:left w:val="nil"/>
              <w:bottom w:val="nil"/>
              <w:right w:val="nil"/>
            </w:tcBorders>
            <w:shd w:val="clear" w:color="auto" w:fill="auto"/>
          </w:tcPr>
          <w:p w14:paraId="3797B632" w14:textId="77777777" w:rsidR="0075591B" w:rsidRPr="0075591B" w:rsidRDefault="0075591B" w:rsidP="0075591B">
            <w:pPr>
              <w:jc w:val="center"/>
              <w:rPr>
                <w:rFonts w:ascii="David" w:hAnsi="David"/>
                <w:b/>
                <w:bCs/>
                <w:sz w:val="32"/>
                <w:szCs w:val="32"/>
                <w:u w:val="single"/>
                <w:rtl/>
              </w:rPr>
            </w:pPr>
            <w:bookmarkStart w:id="5" w:name="PsakDin" w:colFirst="0" w:colLast="0"/>
            <w:r w:rsidRPr="0075591B">
              <w:rPr>
                <w:rFonts w:ascii="David" w:hAnsi="David"/>
                <w:b/>
                <w:bCs/>
                <w:sz w:val="32"/>
                <w:szCs w:val="32"/>
                <w:u w:val="single"/>
                <w:rtl/>
              </w:rPr>
              <w:t>גזר דין</w:t>
            </w:r>
          </w:p>
          <w:p w14:paraId="523569DD" w14:textId="77777777" w:rsidR="00797200" w:rsidRPr="0075591B" w:rsidRDefault="00797200" w:rsidP="0075591B">
            <w:pPr>
              <w:jc w:val="center"/>
              <w:rPr>
                <w:rFonts w:ascii="David" w:hAnsi="David"/>
                <w:bCs/>
                <w:sz w:val="32"/>
                <w:szCs w:val="32"/>
                <w:u w:val="single"/>
                <w:rtl/>
              </w:rPr>
            </w:pPr>
          </w:p>
        </w:tc>
      </w:tr>
    </w:tbl>
    <w:bookmarkEnd w:id="5"/>
    <w:p w14:paraId="211CEE60" w14:textId="77777777" w:rsidR="00797200" w:rsidRDefault="0075591B" w:rsidP="00797200">
      <w:pPr>
        <w:spacing w:after="240" w:line="360" w:lineRule="atLeast"/>
        <w:ind w:left="567" w:hanging="567"/>
        <w:jc w:val="both"/>
        <w:rPr>
          <w:rFonts w:ascii="David" w:hAnsi="David"/>
          <w:color w:val="000000"/>
        </w:rPr>
      </w:pPr>
      <w:r>
        <w:rPr>
          <w:rFonts w:ascii="David" w:hAnsi="David"/>
          <w:color w:val="000000"/>
          <w:rtl/>
        </w:rPr>
        <w:t xml:space="preserve"> </w:t>
      </w:r>
    </w:p>
    <w:p w14:paraId="6DF190C5" w14:textId="77777777" w:rsidR="00797200" w:rsidRDefault="00797200" w:rsidP="00797200">
      <w:pPr>
        <w:pStyle w:val="a9"/>
        <w:numPr>
          <w:ilvl w:val="0"/>
          <w:numId w:val="1"/>
        </w:numPr>
        <w:bidi/>
        <w:spacing w:after="240" w:line="360" w:lineRule="atLeast"/>
        <w:jc w:val="both"/>
        <w:rPr>
          <w:rFonts w:ascii="David" w:hAnsi="David" w:cs="David"/>
          <w:color w:val="000000"/>
        </w:rPr>
      </w:pPr>
      <w:bookmarkStart w:id="6" w:name="ABSTRACT_START"/>
      <w:bookmarkEnd w:id="6"/>
      <w:r>
        <w:rPr>
          <w:rFonts w:ascii="David" w:hAnsi="David" w:cs="David"/>
          <w:color w:val="000000"/>
          <w:rtl/>
        </w:rPr>
        <w:t xml:space="preserve">הנאשם הורשע על פי הודאתו במסגרת הסדר טיעון בעבירות הבאות: שתי עבירות של </w:t>
      </w:r>
      <w:r>
        <w:rPr>
          <w:rFonts w:ascii="David" w:hAnsi="David" w:cs="David"/>
          <w:b/>
          <w:bCs/>
          <w:color w:val="000000"/>
          <w:rtl/>
        </w:rPr>
        <w:t>סחר בסמים</w:t>
      </w:r>
      <w:r>
        <w:rPr>
          <w:rFonts w:ascii="David" w:hAnsi="David" w:cs="David"/>
          <w:color w:val="000000"/>
          <w:rtl/>
        </w:rPr>
        <w:t xml:space="preserve">, לפי </w:t>
      </w:r>
      <w:hyperlink r:id="rId18" w:history="1">
        <w:r w:rsidR="001E68BB" w:rsidRPr="001E68BB">
          <w:rPr>
            <w:rStyle w:val="Hyperlink"/>
            <w:rFonts w:ascii="David" w:hAnsi="David" w:cs="David"/>
            <w:color w:val="0000FF"/>
            <w:rtl/>
          </w:rPr>
          <w:t>סעיף 13</w:t>
        </w:r>
      </w:hyperlink>
      <w:r>
        <w:rPr>
          <w:rFonts w:ascii="David" w:hAnsi="David" w:cs="David"/>
          <w:color w:val="000000"/>
          <w:rtl/>
        </w:rPr>
        <w:t xml:space="preserve"> + </w:t>
      </w:r>
      <w:hyperlink r:id="rId19" w:history="1">
        <w:r w:rsidR="001E68BB" w:rsidRPr="001E68BB">
          <w:rPr>
            <w:rStyle w:val="Hyperlink"/>
            <w:rFonts w:ascii="David" w:hAnsi="David" w:cs="David"/>
            <w:color w:val="0000FF"/>
            <w:rtl/>
          </w:rPr>
          <w:t>19א</w:t>
        </w:r>
      </w:hyperlink>
      <w:r>
        <w:rPr>
          <w:rFonts w:ascii="David" w:hAnsi="David" w:cs="David"/>
          <w:color w:val="000000"/>
          <w:rtl/>
        </w:rPr>
        <w:t xml:space="preserve"> ל</w:t>
      </w:r>
      <w:hyperlink r:id="rId20" w:history="1">
        <w:r w:rsidR="0075591B" w:rsidRPr="0075591B">
          <w:rPr>
            <w:rFonts w:ascii="David" w:hAnsi="David" w:cs="David"/>
            <w:color w:val="0000FF"/>
            <w:u w:val="single"/>
            <w:rtl/>
          </w:rPr>
          <w:t>פקודת הסמים המסוכנים</w:t>
        </w:r>
      </w:hyperlink>
      <w:r>
        <w:rPr>
          <w:rFonts w:ascii="David" w:hAnsi="David" w:cs="David"/>
          <w:color w:val="000000"/>
          <w:rtl/>
        </w:rPr>
        <w:t xml:space="preserve"> [נוסח חדש] תשל"ג –1973 (להלן: "פקודת הסמים"), </w:t>
      </w:r>
      <w:r>
        <w:rPr>
          <w:rFonts w:ascii="David" w:hAnsi="David" w:cs="David"/>
          <w:b/>
          <w:bCs/>
          <w:color w:val="000000"/>
          <w:rtl/>
        </w:rPr>
        <w:t>החזקת סם מסוכן שלא לצריכה עצמית</w:t>
      </w:r>
      <w:r>
        <w:rPr>
          <w:rFonts w:ascii="David" w:hAnsi="David" w:cs="David"/>
          <w:color w:val="000000"/>
          <w:rtl/>
        </w:rPr>
        <w:t xml:space="preserve">, לפי </w:t>
      </w:r>
      <w:hyperlink r:id="rId21" w:history="1">
        <w:r w:rsidR="001E68BB" w:rsidRPr="001E68BB">
          <w:rPr>
            <w:rStyle w:val="Hyperlink"/>
            <w:rFonts w:ascii="David" w:hAnsi="David" w:cs="David"/>
            <w:color w:val="0000FF"/>
            <w:rtl/>
          </w:rPr>
          <w:t>סעיף 7(א)+(ג)</w:t>
        </w:r>
      </w:hyperlink>
      <w:r>
        <w:rPr>
          <w:rFonts w:ascii="David" w:hAnsi="David" w:cs="David"/>
          <w:color w:val="000000"/>
          <w:rtl/>
        </w:rPr>
        <w:t xml:space="preserve"> רישא לפקודת הסמים </w:t>
      </w:r>
      <w:r>
        <w:rPr>
          <w:rFonts w:ascii="David" w:hAnsi="David" w:cs="David"/>
          <w:b/>
          <w:bCs/>
          <w:color w:val="000000"/>
          <w:rtl/>
        </w:rPr>
        <w:t>ונהיגה בזמן פסילה</w:t>
      </w:r>
      <w:r>
        <w:rPr>
          <w:rFonts w:ascii="David" w:hAnsi="David" w:cs="David"/>
          <w:color w:val="000000"/>
          <w:rtl/>
        </w:rPr>
        <w:t xml:space="preserve">, עבירה על </w:t>
      </w:r>
      <w:hyperlink r:id="rId22" w:history="1">
        <w:r w:rsidR="001E68BB" w:rsidRPr="001E68BB">
          <w:rPr>
            <w:rStyle w:val="Hyperlink"/>
            <w:rFonts w:ascii="David" w:hAnsi="David" w:cs="David"/>
            <w:color w:val="0000FF"/>
            <w:rtl/>
          </w:rPr>
          <w:t>סעיף 67</w:t>
        </w:r>
      </w:hyperlink>
      <w:r>
        <w:rPr>
          <w:rFonts w:ascii="David" w:hAnsi="David" w:cs="David"/>
          <w:color w:val="000000"/>
          <w:rtl/>
        </w:rPr>
        <w:t xml:space="preserve"> ל</w:t>
      </w:r>
      <w:hyperlink r:id="rId23" w:history="1">
        <w:r w:rsidR="0075591B" w:rsidRPr="0075591B">
          <w:rPr>
            <w:rFonts w:ascii="David" w:hAnsi="David" w:cs="David"/>
            <w:color w:val="0000FF"/>
            <w:u w:val="single"/>
            <w:rtl/>
          </w:rPr>
          <w:t>פקודת התעבורה</w:t>
        </w:r>
      </w:hyperlink>
      <w:r>
        <w:rPr>
          <w:rFonts w:ascii="David" w:hAnsi="David" w:cs="David"/>
          <w:color w:val="000000"/>
          <w:rtl/>
        </w:rPr>
        <w:t xml:space="preserve"> (נוסח חדש) תשכ"א – 1961 (להלן: "פקודת התעבורה"). </w:t>
      </w:r>
    </w:p>
    <w:p w14:paraId="674BC2BC" w14:textId="77777777" w:rsidR="00797200" w:rsidRDefault="00797200" w:rsidP="00797200">
      <w:pPr>
        <w:pStyle w:val="a9"/>
        <w:bidi/>
        <w:spacing w:after="240" w:line="360" w:lineRule="atLeast"/>
        <w:jc w:val="both"/>
        <w:rPr>
          <w:rFonts w:ascii="David" w:hAnsi="David" w:cs="David"/>
          <w:color w:val="000000"/>
          <w:rtl/>
        </w:rPr>
      </w:pPr>
    </w:p>
    <w:p w14:paraId="607A9929" w14:textId="77777777" w:rsidR="00797200" w:rsidRDefault="00797200" w:rsidP="00797200">
      <w:pPr>
        <w:pStyle w:val="a9"/>
        <w:numPr>
          <w:ilvl w:val="0"/>
          <w:numId w:val="1"/>
        </w:numPr>
        <w:bidi/>
        <w:spacing w:after="240" w:line="360" w:lineRule="atLeast"/>
        <w:jc w:val="both"/>
        <w:rPr>
          <w:rFonts w:ascii="David" w:hAnsi="David" w:cs="David"/>
          <w:color w:val="000000"/>
        </w:rPr>
      </w:pPr>
      <w:bookmarkStart w:id="7" w:name="ABSTRACT_END"/>
      <w:bookmarkEnd w:id="7"/>
      <w:r>
        <w:rPr>
          <w:rFonts w:ascii="David" w:hAnsi="David" w:cs="David" w:hint="cs"/>
          <w:color w:val="000000"/>
          <w:rtl/>
        </w:rPr>
        <w:t>על פי עובדות כתב האישום המתוקן, בתאריך 7.2.21 בבית משפט השלום לתעבורה באשדוד נפסל הנאשם מלקבל או להחזיק רישיון נהיגה לתקופה של 7 שנים. בתאריך 7.2.24 בסמוך לשעה 17:55 ביציאה ממושב תפרח נהג הנאשם ברכב מסוג "סוזוקי". באותן הנסיבות, החזיק הנאשם ברכב בסמים מסוכנים כמפורט להלן:</w:t>
      </w:r>
    </w:p>
    <w:p w14:paraId="5A52A531" w14:textId="77777777" w:rsidR="00797200" w:rsidRPr="00844290" w:rsidRDefault="00797200" w:rsidP="00797200">
      <w:pPr>
        <w:pStyle w:val="a9"/>
        <w:rPr>
          <w:rFonts w:ascii="David" w:hAnsi="David" w:cs="David"/>
          <w:color w:val="000000"/>
          <w:rtl/>
        </w:rPr>
      </w:pPr>
    </w:p>
    <w:p w14:paraId="2F9826D6"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בשק טרמי במושב האחורי מאחורי מושב הנהג החזיק הנאשם בסם מסוכן מסוג קנבוס במשקל כולל של 556 גרם נטו מחולקים לשקיות שונות.</w:t>
      </w:r>
    </w:p>
    <w:p w14:paraId="7B16B801"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lastRenderedPageBreak/>
        <w:t>ב-10 יחידות של סם מסוכן מסוג חשיש במשקל כולל של 51 גרם נטו.</w:t>
      </w:r>
    </w:p>
    <w:p w14:paraId="319DFD85"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ב- 5 יחידות של סם מסוכן מסוג דלתא 9.</w:t>
      </w:r>
    </w:p>
    <w:p w14:paraId="1513943C"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בשני בקבוקונים המכיל נוזל של סם מסוכן מסוג דלתא 9 בנפח של 19 מ"ל.</w:t>
      </w:r>
    </w:p>
    <w:p w14:paraId="2B2A8F20" w14:textId="77777777" w:rsidR="00797200" w:rsidRDefault="00797200" w:rsidP="00797200">
      <w:pPr>
        <w:pStyle w:val="a9"/>
        <w:bidi/>
        <w:spacing w:after="240" w:line="360" w:lineRule="atLeast"/>
        <w:jc w:val="both"/>
        <w:rPr>
          <w:rFonts w:ascii="David" w:hAnsi="David" w:cs="David"/>
          <w:color w:val="000000"/>
          <w:rtl/>
        </w:rPr>
      </w:pPr>
    </w:p>
    <w:p w14:paraId="1AC1837D"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בתיק אדום ברכב שהונח ליד ידית ההילוכים, החזיק הנאשם ב- 5 קופסאות של סם מסוכן מסוג קנבוס במשקל 51 גרם נטו.</w:t>
      </w:r>
    </w:p>
    <w:p w14:paraId="0CDE031E" w14:textId="77777777" w:rsidR="00797200" w:rsidRDefault="00797200" w:rsidP="00797200">
      <w:pPr>
        <w:pStyle w:val="a9"/>
        <w:bidi/>
        <w:spacing w:after="240" w:line="360" w:lineRule="atLeast"/>
        <w:jc w:val="both"/>
        <w:rPr>
          <w:rFonts w:ascii="David" w:hAnsi="David" w:cs="David"/>
          <w:color w:val="000000"/>
          <w:rtl/>
        </w:rPr>
      </w:pPr>
    </w:p>
    <w:p w14:paraId="3C2A4BEC"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 xml:space="preserve">בין המושבים הקדמיים ברכב החזיק הנאשם קופסא ובה 35 יחידות של סם מסוכן מסוג בופרנורפין. </w:t>
      </w:r>
    </w:p>
    <w:p w14:paraId="3DAF7526"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 xml:space="preserve">בכוס חד פעמית ליד ידית ההילוכים החזיק הנאשם ב- 12 סיגריות אלקטרוניות שהכילו סם סינטטי מסוג </w:t>
      </w:r>
      <w:r>
        <w:rPr>
          <w:rFonts w:ascii="David" w:hAnsi="David" w:cs="David" w:hint="cs"/>
          <w:color w:val="000000"/>
        </w:rPr>
        <w:t>BU</w:t>
      </w:r>
      <w:r>
        <w:rPr>
          <w:rFonts w:ascii="David" w:hAnsi="David" w:cs="David"/>
          <w:color w:val="000000"/>
        </w:rPr>
        <w:t>TIMNACA</w:t>
      </w:r>
      <w:r>
        <w:rPr>
          <w:rFonts w:ascii="David" w:hAnsi="David" w:cs="David" w:hint="cs"/>
          <w:color w:val="000000"/>
        </w:rPr>
        <w:t xml:space="preserve"> </w:t>
      </w:r>
      <w:r>
        <w:rPr>
          <w:rFonts w:ascii="David" w:hAnsi="David" w:cs="David" w:hint="cs"/>
          <w:color w:val="000000"/>
          <w:rtl/>
        </w:rPr>
        <w:t>-</w:t>
      </w:r>
      <w:r w:rsidRPr="00D43486">
        <w:rPr>
          <w:rFonts w:ascii="David" w:hAnsi="David" w:cs="David" w:hint="cs"/>
          <w:color w:val="000000"/>
        </w:rPr>
        <w:t xml:space="preserve"> </w:t>
      </w:r>
      <w:r>
        <w:rPr>
          <w:rFonts w:ascii="David" w:hAnsi="David" w:cs="David" w:hint="cs"/>
          <w:color w:val="000000"/>
        </w:rPr>
        <w:t>ADB</w:t>
      </w:r>
      <w:r>
        <w:rPr>
          <w:rFonts w:ascii="David" w:hAnsi="David" w:cs="David" w:hint="cs"/>
          <w:color w:val="000000"/>
          <w:rtl/>
        </w:rPr>
        <w:t>.</w:t>
      </w:r>
    </w:p>
    <w:p w14:paraId="0F2E1989" w14:textId="77777777" w:rsidR="00797200" w:rsidRDefault="00797200" w:rsidP="00797200">
      <w:pPr>
        <w:pStyle w:val="a9"/>
        <w:bidi/>
        <w:spacing w:after="240" w:line="360" w:lineRule="atLeast"/>
        <w:jc w:val="both"/>
        <w:rPr>
          <w:rFonts w:ascii="David" w:hAnsi="David" w:cs="David"/>
          <w:color w:val="000000"/>
          <w:rtl/>
        </w:rPr>
      </w:pPr>
    </w:p>
    <w:p w14:paraId="7696515E"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במועד שאינו ידוע למאשימה בין התאריכים 28-30.1.24 בסמוך לשעה 18:00 באשדוד העביר הנאשם לאלכסנדר סם מסוג קנבוס במשקל 10 גרם בתמורה לסך של 150 ₪ במזומן.</w:t>
      </w:r>
    </w:p>
    <w:p w14:paraId="7FBC709D" w14:textId="77777777" w:rsidR="00797200" w:rsidRDefault="00797200" w:rsidP="00797200">
      <w:pPr>
        <w:pStyle w:val="a9"/>
        <w:bidi/>
        <w:spacing w:after="240" w:line="360" w:lineRule="atLeast"/>
        <w:jc w:val="both"/>
        <w:rPr>
          <w:rFonts w:ascii="David" w:hAnsi="David" w:cs="David"/>
          <w:color w:val="000000"/>
          <w:rtl/>
        </w:rPr>
      </w:pPr>
    </w:p>
    <w:p w14:paraId="7B3945C5"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hint="cs"/>
          <w:color w:val="000000"/>
          <w:rtl/>
        </w:rPr>
        <w:t>במועד נוסף, כחודשיים עובר ליום 12.2.24 בשעות הערב באשדוד מכר הנאשם לאלכסנדר סם מסוג קנבוס במשקל 10 גרם בתמורה לסך של 150 ₪ במזומן.</w:t>
      </w:r>
    </w:p>
    <w:p w14:paraId="5F3697D1" w14:textId="77777777" w:rsidR="00797200" w:rsidRPr="00844290" w:rsidRDefault="00797200" w:rsidP="00797200">
      <w:pPr>
        <w:pStyle w:val="a9"/>
        <w:rPr>
          <w:rFonts w:ascii="David" w:hAnsi="David" w:cs="David"/>
          <w:color w:val="000000"/>
          <w:rtl/>
        </w:rPr>
      </w:pPr>
    </w:p>
    <w:p w14:paraId="4C6B1381" w14:textId="77777777" w:rsidR="00797200" w:rsidRDefault="00797200" w:rsidP="00797200">
      <w:pPr>
        <w:pStyle w:val="a9"/>
        <w:numPr>
          <w:ilvl w:val="0"/>
          <w:numId w:val="1"/>
        </w:numPr>
        <w:bidi/>
        <w:spacing w:after="240" w:line="360" w:lineRule="atLeast"/>
        <w:jc w:val="both"/>
        <w:rPr>
          <w:rFonts w:ascii="David" w:hAnsi="David" w:cs="David"/>
          <w:color w:val="000000"/>
        </w:rPr>
      </w:pPr>
      <w:r>
        <w:rPr>
          <w:rFonts w:ascii="David" w:hAnsi="David" w:cs="David"/>
          <w:color w:val="000000"/>
          <w:rtl/>
        </w:rPr>
        <w:t xml:space="preserve">הצדדים הגיעו להסדר טיעון לגבי כלל רכיבי הענישה מלבד רכיב הפסילה בפועל, כאשר המאשימה ביקשה להפעיל בעניינו של הנאשם את </w:t>
      </w:r>
      <w:hyperlink r:id="rId24" w:history="1">
        <w:r w:rsidR="001E68BB" w:rsidRPr="001E68BB">
          <w:rPr>
            <w:rStyle w:val="Hyperlink"/>
            <w:rFonts w:ascii="David" w:hAnsi="David" w:cs="David"/>
            <w:color w:val="0000FF"/>
            <w:rtl/>
          </w:rPr>
          <w:t>סעיף 40א</w:t>
        </w:r>
      </w:hyperlink>
      <w:r>
        <w:rPr>
          <w:rFonts w:ascii="David" w:hAnsi="David" w:cs="David"/>
          <w:color w:val="000000"/>
          <w:rtl/>
        </w:rPr>
        <w:t xml:space="preserve"> ל</w:t>
      </w:r>
      <w:hyperlink r:id="rId25" w:history="1">
        <w:r w:rsidR="0075591B" w:rsidRPr="0075591B">
          <w:rPr>
            <w:rFonts w:ascii="David" w:hAnsi="David" w:cs="David"/>
            <w:color w:val="0000FF"/>
            <w:u w:val="single"/>
            <w:rtl/>
          </w:rPr>
          <w:t>פקודת התעבורה</w:t>
        </w:r>
      </w:hyperlink>
      <w:r>
        <w:rPr>
          <w:rFonts w:ascii="David" w:hAnsi="David" w:cs="David"/>
          <w:color w:val="000000"/>
          <w:rtl/>
        </w:rPr>
        <w:t xml:space="preserve"> ולהטיל על הנאשם פסילה בפועל של 10 שנים  וזאת מאחר ומדובר בפעם השלישית בה נותן הנאשם את הדין בגין עבירה של נהיגה בזמן פסילה וזאת בטרם חלפו 10 שנים ממועד הרשעתו בעבירה הראשונה של נהיגה בפסילה. נטען כי הנאשם מזלזל בהחלטות שיפוטיות פעם אחר פעם, ממשיך ומסכן חיי אדם בעודו מבצע עבירות של נהיגה בזמן פסילה ולכן קיימת חובה להפעיל </w:t>
      </w:r>
      <w:hyperlink r:id="rId26" w:history="1">
        <w:r w:rsidR="001E68BB" w:rsidRPr="001E68BB">
          <w:rPr>
            <w:rStyle w:val="Hyperlink"/>
            <w:rFonts w:ascii="David" w:hAnsi="David" w:cs="David"/>
            <w:color w:val="0000FF"/>
            <w:rtl/>
          </w:rPr>
          <w:t>סעיף 40א</w:t>
        </w:r>
      </w:hyperlink>
      <w:r>
        <w:rPr>
          <w:rFonts w:ascii="David" w:hAnsi="David" w:cs="David"/>
          <w:color w:val="000000"/>
          <w:rtl/>
        </w:rPr>
        <w:t xml:space="preserve"> ל</w:t>
      </w:r>
      <w:hyperlink r:id="rId27" w:history="1">
        <w:r w:rsidR="0075591B" w:rsidRPr="0075591B">
          <w:rPr>
            <w:rFonts w:ascii="David" w:hAnsi="David" w:cs="David"/>
            <w:color w:val="0000FF"/>
            <w:u w:val="single"/>
            <w:rtl/>
          </w:rPr>
          <w:t>פקודת התעבורה</w:t>
        </w:r>
      </w:hyperlink>
      <w:r>
        <w:rPr>
          <w:rFonts w:ascii="David" w:hAnsi="David" w:cs="David"/>
          <w:color w:val="000000"/>
          <w:rtl/>
        </w:rPr>
        <w:t xml:space="preserve">. המאשימה הפנתה לפסיקה ולפיה בהעדר נסיבות מיוחדות אין לסטות מהוראת החוק ויש להטיל עונש פסילה לתקופה של 10 שנים במצטבר לכל עונש אחר. </w:t>
      </w:r>
    </w:p>
    <w:p w14:paraId="42D808E4" w14:textId="77777777" w:rsidR="00797200" w:rsidRPr="00B166BB" w:rsidRDefault="00797200" w:rsidP="00797200">
      <w:pPr>
        <w:pStyle w:val="a9"/>
        <w:rPr>
          <w:rFonts w:ascii="David" w:hAnsi="David" w:cs="David"/>
          <w:color w:val="000000"/>
          <w:rtl/>
        </w:rPr>
      </w:pPr>
    </w:p>
    <w:p w14:paraId="74D9E22D" w14:textId="77777777" w:rsidR="00797200" w:rsidRDefault="00797200" w:rsidP="00797200">
      <w:pPr>
        <w:pStyle w:val="a9"/>
        <w:numPr>
          <w:ilvl w:val="0"/>
          <w:numId w:val="1"/>
        </w:numPr>
        <w:bidi/>
        <w:spacing w:after="240" w:line="360" w:lineRule="atLeast"/>
        <w:jc w:val="both"/>
        <w:rPr>
          <w:rFonts w:ascii="David" w:hAnsi="David" w:cs="David"/>
          <w:color w:val="000000"/>
        </w:rPr>
      </w:pPr>
      <w:r>
        <w:rPr>
          <w:rFonts w:ascii="David" w:hAnsi="David" w:cs="David"/>
          <w:color w:val="000000"/>
          <w:rtl/>
        </w:rPr>
        <w:t xml:space="preserve">מנגד נטען על ידי ב"כ הנאשם, כי הנאשם סבר לתומו שתקופת הפסילה הסתיימה, הנאשם למד  נהיגה באופן חוקי, עבר מבחן תיאוריה וכן טסט וקיבל לידו רישיון נהיגה כחוק. רשויות החוק לא מנעו מהנאשם לעשות כן. עוד נטען כי בעניינו מתקיימות נסיבות חריגות הואיל והנאשם כיום הינו בעל רישיון נהיגה כחוק ולפיכך אינו מהווה סכנה לציבור המשתמשים בדרך. הנאשם טעה בחישוב הפסילה כאשר טעות זו נגררת שעה שרשויות החוק לא התריעו בפניו אחרת. </w:t>
      </w:r>
    </w:p>
    <w:p w14:paraId="65C6BFE6" w14:textId="77777777" w:rsidR="00797200" w:rsidRPr="00B166BB" w:rsidRDefault="00797200" w:rsidP="00797200">
      <w:pPr>
        <w:pStyle w:val="a9"/>
        <w:rPr>
          <w:rFonts w:ascii="David" w:hAnsi="David" w:cs="David"/>
          <w:color w:val="000000"/>
          <w:rtl/>
        </w:rPr>
      </w:pPr>
    </w:p>
    <w:p w14:paraId="14BCB598" w14:textId="77777777" w:rsidR="00797200" w:rsidRDefault="00797200" w:rsidP="00797200">
      <w:pPr>
        <w:pStyle w:val="a9"/>
        <w:numPr>
          <w:ilvl w:val="0"/>
          <w:numId w:val="1"/>
        </w:numPr>
        <w:bidi/>
        <w:spacing w:after="240" w:line="360" w:lineRule="atLeast"/>
        <w:jc w:val="both"/>
        <w:rPr>
          <w:rFonts w:ascii="David" w:hAnsi="David" w:cs="David"/>
          <w:color w:val="000000"/>
        </w:rPr>
      </w:pPr>
      <w:r>
        <w:rPr>
          <w:rFonts w:ascii="David" w:hAnsi="David" w:cs="David"/>
          <w:color w:val="000000"/>
          <w:rtl/>
        </w:rPr>
        <w:lastRenderedPageBreak/>
        <w:t xml:space="preserve">המסגרת הנורמטיבית בענייננו קבועה </w:t>
      </w:r>
      <w:hyperlink r:id="rId28" w:history="1">
        <w:r w:rsidR="001E68BB" w:rsidRPr="001E68BB">
          <w:rPr>
            <w:rStyle w:val="Hyperlink"/>
            <w:rFonts w:ascii="David" w:hAnsi="David" w:cs="David"/>
            <w:color w:val="0000FF"/>
            <w:rtl/>
          </w:rPr>
          <w:t>בסעיף 40א(א)(1)</w:t>
        </w:r>
      </w:hyperlink>
      <w:r>
        <w:rPr>
          <w:rFonts w:ascii="David" w:hAnsi="David" w:cs="David"/>
          <w:color w:val="000000"/>
          <w:rtl/>
        </w:rPr>
        <w:t xml:space="preserve"> ל</w:t>
      </w:r>
      <w:hyperlink r:id="rId29" w:history="1">
        <w:r w:rsidR="0075591B" w:rsidRPr="0075591B">
          <w:rPr>
            <w:rFonts w:ascii="David" w:hAnsi="David" w:cs="David"/>
            <w:color w:val="0000FF"/>
            <w:u w:val="single"/>
            <w:rtl/>
          </w:rPr>
          <w:t>פקודת התעבורה</w:t>
        </w:r>
      </w:hyperlink>
      <w:r>
        <w:rPr>
          <w:rFonts w:ascii="David" w:hAnsi="David" w:cs="David"/>
          <w:color w:val="000000"/>
          <w:rtl/>
        </w:rPr>
        <w:t xml:space="preserve"> הקובע כדלקמן: </w:t>
      </w:r>
    </w:p>
    <w:p w14:paraId="268F564C" w14:textId="77777777" w:rsidR="00797200" w:rsidRDefault="00797200" w:rsidP="00797200">
      <w:pPr>
        <w:pStyle w:val="a9"/>
        <w:bidi/>
        <w:spacing w:after="240" w:line="360" w:lineRule="atLeast"/>
        <w:jc w:val="both"/>
        <w:rPr>
          <w:rFonts w:ascii="David" w:hAnsi="David" w:cs="David"/>
          <w:color w:val="000000"/>
        </w:rPr>
      </w:pPr>
    </w:p>
    <w:p w14:paraId="63EE5F6C" w14:textId="77777777" w:rsidR="00797200" w:rsidRDefault="00797200" w:rsidP="00797200">
      <w:pPr>
        <w:pStyle w:val="a9"/>
        <w:bidi/>
        <w:spacing w:after="240" w:line="360" w:lineRule="atLeast"/>
        <w:jc w:val="both"/>
        <w:rPr>
          <w:rFonts w:ascii="David" w:hAnsi="David" w:cs="David"/>
          <w:b/>
          <w:bCs/>
          <w:color w:val="000000"/>
          <w:rtl/>
        </w:rPr>
      </w:pPr>
      <w:r>
        <w:rPr>
          <w:rFonts w:ascii="David" w:hAnsi="David" w:cs="David"/>
          <w:b/>
          <w:bCs/>
          <w:color w:val="000000"/>
          <w:rtl/>
        </w:rPr>
        <w:t>"הורשע אדם על עבירה כאמור בסעיפים 62(3), 64, 64א, 65(א)(2) או (3) או 67, או על עבירה לפי סעיף 301ג ל</w:t>
      </w:r>
      <w:hyperlink r:id="rId30" w:history="1">
        <w:r w:rsidR="0075591B" w:rsidRPr="0075591B">
          <w:rPr>
            <w:rFonts w:ascii="David" w:hAnsi="David" w:cs="David"/>
            <w:b/>
            <w:bCs/>
            <w:color w:val="0000FF"/>
            <w:u w:val="single"/>
            <w:rtl/>
          </w:rPr>
          <w:t>חוק העונשין</w:t>
        </w:r>
      </w:hyperlink>
      <w:r>
        <w:rPr>
          <w:rFonts w:ascii="David" w:hAnsi="David" w:cs="David"/>
          <w:b/>
          <w:bCs/>
          <w:color w:val="000000"/>
          <w:rtl/>
        </w:rPr>
        <w:t>, התשל"ז-1977, תוך שימוש ברכב, ובעשר השנים שקדמו למועד ביצוע אותה עבירה כבר הורשע לפחות פעמיים על אחת מהעבירות האמורות, דינו – נוסף על כל עונש אחר – פסילה מקבל או מהחזיק רישיון נהיגה, לתקופה שלא תפחת מעשר שנים;".</w:t>
      </w:r>
    </w:p>
    <w:p w14:paraId="4ACFACD1" w14:textId="77777777" w:rsidR="00797200" w:rsidRDefault="00797200" w:rsidP="00797200">
      <w:pPr>
        <w:pStyle w:val="a9"/>
        <w:bidi/>
        <w:spacing w:after="240" w:line="360" w:lineRule="atLeast"/>
        <w:jc w:val="both"/>
        <w:rPr>
          <w:rFonts w:ascii="David" w:hAnsi="David" w:cs="David"/>
          <w:color w:val="000000"/>
          <w:rtl/>
        </w:rPr>
      </w:pPr>
      <w:r>
        <w:rPr>
          <w:rFonts w:ascii="David" w:hAnsi="David" w:cs="David"/>
          <w:color w:val="000000"/>
          <w:rtl/>
        </w:rPr>
        <w:t xml:space="preserve"> </w:t>
      </w:r>
    </w:p>
    <w:p w14:paraId="1C25AE10" w14:textId="77777777" w:rsidR="00797200" w:rsidRDefault="00797200" w:rsidP="00797200">
      <w:pPr>
        <w:pStyle w:val="a9"/>
        <w:numPr>
          <w:ilvl w:val="0"/>
          <w:numId w:val="1"/>
        </w:numPr>
        <w:bidi/>
        <w:spacing w:after="240" w:line="360" w:lineRule="atLeast"/>
        <w:ind w:left="567" w:hanging="567"/>
        <w:jc w:val="both"/>
        <w:rPr>
          <w:rFonts w:ascii="David" w:hAnsi="David" w:cs="David"/>
          <w:color w:val="000000"/>
        </w:rPr>
      </w:pPr>
      <w:r>
        <w:rPr>
          <w:rFonts w:ascii="David" w:hAnsi="David" w:cs="David"/>
          <w:color w:val="000000"/>
          <w:rtl/>
        </w:rPr>
        <w:t>בענייננו אין כל מחלוקת על כך שהנאשם הורשע לפחות פעמיים בעבירה של נהיגה בפסילה בתוך 10 שנים אחרונות וכן אין ספק כי העבירה של נהיגה בזמן פסילה הינה עבירה אשר מנויה באותו סעיף והיא נעברה בטרם חלפו 10 שנים ממועד הרשעתו בגזר הדין הקודם. אלא שטענת הנאשם היא כי מדובר ב"טעות" לגבי חישוב הפסילה משנת 2021 והתימוכין לטענה זו נעוץ בעובדה שהנאשם מחזיק ברישיון נהיגה כדין.</w:t>
      </w:r>
    </w:p>
    <w:p w14:paraId="6C935102" w14:textId="77777777" w:rsidR="00797200" w:rsidRDefault="00797200" w:rsidP="00797200">
      <w:pPr>
        <w:pStyle w:val="a9"/>
        <w:bidi/>
        <w:spacing w:after="240" w:line="360" w:lineRule="atLeast"/>
        <w:ind w:left="567"/>
        <w:jc w:val="both"/>
        <w:rPr>
          <w:rFonts w:ascii="David" w:hAnsi="David" w:cs="David"/>
          <w:color w:val="000000"/>
        </w:rPr>
      </w:pPr>
    </w:p>
    <w:p w14:paraId="6A97B894" w14:textId="77777777" w:rsidR="00797200" w:rsidRDefault="00797200" w:rsidP="00797200">
      <w:pPr>
        <w:pStyle w:val="a9"/>
        <w:numPr>
          <w:ilvl w:val="0"/>
          <w:numId w:val="1"/>
        </w:numPr>
        <w:bidi/>
        <w:spacing w:after="240" w:line="360" w:lineRule="atLeast"/>
        <w:ind w:left="567" w:hanging="567"/>
        <w:jc w:val="both"/>
        <w:rPr>
          <w:rFonts w:ascii="David" w:hAnsi="David" w:cs="David"/>
          <w:color w:val="000000"/>
        </w:rPr>
      </w:pPr>
      <w:r>
        <w:rPr>
          <w:rFonts w:ascii="David" w:hAnsi="David" w:cs="David"/>
          <w:color w:val="000000"/>
          <w:rtl/>
        </w:rPr>
        <w:t xml:space="preserve">לאחר ששקלתי את כלל השיקולים, מצאתי לקבל טענת המאשימה לפיה יש להחיל במקרה זה הוראות </w:t>
      </w:r>
      <w:hyperlink r:id="rId31" w:history="1">
        <w:r w:rsidR="001E68BB" w:rsidRPr="001E68BB">
          <w:rPr>
            <w:rStyle w:val="Hyperlink"/>
            <w:rFonts w:ascii="David" w:hAnsi="David" w:cs="David"/>
            <w:color w:val="0000FF"/>
            <w:rtl/>
          </w:rPr>
          <w:t>סעיף 40א</w:t>
        </w:r>
      </w:hyperlink>
      <w:r>
        <w:rPr>
          <w:rFonts w:ascii="David" w:hAnsi="David" w:cs="David"/>
          <w:color w:val="000000"/>
          <w:rtl/>
        </w:rPr>
        <w:t xml:space="preserve"> ל</w:t>
      </w:r>
      <w:hyperlink r:id="rId32" w:history="1">
        <w:r w:rsidR="0075591B" w:rsidRPr="0075591B">
          <w:rPr>
            <w:rFonts w:ascii="David" w:hAnsi="David" w:cs="David"/>
            <w:color w:val="0000FF"/>
            <w:u w:val="single"/>
            <w:rtl/>
          </w:rPr>
          <w:t>פקודת התעבורה</w:t>
        </w:r>
      </w:hyperlink>
      <w:r>
        <w:rPr>
          <w:rFonts w:ascii="David" w:hAnsi="David" w:cs="David"/>
          <w:color w:val="000000"/>
          <w:rtl/>
        </w:rPr>
        <w:t xml:space="preserve"> ולהטיל על הנאשם 10 שנות פסילה בפועל.  </w:t>
      </w:r>
    </w:p>
    <w:p w14:paraId="5990F389" w14:textId="77777777" w:rsidR="00797200" w:rsidRDefault="00797200" w:rsidP="00797200">
      <w:pPr>
        <w:pStyle w:val="a9"/>
        <w:rPr>
          <w:rFonts w:ascii="David" w:hAnsi="David" w:cs="David"/>
          <w:color w:val="000000"/>
        </w:rPr>
      </w:pPr>
    </w:p>
    <w:p w14:paraId="28DBAC95" w14:textId="77777777" w:rsidR="00797200" w:rsidRDefault="00797200" w:rsidP="00797200">
      <w:pPr>
        <w:pStyle w:val="a9"/>
        <w:numPr>
          <w:ilvl w:val="0"/>
          <w:numId w:val="1"/>
        </w:numPr>
        <w:bidi/>
        <w:spacing w:after="240" w:line="360" w:lineRule="atLeast"/>
        <w:ind w:left="567" w:hanging="567"/>
        <w:jc w:val="both"/>
        <w:rPr>
          <w:rFonts w:ascii="David" w:hAnsi="David" w:cs="David"/>
          <w:color w:val="000000"/>
          <w:rtl/>
        </w:rPr>
      </w:pPr>
      <w:r>
        <w:rPr>
          <w:rFonts w:ascii="David" w:hAnsi="David" w:cs="David"/>
          <w:color w:val="000000"/>
          <w:rtl/>
        </w:rPr>
        <w:t>ראשית, אין ספק כי הנאשם היה מודע לפסילה שהוטלה עליו לתקופה של 7 שנים במסגרת גזר הדין משנת 2021. אין בעובדה  לפיה הנאשם הצליח לקבל ולהחזיק ברישיון נהיגה כנסיבה מיוחד</w:t>
      </w:r>
      <w:r>
        <w:rPr>
          <w:rFonts w:ascii="David" w:hAnsi="David" w:cs="David" w:hint="cs"/>
          <w:color w:val="000000"/>
          <w:rtl/>
        </w:rPr>
        <w:t>ת</w:t>
      </w:r>
      <w:r>
        <w:rPr>
          <w:rFonts w:ascii="David" w:hAnsi="David" w:cs="David"/>
          <w:color w:val="000000"/>
          <w:rtl/>
        </w:rPr>
        <w:t xml:space="preserve"> המצדיקה חריגה מהוראות </w:t>
      </w:r>
      <w:hyperlink r:id="rId33" w:history="1">
        <w:r w:rsidR="001E68BB" w:rsidRPr="001E68BB">
          <w:rPr>
            <w:rStyle w:val="Hyperlink"/>
            <w:rFonts w:ascii="David" w:hAnsi="David" w:cs="David"/>
            <w:color w:val="0000FF"/>
            <w:rtl/>
          </w:rPr>
          <w:t>סעיף 40א</w:t>
        </w:r>
      </w:hyperlink>
      <w:r>
        <w:rPr>
          <w:rFonts w:ascii="David" w:hAnsi="David" w:cs="David"/>
          <w:color w:val="000000"/>
          <w:rtl/>
        </w:rPr>
        <w:t xml:space="preserve"> ל</w:t>
      </w:r>
      <w:hyperlink r:id="rId34" w:history="1">
        <w:r w:rsidR="0075591B" w:rsidRPr="0075591B">
          <w:rPr>
            <w:rFonts w:ascii="David" w:hAnsi="David" w:cs="David"/>
            <w:color w:val="0000FF"/>
            <w:u w:val="single"/>
            <w:rtl/>
          </w:rPr>
          <w:t>פקודת התעבורה</w:t>
        </w:r>
      </w:hyperlink>
      <w:r>
        <w:rPr>
          <w:rFonts w:ascii="David" w:hAnsi="David" w:cs="David"/>
          <w:color w:val="000000"/>
          <w:rtl/>
        </w:rPr>
        <w:t>. אדרבה, התנהלות זו עולה כדי עבירה פלילית  נוספת, אשר לפנים משורת הדין לא יוחסה לנאשם במקרה שלפני.</w:t>
      </w:r>
    </w:p>
    <w:p w14:paraId="0E78937E" w14:textId="77777777" w:rsidR="00797200" w:rsidRDefault="00797200" w:rsidP="00797200">
      <w:pPr>
        <w:pStyle w:val="a9"/>
        <w:rPr>
          <w:rFonts w:ascii="David" w:hAnsi="David" w:cs="David"/>
          <w:color w:val="000000"/>
        </w:rPr>
      </w:pPr>
    </w:p>
    <w:p w14:paraId="42BF0790" w14:textId="77777777" w:rsidR="00797200" w:rsidRDefault="001E68BB" w:rsidP="00797200">
      <w:pPr>
        <w:pStyle w:val="a9"/>
        <w:numPr>
          <w:ilvl w:val="0"/>
          <w:numId w:val="1"/>
        </w:numPr>
        <w:bidi/>
        <w:spacing w:after="240" w:line="360" w:lineRule="atLeast"/>
        <w:ind w:left="567" w:hanging="567"/>
        <w:jc w:val="both"/>
        <w:rPr>
          <w:rFonts w:ascii="David" w:hAnsi="David" w:cs="David"/>
          <w:color w:val="000000"/>
          <w:rtl/>
        </w:rPr>
      </w:pPr>
      <w:hyperlink r:id="rId35" w:history="1">
        <w:r w:rsidRPr="001E68BB">
          <w:rPr>
            <w:rStyle w:val="Hyperlink"/>
            <w:rFonts w:ascii="David" w:hAnsi="David" w:cs="David"/>
            <w:color w:val="0000FF"/>
            <w:rtl/>
          </w:rPr>
          <w:t>סעיף 66</w:t>
        </w:r>
      </w:hyperlink>
      <w:r w:rsidR="00797200">
        <w:rPr>
          <w:rFonts w:ascii="David" w:hAnsi="David" w:cs="David"/>
          <w:color w:val="000000"/>
          <w:rtl/>
        </w:rPr>
        <w:t xml:space="preserve"> ל</w:t>
      </w:r>
      <w:hyperlink r:id="rId36" w:history="1">
        <w:r w:rsidR="0075591B" w:rsidRPr="0075591B">
          <w:rPr>
            <w:rFonts w:ascii="David" w:hAnsi="David" w:cs="David"/>
            <w:color w:val="0000FF"/>
            <w:u w:val="single"/>
            <w:rtl/>
          </w:rPr>
          <w:t>פקודת התעבורה</w:t>
        </w:r>
      </w:hyperlink>
      <w:r w:rsidR="00797200">
        <w:rPr>
          <w:rFonts w:ascii="David" w:hAnsi="David" w:cs="David"/>
          <w:color w:val="000000"/>
          <w:rtl/>
        </w:rPr>
        <w:t xml:space="preserve"> מתייחס למקרים אלו בהם על אף קיומה של פסילה, מצליח הנאשם להוציא רישיון נהיגה, אולם המחוקק רואה בכך משום רמיה ויש בדבר זה משום עבירה פלילית נוספת. להלן </w:t>
      </w:r>
      <w:hyperlink r:id="rId37" w:history="1">
        <w:r w:rsidRPr="001E68BB">
          <w:rPr>
            <w:rStyle w:val="Hyperlink"/>
            <w:rFonts w:ascii="David" w:hAnsi="David" w:cs="David"/>
            <w:color w:val="0000FF"/>
            <w:rtl/>
          </w:rPr>
          <w:t>סעיף 66</w:t>
        </w:r>
      </w:hyperlink>
      <w:r w:rsidR="00797200">
        <w:rPr>
          <w:rFonts w:ascii="David" w:hAnsi="David" w:cs="David"/>
          <w:color w:val="000000"/>
          <w:rtl/>
        </w:rPr>
        <w:t xml:space="preserve"> ל</w:t>
      </w:r>
      <w:hyperlink r:id="rId38" w:history="1">
        <w:r w:rsidR="0075591B" w:rsidRPr="0075591B">
          <w:rPr>
            <w:rFonts w:ascii="David" w:hAnsi="David" w:cs="David"/>
            <w:color w:val="0000FF"/>
            <w:u w:val="single"/>
            <w:rtl/>
          </w:rPr>
          <w:t>פקודת התעבורה</w:t>
        </w:r>
      </w:hyperlink>
      <w:r w:rsidR="00797200">
        <w:rPr>
          <w:rFonts w:ascii="David" w:hAnsi="David" w:cs="David"/>
          <w:color w:val="000000"/>
          <w:rtl/>
        </w:rPr>
        <w:t>:</w:t>
      </w:r>
    </w:p>
    <w:p w14:paraId="35920165" w14:textId="77777777" w:rsidR="00797200" w:rsidRDefault="00797200" w:rsidP="00797200">
      <w:pPr>
        <w:pStyle w:val="a9"/>
        <w:rPr>
          <w:rFonts w:ascii="David" w:hAnsi="David" w:cs="David"/>
          <w:color w:val="000000"/>
        </w:rPr>
      </w:pPr>
    </w:p>
    <w:p w14:paraId="3D4C509D" w14:textId="77777777" w:rsidR="00797200" w:rsidRDefault="00797200" w:rsidP="00797200">
      <w:pPr>
        <w:spacing w:after="240" w:line="360" w:lineRule="atLeast"/>
        <w:ind w:left="567"/>
        <w:jc w:val="both"/>
        <w:rPr>
          <w:rFonts w:ascii="David" w:hAnsi="David"/>
          <w:b/>
          <w:bCs/>
          <w:color w:val="000000"/>
          <w:rtl/>
        </w:rPr>
      </w:pPr>
      <w:r>
        <w:rPr>
          <w:rFonts w:ascii="David" w:hAnsi="David"/>
          <w:b/>
          <w:bCs/>
          <w:color w:val="000000"/>
          <w:rtl/>
        </w:rPr>
        <w:t>"מי שנפסל מקבל או מהחזיק רישיון או שהותנו תנאים ברישיונו לפי פקודה זו, וכל עוד הפסילה או התנאים בתוקפם, הוא מגיש בקשה לקבלת רישיון או לחידושו או מקבל רישיון, ואינו מודיע על הפסילה או על התנאים לרשות הרישוי, דינו מאסר שלוש שנים... וכל רישיון שקיבל או שחודש כאמור – בטל".</w:t>
      </w:r>
    </w:p>
    <w:p w14:paraId="33BD7778" w14:textId="77777777" w:rsidR="00797200" w:rsidRDefault="00797200" w:rsidP="00797200">
      <w:pPr>
        <w:pStyle w:val="a9"/>
        <w:rPr>
          <w:rFonts w:ascii="David" w:hAnsi="David" w:cs="David"/>
          <w:color w:val="000000"/>
          <w:rtl/>
        </w:rPr>
      </w:pPr>
    </w:p>
    <w:p w14:paraId="069D07AC" w14:textId="77777777" w:rsidR="00797200" w:rsidRDefault="00797200" w:rsidP="00797200">
      <w:pPr>
        <w:pStyle w:val="a9"/>
        <w:numPr>
          <w:ilvl w:val="0"/>
          <w:numId w:val="1"/>
        </w:numPr>
        <w:bidi/>
        <w:spacing w:after="240" w:line="360" w:lineRule="atLeast"/>
        <w:jc w:val="both"/>
        <w:rPr>
          <w:rFonts w:ascii="David" w:hAnsi="David" w:cs="David"/>
          <w:color w:val="000000"/>
        </w:rPr>
      </w:pPr>
      <w:r>
        <w:rPr>
          <w:rFonts w:ascii="David" w:hAnsi="David" w:cs="David"/>
          <w:color w:val="000000"/>
          <w:rtl/>
        </w:rPr>
        <w:t xml:space="preserve">לאור האמור, אין בהוצאת רישיון הנהיגה כדי להוות נסיבה מיוחדת להימנע מהטלת עונש הפסילה בהתאם להוראת </w:t>
      </w:r>
      <w:hyperlink r:id="rId39" w:history="1">
        <w:r w:rsidR="001E68BB" w:rsidRPr="001E68BB">
          <w:rPr>
            <w:rStyle w:val="Hyperlink"/>
            <w:rFonts w:ascii="David" w:hAnsi="David" w:cs="David"/>
            <w:color w:val="0000FF"/>
            <w:rtl/>
          </w:rPr>
          <w:t>סעיף 40א</w:t>
        </w:r>
      </w:hyperlink>
      <w:r>
        <w:rPr>
          <w:rFonts w:ascii="David" w:hAnsi="David" w:cs="David"/>
          <w:color w:val="000000"/>
          <w:rtl/>
        </w:rPr>
        <w:t xml:space="preserve"> ל</w:t>
      </w:r>
      <w:hyperlink r:id="rId40" w:history="1">
        <w:r w:rsidR="0075591B" w:rsidRPr="0075591B">
          <w:rPr>
            <w:rFonts w:ascii="David" w:hAnsi="David" w:cs="David"/>
            <w:color w:val="0000FF"/>
            <w:u w:val="single"/>
            <w:rtl/>
          </w:rPr>
          <w:t>פקודת התעבורה</w:t>
        </w:r>
      </w:hyperlink>
      <w:r>
        <w:rPr>
          <w:rFonts w:ascii="David" w:hAnsi="David" w:cs="David"/>
          <w:color w:val="000000"/>
          <w:rtl/>
        </w:rPr>
        <w:t>.</w:t>
      </w:r>
    </w:p>
    <w:p w14:paraId="513BF320" w14:textId="77777777" w:rsidR="00797200" w:rsidRDefault="00797200" w:rsidP="00797200">
      <w:pPr>
        <w:pStyle w:val="a9"/>
        <w:bidi/>
        <w:spacing w:after="240" w:line="360" w:lineRule="atLeast"/>
        <w:jc w:val="both"/>
        <w:rPr>
          <w:rFonts w:ascii="David" w:hAnsi="David" w:cs="David"/>
          <w:color w:val="000000"/>
        </w:rPr>
      </w:pPr>
    </w:p>
    <w:p w14:paraId="03EB01D3" w14:textId="77777777" w:rsidR="00797200" w:rsidRDefault="00797200" w:rsidP="00797200">
      <w:pPr>
        <w:pStyle w:val="a9"/>
        <w:numPr>
          <w:ilvl w:val="0"/>
          <w:numId w:val="1"/>
        </w:numPr>
        <w:bidi/>
        <w:spacing w:after="240" w:line="360" w:lineRule="atLeast"/>
        <w:jc w:val="both"/>
        <w:rPr>
          <w:rFonts w:ascii="David" w:hAnsi="David" w:cs="David"/>
          <w:color w:val="000000"/>
        </w:rPr>
      </w:pPr>
      <w:r>
        <w:rPr>
          <w:rFonts w:ascii="David" w:hAnsi="David" w:cs="David"/>
          <w:color w:val="000000"/>
          <w:rtl/>
        </w:rPr>
        <w:t xml:space="preserve">זאת ועוד, בהתאם להוראת החוק, יכול בית המשפט להטיל עונש פסילה לתקופה קצרה מזו שקבע המחוקק והתנאי לכך הוא "...ובלבד ששוכנע כי אין בהמשך הנהיגה על ידי הנאשם משום סכנה לציבור". הרשעתו של הנאשם בכתב האישום המתוקן בתיק שבפני שעניינה נהיגה ברכב, שעה שברכב מצוי ארסנל של סמים, ממינים שונים, בצורות אריזה שונות ובכמויות לא מבוטלות, </w:t>
      </w:r>
      <w:r>
        <w:rPr>
          <w:rFonts w:ascii="David" w:hAnsi="David" w:cs="David" w:hint="cs"/>
          <w:color w:val="000000"/>
          <w:rtl/>
        </w:rPr>
        <w:t xml:space="preserve">והכל שעה שהסמים מקיפים את הנאשם מכל צדדיו כאשר הוא נוהג ברכב </w:t>
      </w:r>
      <w:r>
        <w:rPr>
          <w:rFonts w:ascii="David" w:hAnsi="David" w:cs="David"/>
          <w:color w:val="000000"/>
          <w:rtl/>
        </w:rPr>
        <w:t>אין בה כדי לשכנע כי לא טמונה בנהיגתו של הנאשם סכנה לציבור. דומני, כי במקרה זה נדרש להורות על פסילה לתקופה של 10 שנים בהתאם להוראות החוק ונוכח נסיבות ההרשעה ומעשי הנאשם.</w:t>
      </w:r>
    </w:p>
    <w:p w14:paraId="69B19E0B" w14:textId="77777777" w:rsidR="00797200" w:rsidRDefault="00797200" w:rsidP="00797200">
      <w:pPr>
        <w:pStyle w:val="a9"/>
        <w:rPr>
          <w:rFonts w:ascii="David" w:hAnsi="David" w:cs="David"/>
          <w:color w:val="000000"/>
        </w:rPr>
      </w:pPr>
    </w:p>
    <w:p w14:paraId="5E08F425" w14:textId="77777777" w:rsidR="00797200" w:rsidRDefault="00797200" w:rsidP="00797200">
      <w:pPr>
        <w:pStyle w:val="a9"/>
        <w:numPr>
          <w:ilvl w:val="0"/>
          <w:numId w:val="1"/>
        </w:numPr>
        <w:bidi/>
        <w:spacing w:after="240" w:line="360" w:lineRule="atLeast"/>
        <w:jc w:val="both"/>
        <w:rPr>
          <w:rFonts w:ascii="David" w:hAnsi="David" w:cs="David"/>
          <w:color w:val="000000"/>
          <w:rtl/>
        </w:rPr>
      </w:pPr>
      <w:r>
        <w:rPr>
          <w:rFonts w:ascii="David" w:hAnsi="David" w:cs="David"/>
          <w:color w:val="000000"/>
          <w:rtl/>
        </w:rPr>
        <w:t>למרות האמור ולאור הודייתו של הנאשם בכתב האישום המתוקן והחיסכון בזמן שיפוטי מצאתי לנכון להורות כי עונש הפסילה ירוצה בחופף לכל עונש פסילה אחר שהוטל על הנאשם.</w:t>
      </w:r>
    </w:p>
    <w:p w14:paraId="188B1BB7" w14:textId="77777777" w:rsidR="00797200" w:rsidRPr="00C0114D" w:rsidRDefault="00797200" w:rsidP="00797200">
      <w:pPr>
        <w:pStyle w:val="a9"/>
        <w:rPr>
          <w:rFonts w:ascii="David" w:hAnsi="David" w:cs="David"/>
          <w:color w:val="000000"/>
        </w:rPr>
      </w:pPr>
    </w:p>
    <w:p w14:paraId="2BB30104" w14:textId="77777777" w:rsidR="00797200" w:rsidRPr="00C0114D" w:rsidRDefault="00797200" w:rsidP="00797200">
      <w:pPr>
        <w:pStyle w:val="a9"/>
        <w:numPr>
          <w:ilvl w:val="0"/>
          <w:numId w:val="1"/>
        </w:numPr>
        <w:bidi/>
        <w:spacing w:after="240" w:line="360" w:lineRule="atLeast"/>
        <w:jc w:val="both"/>
        <w:rPr>
          <w:rFonts w:ascii="David" w:hAnsi="David" w:cs="David"/>
          <w:color w:val="000000"/>
        </w:rPr>
      </w:pPr>
      <w:r w:rsidRPr="00C0114D">
        <w:rPr>
          <w:rFonts w:ascii="David" w:hAnsi="David" w:cs="David" w:hint="cs"/>
          <w:color w:val="000000"/>
          <w:rtl/>
        </w:rPr>
        <w:t>לגבי יתר רכיבי הענישה בשים לב להסכמות הצדדים, הואיל והענישה מצויה בתוך מתחם העונש, לאור תיקון משמעותי של כתב האישום</w:t>
      </w:r>
      <w:r>
        <w:rPr>
          <w:rFonts w:ascii="David" w:hAnsi="David" w:cs="David" w:hint="cs"/>
          <w:color w:val="000000"/>
          <w:rtl/>
        </w:rPr>
        <w:t xml:space="preserve"> וכן נוכח קשיים ראייתיים שעמדו בבסיס התיקון וההודיה, מצאתי לנכון לכבד את ההסדר לגבי יתר רכיבי הענישה. </w:t>
      </w:r>
    </w:p>
    <w:p w14:paraId="0D3ABF83" w14:textId="77777777" w:rsidR="00797200" w:rsidRPr="00C0114D" w:rsidRDefault="00797200" w:rsidP="00797200">
      <w:pPr>
        <w:pStyle w:val="a9"/>
        <w:rPr>
          <w:rFonts w:ascii="David" w:hAnsi="David" w:cs="David"/>
          <w:b/>
          <w:bCs/>
          <w:color w:val="000000"/>
          <w:u w:val="single"/>
          <w:rtl/>
        </w:rPr>
      </w:pPr>
    </w:p>
    <w:p w14:paraId="21D1BBE4" w14:textId="77777777" w:rsidR="00797200" w:rsidRPr="00B166BB" w:rsidRDefault="00797200" w:rsidP="00797200">
      <w:pPr>
        <w:pStyle w:val="a9"/>
        <w:numPr>
          <w:ilvl w:val="0"/>
          <w:numId w:val="1"/>
        </w:numPr>
        <w:bidi/>
        <w:spacing w:after="240" w:line="360" w:lineRule="atLeast"/>
        <w:jc w:val="both"/>
        <w:rPr>
          <w:rFonts w:ascii="David" w:hAnsi="David" w:cs="David"/>
          <w:b/>
          <w:bCs/>
          <w:color w:val="000000"/>
          <w:u w:val="single"/>
          <w:rtl/>
        </w:rPr>
      </w:pPr>
      <w:r w:rsidRPr="00B166BB">
        <w:rPr>
          <w:rFonts w:ascii="David" w:hAnsi="David" w:cs="David"/>
          <w:b/>
          <w:bCs/>
          <w:color w:val="000000"/>
          <w:u w:val="single"/>
          <w:rtl/>
        </w:rPr>
        <w:t>אשר על כן, אני גוזר על הנאשם את העונשים הבאים:</w:t>
      </w:r>
    </w:p>
    <w:p w14:paraId="0621CF41" w14:textId="77777777" w:rsidR="00797200" w:rsidRPr="00B166BB" w:rsidRDefault="00797200" w:rsidP="00797200">
      <w:pPr>
        <w:pStyle w:val="a9"/>
        <w:rPr>
          <w:rFonts w:ascii="David" w:hAnsi="David" w:cs="David"/>
          <w:b/>
          <w:bCs/>
          <w:color w:val="000000"/>
          <w:u w:val="single"/>
        </w:rPr>
      </w:pPr>
    </w:p>
    <w:p w14:paraId="5A18B7A5" w14:textId="77777777" w:rsidR="00797200" w:rsidRDefault="00797200" w:rsidP="00797200">
      <w:pPr>
        <w:pStyle w:val="a9"/>
        <w:numPr>
          <w:ilvl w:val="0"/>
          <w:numId w:val="2"/>
        </w:numPr>
        <w:bidi/>
        <w:spacing w:after="240" w:line="360" w:lineRule="atLeast"/>
        <w:jc w:val="both"/>
        <w:rPr>
          <w:rFonts w:ascii="David" w:hAnsi="David" w:cs="David"/>
          <w:color w:val="000000"/>
        </w:rPr>
      </w:pPr>
      <w:r>
        <w:rPr>
          <w:rFonts w:ascii="David" w:hAnsi="David" w:cs="David"/>
          <w:color w:val="000000"/>
          <w:rtl/>
        </w:rPr>
        <w:t>מאסר בפועל לתקופה של 19 חודשים בניכוי ימי מעצרו בגין תיק זה.</w:t>
      </w:r>
    </w:p>
    <w:p w14:paraId="014A1647" w14:textId="77777777" w:rsidR="00797200" w:rsidRDefault="00797200" w:rsidP="00797200">
      <w:pPr>
        <w:pStyle w:val="a9"/>
        <w:bidi/>
        <w:spacing w:after="240" w:line="360" w:lineRule="atLeast"/>
        <w:jc w:val="both"/>
        <w:rPr>
          <w:rFonts w:ascii="David" w:hAnsi="David" w:cs="David"/>
          <w:color w:val="000000"/>
          <w:rtl/>
        </w:rPr>
      </w:pPr>
    </w:p>
    <w:p w14:paraId="12455366" w14:textId="77777777" w:rsidR="00797200" w:rsidRDefault="00797200" w:rsidP="00797200">
      <w:pPr>
        <w:pStyle w:val="a9"/>
        <w:numPr>
          <w:ilvl w:val="0"/>
          <w:numId w:val="2"/>
        </w:numPr>
        <w:bidi/>
        <w:spacing w:after="240" w:line="360" w:lineRule="atLeast"/>
        <w:jc w:val="both"/>
        <w:rPr>
          <w:rFonts w:ascii="David" w:hAnsi="David" w:cs="David"/>
          <w:color w:val="000000"/>
        </w:rPr>
      </w:pPr>
      <w:r>
        <w:rPr>
          <w:rFonts w:ascii="David" w:hAnsi="David" w:cs="David"/>
          <w:color w:val="000000"/>
          <w:rtl/>
        </w:rPr>
        <w:t xml:space="preserve">7 חודשים מאסר על תנאי למשך 3 שנים מיום שחרורו ככל יעבור כל עבירה על </w:t>
      </w:r>
      <w:hyperlink r:id="rId41" w:history="1">
        <w:r w:rsidR="0075591B" w:rsidRPr="0075591B">
          <w:rPr>
            <w:rFonts w:ascii="David" w:hAnsi="David" w:cs="David"/>
            <w:color w:val="0000FF"/>
            <w:u w:val="single"/>
            <w:rtl/>
          </w:rPr>
          <w:t>פקודת הסמים המסוכנים</w:t>
        </w:r>
      </w:hyperlink>
      <w:r>
        <w:rPr>
          <w:rFonts w:ascii="David" w:hAnsi="David" w:cs="David"/>
          <w:color w:val="000000"/>
          <w:rtl/>
        </w:rPr>
        <w:t xml:space="preserve"> מסוג פשע.</w:t>
      </w:r>
    </w:p>
    <w:p w14:paraId="089D2CFA" w14:textId="77777777" w:rsidR="00797200" w:rsidRPr="00B166BB" w:rsidRDefault="00797200" w:rsidP="00797200">
      <w:pPr>
        <w:pStyle w:val="a9"/>
        <w:rPr>
          <w:rFonts w:ascii="David" w:hAnsi="David" w:cs="David"/>
          <w:color w:val="000000"/>
          <w:rtl/>
        </w:rPr>
      </w:pPr>
    </w:p>
    <w:p w14:paraId="10D3254A" w14:textId="77777777" w:rsidR="00797200" w:rsidRDefault="00797200" w:rsidP="00797200">
      <w:pPr>
        <w:pStyle w:val="a9"/>
        <w:numPr>
          <w:ilvl w:val="0"/>
          <w:numId w:val="2"/>
        </w:numPr>
        <w:bidi/>
        <w:spacing w:after="240" w:line="360" w:lineRule="atLeast"/>
        <w:jc w:val="both"/>
        <w:rPr>
          <w:rFonts w:ascii="David" w:hAnsi="David" w:cs="David"/>
          <w:color w:val="000000"/>
        </w:rPr>
      </w:pPr>
      <w:r>
        <w:rPr>
          <w:rFonts w:ascii="David" w:hAnsi="David" w:cs="David"/>
          <w:color w:val="000000"/>
          <w:rtl/>
        </w:rPr>
        <w:t xml:space="preserve">3 חודשים מאסר על תנאי למשך 3 שנים מיום שחרורו ככל יעבור כל עבירה על </w:t>
      </w:r>
      <w:hyperlink r:id="rId42" w:history="1">
        <w:r w:rsidR="0075591B" w:rsidRPr="0075591B">
          <w:rPr>
            <w:rFonts w:ascii="David" w:hAnsi="David" w:cs="David"/>
            <w:color w:val="0000FF"/>
            <w:u w:val="single"/>
            <w:rtl/>
          </w:rPr>
          <w:t>פקודת הסמים המסוכנים</w:t>
        </w:r>
      </w:hyperlink>
      <w:r>
        <w:rPr>
          <w:rFonts w:ascii="David" w:hAnsi="David" w:cs="David"/>
          <w:color w:val="000000"/>
          <w:rtl/>
        </w:rPr>
        <w:t xml:space="preserve"> מסוג עוון.</w:t>
      </w:r>
    </w:p>
    <w:p w14:paraId="0F4A3508" w14:textId="77777777" w:rsidR="00797200" w:rsidRPr="00B166BB" w:rsidRDefault="00797200" w:rsidP="00797200">
      <w:pPr>
        <w:pStyle w:val="a9"/>
        <w:rPr>
          <w:rFonts w:ascii="David" w:hAnsi="David" w:cs="David"/>
          <w:color w:val="000000"/>
          <w:rtl/>
        </w:rPr>
      </w:pPr>
    </w:p>
    <w:p w14:paraId="2CE12506" w14:textId="77777777" w:rsidR="00797200" w:rsidRDefault="00797200" w:rsidP="00797200">
      <w:pPr>
        <w:pStyle w:val="a9"/>
        <w:numPr>
          <w:ilvl w:val="0"/>
          <w:numId w:val="2"/>
        </w:numPr>
        <w:bidi/>
        <w:spacing w:after="240" w:line="360" w:lineRule="atLeast"/>
        <w:jc w:val="both"/>
        <w:rPr>
          <w:rFonts w:ascii="David" w:hAnsi="David" w:cs="David"/>
          <w:color w:val="000000"/>
        </w:rPr>
      </w:pPr>
      <w:r>
        <w:rPr>
          <w:rFonts w:ascii="David" w:hAnsi="David" w:cs="David"/>
          <w:color w:val="000000"/>
          <w:rtl/>
        </w:rPr>
        <w:t>קנס בסך 8,000 ₪ או 80 ימי מאסר תמורתו. הקנס ישולם ב-8 תשלומים שווים ורצופים החל מיום 1.7.25 ובראשון לכל חודש שאחריו.</w:t>
      </w:r>
    </w:p>
    <w:p w14:paraId="54562059" w14:textId="77777777" w:rsidR="00797200" w:rsidRPr="00B166BB" w:rsidRDefault="00797200" w:rsidP="00797200">
      <w:pPr>
        <w:pStyle w:val="a9"/>
        <w:rPr>
          <w:rFonts w:ascii="David" w:hAnsi="David" w:cs="David"/>
          <w:color w:val="000000"/>
          <w:rtl/>
        </w:rPr>
      </w:pPr>
    </w:p>
    <w:p w14:paraId="0723CB44" w14:textId="77777777" w:rsidR="00797200" w:rsidRPr="00B166BB" w:rsidRDefault="00797200" w:rsidP="00797200">
      <w:pPr>
        <w:spacing w:line="360" w:lineRule="auto"/>
        <w:ind w:firstLine="720"/>
        <w:jc w:val="both"/>
        <w:rPr>
          <w:u w:val="single"/>
        </w:rPr>
      </w:pPr>
      <w:r w:rsidRPr="00B166BB">
        <w:rPr>
          <w:rFonts w:hint="cs"/>
          <w:u w:val="single"/>
          <w:rtl/>
        </w:rPr>
        <w:t xml:space="preserve">את הקנס ניתן לשלם אחת מהדרכים הבאות: </w:t>
      </w:r>
    </w:p>
    <w:p w14:paraId="0339B218" w14:textId="77777777" w:rsidR="00797200" w:rsidRDefault="00797200" w:rsidP="00797200">
      <w:pPr>
        <w:numPr>
          <w:ilvl w:val="0"/>
          <w:numId w:val="3"/>
        </w:numPr>
        <w:spacing w:line="360" w:lineRule="auto"/>
        <w:jc w:val="both"/>
      </w:pPr>
      <w:r>
        <w:rPr>
          <w:rFonts w:hint="cs"/>
          <w:rtl/>
        </w:rPr>
        <w:t xml:space="preserve">בכרטיס אשראי – באתר המקוון של רשות האכיפה והגבייה, </w:t>
      </w:r>
      <w:hyperlink r:id="rId43" w:history="1">
        <w:r>
          <w:rPr>
            <w:rStyle w:val="Hyperlink"/>
          </w:rPr>
          <w:t>www.eca.gov.il</w:t>
        </w:r>
      </w:hyperlink>
      <w:r>
        <w:t xml:space="preserve"> </w:t>
      </w:r>
      <w:r>
        <w:rPr>
          <w:rFonts w:hint="cs"/>
          <w:rtl/>
        </w:rPr>
        <w:t>.</w:t>
      </w:r>
    </w:p>
    <w:p w14:paraId="5771F3A5" w14:textId="77777777" w:rsidR="00797200" w:rsidRDefault="00797200" w:rsidP="00797200">
      <w:pPr>
        <w:numPr>
          <w:ilvl w:val="0"/>
          <w:numId w:val="3"/>
        </w:numPr>
        <w:spacing w:line="360" w:lineRule="auto"/>
        <w:jc w:val="both"/>
      </w:pPr>
      <w:r>
        <w:rPr>
          <w:rFonts w:hint="cs"/>
          <w:rtl/>
        </w:rPr>
        <w:t>מוקד שירות טלפוני בשרות עצמי (מרכז גבייה)</w:t>
      </w:r>
      <w:r w:rsidR="0075591B">
        <w:rPr>
          <w:rFonts w:hint="cs"/>
          <w:rtl/>
        </w:rPr>
        <w:t xml:space="preserve"> </w:t>
      </w:r>
      <w:r>
        <w:rPr>
          <w:rFonts w:hint="cs"/>
          <w:rtl/>
        </w:rPr>
        <w:t xml:space="preserve"> – בטלפון 35592* או בטלפון 073-2055000.</w:t>
      </w:r>
    </w:p>
    <w:p w14:paraId="499CF23C" w14:textId="77777777" w:rsidR="00797200" w:rsidRDefault="00797200" w:rsidP="00797200">
      <w:pPr>
        <w:numPr>
          <w:ilvl w:val="0"/>
          <w:numId w:val="3"/>
        </w:numPr>
        <w:spacing w:line="360" w:lineRule="auto"/>
        <w:jc w:val="both"/>
        <w:rPr>
          <w:rtl/>
        </w:rPr>
      </w:pPr>
      <w:r>
        <w:rPr>
          <w:rFonts w:hint="cs"/>
          <w:rtl/>
        </w:rPr>
        <w:t>במזומן בכל סניף של בנק הדואר – בהצגת תעודת זהות בלבד (אין צורך בהצגת בשוברי תשלום).</w:t>
      </w:r>
    </w:p>
    <w:p w14:paraId="2505CADB" w14:textId="77777777" w:rsidR="00797200" w:rsidRPr="00B166BB" w:rsidRDefault="00797200" w:rsidP="00797200">
      <w:pPr>
        <w:pStyle w:val="a9"/>
        <w:rPr>
          <w:rFonts w:ascii="David" w:hAnsi="David" w:cs="David"/>
          <w:color w:val="000000"/>
          <w:rtl/>
        </w:rPr>
      </w:pPr>
    </w:p>
    <w:p w14:paraId="6A43EBFA" w14:textId="77777777" w:rsidR="00797200" w:rsidRDefault="00797200" w:rsidP="00797200">
      <w:pPr>
        <w:pStyle w:val="a9"/>
        <w:numPr>
          <w:ilvl w:val="0"/>
          <w:numId w:val="2"/>
        </w:numPr>
        <w:bidi/>
        <w:spacing w:after="240" w:line="360" w:lineRule="atLeast"/>
        <w:jc w:val="both"/>
        <w:rPr>
          <w:rFonts w:ascii="David" w:hAnsi="David" w:cs="David"/>
          <w:color w:val="000000"/>
        </w:rPr>
      </w:pPr>
      <w:r>
        <w:rPr>
          <w:rFonts w:ascii="David" w:hAnsi="David" w:cs="David"/>
          <w:color w:val="000000"/>
          <w:rtl/>
        </w:rPr>
        <w:t xml:space="preserve">הנאשם יצהיר על התחייבות כספית על סך 4,000 ₪ שלא יעבור כל עבירה על </w:t>
      </w:r>
      <w:hyperlink r:id="rId44" w:history="1">
        <w:r w:rsidR="0075591B" w:rsidRPr="0075591B">
          <w:rPr>
            <w:rFonts w:ascii="David" w:hAnsi="David" w:cs="David"/>
            <w:color w:val="0000FF"/>
            <w:u w:val="single"/>
            <w:rtl/>
          </w:rPr>
          <w:t>פקודת הסמים המסוכנים</w:t>
        </w:r>
      </w:hyperlink>
      <w:r>
        <w:rPr>
          <w:rFonts w:ascii="David" w:hAnsi="David" w:cs="David"/>
          <w:color w:val="000000"/>
          <w:rtl/>
        </w:rPr>
        <w:t xml:space="preserve"> וזאת למשך שנתיים מיום שחרורו.</w:t>
      </w:r>
      <w:r>
        <w:rPr>
          <w:rFonts w:ascii="David" w:hAnsi="David" w:cs="David" w:hint="cs"/>
          <w:color w:val="000000"/>
          <w:rtl/>
        </w:rPr>
        <w:t xml:space="preserve"> </w:t>
      </w:r>
      <w:r>
        <w:rPr>
          <w:rFonts w:ascii="David" w:hAnsi="David" w:cs="David" w:hint="cs"/>
          <w:b/>
          <w:bCs/>
          <w:color w:val="000000"/>
          <w:rtl/>
        </w:rPr>
        <w:t>[ההתחייבות תוצהר לפרוטוקול]</w:t>
      </w:r>
      <w:r>
        <w:rPr>
          <w:rFonts w:ascii="David" w:hAnsi="David" w:cs="David" w:hint="cs"/>
          <w:color w:val="000000"/>
          <w:rtl/>
        </w:rPr>
        <w:t>.</w:t>
      </w:r>
    </w:p>
    <w:p w14:paraId="4AC0CD68" w14:textId="77777777" w:rsidR="00797200" w:rsidRPr="00B166BB" w:rsidRDefault="00797200" w:rsidP="00797200">
      <w:pPr>
        <w:pStyle w:val="a9"/>
        <w:rPr>
          <w:rFonts w:ascii="David" w:hAnsi="David" w:cs="David"/>
          <w:color w:val="000000"/>
          <w:rtl/>
        </w:rPr>
      </w:pPr>
    </w:p>
    <w:p w14:paraId="6194E4B9" w14:textId="77777777" w:rsidR="00797200" w:rsidRDefault="00797200" w:rsidP="00797200">
      <w:pPr>
        <w:pStyle w:val="a9"/>
        <w:numPr>
          <w:ilvl w:val="0"/>
          <w:numId w:val="2"/>
        </w:numPr>
        <w:bidi/>
        <w:spacing w:after="240" w:line="360" w:lineRule="atLeast"/>
        <w:jc w:val="both"/>
        <w:rPr>
          <w:rFonts w:ascii="David" w:hAnsi="David" w:cs="David"/>
          <w:color w:val="000000"/>
        </w:rPr>
      </w:pPr>
      <w:r>
        <w:rPr>
          <w:rFonts w:ascii="David" w:hAnsi="David" w:cs="David"/>
          <w:color w:val="000000"/>
          <w:rtl/>
        </w:rPr>
        <w:t>פסילת רישיון הנהיגה לתקופה של 10 שנים מיום שחרורו וזאת בחופף לכל עונש פסילה אחר שהוטל על הנאשם. על הנאשם להפקיד את רישיון הנהיגה שלו במזכירות בית המשפט מיד עם שחרורו הוא</w:t>
      </w:r>
      <w:r>
        <w:rPr>
          <w:rFonts w:ascii="David" w:hAnsi="David" w:cs="David" w:hint="cs"/>
          <w:color w:val="000000"/>
          <w:rtl/>
        </w:rPr>
        <w:t>י</w:t>
      </w:r>
      <w:r>
        <w:rPr>
          <w:rFonts w:ascii="David" w:hAnsi="David" w:cs="David"/>
          <w:color w:val="000000"/>
          <w:rtl/>
        </w:rPr>
        <w:t>ל ועונש הפסילה ייכנס לתוקף אולם בהעדר הרישיון הפסילה לא תימנה.</w:t>
      </w:r>
    </w:p>
    <w:p w14:paraId="28177429" w14:textId="77777777" w:rsidR="00797200" w:rsidRPr="00C0114D" w:rsidRDefault="00797200" w:rsidP="00797200">
      <w:pPr>
        <w:pStyle w:val="a9"/>
        <w:rPr>
          <w:rFonts w:ascii="David" w:hAnsi="David" w:cs="David"/>
          <w:color w:val="000000"/>
          <w:rtl/>
        </w:rPr>
      </w:pPr>
    </w:p>
    <w:p w14:paraId="26D01267" w14:textId="77777777" w:rsidR="00797200" w:rsidRDefault="00797200" w:rsidP="00797200">
      <w:pPr>
        <w:pStyle w:val="a9"/>
        <w:bidi/>
        <w:spacing w:after="240" w:line="360" w:lineRule="atLeast"/>
        <w:jc w:val="both"/>
        <w:rPr>
          <w:rFonts w:ascii="David" w:hAnsi="David" w:cs="David"/>
          <w:color w:val="000000"/>
        </w:rPr>
      </w:pPr>
    </w:p>
    <w:p w14:paraId="175EB42A" w14:textId="77777777" w:rsidR="00797200" w:rsidRPr="00B166BB" w:rsidRDefault="00797200" w:rsidP="00797200">
      <w:pPr>
        <w:pStyle w:val="a9"/>
        <w:numPr>
          <w:ilvl w:val="0"/>
          <w:numId w:val="2"/>
        </w:numPr>
        <w:bidi/>
        <w:spacing w:after="240" w:line="360" w:lineRule="atLeast"/>
        <w:jc w:val="both"/>
        <w:rPr>
          <w:rFonts w:ascii="David" w:hAnsi="David" w:cs="David"/>
          <w:b/>
          <w:bCs/>
          <w:color w:val="000000"/>
        </w:rPr>
      </w:pPr>
      <w:r>
        <w:rPr>
          <w:rFonts w:ascii="David" w:hAnsi="David" w:cs="David"/>
          <w:color w:val="000000"/>
          <w:rtl/>
        </w:rPr>
        <w:t xml:space="preserve">פסילה על תנאי לתקופה של 10 חודשים למשך שנתיים מיום שחרורו, ככל ויעבור עבירה של נהיגה בפסילה או כל עבירה על </w:t>
      </w:r>
      <w:hyperlink r:id="rId45" w:history="1">
        <w:r w:rsidR="0075591B" w:rsidRPr="0075591B">
          <w:rPr>
            <w:rFonts w:ascii="David" w:hAnsi="David" w:cs="David"/>
            <w:color w:val="0000FF"/>
            <w:u w:val="single"/>
            <w:rtl/>
          </w:rPr>
          <w:t>פקודת הסמים המסוכנים</w:t>
        </w:r>
      </w:hyperlink>
      <w:r>
        <w:rPr>
          <w:rFonts w:ascii="David" w:hAnsi="David" w:cs="David"/>
          <w:color w:val="000000"/>
          <w:rtl/>
        </w:rPr>
        <w:t>.</w:t>
      </w:r>
    </w:p>
    <w:p w14:paraId="27327252" w14:textId="77777777" w:rsidR="00797200" w:rsidRDefault="00797200" w:rsidP="00797200">
      <w:pPr>
        <w:spacing w:after="240" w:line="360" w:lineRule="atLeast"/>
        <w:jc w:val="both"/>
        <w:rPr>
          <w:rFonts w:ascii="David" w:hAnsi="David"/>
          <w:b/>
          <w:bCs/>
          <w:color w:val="000000"/>
          <w:rtl/>
        </w:rPr>
      </w:pPr>
    </w:p>
    <w:p w14:paraId="55587D11" w14:textId="77777777" w:rsidR="00797200" w:rsidRPr="00B166BB" w:rsidRDefault="00797200" w:rsidP="00797200">
      <w:pPr>
        <w:spacing w:after="240" w:line="360" w:lineRule="atLeast"/>
        <w:jc w:val="both"/>
        <w:rPr>
          <w:rFonts w:ascii="David" w:hAnsi="David"/>
          <w:b/>
          <w:bCs/>
          <w:color w:val="000000"/>
          <w:rtl/>
        </w:rPr>
      </w:pPr>
      <w:r w:rsidRPr="00B166BB">
        <w:rPr>
          <w:rFonts w:ascii="David" w:hAnsi="David"/>
          <w:b/>
          <w:bCs/>
          <w:color w:val="000000"/>
          <w:rtl/>
        </w:rPr>
        <w:t>מורה על השמדת הסמים בתיק.</w:t>
      </w:r>
    </w:p>
    <w:p w14:paraId="3EC2E7BE" w14:textId="77777777" w:rsidR="00797200" w:rsidRDefault="00797200" w:rsidP="00797200">
      <w:pPr>
        <w:spacing w:after="240" w:line="360" w:lineRule="atLeast"/>
        <w:jc w:val="both"/>
        <w:rPr>
          <w:rFonts w:ascii="David" w:hAnsi="David"/>
          <w:b/>
          <w:bCs/>
          <w:color w:val="000000"/>
          <w:rtl/>
        </w:rPr>
      </w:pPr>
    </w:p>
    <w:p w14:paraId="56413372" w14:textId="77777777" w:rsidR="00797200" w:rsidRPr="00B166BB" w:rsidRDefault="0075591B" w:rsidP="00797200">
      <w:pPr>
        <w:spacing w:after="240" w:line="360" w:lineRule="atLeast"/>
        <w:jc w:val="both"/>
        <w:rPr>
          <w:rFonts w:ascii="David" w:hAnsi="David"/>
          <w:b/>
          <w:bCs/>
          <w:color w:val="000000"/>
        </w:rPr>
      </w:pPr>
      <w:r w:rsidRPr="0075591B">
        <w:rPr>
          <w:rFonts w:ascii="David" w:hAnsi="David"/>
          <w:b/>
          <w:bCs/>
          <w:color w:val="FFFFFF"/>
          <w:sz w:val="2"/>
          <w:szCs w:val="2"/>
          <w:rtl/>
        </w:rPr>
        <w:t>5129371</w:t>
      </w:r>
      <w:r w:rsidR="00797200" w:rsidRPr="00B166BB">
        <w:rPr>
          <w:rFonts w:ascii="David" w:hAnsi="David" w:hint="cs"/>
          <w:b/>
          <w:bCs/>
          <w:color w:val="000000"/>
          <w:rtl/>
        </w:rPr>
        <w:t>זכות ערעור לבית המשפט המחוזי בתוך 45 יום.</w:t>
      </w:r>
    </w:p>
    <w:p w14:paraId="1E5F8AF0" w14:textId="77777777" w:rsidR="00797200" w:rsidRPr="0075591B" w:rsidRDefault="0075591B" w:rsidP="00797200">
      <w:pPr>
        <w:rPr>
          <w:rFonts w:ascii="Arial" w:hAnsi="Arial"/>
          <w:b/>
          <w:bCs/>
          <w:color w:val="FFFFFF"/>
          <w:sz w:val="2"/>
          <w:szCs w:val="2"/>
          <w:rtl/>
        </w:rPr>
      </w:pPr>
      <w:r w:rsidRPr="0075591B">
        <w:rPr>
          <w:rFonts w:ascii="Arial" w:hAnsi="Arial"/>
          <w:b/>
          <w:bCs/>
          <w:color w:val="FFFFFF"/>
          <w:sz w:val="2"/>
          <w:szCs w:val="2"/>
          <w:rtl/>
        </w:rPr>
        <w:t>54678313</w:t>
      </w:r>
    </w:p>
    <w:p w14:paraId="5261C997" w14:textId="77777777" w:rsidR="00797200" w:rsidRPr="000F2247" w:rsidRDefault="00797200" w:rsidP="00797200">
      <w:pPr>
        <w:rPr>
          <w:rFonts w:ascii="Arial" w:hAnsi="Arial"/>
          <w:b/>
          <w:bCs/>
          <w:sz w:val="26"/>
          <w:szCs w:val="26"/>
          <w:rtl/>
        </w:rPr>
      </w:pPr>
    </w:p>
    <w:p w14:paraId="0C7F8CBC" w14:textId="77777777" w:rsidR="00797200" w:rsidRPr="000F2247" w:rsidRDefault="0075591B" w:rsidP="0079720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טבת תשפ"ה, 20 ינואר 2025, בהעדר הצדדים. </w:t>
      </w:r>
      <w:bookmarkEnd w:id="8"/>
      <w:r w:rsidR="00797200">
        <w:rPr>
          <w:rFonts w:ascii="Arial" w:hAnsi="Arial"/>
          <w:b/>
          <w:bCs/>
          <w:sz w:val="26"/>
          <w:szCs w:val="26"/>
          <w:rtl/>
        </w:rPr>
        <w:tab/>
      </w:r>
      <w:r w:rsidR="00797200">
        <w:rPr>
          <w:rFonts w:ascii="Arial" w:hAnsi="Arial"/>
          <w:b/>
          <w:bCs/>
          <w:sz w:val="26"/>
          <w:szCs w:val="26"/>
          <w:rtl/>
        </w:rPr>
        <w:tab/>
      </w:r>
      <w:r w:rsidR="00797200">
        <w:rPr>
          <w:rFonts w:ascii="Arial" w:hAnsi="Arial"/>
          <w:b/>
          <w:bCs/>
          <w:sz w:val="26"/>
          <w:szCs w:val="26"/>
          <w:rtl/>
        </w:rPr>
        <w:tab/>
      </w:r>
      <w:r w:rsidR="00797200">
        <w:rPr>
          <w:rFonts w:ascii="Arial" w:hAnsi="Arial"/>
          <w:b/>
          <w:bCs/>
          <w:sz w:val="26"/>
          <w:szCs w:val="26"/>
          <w:rtl/>
        </w:rPr>
        <w:tab/>
      </w:r>
      <w:r w:rsidR="00797200">
        <w:rPr>
          <w:rFonts w:ascii="Arial" w:hAnsi="Arial"/>
          <w:b/>
          <w:bCs/>
          <w:sz w:val="26"/>
          <w:szCs w:val="26"/>
          <w:rtl/>
        </w:rPr>
        <w:tab/>
      </w:r>
      <w:r w:rsidR="00797200">
        <w:rPr>
          <w:rFonts w:ascii="Arial" w:hAnsi="Arial"/>
          <w:b/>
          <w:bCs/>
          <w:sz w:val="26"/>
          <w:szCs w:val="26"/>
          <w:rtl/>
        </w:rPr>
        <w:tab/>
      </w:r>
      <w:r w:rsidR="00797200">
        <w:rPr>
          <w:rFonts w:ascii="Arial" w:hAnsi="Arial"/>
          <w:b/>
          <w:bCs/>
          <w:sz w:val="26"/>
          <w:szCs w:val="26"/>
          <w:rtl/>
        </w:rPr>
        <w:tab/>
      </w:r>
      <w:r w:rsidR="00797200">
        <w:rPr>
          <w:rFonts w:ascii="Arial" w:hAnsi="Arial" w:hint="cs"/>
          <w:b/>
          <w:bCs/>
          <w:sz w:val="26"/>
          <w:szCs w:val="26"/>
          <w:rtl/>
        </w:rPr>
        <w:t xml:space="preserve">         </w:t>
      </w:r>
    </w:p>
    <w:p w14:paraId="1446CAD6" w14:textId="77777777" w:rsidR="0075591B" w:rsidRDefault="0075591B" w:rsidP="0075591B">
      <w:pPr>
        <w:rPr>
          <w:rtl/>
        </w:rPr>
      </w:pPr>
    </w:p>
    <w:p w14:paraId="7AE0329B" w14:textId="77777777" w:rsidR="0075591B" w:rsidRDefault="0075591B" w:rsidP="0075591B">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6024D5D" w14:textId="77777777" w:rsidR="001E68BB" w:rsidRPr="001E68BB" w:rsidRDefault="001E68BB" w:rsidP="001E68BB">
      <w:pPr>
        <w:keepNext/>
        <w:rPr>
          <w:rFonts w:ascii="David" w:hAnsi="David"/>
          <w:color w:val="000000"/>
          <w:sz w:val="22"/>
          <w:szCs w:val="22"/>
          <w:rtl/>
        </w:rPr>
      </w:pPr>
    </w:p>
    <w:p w14:paraId="215E8F60" w14:textId="77777777" w:rsidR="001E68BB" w:rsidRPr="001E68BB" w:rsidRDefault="001E68BB" w:rsidP="001E68BB">
      <w:pPr>
        <w:keepNext/>
        <w:rPr>
          <w:rFonts w:ascii="David" w:hAnsi="David"/>
          <w:color w:val="000000"/>
          <w:sz w:val="22"/>
          <w:szCs w:val="22"/>
          <w:rtl/>
        </w:rPr>
      </w:pPr>
      <w:r w:rsidRPr="001E68BB">
        <w:rPr>
          <w:rFonts w:ascii="David" w:hAnsi="David"/>
          <w:color w:val="000000"/>
          <w:sz w:val="22"/>
          <w:szCs w:val="22"/>
          <w:rtl/>
        </w:rPr>
        <w:t>אבישי כהן 54678313-/</w:t>
      </w:r>
    </w:p>
    <w:p w14:paraId="43AF1E41" w14:textId="77777777" w:rsidR="0075591B" w:rsidRPr="0075591B" w:rsidRDefault="001E68BB" w:rsidP="001E68BB">
      <w:pPr>
        <w:rPr>
          <w:color w:val="0000FF"/>
          <w:u w:val="single"/>
        </w:rPr>
      </w:pPr>
      <w:r w:rsidRPr="001E68BB">
        <w:rPr>
          <w:color w:val="000000"/>
          <w:u w:val="single"/>
          <w:rtl/>
        </w:rPr>
        <w:t>נוסח מסמך זה כפוף לשינויי ניסוח ועריכה</w:t>
      </w:r>
    </w:p>
    <w:sectPr w:rsidR="0075591B" w:rsidRPr="0075591B" w:rsidSect="001E68BB">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93CDF" w14:textId="77777777" w:rsidR="00A06F1A" w:rsidRDefault="00A06F1A" w:rsidP="00E46436">
      <w:r>
        <w:separator/>
      </w:r>
    </w:p>
  </w:endnote>
  <w:endnote w:type="continuationSeparator" w:id="0">
    <w:p w14:paraId="6924A806" w14:textId="77777777" w:rsidR="00A06F1A" w:rsidRDefault="00A06F1A" w:rsidP="00E46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46554" w14:textId="77777777" w:rsidR="001E68BB" w:rsidRDefault="001E68BB" w:rsidP="001E68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CA01C42" w14:textId="77777777" w:rsidR="006017E1" w:rsidRPr="001E68BB" w:rsidRDefault="001E68BB" w:rsidP="001E68BB">
    <w:pPr>
      <w:pStyle w:val="a5"/>
      <w:pBdr>
        <w:top w:val="single" w:sz="4" w:space="1" w:color="auto"/>
        <w:between w:val="single" w:sz="4" w:space="0" w:color="auto"/>
      </w:pBdr>
      <w:spacing w:after="60"/>
      <w:jc w:val="center"/>
      <w:rPr>
        <w:rFonts w:ascii="FrankRuehl" w:hAnsi="FrankRuehl" w:cs="FrankRuehl"/>
        <w:color w:val="000000"/>
      </w:rPr>
    </w:pPr>
    <w:r w:rsidRPr="001E68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FCBC3" w14:textId="77777777" w:rsidR="001E68BB" w:rsidRDefault="001E68BB" w:rsidP="001E68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7CCD">
      <w:rPr>
        <w:rFonts w:ascii="FrankRuehl" w:hAnsi="FrankRuehl" w:cs="FrankRuehl"/>
        <w:noProof/>
        <w:rtl/>
      </w:rPr>
      <w:t>1</w:t>
    </w:r>
    <w:r>
      <w:rPr>
        <w:rFonts w:ascii="FrankRuehl" w:hAnsi="FrankRuehl" w:cs="FrankRuehl"/>
        <w:rtl/>
      </w:rPr>
      <w:fldChar w:fldCharType="end"/>
    </w:r>
  </w:p>
  <w:p w14:paraId="5118AC97" w14:textId="77777777" w:rsidR="006017E1" w:rsidRPr="001E68BB" w:rsidRDefault="001E68BB" w:rsidP="001E68BB">
    <w:pPr>
      <w:pStyle w:val="a5"/>
      <w:pBdr>
        <w:top w:val="single" w:sz="4" w:space="1" w:color="auto"/>
        <w:between w:val="single" w:sz="4" w:space="0" w:color="auto"/>
      </w:pBdr>
      <w:spacing w:after="60"/>
      <w:jc w:val="center"/>
      <w:rPr>
        <w:rFonts w:ascii="FrankRuehl" w:hAnsi="FrankRuehl" w:cs="FrankRuehl"/>
        <w:color w:val="000000"/>
      </w:rPr>
    </w:pPr>
    <w:r w:rsidRPr="001E68BB">
      <w:rPr>
        <w:rFonts w:ascii="FrankRuehl" w:hAnsi="FrankRuehl" w:cs="FrankRuehl"/>
        <w:color w:val="000000"/>
      </w:rPr>
      <w:pict w14:anchorId="69542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DBE09" w14:textId="77777777" w:rsidR="00A06F1A" w:rsidRDefault="00A06F1A" w:rsidP="00E46436">
      <w:r>
        <w:separator/>
      </w:r>
    </w:p>
  </w:footnote>
  <w:footnote w:type="continuationSeparator" w:id="0">
    <w:p w14:paraId="5088DF20" w14:textId="77777777" w:rsidR="00A06F1A" w:rsidRDefault="00A06F1A" w:rsidP="00E46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1546" w14:textId="77777777" w:rsidR="0075591B" w:rsidRPr="001E68BB" w:rsidRDefault="001E68BB" w:rsidP="001E68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63738-02-24</w:t>
    </w:r>
    <w:r>
      <w:rPr>
        <w:rFonts w:ascii="David" w:hAnsi="David"/>
        <w:color w:val="000000"/>
        <w:sz w:val="22"/>
        <w:szCs w:val="22"/>
        <w:rtl/>
      </w:rPr>
      <w:tab/>
      <w:t xml:space="preserve"> מדינת ישראל נ' דוד שלו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1C48C" w14:textId="77777777" w:rsidR="0075591B" w:rsidRPr="001E68BB" w:rsidRDefault="001E68BB" w:rsidP="001E68B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63738-02-24</w:t>
    </w:r>
    <w:r>
      <w:rPr>
        <w:rFonts w:ascii="David" w:hAnsi="David"/>
        <w:color w:val="000000"/>
        <w:sz w:val="22"/>
        <w:szCs w:val="22"/>
        <w:rtl/>
      </w:rPr>
      <w:tab/>
      <w:t xml:space="preserve"> מדינת ישראל נ' דוד שלו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41B73D7"/>
    <w:multiLevelType w:val="hybridMultilevel"/>
    <w:tmpl w:val="2A1A8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6C02C6"/>
    <w:multiLevelType w:val="hybridMultilevel"/>
    <w:tmpl w:val="7A6E716E"/>
    <w:lvl w:ilvl="0" w:tplc="287A55AC">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20949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873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954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7200"/>
    <w:rsid w:val="001E68BB"/>
    <w:rsid w:val="00343B0F"/>
    <w:rsid w:val="005C1034"/>
    <w:rsid w:val="006017E1"/>
    <w:rsid w:val="0075591B"/>
    <w:rsid w:val="00797200"/>
    <w:rsid w:val="00A06F1A"/>
    <w:rsid w:val="00A07CCD"/>
    <w:rsid w:val="00A912ED"/>
    <w:rsid w:val="00E464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DD5C45"/>
  <w15:chartTrackingRefBased/>
  <w15:docId w15:val="{F8CFD649-F97E-4C8D-8EDF-AD24D8BE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720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97200"/>
    <w:pPr>
      <w:tabs>
        <w:tab w:val="center" w:pos="4153"/>
        <w:tab w:val="right" w:pos="8306"/>
      </w:tabs>
    </w:pPr>
  </w:style>
  <w:style w:type="character" w:customStyle="1" w:styleId="a4">
    <w:name w:val="כותרת עליונה תו"/>
    <w:link w:val="a3"/>
    <w:rsid w:val="00797200"/>
    <w:rPr>
      <w:rFonts w:ascii="Times New Roman" w:eastAsia="Times New Roman" w:hAnsi="Times New Roman" w:cs="David"/>
      <w:sz w:val="24"/>
      <w:szCs w:val="24"/>
    </w:rPr>
  </w:style>
  <w:style w:type="paragraph" w:styleId="a5">
    <w:name w:val="footer"/>
    <w:basedOn w:val="a"/>
    <w:link w:val="a6"/>
    <w:rsid w:val="00797200"/>
    <w:pPr>
      <w:tabs>
        <w:tab w:val="center" w:pos="4153"/>
        <w:tab w:val="right" w:pos="8306"/>
      </w:tabs>
    </w:pPr>
  </w:style>
  <w:style w:type="character" w:customStyle="1" w:styleId="a6">
    <w:name w:val="כותרת תחתונה תו"/>
    <w:link w:val="a5"/>
    <w:rsid w:val="00797200"/>
    <w:rPr>
      <w:rFonts w:ascii="Times New Roman" w:eastAsia="Times New Roman" w:hAnsi="Times New Roman" w:cs="David"/>
      <w:sz w:val="24"/>
      <w:szCs w:val="24"/>
    </w:rPr>
  </w:style>
  <w:style w:type="table" w:styleId="a7">
    <w:name w:val="Table Grid"/>
    <w:basedOn w:val="a1"/>
    <w:rsid w:val="0079720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97200"/>
  </w:style>
  <w:style w:type="paragraph" w:styleId="a9">
    <w:name w:val="List Paragraph"/>
    <w:basedOn w:val="a"/>
    <w:qFormat/>
    <w:rsid w:val="00797200"/>
    <w:pPr>
      <w:bidi w:val="0"/>
      <w:ind w:left="720"/>
      <w:contextualSpacing/>
    </w:pPr>
    <w:rPr>
      <w:rFonts w:cs="Times New Roman"/>
    </w:rPr>
  </w:style>
  <w:style w:type="character" w:styleId="Hyperlink">
    <w:name w:val="Hyperlink"/>
    <w:rsid w:val="0079720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40a"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5227/40a" TargetMode="External"/><Relationship Id="rId39" Type="http://schemas.openxmlformats.org/officeDocument/2006/relationships/hyperlink" Target="http://www.nevo.co.il/law/5227/40a" TargetMode="External"/><Relationship Id="rId21" Type="http://schemas.openxmlformats.org/officeDocument/2006/relationships/hyperlink" Target="http://www.nevo.co.il/law/4216/7.a.;7.c" TargetMode="External"/><Relationship Id="rId34" Type="http://schemas.openxmlformats.org/officeDocument/2006/relationships/hyperlink" Target="http://www.nevo.co.il/law/5227" TargetMode="External"/><Relationship Id="rId42" Type="http://schemas.openxmlformats.org/officeDocument/2006/relationships/hyperlink" Target="http://www.nevo.co.il/law/421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67" TargetMode="External"/><Relationship Id="rId29" Type="http://schemas.openxmlformats.org/officeDocument/2006/relationships/hyperlink" Target="http://www.nevo.co.il/law/5227"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5227/40a" TargetMode="External"/><Relationship Id="rId32" Type="http://schemas.openxmlformats.org/officeDocument/2006/relationships/hyperlink" Target="http://www.nevo.co.il/law/5227" TargetMode="External"/><Relationship Id="rId37" Type="http://schemas.openxmlformats.org/officeDocument/2006/relationships/hyperlink" Target="http://www.nevo.co.il/law/5227/66" TargetMode="External"/><Relationship Id="rId40" Type="http://schemas.openxmlformats.org/officeDocument/2006/relationships/hyperlink" Target="http://www.nevo.co.il/law/5227"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5227/66" TargetMode="External"/><Relationship Id="rId23" Type="http://schemas.openxmlformats.org/officeDocument/2006/relationships/hyperlink" Target="http://www.nevo.co.il/law/5227" TargetMode="External"/><Relationship Id="rId28" Type="http://schemas.openxmlformats.org/officeDocument/2006/relationships/hyperlink" Target="http://www.nevo.co.il/law/5227/40a.a.1" TargetMode="External"/><Relationship Id="rId36" Type="http://schemas.openxmlformats.org/officeDocument/2006/relationships/hyperlink" Target="http://www.nevo.co.il/law/5227" TargetMode="External"/><Relationship Id="rId49"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5227/40a" TargetMode="External"/><Relationship Id="rId44" Type="http://schemas.openxmlformats.org/officeDocument/2006/relationships/hyperlink" Target="http://www.nevo.co.il/law/421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40a.a.1"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522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5227/66" TargetMode="External"/><Relationship Id="rId43" Type="http://schemas.openxmlformats.org/officeDocument/2006/relationships/hyperlink" Target="http://www.eca.gov.il"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 TargetMode="External"/><Relationship Id="rId25" Type="http://schemas.openxmlformats.org/officeDocument/2006/relationships/hyperlink" Target="http://www.nevo.co.il/law/5227" TargetMode="External"/><Relationship Id="rId33" Type="http://schemas.openxmlformats.org/officeDocument/2006/relationships/hyperlink" Target="http://www.nevo.co.il/law/5227/40a" TargetMode="External"/><Relationship Id="rId38" Type="http://schemas.openxmlformats.org/officeDocument/2006/relationships/hyperlink" Target="http://www.nevo.co.il/law/5227"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1533</Words>
  <Characters>7665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9180</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8257637</vt:i4>
      </vt:variant>
      <vt:variant>
        <vt:i4>111</vt:i4>
      </vt:variant>
      <vt:variant>
        <vt:i4>0</vt:i4>
      </vt:variant>
      <vt:variant>
        <vt:i4>5</vt:i4>
      </vt:variant>
      <vt:variant>
        <vt:lpwstr>http://www.nevo.co.il/law/4216</vt:lpwstr>
      </vt:variant>
      <vt:variant>
        <vt:lpwstr/>
      </vt:variant>
      <vt:variant>
        <vt:i4>7864368</vt:i4>
      </vt:variant>
      <vt:variant>
        <vt:i4>108</vt:i4>
      </vt:variant>
      <vt:variant>
        <vt:i4>0</vt:i4>
      </vt:variant>
      <vt:variant>
        <vt:i4>5</vt:i4>
      </vt:variant>
      <vt:variant>
        <vt:lpwstr>http://www.eca.gov.il/</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8323175</vt:i4>
      </vt:variant>
      <vt:variant>
        <vt:i4>99</vt:i4>
      </vt:variant>
      <vt:variant>
        <vt:i4>0</vt:i4>
      </vt:variant>
      <vt:variant>
        <vt:i4>5</vt:i4>
      </vt:variant>
      <vt:variant>
        <vt:lpwstr>http://www.nevo.co.il/law/5227</vt:lpwstr>
      </vt:variant>
      <vt:variant>
        <vt:lpwstr/>
      </vt:variant>
      <vt:variant>
        <vt:i4>2752632</vt:i4>
      </vt:variant>
      <vt:variant>
        <vt:i4>96</vt:i4>
      </vt:variant>
      <vt:variant>
        <vt:i4>0</vt:i4>
      </vt:variant>
      <vt:variant>
        <vt:i4>5</vt:i4>
      </vt:variant>
      <vt:variant>
        <vt:lpwstr>http://www.nevo.co.il/law/5227/40a</vt:lpwstr>
      </vt:variant>
      <vt:variant>
        <vt:lpwstr/>
      </vt:variant>
      <vt:variant>
        <vt:i4>8323175</vt:i4>
      </vt:variant>
      <vt:variant>
        <vt:i4>93</vt:i4>
      </vt:variant>
      <vt:variant>
        <vt:i4>0</vt:i4>
      </vt:variant>
      <vt:variant>
        <vt:i4>5</vt:i4>
      </vt:variant>
      <vt:variant>
        <vt:lpwstr>http://www.nevo.co.il/law/5227</vt:lpwstr>
      </vt:variant>
      <vt:variant>
        <vt:lpwstr/>
      </vt:variant>
      <vt:variant>
        <vt:i4>4784200</vt:i4>
      </vt:variant>
      <vt:variant>
        <vt:i4>90</vt:i4>
      </vt:variant>
      <vt:variant>
        <vt:i4>0</vt:i4>
      </vt:variant>
      <vt:variant>
        <vt:i4>5</vt:i4>
      </vt:variant>
      <vt:variant>
        <vt:lpwstr>http://www.nevo.co.il/law/5227/66</vt:lpwstr>
      </vt:variant>
      <vt:variant>
        <vt:lpwstr/>
      </vt:variant>
      <vt:variant>
        <vt:i4>8323175</vt:i4>
      </vt:variant>
      <vt:variant>
        <vt:i4>87</vt:i4>
      </vt:variant>
      <vt:variant>
        <vt:i4>0</vt:i4>
      </vt:variant>
      <vt:variant>
        <vt:i4>5</vt:i4>
      </vt:variant>
      <vt:variant>
        <vt:lpwstr>http://www.nevo.co.il/law/5227</vt:lpwstr>
      </vt:variant>
      <vt:variant>
        <vt:lpwstr/>
      </vt:variant>
      <vt:variant>
        <vt:i4>4784200</vt:i4>
      </vt:variant>
      <vt:variant>
        <vt:i4>84</vt:i4>
      </vt:variant>
      <vt:variant>
        <vt:i4>0</vt:i4>
      </vt:variant>
      <vt:variant>
        <vt:i4>5</vt:i4>
      </vt:variant>
      <vt:variant>
        <vt:lpwstr>http://www.nevo.co.il/law/5227/66</vt:lpwstr>
      </vt:variant>
      <vt:variant>
        <vt:lpwstr/>
      </vt:variant>
      <vt:variant>
        <vt:i4>8323175</vt:i4>
      </vt:variant>
      <vt:variant>
        <vt:i4>81</vt:i4>
      </vt:variant>
      <vt:variant>
        <vt:i4>0</vt:i4>
      </vt:variant>
      <vt:variant>
        <vt:i4>5</vt:i4>
      </vt:variant>
      <vt:variant>
        <vt:lpwstr>http://www.nevo.co.il/law/5227</vt:lpwstr>
      </vt:variant>
      <vt:variant>
        <vt:lpwstr/>
      </vt:variant>
      <vt:variant>
        <vt:i4>2752632</vt:i4>
      </vt:variant>
      <vt:variant>
        <vt:i4>78</vt:i4>
      </vt:variant>
      <vt:variant>
        <vt:i4>0</vt:i4>
      </vt:variant>
      <vt:variant>
        <vt:i4>5</vt:i4>
      </vt:variant>
      <vt:variant>
        <vt:lpwstr>http://www.nevo.co.il/law/5227/40a</vt:lpwstr>
      </vt:variant>
      <vt:variant>
        <vt:lpwstr/>
      </vt:variant>
      <vt:variant>
        <vt:i4>8323175</vt:i4>
      </vt:variant>
      <vt:variant>
        <vt:i4>75</vt:i4>
      </vt:variant>
      <vt:variant>
        <vt:i4>0</vt:i4>
      </vt:variant>
      <vt:variant>
        <vt:i4>5</vt:i4>
      </vt:variant>
      <vt:variant>
        <vt:lpwstr>http://www.nevo.co.il/law/5227</vt:lpwstr>
      </vt:variant>
      <vt:variant>
        <vt:lpwstr/>
      </vt:variant>
      <vt:variant>
        <vt:i4>2752632</vt:i4>
      </vt:variant>
      <vt:variant>
        <vt:i4>72</vt:i4>
      </vt:variant>
      <vt:variant>
        <vt:i4>0</vt:i4>
      </vt:variant>
      <vt:variant>
        <vt:i4>5</vt:i4>
      </vt:variant>
      <vt:variant>
        <vt:lpwstr>http://www.nevo.co.il/law/5227/40a</vt:lpwstr>
      </vt:variant>
      <vt:variant>
        <vt:lpwstr/>
      </vt:variant>
      <vt:variant>
        <vt:i4>7995492</vt:i4>
      </vt:variant>
      <vt:variant>
        <vt:i4>69</vt:i4>
      </vt:variant>
      <vt:variant>
        <vt:i4>0</vt:i4>
      </vt:variant>
      <vt:variant>
        <vt:i4>5</vt:i4>
      </vt:variant>
      <vt:variant>
        <vt:lpwstr>http://www.nevo.co.il/law/70301</vt:lpwstr>
      </vt:variant>
      <vt:variant>
        <vt:lpwstr/>
      </vt:variant>
      <vt:variant>
        <vt:i4>8323175</vt:i4>
      </vt:variant>
      <vt:variant>
        <vt:i4>66</vt:i4>
      </vt:variant>
      <vt:variant>
        <vt:i4>0</vt:i4>
      </vt:variant>
      <vt:variant>
        <vt:i4>5</vt:i4>
      </vt:variant>
      <vt:variant>
        <vt:lpwstr>http://www.nevo.co.il/law/5227</vt:lpwstr>
      </vt:variant>
      <vt:variant>
        <vt:lpwstr/>
      </vt:variant>
      <vt:variant>
        <vt:i4>7995512</vt:i4>
      </vt:variant>
      <vt:variant>
        <vt:i4>63</vt:i4>
      </vt:variant>
      <vt:variant>
        <vt:i4>0</vt:i4>
      </vt:variant>
      <vt:variant>
        <vt:i4>5</vt:i4>
      </vt:variant>
      <vt:variant>
        <vt:lpwstr>http://www.nevo.co.il/law/5227/40a.a.1</vt:lpwstr>
      </vt:variant>
      <vt:variant>
        <vt:lpwstr/>
      </vt:variant>
      <vt:variant>
        <vt:i4>8323175</vt:i4>
      </vt:variant>
      <vt:variant>
        <vt:i4>60</vt:i4>
      </vt:variant>
      <vt:variant>
        <vt:i4>0</vt:i4>
      </vt:variant>
      <vt:variant>
        <vt:i4>5</vt:i4>
      </vt:variant>
      <vt:variant>
        <vt:lpwstr>http://www.nevo.co.il/law/5227</vt:lpwstr>
      </vt:variant>
      <vt:variant>
        <vt:lpwstr/>
      </vt:variant>
      <vt:variant>
        <vt:i4>2752632</vt:i4>
      </vt:variant>
      <vt:variant>
        <vt:i4>57</vt:i4>
      </vt:variant>
      <vt:variant>
        <vt:i4>0</vt:i4>
      </vt:variant>
      <vt:variant>
        <vt:i4>5</vt:i4>
      </vt:variant>
      <vt:variant>
        <vt:lpwstr>http://www.nevo.co.il/law/5227/40a</vt:lpwstr>
      </vt:variant>
      <vt:variant>
        <vt:lpwstr/>
      </vt:variant>
      <vt:variant>
        <vt:i4>8323175</vt:i4>
      </vt:variant>
      <vt:variant>
        <vt:i4>54</vt:i4>
      </vt:variant>
      <vt:variant>
        <vt:i4>0</vt:i4>
      </vt:variant>
      <vt:variant>
        <vt:i4>5</vt:i4>
      </vt:variant>
      <vt:variant>
        <vt:lpwstr>http://www.nevo.co.il/law/5227</vt:lpwstr>
      </vt:variant>
      <vt:variant>
        <vt:lpwstr/>
      </vt:variant>
      <vt:variant>
        <vt:i4>2752632</vt:i4>
      </vt:variant>
      <vt:variant>
        <vt:i4>51</vt:i4>
      </vt:variant>
      <vt:variant>
        <vt:i4>0</vt:i4>
      </vt:variant>
      <vt:variant>
        <vt:i4>5</vt:i4>
      </vt:variant>
      <vt:variant>
        <vt:lpwstr>http://www.nevo.co.il/law/5227/40a</vt:lpwstr>
      </vt:variant>
      <vt:variant>
        <vt:lpwstr/>
      </vt:variant>
      <vt:variant>
        <vt:i4>8323175</vt:i4>
      </vt:variant>
      <vt:variant>
        <vt:i4>48</vt:i4>
      </vt:variant>
      <vt:variant>
        <vt:i4>0</vt:i4>
      </vt:variant>
      <vt:variant>
        <vt:i4>5</vt:i4>
      </vt:variant>
      <vt:variant>
        <vt:lpwstr>http://www.nevo.co.il/law/5227</vt:lpwstr>
      </vt:variant>
      <vt:variant>
        <vt:lpwstr/>
      </vt:variant>
      <vt:variant>
        <vt:i4>4784200</vt:i4>
      </vt:variant>
      <vt:variant>
        <vt:i4>45</vt:i4>
      </vt:variant>
      <vt:variant>
        <vt:i4>0</vt:i4>
      </vt:variant>
      <vt:variant>
        <vt:i4>5</vt:i4>
      </vt:variant>
      <vt:variant>
        <vt:lpwstr>http://www.nevo.co.il/law/5227/67</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4784200</vt:i4>
      </vt:variant>
      <vt:variant>
        <vt:i4>27</vt:i4>
      </vt:variant>
      <vt:variant>
        <vt:i4>0</vt:i4>
      </vt:variant>
      <vt:variant>
        <vt:i4>5</vt:i4>
      </vt:variant>
      <vt:variant>
        <vt:lpwstr>http://www.nevo.co.il/law/5227/67</vt:lpwstr>
      </vt:variant>
      <vt:variant>
        <vt:lpwstr/>
      </vt:variant>
      <vt:variant>
        <vt:i4>4784200</vt:i4>
      </vt:variant>
      <vt:variant>
        <vt:i4>24</vt:i4>
      </vt:variant>
      <vt:variant>
        <vt:i4>0</vt:i4>
      </vt:variant>
      <vt:variant>
        <vt:i4>5</vt:i4>
      </vt:variant>
      <vt:variant>
        <vt:lpwstr>http://www.nevo.co.il/law/5227/66</vt:lpwstr>
      </vt:variant>
      <vt:variant>
        <vt:lpwstr/>
      </vt:variant>
      <vt:variant>
        <vt:i4>7995512</vt:i4>
      </vt:variant>
      <vt:variant>
        <vt:i4>21</vt:i4>
      </vt:variant>
      <vt:variant>
        <vt:i4>0</vt:i4>
      </vt:variant>
      <vt:variant>
        <vt:i4>5</vt:i4>
      </vt:variant>
      <vt:variant>
        <vt:lpwstr>http://www.nevo.co.il/law/5227/40a.a.1</vt:lpwstr>
      </vt:variant>
      <vt:variant>
        <vt:lpwstr/>
      </vt:variant>
      <vt:variant>
        <vt:i4>2752632</vt:i4>
      </vt:variant>
      <vt:variant>
        <vt:i4>18</vt:i4>
      </vt:variant>
      <vt:variant>
        <vt:i4>0</vt:i4>
      </vt:variant>
      <vt:variant>
        <vt:i4>5</vt:i4>
      </vt:variant>
      <vt:variant>
        <vt:lpwstr>http://www.nevo.co.il/law/5227/40a</vt:lpwstr>
      </vt:variant>
      <vt:variant>
        <vt:lpwstr/>
      </vt:variant>
      <vt:variant>
        <vt:i4>8323175</vt:i4>
      </vt:variant>
      <vt:variant>
        <vt:i4>15</vt:i4>
      </vt:variant>
      <vt:variant>
        <vt:i4>0</vt:i4>
      </vt:variant>
      <vt:variant>
        <vt:i4>5</vt:i4>
      </vt:variant>
      <vt:variant>
        <vt:lpwstr>http://www.nevo.co.il/law/5227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63738</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דוד שלו </vt:lpwstr>
  </property>
  <property fmtid="{D5CDD505-2E9C-101B-9397-08002B2CF9AE}" pid="10" name="LAWYER">
    <vt:lpwstr>עדי יזרעאלי;אפרת צרפתי</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20250120</vt:lpwstr>
  </property>
  <property fmtid="{D5CDD505-2E9C-101B-9397-08002B2CF9AE}" pid="14" name="TYPE_N_DATE">
    <vt:lpwstr>38020250120</vt:lpwstr>
  </property>
  <property fmtid="{D5CDD505-2E9C-101B-9397-08002B2CF9AE}" pid="15" name="WORDNUMPAGES">
    <vt:lpwstr>5</vt:lpwstr>
  </property>
  <property fmtid="{D5CDD505-2E9C-101B-9397-08002B2CF9AE}" pid="16" name="TYPE_ABS_DATE">
    <vt:lpwstr>380020250120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4216/013;019a;007.a;007.c</vt:lpwstr>
  </property>
  <property fmtid="{D5CDD505-2E9C-101B-9397-08002B2CF9AE}" pid="35" name="LAWLISTTMP2">
    <vt:lpwstr>5227/067;040a:5;040a.a.1;066:2</vt:lpwstr>
  </property>
  <property fmtid="{D5CDD505-2E9C-101B-9397-08002B2CF9AE}" pid="36" name="LAWLISTTMP3">
    <vt:lpwstr>70301</vt:lpwstr>
  </property>
  <property fmtid="{D5CDD505-2E9C-101B-9397-08002B2CF9AE}" pid="37" name="ISABSTRACT">
    <vt:lpwstr>Y</vt:lpwstr>
  </property>
</Properties>
</file>