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6B7043" w:rsidRPr="00A9179B" w14:paraId="5C933C43" w14:textId="77777777" w:rsidTr="00264D00">
        <w:trPr>
          <w:trHeight w:hRule="exact" w:val="418"/>
          <w:jc w:val="center"/>
        </w:trPr>
        <w:tc>
          <w:tcPr>
            <w:tcW w:w="8721" w:type="dxa"/>
            <w:gridSpan w:val="2"/>
          </w:tcPr>
          <w:p w14:paraId="0A543C20" w14:textId="77777777" w:rsidR="006B7043" w:rsidRPr="00A9179B" w:rsidRDefault="006B7043" w:rsidP="005508AB">
            <w:pPr>
              <w:pStyle w:val="a3"/>
              <w:jc w:val="center"/>
              <w:rPr>
                <w:rFonts w:ascii="Tahoma" w:hAnsi="Tahoma" w:cs="Tahoma"/>
                <w:color w:val="000080"/>
                <w:rtl/>
              </w:rPr>
            </w:pPr>
            <w:r w:rsidRPr="00A9179B">
              <w:rPr>
                <w:rFonts w:ascii="Tahoma" w:hAnsi="Tahoma" w:cs="Tahoma"/>
                <w:b/>
                <w:bCs/>
                <w:color w:val="000080"/>
                <w:rtl/>
              </w:rPr>
              <w:t>בית משפט השלום בבאר שבע</w:t>
            </w:r>
          </w:p>
        </w:tc>
      </w:tr>
      <w:tr w:rsidR="006B7043" w:rsidRPr="00A9179B" w14:paraId="37A581DD" w14:textId="77777777" w:rsidTr="00264D00">
        <w:trPr>
          <w:trHeight w:val="337"/>
          <w:jc w:val="center"/>
        </w:trPr>
        <w:tc>
          <w:tcPr>
            <w:tcW w:w="5057" w:type="dxa"/>
          </w:tcPr>
          <w:p w14:paraId="177BCFBA" w14:textId="77777777" w:rsidR="006B7043" w:rsidRPr="00A9179B" w:rsidRDefault="006B7043" w:rsidP="005508AB">
            <w:pPr>
              <w:rPr>
                <w:rFonts w:cs="FrankRuehl"/>
                <w:sz w:val="28"/>
                <w:szCs w:val="28"/>
                <w:rtl/>
              </w:rPr>
            </w:pPr>
            <w:r w:rsidRPr="00A9179B">
              <w:rPr>
                <w:rFonts w:cs="FrankRuehl"/>
                <w:sz w:val="28"/>
                <w:szCs w:val="28"/>
                <w:rtl/>
              </w:rPr>
              <w:t>ת"פ</w:t>
            </w:r>
            <w:r w:rsidRPr="00A9179B">
              <w:rPr>
                <w:rFonts w:cs="FrankRuehl" w:hint="cs"/>
                <w:sz w:val="28"/>
                <w:szCs w:val="28"/>
                <w:rtl/>
              </w:rPr>
              <w:t xml:space="preserve"> </w:t>
            </w:r>
            <w:r w:rsidRPr="00A9179B">
              <w:rPr>
                <w:rFonts w:cs="FrankRuehl"/>
                <w:sz w:val="28"/>
                <w:szCs w:val="28"/>
                <w:rtl/>
              </w:rPr>
              <w:t>67359-02-24</w:t>
            </w:r>
            <w:r w:rsidRPr="00A9179B">
              <w:rPr>
                <w:rFonts w:cs="FrankRuehl" w:hint="cs"/>
                <w:sz w:val="28"/>
                <w:szCs w:val="28"/>
                <w:rtl/>
              </w:rPr>
              <w:t xml:space="preserve"> </w:t>
            </w:r>
            <w:r w:rsidRPr="00A9179B">
              <w:rPr>
                <w:rFonts w:cs="FrankRuehl"/>
                <w:sz w:val="28"/>
                <w:szCs w:val="28"/>
                <w:rtl/>
              </w:rPr>
              <w:t>מדינת ישראל נ' צליח(עציר)</w:t>
            </w:r>
          </w:p>
          <w:p w14:paraId="03DCCFF1" w14:textId="77777777" w:rsidR="006B7043" w:rsidRPr="00A9179B" w:rsidRDefault="006B7043" w:rsidP="005508AB">
            <w:pPr>
              <w:pStyle w:val="a3"/>
              <w:rPr>
                <w:rFonts w:cs="FrankRuehl"/>
                <w:sz w:val="28"/>
                <w:szCs w:val="28"/>
                <w:rtl/>
              </w:rPr>
            </w:pPr>
          </w:p>
        </w:tc>
        <w:tc>
          <w:tcPr>
            <w:tcW w:w="3664" w:type="dxa"/>
          </w:tcPr>
          <w:p w14:paraId="4921FAF6" w14:textId="77777777" w:rsidR="006B7043" w:rsidRPr="00A9179B" w:rsidRDefault="006B7043" w:rsidP="005508AB">
            <w:pPr>
              <w:pStyle w:val="a3"/>
              <w:jc w:val="right"/>
              <w:rPr>
                <w:rFonts w:cs="FrankRuehl"/>
                <w:sz w:val="28"/>
                <w:szCs w:val="28"/>
                <w:rtl/>
              </w:rPr>
            </w:pPr>
          </w:p>
        </w:tc>
      </w:tr>
    </w:tbl>
    <w:p w14:paraId="6373D499" w14:textId="77777777" w:rsidR="006B7043" w:rsidRPr="00A9179B" w:rsidRDefault="006B7043" w:rsidP="006B7043">
      <w:pPr>
        <w:pStyle w:val="a3"/>
        <w:rPr>
          <w:rtl/>
        </w:rPr>
      </w:pPr>
      <w:r w:rsidRPr="00A9179B">
        <w:rPr>
          <w:rFonts w:hint="cs"/>
          <w:rtl/>
        </w:rPr>
        <w:t xml:space="preserve"> </w:t>
      </w:r>
    </w:p>
    <w:p w14:paraId="6DAFDF33" w14:textId="77777777" w:rsidR="006B7043" w:rsidRPr="00A9179B" w:rsidRDefault="006B7043" w:rsidP="006B7043">
      <w:pPr>
        <w:rPr>
          <w:rtl/>
        </w:rPr>
      </w:pPr>
    </w:p>
    <w:p w14:paraId="0F129DC4" w14:textId="77777777" w:rsidR="006B7043" w:rsidRPr="00A9179B" w:rsidRDefault="006B7043" w:rsidP="006B704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B7043" w:rsidRPr="00A9179B" w14:paraId="710C5D2D" w14:textId="77777777" w:rsidTr="006B7043">
        <w:trPr>
          <w:trHeight w:val="295"/>
          <w:jc w:val="center"/>
        </w:trPr>
        <w:tc>
          <w:tcPr>
            <w:tcW w:w="923" w:type="dxa"/>
            <w:tcBorders>
              <w:top w:val="nil"/>
              <w:left w:val="nil"/>
              <w:bottom w:val="nil"/>
              <w:right w:val="nil"/>
            </w:tcBorders>
            <w:shd w:val="clear" w:color="auto" w:fill="auto"/>
          </w:tcPr>
          <w:p w14:paraId="583B33F4" w14:textId="77777777" w:rsidR="006B7043" w:rsidRPr="00A9179B" w:rsidRDefault="006B7043" w:rsidP="006B7043">
            <w:pPr>
              <w:jc w:val="both"/>
              <w:rPr>
                <w:rFonts w:ascii="David" w:hAnsi="David"/>
                <w:sz w:val="26"/>
                <w:szCs w:val="26"/>
              </w:rPr>
            </w:pPr>
            <w:r w:rsidRPr="00A9179B">
              <w:rPr>
                <w:rFonts w:ascii="David" w:hAnsi="David" w:hint="cs"/>
                <w:sz w:val="26"/>
                <w:szCs w:val="26"/>
                <w:rtl/>
              </w:rPr>
              <w:t>ל</w:t>
            </w:r>
            <w:r w:rsidRPr="00A9179B">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24509FA" w14:textId="77777777" w:rsidR="006B7043" w:rsidRPr="00A9179B" w:rsidRDefault="006B7043" w:rsidP="005508AB">
            <w:pPr>
              <w:rPr>
                <w:rFonts w:ascii="David" w:hAnsi="David"/>
                <w:b/>
                <w:bCs/>
                <w:sz w:val="26"/>
                <w:szCs w:val="26"/>
                <w:rtl/>
              </w:rPr>
            </w:pPr>
            <w:r w:rsidRPr="00A9179B">
              <w:rPr>
                <w:rFonts w:ascii="David" w:hAnsi="David"/>
                <w:b/>
                <w:bCs/>
                <w:sz w:val="26"/>
                <w:szCs w:val="26"/>
                <w:rtl/>
              </w:rPr>
              <w:t>כבוד השופט, סגן הנשיא  אבישי כהן</w:t>
            </w:r>
          </w:p>
          <w:p w14:paraId="5D9CC310" w14:textId="77777777" w:rsidR="006B7043" w:rsidRPr="00A9179B" w:rsidRDefault="006B7043" w:rsidP="005508AB">
            <w:pPr>
              <w:rPr>
                <w:rFonts w:ascii="David" w:hAnsi="David"/>
                <w:sz w:val="26"/>
                <w:szCs w:val="26"/>
                <w:rtl/>
              </w:rPr>
            </w:pPr>
          </w:p>
          <w:p w14:paraId="61F437C5" w14:textId="77777777" w:rsidR="006B7043" w:rsidRPr="00A9179B" w:rsidRDefault="006B7043" w:rsidP="006B7043">
            <w:pPr>
              <w:jc w:val="both"/>
              <w:rPr>
                <w:rFonts w:ascii="David" w:hAnsi="David"/>
                <w:sz w:val="26"/>
                <w:szCs w:val="26"/>
              </w:rPr>
            </w:pPr>
          </w:p>
        </w:tc>
      </w:tr>
      <w:tr w:rsidR="006B7043" w:rsidRPr="00A9179B" w14:paraId="2695F5EC" w14:textId="77777777" w:rsidTr="006B7043">
        <w:trPr>
          <w:trHeight w:val="355"/>
          <w:jc w:val="center"/>
        </w:trPr>
        <w:tc>
          <w:tcPr>
            <w:tcW w:w="923" w:type="dxa"/>
            <w:tcBorders>
              <w:top w:val="nil"/>
              <w:left w:val="nil"/>
              <w:bottom w:val="nil"/>
              <w:right w:val="nil"/>
            </w:tcBorders>
            <w:shd w:val="clear" w:color="auto" w:fill="auto"/>
          </w:tcPr>
          <w:p w14:paraId="025F74AC" w14:textId="77777777" w:rsidR="006B7043" w:rsidRPr="00A9179B" w:rsidRDefault="006B7043" w:rsidP="006B7043">
            <w:pPr>
              <w:jc w:val="both"/>
              <w:rPr>
                <w:rFonts w:ascii="David" w:hAnsi="David"/>
                <w:sz w:val="26"/>
                <w:szCs w:val="26"/>
              </w:rPr>
            </w:pPr>
            <w:bookmarkStart w:id="0" w:name="FirstAppellant"/>
            <w:bookmarkStart w:id="1" w:name="FirstLawyer"/>
            <w:bookmarkStart w:id="2" w:name="LastJudge"/>
            <w:bookmarkEnd w:id="2"/>
            <w:r w:rsidRPr="00A9179B">
              <w:rPr>
                <w:rFonts w:ascii="David" w:hAnsi="David"/>
                <w:sz w:val="26"/>
                <w:szCs w:val="26"/>
                <w:rtl/>
              </w:rPr>
              <w:t>בעניין:</w:t>
            </w:r>
          </w:p>
        </w:tc>
        <w:tc>
          <w:tcPr>
            <w:tcW w:w="3219" w:type="dxa"/>
            <w:tcBorders>
              <w:top w:val="nil"/>
              <w:left w:val="nil"/>
              <w:bottom w:val="nil"/>
              <w:right w:val="nil"/>
            </w:tcBorders>
            <w:shd w:val="clear" w:color="auto" w:fill="auto"/>
          </w:tcPr>
          <w:p w14:paraId="230B9E90" w14:textId="77777777" w:rsidR="006B7043" w:rsidRPr="00A9179B" w:rsidRDefault="006B7043" w:rsidP="006B7043">
            <w:pPr>
              <w:suppressLineNumbers/>
            </w:pPr>
            <w:r w:rsidRPr="00A9179B">
              <w:rPr>
                <w:rFonts w:ascii="Arial" w:hAnsi="Arial" w:hint="cs"/>
                <w:b/>
                <w:bCs/>
                <w:sz w:val="26"/>
                <w:szCs w:val="26"/>
                <w:rtl/>
              </w:rPr>
              <w:t>ה</w:t>
            </w:r>
            <w:r w:rsidRPr="00A9179B">
              <w:rPr>
                <w:rFonts w:ascii="Arial" w:hAnsi="Arial"/>
                <w:b/>
                <w:bCs/>
                <w:sz w:val="26"/>
                <w:szCs w:val="26"/>
                <w:rtl/>
              </w:rPr>
              <w:t>מאשימה</w:t>
            </w:r>
          </w:p>
          <w:p w14:paraId="0FCEB703" w14:textId="77777777" w:rsidR="006B7043" w:rsidRPr="00A9179B" w:rsidRDefault="006B7043" w:rsidP="005508AB">
            <w:pPr>
              <w:rPr>
                <w:rFonts w:ascii="David" w:hAnsi="David"/>
                <w:sz w:val="26"/>
                <w:szCs w:val="26"/>
              </w:rPr>
            </w:pPr>
          </w:p>
        </w:tc>
        <w:tc>
          <w:tcPr>
            <w:tcW w:w="4678" w:type="dxa"/>
            <w:tcBorders>
              <w:top w:val="nil"/>
              <w:left w:val="nil"/>
              <w:bottom w:val="nil"/>
              <w:right w:val="nil"/>
            </w:tcBorders>
            <w:shd w:val="clear" w:color="auto" w:fill="auto"/>
            <w:vAlign w:val="center"/>
          </w:tcPr>
          <w:p w14:paraId="084F9727" w14:textId="77777777" w:rsidR="006B7043" w:rsidRPr="00A9179B" w:rsidRDefault="006B7043" w:rsidP="006B7043">
            <w:pPr>
              <w:suppressLineNumbers/>
              <w:rPr>
                <w:rFonts w:ascii="Arial" w:hAnsi="Arial"/>
                <w:b/>
                <w:bCs/>
                <w:sz w:val="26"/>
                <w:szCs w:val="26"/>
                <w:rtl/>
              </w:rPr>
            </w:pPr>
            <w:r w:rsidRPr="00A9179B">
              <w:rPr>
                <w:rFonts w:ascii="Arial" w:hAnsi="Arial"/>
                <w:b/>
                <w:bCs/>
                <w:sz w:val="26"/>
                <w:szCs w:val="26"/>
                <w:rtl/>
              </w:rPr>
              <w:t>מדינת ישראל</w:t>
            </w:r>
            <w:r w:rsidRPr="00A9179B">
              <w:rPr>
                <w:rFonts w:ascii="Arial" w:hAnsi="Arial" w:hint="cs"/>
                <w:b/>
                <w:bCs/>
                <w:sz w:val="26"/>
                <w:szCs w:val="26"/>
                <w:rtl/>
              </w:rPr>
              <w:t xml:space="preserve"> </w:t>
            </w:r>
          </w:p>
          <w:p w14:paraId="70667B52" w14:textId="77777777" w:rsidR="006B7043" w:rsidRPr="00A9179B" w:rsidRDefault="006B7043" w:rsidP="006B7043">
            <w:pPr>
              <w:suppressLineNumbers/>
              <w:rPr>
                <w:b/>
                <w:bCs/>
                <w:sz w:val="26"/>
                <w:szCs w:val="26"/>
              </w:rPr>
            </w:pPr>
            <w:r w:rsidRPr="00A9179B">
              <w:rPr>
                <w:rFonts w:hint="cs"/>
                <w:b/>
                <w:bCs/>
                <w:sz w:val="26"/>
                <w:szCs w:val="26"/>
                <w:rtl/>
              </w:rPr>
              <w:t>ע"י ב"כ עו"ד שירלי אוחיון</w:t>
            </w:r>
          </w:p>
        </w:tc>
      </w:tr>
      <w:bookmarkEnd w:id="0"/>
      <w:bookmarkEnd w:id="1"/>
      <w:tr w:rsidR="006B7043" w:rsidRPr="00A9179B" w14:paraId="6895D798" w14:textId="77777777" w:rsidTr="006B7043">
        <w:trPr>
          <w:trHeight w:val="355"/>
          <w:jc w:val="center"/>
        </w:trPr>
        <w:tc>
          <w:tcPr>
            <w:tcW w:w="923" w:type="dxa"/>
            <w:tcBorders>
              <w:top w:val="nil"/>
              <w:left w:val="nil"/>
              <w:bottom w:val="nil"/>
              <w:right w:val="nil"/>
            </w:tcBorders>
            <w:shd w:val="clear" w:color="auto" w:fill="auto"/>
          </w:tcPr>
          <w:p w14:paraId="62081F65" w14:textId="77777777" w:rsidR="006B7043" w:rsidRPr="00A9179B" w:rsidRDefault="006B7043" w:rsidP="006B704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CA95C86" w14:textId="77777777" w:rsidR="006B7043" w:rsidRPr="00A9179B" w:rsidRDefault="006B7043" w:rsidP="006B7043">
            <w:pPr>
              <w:jc w:val="center"/>
              <w:rPr>
                <w:rFonts w:ascii="David" w:hAnsi="David"/>
                <w:b/>
                <w:bCs/>
                <w:sz w:val="26"/>
                <w:szCs w:val="26"/>
                <w:rtl/>
              </w:rPr>
            </w:pPr>
          </w:p>
          <w:p w14:paraId="384F8408" w14:textId="77777777" w:rsidR="006B7043" w:rsidRPr="00A9179B" w:rsidRDefault="006B7043" w:rsidP="006B7043">
            <w:pPr>
              <w:jc w:val="center"/>
              <w:rPr>
                <w:rFonts w:ascii="David" w:hAnsi="David"/>
                <w:b/>
                <w:bCs/>
                <w:sz w:val="26"/>
                <w:szCs w:val="26"/>
                <w:rtl/>
              </w:rPr>
            </w:pPr>
            <w:r w:rsidRPr="00A9179B">
              <w:rPr>
                <w:rFonts w:ascii="David" w:hAnsi="David"/>
                <w:b/>
                <w:bCs/>
                <w:sz w:val="26"/>
                <w:szCs w:val="26"/>
                <w:rtl/>
              </w:rPr>
              <w:t>נגד</w:t>
            </w:r>
          </w:p>
          <w:p w14:paraId="5D88EA6A" w14:textId="77777777" w:rsidR="006B7043" w:rsidRPr="00A9179B" w:rsidRDefault="006B7043" w:rsidP="006B7043">
            <w:pPr>
              <w:jc w:val="both"/>
              <w:rPr>
                <w:rFonts w:ascii="David" w:hAnsi="David"/>
                <w:sz w:val="26"/>
                <w:szCs w:val="26"/>
              </w:rPr>
            </w:pPr>
          </w:p>
        </w:tc>
      </w:tr>
      <w:tr w:rsidR="006B7043" w:rsidRPr="00A9179B" w14:paraId="6FE57CBD" w14:textId="77777777" w:rsidTr="006B7043">
        <w:trPr>
          <w:trHeight w:val="355"/>
          <w:jc w:val="center"/>
        </w:trPr>
        <w:tc>
          <w:tcPr>
            <w:tcW w:w="923" w:type="dxa"/>
            <w:tcBorders>
              <w:top w:val="nil"/>
              <w:left w:val="nil"/>
              <w:bottom w:val="nil"/>
              <w:right w:val="nil"/>
            </w:tcBorders>
            <w:shd w:val="clear" w:color="auto" w:fill="auto"/>
          </w:tcPr>
          <w:p w14:paraId="577CE26C" w14:textId="77777777" w:rsidR="006B7043" w:rsidRPr="00A9179B" w:rsidRDefault="006B7043" w:rsidP="005508AB">
            <w:pPr>
              <w:rPr>
                <w:rFonts w:ascii="David" w:hAnsi="David"/>
                <w:sz w:val="26"/>
                <w:szCs w:val="26"/>
                <w:rtl/>
              </w:rPr>
            </w:pPr>
          </w:p>
        </w:tc>
        <w:tc>
          <w:tcPr>
            <w:tcW w:w="3219" w:type="dxa"/>
            <w:tcBorders>
              <w:top w:val="nil"/>
              <w:left w:val="nil"/>
              <w:bottom w:val="nil"/>
              <w:right w:val="nil"/>
            </w:tcBorders>
            <w:shd w:val="clear" w:color="auto" w:fill="auto"/>
          </w:tcPr>
          <w:p w14:paraId="6D071AE7" w14:textId="77777777" w:rsidR="006B7043" w:rsidRPr="00A9179B" w:rsidRDefault="006B7043" w:rsidP="005508AB">
            <w:pPr>
              <w:rPr>
                <w:rFonts w:ascii="Arial" w:hAnsi="Arial"/>
                <w:b/>
                <w:bCs/>
                <w:sz w:val="26"/>
                <w:szCs w:val="26"/>
                <w:rtl/>
              </w:rPr>
            </w:pPr>
            <w:r w:rsidRPr="00A9179B">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4A00FAC" w14:textId="77777777" w:rsidR="006B7043" w:rsidRPr="00A9179B" w:rsidRDefault="006B7043" w:rsidP="006B7043">
            <w:pPr>
              <w:suppressLineNumbers/>
              <w:rPr>
                <w:rFonts w:ascii="Arial" w:hAnsi="Arial"/>
                <w:b/>
                <w:bCs/>
                <w:sz w:val="26"/>
                <w:szCs w:val="26"/>
                <w:rtl/>
              </w:rPr>
            </w:pPr>
            <w:r w:rsidRPr="00A9179B">
              <w:rPr>
                <w:rFonts w:ascii="Arial" w:hAnsi="Arial"/>
                <w:b/>
                <w:bCs/>
                <w:sz w:val="26"/>
                <w:szCs w:val="26"/>
                <w:rtl/>
              </w:rPr>
              <w:t>אמיר צליח (עציר)</w:t>
            </w:r>
            <w:r w:rsidRPr="00A9179B">
              <w:rPr>
                <w:rFonts w:ascii="Arial" w:hAnsi="Arial" w:hint="cs"/>
                <w:b/>
                <w:bCs/>
                <w:sz w:val="26"/>
                <w:szCs w:val="26"/>
                <w:rtl/>
              </w:rPr>
              <w:t xml:space="preserve"> </w:t>
            </w:r>
            <w:r w:rsidRPr="00A9179B">
              <w:rPr>
                <w:rFonts w:ascii="Arial" w:hAnsi="Arial"/>
                <w:b/>
                <w:bCs/>
                <w:sz w:val="26"/>
                <w:szCs w:val="26"/>
                <w:rtl/>
              </w:rPr>
              <w:t>–</w:t>
            </w:r>
            <w:r w:rsidRPr="00A9179B">
              <w:rPr>
                <w:rFonts w:ascii="Arial" w:hAnsi="Arial" w:hint="cs"/>
                <w:b/>
                <w:bCs/>
                <w:sz w:val="26"/>
                <w:szCs w:val="26"/>
                <w:rtl/>
              </w:rPr>
              <w:t xml:space="preserve"> בעצמו</w:t>
            </w:r>
          </w:p>
          <w:p w14:paraId="4B8607C9" w14:textId="77777777" w:rsidR="006B7043" w:rsidRPr="00A9179B" w:rsidRDefault="006B7043" w:rsidP="005508AB">
            <w:pPr>
              <w:rPr>
                <w:rFonts w:ascii="David" w:hAnsi="David"/>
                <w:sz w:val="26"/>
                <w:szCs w:val="26"/>
              </w:rPr>
            </w:pPr>
            <w:r w:rsidRPr="00A9179B">
              <w:rPr>
                <w:b/>
                <w:bCs/>
                <w:sz w:val="26"/>
                <w:szCs w:val="26"/>
                <w:rtl/>
              </w:rPr>
              <w:t>ע"י ב"כ עו"ד לאון קרסנוברודסקי ממשרד עו"ד אלכס גאוסקין</w:t>
            </w:r>
          </w:p>
        </w:tc>
      </w:tr>
      <w:tr w:rsidR="006B7043" w:rsidRPr="00A9179B" w14:paraId="54D8F724" w14:textId="77777777" w:rsidTr="006B7043">
        <w:trPr>
          <w:trHeight w:val="355"/>
          <w:jc w:val="center"/>
        </w:trPr>
        <w:tc>
          <w:tcPr>
            <w:tcW w:w="923" w:type="dxa"/>
            <w:tcBorders>
              <w:top w:val="nil"/>
              <w:left w:val="nil"/>
              <w:bottom w:val="nil"/>
              <w:right w:val="nil"/>
            </w:tcBorders>
            <w:shd w:val="clear" w:color="auto" w:fill="auto"/>
          </w:tcPr>
          <w:p w14:paraId="51EF4CE1" w14:textId="77777777" w:rsidR="006B7043" w:rsidRPr="00A9179B" w:rsidRDefault="006B7043" w:rsidP="006B7043">
            <w:pPr>
              <w:jc w:val="both"/>
              <w:rPr>
                <w:rFonts w:ascii="David" w:hAnsi="David"/>
                <w:sz w:val="26"/>
                <w:szCs w:val="26"/>
                <w:rtl/>
              </w:rPr>
            </w:pPr>
          </w:p>
        </w:tc>
        <w:tc>
          <w:tcPr>
            <w:tcW w:w="3219" w:type="dxa"/>
            <w:tcBorders>
              <w:top w:val="nil"/>
              <w:left w:val="nil"/>
              <w:bottom w:val="nil"/>
              <w:right w:val="nil"/>
            </w:tcBorders>
            <w:shd w:val="clear" w:color="auto" w:fill="auto"/>
          </w:tcPr>
          <w:p w14:paraId="64653511" w14:textId="77777777" w:rsidR="006B7043" w:rsidRPr="00A9179B" w:rsidRDefault="006B7043" w:rsidP="006B7043">
            <w:pPr>
              <w:jc w:val="both"/>
              <w:rPr>
                <w:rFonts w:ascii="David" w:hAnsi="David"/>
                <w:sz w:val="26"/>
                <w:szCs w:val="26"/>
                <w:rtl/>
              </w:rPr>
            </w:pPr>
          </w:p>
        </w:tc>
        <w:tc>
          <w:tcPr>
            <w:tcW w:w="4678" w:type="dxa"/>
            <w:tcBorders>
              <w:top w:val="nil"/>
              <w:left w:val="nil"/>
              <w:bottom w:val="nil"/>
              <w:right w:val="nil"/>
            </w:tcBorders>
            <w:shd w:val="clear" w:color="auto" w:fill="auto"/>
          </w:tcPr>
          <w:p w14:paraId="19B1CB82" w14:textId="77777777" w:rsidR="006B7043" w:rsidRPr="00A9179B" w:rsidRDefault="006B7043" w:rsidP="006B7043">
            <w:pPr>
              <w:jc w:val="right"/>
              <w:rPr>
                <w:rFonts w:ascii="David" w:hAnsi="David"/>
                <w:sz w:val="26"/>
                <w:szCs w:val="26"/>
              </w:rPr>
            </w:pPr>
          </w:p>
        </w:tc>
      </w:tr>
    </w:tbl>
    <w:p w14:paraId="228E13C5" w14:textId="77777777" w:rsidR="00264D00" w:rsidRDefault="00264D00" w:rsidP="00A9179B">
      <w:pPr>
        <w:rPr>
          <w:sz w:val="26"/>
          <w:szCs w:val="26"/>
          <w:rtl/>
        </w:rPr>
      </w:pPr>
      <w:bookmarkStart w:id="3" w:name="LawTable"/>
      <w:bookmarkEnd w:id="3"/>
    </w:p>
    <w:p w14:paraId="3F99316D" w14:textId="77777777" w:rsidR="00264D00" w:rsidRPr="00264D00" w:rsidRDefault="00264D00" w:rsidP="00264D00">
      <w:pPr>
        <w:spacing w:after="120" w:line="240" w:lineRule="exact"/>
        <w:ind w:left="283" w:hanging="283"/>
        <w:jc w:val="both"/>
        <w:rPr>
          <w:rFonts w:ascii="FrankRuehl" w:hAnsi="FrankRuehl" w:cs="FrankRuehl"/>
          <w:rtl/>
        </w:rPr>
      </w:pPr>
    </w:p>
    <w:p w14:paraId="7309F9A9" w14:textId="77777777" w:rsidR="00264D00" w:rsidRPr="00264D00" w:rsidRDefault="00264D00" w:rsidP="00264D00">
      <w:pPr>
        <w:spacing w:after="120" w:line="240" w:lineRule="exact"/>
        <w:ind w:left="283" w:hanging="283"/>
        <w:jc w:val="both"/>
        <w:rPr>
          <w:rFonts w:ascii="FrankRuehl" w:hAnsi="FrankRuehl" w:cs="FrankRuehl"/>
          <w:rtl/>
        </w:rPr>
      </w:pPr>
      <w:r w:rsidRPr="00264D00">
        <w:rPr>
          <w:rFonts w:ascii="FrankRuehl" w:hAnsi="FrankRuehl" w:cs="FrankRuehl"/>
          <w:rtl/>
        </w:rPr>
        <w:t xml:space="preserve">חקיקה שאוזכרה: </w:t>
      </w:r>
    </w:p>
    <w:p w14:paraId="60BBCB25" w14:textId="77777777" w:rsidR="00264D00" w:rsidRPr="00264D00" w:rsidRDefault="00264D00" w:rsidP="00264D00">
      <w:pPr>
        <w:spacing w:after="120" w:line="240" w:lineRule="exact"/>
        <w:ind w:left="283" w:hanging="283"/>
        <w:jc w:val="both"/>
        <w:rPr>
          <w:rFonts w:ascii="FrankRuehl" w:hAnsi="FrankRuehl" w:cs="FrankRuehl"/>
          <w:rtl/>
        </w:rPr>
      </w:pPr>
      <w:hyperlink r:id="rId7" w:history="1">
        <w:r w:rsidRPr="00264D00">
          <w:rPr>
            <w:rFonts w:ascii="FrankRuehl" w:hAnsi="FrankRuehl" w:cs="FrankRuehl"/>
            <w:color w:val="0000FF"/>
            <w:u w:val="single"/>
            <w:rtl/>
          </w:rPr>
          <w:t>פקודת הסמים המסוכנים [נוסח חדש], תשל"ג-1973</w:t>
        </w:r>
      </w:hyperlink>
      <w:r w:rsidRPr="00264D00">
        <w:rPr>
          <w:rFonts w:ascii="FrankRuehl" w:hAnsi="FrankRuehl" w:cs="FrankRuehl"/>
          <w:rtl/>
        </w:rPr>
        <w:t xml:space="preserve">: סע'  </w:t>
      </w:r>
      <w:hyperlink r:id="rId8" w:history="1">
        <w:r w:rsidRPr="00264D00">
          <w:rPr>
            <w:rFonts w:ascii="FrankRuehl" w:hAnsi="FrankRuehl" w:cs="FrankRuehl"/>
            <w:color w:val="0000FF"/>
            <w:u w:val="single"/>
            <w:rtl/>
          </w:rPr>
          <w:t>13</w:t>
        </w:r>
      </w:hyperlink>
      <w:r w:rsidRPr="00264D00">
        <w:rPr>
          <w:rFonts w:ascii="FrankRuehl" w:hAnsi="FrankRuehl" w:cs="FrankRuehl"/>
          <w:rtl/>
        </w:rPr>
        <w:t xml:space="preserve">, </w:t>
      </w:r>
      <w:hyperlink r:id="rId9" w:history="1">
        <w:r w:rsidRPr="00264D00">
          <w:rPr>
            <w:rFonts w:ascii="FrankRuehl" w:hAnsi="FrankRuehl" w:cs="FrankRuehl"/>
            <w:color w:val="0000FF"/>
            <w:u w:val="single"/>
            <w:rtl/>
          </w:rPr>
          <w:t>19א</w:t>
        </w:r>
      </w:hyperlink>
    </w:p>
    <w:p w14:paraId="1F6D22EF" w14:textId="77777777" w:rsidR="00264D00" w:rsidRPr="00264D00" w:rsidRDefault="00264D00" w:rsidP="00264D00">
      <w:pPr>
        <w:spacing w:after="120" w:line="240" w:lineRule="exact"/>
        <w:ind w:left="283" w:hanging="283"/>
        <w:jc w:val="both"/>
        <w:rPr>
          <w:rFonts w:ascii="FrankRuehl" w:hAnsi="FrankRuehl" w:cs="FrankRuehl"/>
          <w:rtl/>
        </w:rPr>
      </w:pPr>
      <w:hyperlink r:id="rId10" w:history="1">
        <w:r w:rsidRPr="00264D00">
          <w:rPr>
            <w:rFonts w:ascii="FrankRuehl" w:hAnsi="FrankRuehl" w:cs="FrankRuehl"/>
            <w:color w:val="0000FF"/>
            <w:u w:val="single"/>
            <w:rtl/>
          </w:rPr>
          <w:t>חוק העונשין, תשל"ז-1977</w:t>
        </w:r>
      </w:hyperlink>
      <w:r w:rsidRPr="00264D00">
        <w:rPr>
          <w:rFonts w:ascii="FrankRuehl" w:hAnsi="FrankRuehl" w:cs="FrankRuehl"/>
          <w:rtl/>
        </w:rPr>
        <w:t xml:space="preserve">: סע'  </w:t>
      </w:r>
      <w:hyperlink r:id="rId11" w:history="1">
        <w:r w:rsidRPr="00264D00">
          <w:rPr>
            <w:rFonts w:ascii="FrankRuehl" w:hAnsi="FrankRuehl" w:cs="FrankRuehl"/>
            <w:color w:val="0000FF"/>
            <w:u w:val="single"/>
            <w:rtl/>
          </w:rPr>
          <w:t>186(א)</w:t>
        </w:r>
      </w:hyperlink>
      <w:r w:rsidRPr="00264D00">
        <w:rPr>
          <w:rFonts w:ascii="FrankRuehl" w:hAnsi="FrankRuehl" w:cs="FrankRuehl"/>
          <w:rtl/>
        </w:rPr>
        <w:t xml:space="preserve">, </w:t>
      </w:r>
      <w:hyperlink r:id="rId12" w:history="1">
        <w:r w:rsidRPr="00264D00">
          <w:rPr>
            <w:rFonts w:ascii="FrankRuehl" w:hAnsi="FrankRuehl" w:cs="FrankRuehl"/>
            <w:color w:val="0000FF"/>
            <w:u w:val="single"/>
            <w:rtl/>
          </w:rPr>
          <w:t>287א</w:t>
        </w:r>
      </w:hyperlink>
      <w:r w:rsidRPr="00264D00">
        <w:rPr>
          <w:rFonts w:ascii="FrankRuehl" w:hAnsi="FrankRuehl" w:cs="FrankRuehl"/>
          <w:rtl/>
        </w:rPr>
        <w:t xml:space="preserve">, </w:t>
      </w:r>
      <w:hyperlink r:id="rId13" w:history="1">
        <w:r w:rsidRPr="00264D00">
          <w:rPr>
            <w:rFonts w:ascii="FrankRuehl" w:hAnsi="FrankRuehl" w:cs="FrankRuehl"/>
            <w:color w:val="0000FF"/>
            <w:u w:val="single"/>
            <w:rtl/>
          </w:rPr>
          <w:t>40 יא'</w:t>
        </w:r>
      </w:hyperlink>
      <w:r w:rsidRPr="00264D00">
        <w:rPr>
          <w:rFonts w:ascii="FrankRuehl" w:hAnsi="FrankRuehl" w:cs="FrankRuehl"/>
          <w:rtl/>
        </w:rPr>
        <w:t xml:space="preserve">, </w:t>
      </w:r>
      <w:hyperlink r:id="rId14" w:history="1">
        <w:r w:rsidRPr="00264D00">
          <w:rPr>
            <w:rFonts w:ascii="FrankRuehl" w:hAnsi="FrankRuehl" w:cs="FrankRuehl"/>
            <w:color w:val="0000FF"/>
            <w:u w:val="single"/>
            <w:rtl/>
          </w:rPr>
          <w:t>415</w:t>
        </w:r>
      </w:hyperlink>
    </w:p>
    <w:p w14:paraId="38E1F228" w14:textId="77777777" w:rsidR="00264D00" w:rsidRPr="00264D00" w:rsidRDefault="00264D00" w:rsidP="00264D00">
      <w:pPr>
        <w:spacing w:after="120" w:line="240" w:lineRule="exact"/>
        <w:ind w:left="283" w:hanging="283"/>
        <w:jc w:val="both"/>
        <w:rPr>
          <w:rFonts w:ascii="FrankRuehl" w:hAnsi="FrankRuehl" w:cs="FrankRuehl"/>
          <w:rtl/>
        </w:rPr>
      </w:pPr>
      <w:hyperlink r:id="rId15" w:history="1">
        <w:r w:rsidRPr="00264D00">
          <w:rPr>
            <w:rFonts w:ascii="FrankRuehl" w:hAnsi="FrankRuehl" w:cs="FrankRuehl"/>
            <w:color w:val="0000FF"/>
            <w:u w:val="single"/>
            <w:rtl/>
          </w:rPr>
          <w:t>פקודת התעבורה [נוסח חדש]</w:t>
        </w:r>
      </w:hyperlink>
      <w:r w:rsidRPr="00264D00">
        <w:rPr>
          <w:rFonts w:ascii="FrankRuehl" w:hAnsi="FrankRuehl" w:cs="FrankRuehl"/>
          <w:rtl/>
        </w:rPr>
        <w:t xml:space="preserve">: סע'  </w:t>
      </w:r>
      <w:hyperlink r:id="rId16" w:history="1">
        <w:r w:rsidRPr="00264D00">
          <w:rPr>
            <w:rFonts w:ascii="FrankRuehl" w:hAnsi="FrankRuehl" w:cs="FrankRuehl"/>
            <w:color w:val="0000FF"/>
            <w:u w:val="single"/>
            <w:rtl/>
          </w:rPr>
          <w:t>43</w:t>
        </w:r>
      </w:hyperlink>
    </w:p>
    <w:p w14:paraId="4F13BF5F" w14:textId="77777777" w:rsidR="00264D00" w:rsidRPr="00264D00" w:rsidRDefault="00264D00" w:rsidP="00264D00">
      <w:pPr>
        <w:spacing w:after="120" w:line="240" w:lineRule="exact"/>
        <w:ind w:left="283" w:hanging="283"/>
        <w:jc w:val="both"/>
        <w:rPr>
          <w:rFonts w:ascii="FrankRuehl" w:hAnsi="FrankRuehl" w:cs="FrankRuehl"/>
          <w:rtl/>
        </w:rPr>
      </w:pPr>
    </w:p>
    <w:p w14:paraId="43A18D5B" w14:textId="77777777" w:rsidR="00264D00" w:rsidRPr="00264D00" w:rsidRDefault="00264D00" w:rsidP="00A9179B">
      <w:pPr>
        <w:rPr>
          <w:sz w:val="26"/>
          <w:szCs w:val="26"/>
          <w:rtl/>
        </w:rPr>
      </w:pPr>
      <w:bookmarkStart w:id="4" w:name="LawTable_End"/>
      <w:bookmarkEnd w:id="4"/>
    </w:p>
    <w:p w14:paraId="27B8C0D7" w14:textId="77777777" w:rsidR="00A9179B" w:rsidRPr="00A9179B" w:rsidRDefault="00A9179B" w:rsidP="00A9179B">
      <w:pPr>
        <w:rPr>
          <w:sz w:val="26"/>
          <w:szCs w:val="26"/>
          <w:rtl/>
        </w:rPr>
      </w:pPr>
    </w:p>
    <w:p w14:paraId="75CAB758" w14:textId="77777777" w:rsidR="006B7043" w:rsidRPr="00A9179B" w:rsidRDefault="006B7043" w:rsidP="006B704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7043" w14:paraId="66CE0D4A" w14:textId="77777777" w:rsidTr="006B7043">
        <w:trPr>
          <w:trHeight w:val="355"/>
          <w:jc w:val="center"/>
        </w:trPr>
        <w:tc>
          <w:tcPr>
            <w:tcW w:w="8820" w:type="dxa"/>
            <w:tcBorders>
              <w:top w:val="nil"/>
              <w:left w:val="nil"/>
              <w:bottom w:val="nil"/>
              <w:right w:val="nil"/>
            </w:tcBorders>
            <w:shd w:val="clear" w:color="auto" w:fill="auto"/>
          </w:tcPr>
          <w:p w14:paraId="7CE8907E" w14:textId="77777777" w:rsidR="00A9179B" w:rsidRPr="00A9179B" w:rsidRDefault="00A9179B" w:rsidP="00A9179B">
            <w:pPr>
              <w:jc w:val="center"/>
              <w:rPr>
                <w:rFonts w:ascii="David" w:hAnsi="David"/>
                <w:b/>
                <w:bCs/>
                <w:sz w:val="32"/>
                <w:szCs w:val="32"/>
                <w:u w:val="single"/>
                <w:rtl/>
              </w:rPr>
            </w:pPr>
            <w:bookmarkStart w:id="5" w:name="PsakDin" w:colFirst="0" w:colLast="0"/>
            <w:r w:rsidRPr="00A9179B">
              <w:rPr>
                <w:rFonts w:ascii="David" w:hAnsi="David"/>
                <w:b/>
                <w:bCs/>
                <w:sz w:val="32"/>
                <w:szCs w:val="32"/>
                <w:u w:val="single"/>
                <w:rtl/>
              </w:rPr>
              <w:t>גזר דין</w:t>
            </w:r>
          </w:p>
          <w:p w14:paraId="00FC36C6" w14:textId="77777777" w:rsidR="006B7043" w:rsidRPr="00A9179B" w:rsidRDefault="006B7043" w:rsidP="00A9179B">
            <w:pPr>
              <w:jc w:val="center"/>
              <w:rPr>
                <w:rFonts w:ascii="David" w:hAnsi="David"/>
                <w:bCs/>
                <w:sz w:val="32"/>
                <w:szCs w:val="32"/>
                <w:u w:val="single"/>
                <w:rtl/>
              </w:rPr>
            </w:pPr>
          </w:p>
        </w:tc>
      </w:tr>
      <w:bookmarkEnd w:id="5"/>
    </w:tbl>
    <w:p w14:paraId="09E0B50A" w14:textId="77777777" w:rsidR="006B7043" w:rsidRPr="000F2247" w:rsidRDefault="006B7043" w:rsidP="006B7043">
      <w:pPr>
        <w:rPr>
          <w:rFonts w:ascii="Arial" w:hAnsi="Arial"/>
          <w:b/>
          <w:bCs/>
          <w:sz w:val="26"/>
          <w:szCs w:val="26"/>
          <w:rtl/>
        </w:rPr>
      </w:pPr>
    </w:p>
    <w:p w14:paraId="0C8E07D1" w14:textId="77777777" w:rsidR="006B7043" w:rsidRDefault="006B7043" w:rsidP="006B7043">
      <w:pPr>
        <w:spacing w:line="360" w:lineRule="auto"/>
        <w:jc w:val="both"/>
        <w:rPr>
          <w:rFonts w:ascii="David" w:hAnsi="David"/>
        </w:rPr>
      </w:pPr>
      <w:bookmarkStart w:id="6" w:name="ABSTRACT_START"/>
      <w:bookmarkEnd w:id="6"/>
      <w:r>
        <w:rPr>
          <w:rFonts w:ascii="David" w:hAnsi="David"/>
          <w:rtl/>
        </w:rPr>
        <w:t xml:space="preserve">ביום 19.09.24 </w:t>
      </w:r>
      <w:r>
        <w:rPr>
          <w:rFonts w:ascii="David" w:hAnsi="David"/>
          <w:b/>
          <w:bCs/>
          <w:rtl/>
        </w:rPr>
        <w:t>הציגו הצדדים הסדר דיוני</w:t>
      </w:r>
      <w:r>
        <w:rPr>
          <w:rFonts w:ascii="David" w:hAnsi="David"/>
          <w:rtl/>
        </w:rPr>
        <w:t xml:space="preserve"> אשר במסגרתו כתב האישום תוקן, הנאשם הודה והורשע במיוחס לו בכתב האישום בעבירות הבאות:</w:t>
      </w:r>
    </w:p>
    <w:p w14:paraId="3FCEA5D5" w14:textId="77777777" w:rsidR="006B7043" w:rsidRDefault="006B7043" w:rsidP="006B7043">
      <w:pPr>
        <w:spacing w:line="360" w:lineRule="auto"/>
        <w:jc w:val="both"/>
        <w:rPr>
          <w:rFonts w:ascii="David" w:hAnsi="David"/>
          <w:rtl/>
        </w:rPr>
      </w:pPr>
      <w:bookmarkStart w:id="7" w:name="ABSTRACT_END"/>
      <w:bookmarkEnd w:id="7"/>
      <w:r>
        <w:rPr>
          <w:rFonts w:ascii="David" w:hAnsi="David"/>
          <w:b/>
          <w:bCs/>
          <w:rtl/>
        </w:rPr>
        <w:t>שתי עבירות של סחר בסמים</w:t>
      </w:r>
      <w:r>
        <w:rPr>
          <w:rFonts w:ascii="David" w:hAnsi="David"/>
          <w:rtl/>
        </w:rPr>
        <w:t xml:space="preserve">, עבירה לפי </w:t>
      </w:r>
      <w:hyperlink r:id="rId17" w:history="1">
        <w:r w:rsidR="00264D00" w:rsidRPr="00264D00">
          <w:rPr>
            <w:rFonts w:ascii="David" w:hAnsi="David"/>
            <w:color w:val="0000FF"/>
            <w:u w:val="single"/>
            <w:rtl/>
          </w:rPr>
          <w:t>סעיף 13</w:t>
        </w:r>
      </w:hyperlink>
      <w:r>
        <w:rPr>
          <w:rFonts w:ascii="David" w:hAnsi="David"/>
          <w:rtl/>
        </w:rPr>
        <w:t xml:space="preserve"> + </w:t>
      </w:r>
      <w:hyperlink r:id="rId18" w:history="1">
        <w:r w:rsidR="00264D00" w:rsidRPr="00264D00">
          <w:rPr>
            <w:rFonts w:ascii="David" w:hAnsi="David"/>
            <w:color w:val="0000FF"/>
            <w:u w:val="single"/>
            <w:rtl/>
          </w:rPr>
          <w:t xml:space="preserve">19א </w:t>
        </w:r>
      </w:hyperlink>
      <w:r>
        <w:rPr>
          <w:rFonts w:ascii="David" w:hAnsi="David"/>
          <w:rtl/>
        </w:rPr>
        <w:t xml:space="preserve">  ל</w:t>
      </w:r>
      <w:hyperlink r:id="rId19" w:history="1">
        <w:r w:rsidR="00A9179B" w:rsidRPr="00A9179B">
          <w:rPr>
            <w:rFonts w:ascii="David" w:hAnsi="David"/>
            <w:color w:val="0000FF"/>
            <w:u w:val="single"/>
            <w:rtl/>
          </w:rPr>
          <w:t>פקודת הסמים המסוכנים</w:t>
        </w:r>
      </w:hyperlink>
      <w:r>
        <w:rPr>
          <w:rFonts w:ascii="David" w:hAnsi="David"/>
          <w:rtl/>
        </w:rPr>
        <w:t xml:space="preserve"> [נוסח חדש] תשל"ג – 1973.</w:t>
      </w:r>
    </w:p>
    <w:p w14:paraId="75BCAC1A" w14:textId="77777777" w:rsidR="006B7043" w:rsidRDefault="006B7043" w:rsidP="006B7043">
      <w:pPr>
        <w:spacing w:line="360" w:lineRule="auto"/>
        <w:jc w:val="both"/>
        <w:rPr>
          <w:rFonts w:ascii="David" w:hAnsi="David"/>
          <w:rtl/>
        </w:rPr>
      </w:pPr>
      <w:r>
        <w:rPr>
          <w:rFonts w:ascii="David" w:hAnsi="David"/>
          <w:b/>
          <w:bCs/>
          <w:rtl/>
        </w:rPr>
        <w:t>ארבע עבירות של הפרת הוראה חוקית</w:t>
      </w:r>
      <w:r>
        <w:rPr>
          <w:rFonts w:ascii="David" w:hAnsi="David"/>
          <w:rtl/>
        </w:rPr>
        <w:t xml:space="preserve">, עבירה על </w:t>
      </w:r>
      <w:hyperlink r:id="rId20" w:history="1">
        <w:r w:rsidR="00264D00" w:rsidRPr="00264D00">
          <w:rPr>
            <w:rFonts w:ascii="David" w:hAnsi="David"/>
            <w:color w:val="0000FF"/>
            <w:u w:val="single"/>
            <w:rtl/>
          </w:rPr>
          <w:t>סעיף 287א</w:t>
        </w:r>
      </w:hyperlink>
      <w:r>
        <w:rPr>
          <w:rFonts w:ascii="David" w:hAnsi="David"/>
          <w:rtl/>
        </w:rPr>
        <w:t xml:space="preserve"> ל</w:t>
      </w:r>
      <w:hyperlink r:id="rId21" w:history="1">
        <w:r w:rsidR="00A9179B" w:rsidRPr="00A9179B">
          <w:rPr>
            <w:rFonts w:ascii="David" w:hAnsi="David"/>
            <w:color w:val="0000FF"/>
            <w:u w:val="single"/>
            <w:rtl/>
          </w:rPr>
          <w:t>חוק העונשין</w:t>
        </w:r>
      </w:hyperlink>
      <w:r>
        <w:rPr>
          <w:rFonts w:ascii="David" w:hAnsi="David"/>
          <w:rtl/>
        </w:rPr>
        <w:t>, התשל"ז – 1977.</w:t>
      </w:r>
      <w:r>
        <w:rPr>
          <w:rFonts w:ascii="David" w:hAnsi="David"/>
          <w:rtl/>
        </w:rPr>
        <w:br/>
      </w:r>
    </w:p>
    <w:p w14:paraId="62234579" w14:textId="77777777" w:rsidR="006B7043" w:rsidRDefault="006B7043" w:rsidP="006B7043">
      <w:pPr>
        <w:spacing w:line="360" w:lineRule="auto"/>
        <w:jc w:val="both"/>
        <w:rPr>
          <w:rFonts w:ascii="David" w:hAnsi="David"/>
          <w:rtl/>
        </w:rPr>
      </w:pPr>
      <w:r>
        <w:rPr>
          <w:rFonts w:ascii="David" w:hAnsi="David"/>
          <w:b/>
          <w:bCs/>
          <w:rtl/>
        </w:rPr>
        <w:t>שתי עבירות הסתייעות ברכב לעבור עבירה</w:t>
      </w:r>
      <w:r>
        <w:rPr>
          <w:rFonts w:ascii="David" w:hAnsi="David"/>
          <w:rtl/>
        </w:rPr>
        <w:t xml:space="preserve">, עבירה לפי </w:t>
      </w:r>
      <w:hyperlink r:id="rId22" w:history="1">
        <w:r w:rsidR="00264D00" w:rsidRPr="00264D00">
          <w:rPr>
            <w:rFonts w:ascii="David" w:hAnsi="David"/>
            <w:color w:val="0000FF"/>
            <w:u w:val="single"/>
            <w:rtl/>
          </w:rPr>
          <w:t>סעיף 43</w:t>
        </w:r>
      </w:hyperlink>
      <w:r>
        <w:rPr>
          <w:rFonts w:ascii="David" w:hAnsi="David"/>
          <w:rtl/>
        </w:rPr>
        <w:t xml:space="preserve"> ל</w:t>
      </w:r>
      <w:hyperlink r:id="rId23" w:history="1">
        <w:r w:rsidR="00A9179B" w:rsidRPr="00A9179B">
          <w:rPr>
            <w:rFonts w:ascii="David" w:hAnsi="David"/>
            <w:color w:val="0000FF"/>
            <w:u w:val="single"/>
            <w:rtl/>
          </w:rPr>
          <w:t>פקודת התעבורה</w:t>
        </w:r>
      </w:hyperlink>
      <w:r>
        <w:rPr>
          <w:rFonts w:ascii="David" w:hAnsi="David"/>
          <w:rtl/>
        </w:rPr>
        <w:t>, תשכ"א – 1961.</w:t>
      </w:r>
      <w:r>
        <w:rPr>
          <w:rFonts w:ascii="David" w:hAnsi="David"/>
          <w:rtl/>
        </w:rPr>
        <w:br/>
      </w:r>
    </w:p>
    <w:p w14:paraId="7E2D1FAD" w14:textId="77777777" w:rsidR="006B7043" w:rsidRDefault="006B7043" w:rsidP="006B7043">
      <w:pPr>
        <w:spacing w:line="360" w:lineRule="auto"/>
        <w:jc w:val="both"/>
        <w:rPr>
          <w:rFonts w:ascii="David" w:hAnsi="David"/>
          <w:rtl/>
        </w:rPr>
      </w:pPr>
      <w:r>
        <w:rPr>
          <w:rFonts w:ascii="David" w:hAnsi="David"/>
          <w:b/>
          <w:bCs/>
          <w:rtl/>
        </w:rPr>
        <w:t>עבירה אחת של קבלת דבר במרמה,</w:t>
      </w:r>
      <w:r>
        <w:rPr>
          <w:rFonts w:ascii="David" w:hAnsi="David"/>
          <w:rtl/>
        </w:rPr>
        <w:t xml:space="preserve"> עבירה לפי </w:t>
      </w:r>
      <w:hyperlink r:id="rId24" w:history="1">
        <w:r w:rsidR="00264D00" w:rsidRPr="00264D00">
          <w:rPr>
            <w:rFonts w:ascii="David" w:hAnsi="David"/>
            <w:color w:val="0000FF"/>
            <w:u w:val="single"/>
            <w:rtl/>
          </w:rPr>
          <w:t>סעיף 415</w:t>
        </w:r>
      </w:hyperlink>
      <w:r>
        <w:rPr>
          <w:rFonts w:ascii="David" w:hAnsi="David"/>
          <w:rtl/>
        </w:rPr>
        <w:t xml:space="preserve"> ל</w:t>
      </w:r>
      <w:hyperlink r:id="rId25" w:history="1">
        <w:r w:rsidR="00A9179B" w:rsidRPr="00A9179B">
          <w:rPr>
            <w:rFonts w:ascii="David" w:hAnsi="David"/>
            <w:color w:val="0000FF"/>
            <w:u w:val="single"/>
            <w:rtl/>
          </w:rPr>
          <w:t>חוק העונשין</w:t>
        </w:r>
      </w:hyperlink>
      <w:r>
        <w:rPr>
          <w:rFonts w:ascii="David" w:hAnsi="David"/>
          <w:rtl/>
        </w:rPr>
        <w:t>, התשל"ז – 1977.</w:t>
      </w:r>
      <w:r>
        <w:rPr>
          <w:rFonts w:ascii="David" w:hAnsi="David"/>
          <w:rtl/>
        </w:rPr>
        <w:br/>
      </w:r>
    </w:p>
    <w:p w14:paraId="24251F31" w14:textId="77777777" w:rsidR="006B7043" w:rsidRDefault="006B7043" w:rsidP="006B7043">
      <w:pPr>
        <w:spacing w:line="360" w:lineRule="auto"/>
        <w:jc w:val="both"/>
        <w:rPr>
          <w:rFonts w:ascii="David" w:hAnsi="David"/>
          <w:rtl/>
        </w:rPr>
      </w:pPr>
      <w:r>
        <w:rPr>
          <w:rFonts w:ascii="David" w:hAnsi="David"/>
          <w:b/>
          <w:bCs/>
          <w:rtl/>
        </w:rPr>
        <w:lastRenderedPageBreak/>
        <w:t>עבירה אחת של החזקת סכין</w:t>
      </w:r>
      <w:r>
        <w:rPr>
          <w:rFonts w:ascii="David" w:hAnsi="David"/>
          <w:rtl/>
        </w:rPr>
        <w:t xml:space="preserve">, עבירה לפי </w:t>
      </w:r>
      <w:hyperlink r:id="rId26" w:history="1">
        <w:r w:rsidR="00264D00" w:rsidRPr="00264D00">
          <w:rPr>
            <w:rFonts w:ascii="David" w:hAnsi="David"/>
            <w:color w:val="0000FF"/>
            <w:u w:val="single"/>
            <w:rtl/>
          </w:rPr>
          <w:t>סעיף 186(א)</w:t>
        </w:r>
      </w:hyperlink>
      <w:r>
        <w:rPr>
          <w:rFonts w:ascii="David" w:hAnsi="David"/>
          <w:rtl/>
        </w:rPr>
        <w:t xml:space="preserve"> ל</w:t>
      </w:r>
      <w:hyperlink r:id="rId27" w:history="1">
        <w:r w:rsidR="00A9179B" w:rsidRPr="00A9179B">
          <w:rPr>
            <w:rFonts w:ascii="David" w:hAnsi="David"/>
            <w:color w:val="0000FF"/>
            <w:u w:val="single"/>
            <w:rtl/>
          </w:rPr>
          <w:t>חוק העונשין</w:t>
        </w:r>
      </w:hyperlink>
      <w:r>
        <w:rPr>
          <w:rFonts w:ascii="David" w:hAnsi="David"/>
          <w:rtl/>
        </w:rPr>
        <w:t>, התשל"ז – 1977.</w:t>
      </w:r>
    </w:p>
    <w:p w14:paraId="3F2A71A5" w14:textId="77777777" w:rsidR="006B7043" w:rsidRDefault="006B7043" w:rsidP="006B7043">
      <w:pPr>
        <w:spacing w:line="360" w:lineRule="auto"/>
        <w:jc w:val="both"/>
        <w:rPr>
          <w:rFonts w:ascii="David" w:hAnsi="David"/>
          <w:rtl/>
        </w:rPr>
      </w:pPr>
      <w:r>
        <w:rPr>
          <w:rFonts w:ascii="David" w:hAnsi="David"/>
          <w:rtl/>
        </w:rPr>
        <w:br/>
        <w:t>ההסדר לא כלל הסכמה לעניין העונש.</w:t>
      </w:r>
    </w:p>
    <w:p w14:paraId="5A568E6C" w14:textId="77777777" w:rsidR="006B7043" w:rsidRDefault="006B7043" w:rsidP="006B7043">
      <w:pPr>
        <w:spacing w:line="360" w:lineRule="auto"/>
        <w:jc w:val="both"/>
        <w:rPr>
          <w:rFonts w:ascii="David" w:hAnsi="David"/>
          <w:rtl/>
        </w:rPr>
      </w:pPr>
    </w:p>
    <w:p w14:paraId="45A2AA03" w14:textId="77777777" w:rsidR="006B7043" w:rsidRDefault="006B7043" w:rsidP="006B7043">
      <w:pPr>
        <w:spacing w:line="360" w:lineRule="auto"/>
        <w:jc w:val="both"/>
        <w:rPr>
          <w:rFonts w:ascii="David" w:hAnsi="David"/>
          <w:b/>
          <w:bCs/>
          <w:u w:val="single"/>
          <w:rtl/>
        </w:rPr>
      </w:pPr>
      <w:r>
        <w:rPr>
          <w:rFonts w:ascii="David" w:hAnsi="David"/>
          <w:b/>
          <w:bCs/>
          <w:u w:val="single"/>
          <w:rtl/>
        </w:rPr>
        <w:t>כתב האישום המתוקן</w:t>
      </w:r>
    </w:p>
    <w:p w14:paraId="0C611AB2" w14:textId="77777777" w:rsidR="006B7043" w:rsidRDefault="006B7043" w:rsidP="006B7043">
      <w:pPr>
        <w:spacing w:line="360" w:lineRule="auto"/>
        <w:jc w:val="both"/>
        <w:rPr>
          <w:rFonts w:ascii="David" w:hAnsi="David"/>
          <w:rtl/>
        </w:rPr>
      </w:pPr>
      <w:r>
        <w:rPr>
          <w:rFonts w:ascii="David" w:hAnsi="David"/>
          <w:rtl/>
        </w:rPr>
        <w:t xml:space="preserve">ביום 13.07.23 במסגרת הליך </w:t>
      </w:r>
      <w:hyperlink r:id="rId28" w:history="1">
        <w:r w:rsidR="00A9179B" w:rsidRPr="00A9179B">
          <w:rPr>
            <w:rFonts w:ascii="David" w:hAnsi="David"/>
            <w:color w:val="0000FF"/>
            <w:u w:val="single"/>
            <w:rtl/>
          </w:rPr>
          <w:t>מ"ת 12644-05-23</w:t>
        </w:r>
      </w:hyperlink>
      <w:r>
        <w:rPr>
          <w:rFonts w:ascii="David" w:hAnsi="David"/>
          <w:rtl/>
        </w:rPr>
        <w:t xml:space="preserve"> הורה כבוד השופט נ' אבו טהה בבית המשפט המחוזי בבאר שבע על השמתו של הנאשם בתנאים מגבילים הכוללים "מעצר בית מלא" ב"חוות הסוסים" באזור התעשייה בעיר רהט, בפיקוחם של ערבים שנקבעו. בהמשך לכך, ביום 28.12.23 הורה בית המשפט על העתקת כתובת מעצר הבית לבית אמו של הנאשם ברחוב זיסו 14/31 בבאר שבע (להלן: "ההוראה החוקית").</w:t>
      </w:r>
    </w:p>
    <w:p w14:paraId="0449DDD5" w14:textId="77777777" w:rsidR="006B7043" w:rsidRDefault="006B7043" w:rsidP="006B7043">
      <w:pPr>
        <w:spacing w:line="360" w:lineRule="auto"/>
        <w:jc w:val="both"/>
        <w:rPr>
          <w:rFonts w:ascii="David" w:hAnsi="David"/>
          <w:rtl/>
        </w:rPr>
      </w:pPr>
      <w:r>
        <w:rPr>
          <w:rFonts w:ascii="David" w:hAnsi="David"/>
          <w:rtl/>
        </w:rPr>
        <w:t>במועדים הרלוונטיים לכתב האישום שימשו השוטרים אלירן בן עזרא (להלן: "הסוכן אלירן") ונתנאל לייבוביץ (להלן: "הסוכן נתנאל") כסוכנים משטרתיים למיגור תופעת הסחר בסמים.</w:t>
      </w:r>
    </w:p>
    <w:p w14:paraId="20CFEC94" w14:textId="77777777" w:rsidR="006B7043" w:rsidRDefault="006B7043" w:rsidP="006B7043">
      <w:pPr>
        <w:spacing w:line="360" w:lineRule="auto"/>
        <w:jc w:val="both"/>
        <w:rPr>
          <w:rFonts w:ascii="David" w:hAnsi="David"/>
          <w:rtl/>
        </w:rPr>
      </w:pPr>
      <w:r>
        <w:rPr>
          <w:rFonts w:ascii="David" w:hAnsi="David"/>
          <w:b/>
          <w:bCs/>
          <w:rtl/>
        </w:rPr>
        <w:t>על פי עובדות האישום השני</w:t>
      </w:r>
      <w:r>
        <w:rPr>
          <w:rFonts w:ascii="David" w:hAnsi="David"/>
          <w:rtl/>
        </w:rPr>
        <w:t xml:space="preserve">, ביום 25.01.24 סמוך לשעה 12:45, פנה הסוכן נתנאל לנאשם בכך ששלח לו הודעה בישומון "ווצאפ" וביקש לרכוש ממנו סמים בכך ששלח את ההודעה  "אני צריך ב-200 חממה", בתגובה השיב הנאשם לסוכן נתנאל כי הוא [הנאשם] ישלח לו מיקום, ועל הסוכן להגיע למיקום לצורך רכישת הסם. </w:t>
      </w:r>
    </w:p>
    <w:p w14:paraId="63B3A615" w14:textId="77777777" w:rsidR="006B7043" w:rsidRDefault="006B7043" w:rsidP="006B7043">
      <w:pPr>
        <w:spacing w:line="360" w:lineRule="auto"/>
        <w:jc w:val="both"/>
        <w:rPr>
          <w:rFonts w:ascii="David" w:hAnsi="David"/>
          <w:rtl/>
        </w:rPr>
      </w:pPr>
      <w:r>
        <w:rPr>
          <w:rFonts w:ascii="David" w:hAnsi="David"/>
          <w:rtl/>
        </w:rPr>
        <w:t>בהמשך לכך, הציע הנאשם לסוכן כי הוא יגיע אליו, ובתמורה למשלוח ישלם לו 230 ₪ במקום 200 ₪ עליהם סיכמו, הסוכן נתנאל השיב בחיוב להצעתו של הנאשם.</w:t>
      </w:r>
    </w:p>
    <w:p w14:paraId="7DF755EE" w14:textId="77777777" w:rsidR="006B7043" w:rsidRDefault="006B7043" w:rsidP="006B7043">
      <w:pPr>
        <w:spacing w:line="360" w:lineRule="auto"/>
        <w:jc w:val="both"/>
        <w:rPr>
          <w:rFonts w:ascii="David" w:hAnsi="David"/>
          <w:rtl/>
        </w:rPr>
      </w:pPr>
      <w:r>
        <w:rPr>
          <w:rFonts w:ascii="David" w:hAnsi="David"/>
          <w:rtl/>
        </w:rPr>
        <w:t>בהמשך למתואר, סמוך לשעה 14:40 הגיע הנאשם ברכב מסוג טויוטה ל.ז. 108-78-601 לשכונת נחל עשן בבאר שבע, בסמוך ל"סופר פארם" כאשר הוא יושב במושב הנוסע הקדמי, ובמושב הנהג יושב אחר, במעמד זה ניגש הסוכן נתנאל לנאשם, מסר לו סכום של 230 ₪, והנאשם מסר לו בתמורה סם מסוכן מסוג קנבוס במשקל 4.17 גרם נטו.</w:t>
      </w:r>
    </w:p>
    <w:p w14:paraId="14A897A8" w14:textId="77777777" w:rsidR="006B7043" w:rsidRDefault="006B7043" w:rsidP="006B7043">
      <w:pPr>
        <w:spacing w:line="360" w:lineRule="auto"/>
        <w:jc w:val="both"/>
        <w:rPr>
          <w:rFonts w:ascii="David" w:hAnsi="David"/>
          <w:rtl/>
        </w:rPr>
      </w:pPr>
      <w:r>
        <w:rPr>
          <w:rFonts w:ascii="David" w:hAnsi="David"/>
          <w:rtl/>
        </w:rPr>
        <w:t>במעשיו המתוארים לעיל סחר הנאשם בסם מסוכן מבלי שהיה לו היתר כדין או אישור מאת המנהל לכך. כמו כן במעשיו אלו הסתייע הנאשם ברכב על מנת לעבור עבירה.</w:t>
      </w:r>
    </w:p>
    <w:p w14:paraId="22CEB5D1" w14:textId="77777777" w:rsidR="006B7043" w:rsidRDefault="006B7043" w:rsidP="006B7043">
      <w:pPr>
        <w:spacing w:line="360" w:lineRule="auto"/>
        <w:jc w:val="both"/>
        <w:rPr>
          <w:rFonts w:ascii="David" w:hAnsi="David"/>
          <w:rtl/>
        </w:rPr>
      </w:pPr>
      <w:r>
        <w:rPr>
          <w:rFonts w:ascii="David" w:hAnsi="David"/>
          <w:rtl/>
        </w:rPr>
        <w:t>במעשיו המתוארים לעיל הפר הנאשם את ההוראה החוקית שניתנה כשורה מאת בית המשפט.</w:t>
      </w:r>
    </w:p>
    <w:p w14:paraId="6F21C5BA" w14:textId="77777777" w:rsidR="006B7043" w:rsidRDefault="006B7043" w:rsidP="006B7043">
      <w:pPr>
        <w:spacing w:line="360" w:lineRule="auto"/>
        <w:jc w:val="both"/>
        <w:rPr>
          <w:rFonts w:ascii="David" w:hAnsi="David"/>
          <w:rtl/>
        </w:rPr>
      </w:pPr>
    </w:p>
    <w:p w14:paraId="7DAB5040" w14:textId="77777777" w:rsidR="006B7043" w:rsidRDefault="006B7043" w:rsidP="006B7043">
      <w:pPr>
        <w:spacing w:line="360" w:lineRule="auto"/>
        <w:jc w:val="both"/>
        <w:rPr>
          <w:rFonts w:ascii="David" w:hAnsi="David"/>
          <w:rtl/>
        </w:rPr>
      </w:pPr>
      <w:r>
        <w:rPr>
          <w:rFonts w:ascii="David" w:hAnsi="David"/>
          <w:b/>
          <w:bCs/>
          <w:rtl/>
        </w:rPr>
        <w:t xml:space="preserve">על פי עובדות האישום השלישי, </w:t>
      </w:r>
      <w:r>
        <w:rPr>
          <w:rFonts w:ascii="David" w:hAnsi="David"/>
          <w:rtl/>
        </w:rPr>
        <w:t>ביום 31.01.24 סמוך לשעה 17:00 פנה הסוכן נתנאל לנאשם בכך ששלח לו הודעה באמצעות יישומון "ווצאפ" בכך שאמר לו "אני צריך ב-200, יש לך משהו טוב?", הנאשם השיב בחיוב, ותיאם להיפגש עם הסוכן נתנאל ברחוב החשמונאים בבאר שבע.</w:t>
      </w:r>
    </w:p>
    <w:p w14:paraId="3032A5CE" w14:textId="77777777" w:rsidR="006B7043" w:rsidRDefault="006B7043" w:rsidP="006B7043">
      <w:pPr>
        <w:spacing w:line="360" w:lineRule="auto"/>
        <w:jc w:val="both"/>
        <w:rPr>
          <w:rFonts w:ascii="David" w:hAnsi="David"/>
          <w:rtl/>
        </w:rPr>
      </w:pPr>
      <w:r>
        <w:rPr>
          <w:rFonts w:ascii="David" w:hAnsi="David"/>
          <w:rtl/>
        </w:rPr>
        <w:t xml:space="preserve">בהמשך למתואר לעיל, סמוך לשעה 17:40, הגיע הנאשם ברכב מסוג טויוטה ל.ז. 108-78-601 לרחוב החשמונאים כאשר הוא יושב במושב הקדמי, ובמושב הנהג יושב אחר, אז ניגש אליו הסוכן נתנאל ומסר לו סכום של 230 ₪ ובתמורה מסר לו הנאשם סם מסוכן מסוג קנבוס במשקל 5.64 גרם נטו. </w:t>
      </w:r>
    </w:p>
    <w:p w14:paraId="220FA1BC" w14:textId="77777777" w:rsidR="006B7043" w:rsidRDefault="006B7043" w:rsidP="006B7043">
      <w:pPr>
        <w:spacing w:line="360" w:lineRule="auto"/>
        <w:jc w:val="both"/>
        <w:rPr>
          <w:rFonts w:ascii="David" w:hAnsi="David"/>
          <w:rtl/>
        </w:rPr>
      </w:pPr>
      <w:r>
        <w:rPr>
          <w:rFonts w:ascii="David" w:hAnsi="David"/>
          <w:rtl/>
        </w:rPr>
        <w:t>במעשיו המתוארים לעיל סחר הנאשם בסם מסוכן מבלי שהיה לו היתר כדין או אישור מאת המנהל, וכן הסתייע ברכב לשם ביצוע עבירה.</w:t>
      </w:r>
    </w:p>
    <w:p w14:paraId="4CBC713A" w14:textId="77777777" w:rsidR="006B7043" w:rsidRDefault="006B7043" w:rsidP="006B7043">
      <w:pPr>
        <w:spacing w:line="360" w:lineRule="auto"/>
        <w:jc w:val="both"/>
        <w:rPr>
          <w:rFonts w:ascii="David" w:hAnsi="David"/>
          <w:rtl/>
        </w:rPr>
      </w:pPr>
      <w:r>
        <w:rPr>
          <w:rFonts w:ascii="David" w:hAnsi="David"/>
          <w:rtl/>
        </w:rPr>
        <w:t>במעשיו המתוארים לעיל הפר הנאשם את ההוראה החוקית שניתנה כשורה מאת בית המשפט.</w:t>
      </w:r>
    </w:p>
    <w:p w14:paraId="7450A64B" w14:textId="77777777" w:rsidR="006B7043" w:rsidRDefault="006B7043" w:rsidP="006B7043">
      <w:pPr>
        <w:spacing w:line="360" w:lineRule="auto"/>
        <w:jc w:val="both"/>
        <w:rPr>
          <w:rFonts w:ascii="David" w:hAnsi="David"/>
          <w:rtl/>
        </w:rPr>
      </w:pPr>
    </w:p>
    <w:p w14:paraId="55087E7C" w14:textId="77777777" w:rsidR="006B7043" w:rsidRDefault="006B7043" w:rsidP="006B7043">
      <w:pPr>
        <w:spacing w:line="360" w:lineRule="auto"/>
        <w:jc w:val="both"/>
        <w:rPr>
          <w:rFonts w:ascii="David" w:hAnsi="David"/>
          <w:rtl/>
        </w:rPr>
      </w:pPr>
      <w:r>
        <w:rPr>
          <w:rFonts w:ascii="David" w:hAnsi="David"/>
          <w:b/>
          <w:bCs/>
          <w:rtl/>
        </w:rPr>
        <w:t xml:space="preserve">על פי עובדות האישום הרביעי, </w:t>
      </w:r>
      <w:r>
        <w:rPr>
          <w:rFonts w:ascii="David" w:hAnsi="David"/>
          <w:rtl/>
        </w:rPr>
        <w:t>ביום 13.02.24 סמוך לשעה 20:00 פנה הסוכן נתנאל לנאשם בכך ששלח לו הודעה באמצעות יישומון "ווצאפ" בכך שאמר לו "יש מצב לוורוד", כאשר הוא מתכוון לסם מסוכן המכונה בעגה העבריינית "דוסה" וצבעו וורוד, בתגובה השיב לו הנאשם "מה? דוסה?" והסוכן נתנאל השיב לו בחיוב, אז תיאם הנאשם להיפגש עם הסוכן נתנאל בכך שאמר לו להגיע אליו לשכונה ג' בבאר שבע בסמוך למרכול "סופר תהילה".</w:t>
      </w:r>
    </w:p>
    <w:p w14:paraId="41E942F9" w14:textId="77777777" w:rsidR="006B7043" w:rsidRDefault="006B7043" w:rsidP="006B7043">
      <w:pPr>
        <w:spacing w:line="360" w:lineRule="auto"/>
        <w:jc w:val="both"/>
        <w:rPr>
          <w:rFonts w:ascii="David" w:hAnsi="David"/>
          <w:rtl/>
        </w:rPr>
      </w:pPr>
      <w:r>
        <w:rPr>
          <w:rFonts w:ascii="David" w:hAnsi="David"/>
          <w:rtl/>
        </w:rPr>
        <w:t>בהמשך למתואר לעיל, סמוך לשעה 20:45, הגיע הסוכן נתנאל למקום המפגש המתואם כפי שפורט לעיל, עדכן את הנאשם כי הוא במקום, והנאשם השיב לו "אני יורד", אז הגיע הנאשם, פגש בסוכן נתנאל אשר מסר לו סכום של 250 ₪, ואילו הנאשם מסר לו בתמורה שקית ניילון אטומה ובתוכה חומר שטיבו אינו ידוע במשקל 1.9167 גרם נטו.</w:t>
      </w:r>
    </w:p>
    <w:p w14:paraId="2CBB21D3" w14:textId="77777777" w:rsidR="006B7043" w:rsidRDefault="006B7043" w:rsidP="006B7043">
      <w:pPr>
        <w:spacing w:line="360" w:lineRule="auto"/>
        <w:jc w:val="both"/>
        <w:rPr>
          <w:rFonts w:ascii="David" w:hAnsi="David"/>
          <w:rtl/>
        </w:rPr>
      </w:pPr>
      <w:r>
        <w:rPr>
          <w:rFonts w:ascii="David" w:hAnsi="David"/>
          <w:rtl/>
        </w:rPr>
        <w:t xml:space="preserve">במעשיו המתוארים לעיל, קיבל הנאשם במרמה מהסוכן נתנאל 250 ₪. </w:t>
      </w:r>
    </w:p>
    <w:p w14:paraId="220D6D8D" w14:textId="77777777" w:rsidR="006B7043" w:rsidRDefault="006B7043" w:rsidP="006B7043">
      <w:pPr>
        <w:spacing w:line="360" w:lineRule="auto"/>
        <w:jc w:val="both"/>
        <w:rPr>
          <w:rFonts w:ascii="David" w:hAnsi="David"/>
          <w:rtl/>
        </w:rPr>
      </w:pPr>
      <w:r>
        <w:rPr>
          <w:rFonts w:ascii="David" w:hAnsi="David"/>
          <w:rtl/>
        </w:rPr>
        <w:t>במעשיו המתוארים לעיל הפר הנאשם את ההוראה החוקית שניתנה כשורה מאת בית המשפט.</w:t>
      </w:r>
    </w:p>
    <w:p w14:paraId="78308227" w14:textId="77777777" w:rsidR="006B7043" w:rsidRDefault="006B7043" w:rsidP="006B7043">
      <w:pPr>
        <w:spacing w:line="360" w:lineRule="auto"/>
        <w:jc w:val="both"/>
        <w:rPr>
          <w:rFonts w:ascii="David" w:hAnsi="David"/>
          <w:rtl/>
        </w:rPr>
      </w:pPr>
    </w:p>
    <w:p w14:paraId="77FDFA64" w14:textId="77777777" w:rsidR="006B7043" w:rsidRDefault="006B7043" w:rsidP="006B7043">
      <w:pPr>
        <w:spacing w:line="360" w:lineRule="auto"/>
        <w:jc w:val="both"/>
        <w:rPr>
          <w:rFonts w:ascii="David" w:hAnsi="David"/>
          <w:rtl/>
        </w:rPr>
      </w:pPr>
      <w:r>
        <w:rPr>
          <w:rFonts w:ascii="David" w:hAnsi="David"/>
          <w:rtl/>
        </w:rPr>
        <w:t xml:space="preserve"> </w:t>
      </w:r>
      <w:r>
        <w:rPr>
          <w:rFonts w:ascii="David" w:hAnsi="David"/>
          <w:b/>
          <w:bCs/>
          <w:rtl/>
        </w:rPr>
        <w:t xml:space="preserve">על פי עובדות האישום החמישי, </w:t>
      </w:r>
      <w:r>
        <w:rPr>
          <w:rFonts w:ascii="David" w:hAnsi="David"/>
          <w:rtl/>
        </w:rPr>
        <w:t xml:space="preserve">ביום 15.02.24 סמוך לשעה 11:50, פנה הסוכן נתנאל לנאשם וביקש לרכוש ממנו סמים בכך שביקש ממנו "אני צריך ב-300 חממה", הנאשם נעתר לכך ושאל את הסוכן נתנאל האם יוכל לבוא אליו לשכונה ג', הסוכן נתנאל השיב לו כי הוא מעוניין שהנאשם יגיע אליו לרחוב מבצע עובדה בעיר באר שבע. </w:t>
      </w:r>
    </w:p>
    <w:p w14:paraId="657BC1A4" w14:textId="77777777" w:rsidR="006B7043" w:rsidRDefault="006B7043" w:rsidP="006B7043">
      <w:pPr>
        <w:spacing w:line="360" w:lineRule="auto"/>
        <w:jc w:val="both"/>
        <w:rPr>
          <w:rFonts w:ascii="David" w:hAnsi="David"/>
          <w:rtl/>
        </w:rPr>
      </w:pPr>
      <w:r>
        <w:rPr>
          <w:rFonts w:ascii="David" w:hAnsi="David"/>
          <w:rtl/>
        </w:rPr>
        <w:t>בהמשך לכך, סמוך לשעה 12:50 הגיע הנאשם למקום המפגש המתואם כמתואר לעיל, אז בוצע מעצר על ידי צוות שוטרים שהמתינו במקום.</w:t>
      </w:r>
    </w:p>
    <w:p w14:paraId="57C09F65" w14:textId="77777777" w:rsidR="006B7043" w:rsidRDefault="006B7043" w:rsidP="006B7043">
      <w:pPr>
        <w:spacing w:line="360" w:lineRule="auto"/>
        <w:jc w:val="both"/>
        <w:rPr>
          <w:rFonts w:ascii="David" w:hAnsi="David"/>
          <w:rtl/>
        </w:rPr>
      </w:pPr>
      <w:r>
        <w:rPr>
          <w:rFonts w:ascii="David" w:hAnsi="David"/>
          <w:rtl/>
        </w:rPr>
        <w:t>במעמד המתואר לעיל, החזיק הנאשם בסכין, שלא למטרה כשרה, מחוץ לתחום ביתו או חצירו.</w:t>
      </w:r>
    </w:p>
    <w:p w14:paraId="13AFD856" w14:textId="77777777" w:rsidR="006B7043" w:rsidRDefault="006B7043" w:rsidP="006B7043">
      <w:pPr>
        <w:spacing w:line="360" w:lineRule="auto"/>
        <w:jc w:val="both"/>
        <w:rPr>
          <w:rFonts w:ascii="David" w:hAnsi="David"/>
          <w:rtl/>
        </w:rPr>
      </w:pPr>
      <w:r>
        <w:rPr>
          <w:rFonts w:ascii="David" w:hAnsi="David"/>
          <w:rtl/>
        </w:rPr>
        <w:t>במעשיו המתוארים לעיל הפר הנאשם את ההוראה החוקית שניתנה כשורה מאת בית המשפט.</w:t>
      </w:r>
    </w:p>
    <w:p w14:paraId="5C0B0B45" w14:textId="77777777" w:rsidR="006B7043" w:rsidRDefault="006B7043" w:rsidP="006B7043">
      <w:pPr>
        <w:spacing w:line="360" w:lineRule="auto"/>
        <w:jc w:val="both"/>
        <w:rPr>
          <w:rFonts w:ascii="David" w:hAnsi="David"/>
          <w:b/>
          <w:bCs/>
          <w:u w:val="single"/>
          <w:rtl/>
        </w:rPr>
      </w:pPr>
      <w:r>
        <w:rPr>
          <w:rFonts w:ascii="David" w:hAnsi="David"/>
          <w:b/>
          <w:bCs/>
          <w:u w:val="single"/>
          <w:rtl/>
        </w:rPr>
        <w:t>טיעוני הצדדים</w:t>
      </w:r>
    </w:p>
    <w:p w14:paraId="2EBC4077" w14:textId="77777777" w:rsidR="006B7043" w:rsidRDefault="006B7043" w:rsidP="006B7043">
      <w:pPr>
        <w:spacing w:line="360" w:lineRule="auto"/>
        <w:jc w:val="both"/>
        <w:rPr>
          <w:rFonts w:ascii="David" w:hAnsi="David"/>
          <w:rtl/>
        </w:rPr>
      </w:pPr>
      <w:r>
        <w:rPr>
          <w:rFonts w:ascii="David" w:hAnsi="David"/>
          <w:b/>
          <w:bCs/>
          <w:rtl/>
        </w:rPr>
        <w:t>ב"כ המאשימה</w:t>
      </w:r>
      <w:r>
        <w:rPr>
          <w:rFonts w:ascii="David" w:hAnsi="David"/>
          <w:rtl/>
        </w:rPr>
        <w:t xml:space="preserve"> (להלן: "המאשימה") הגישה גיליון רישום פלילי (התקבל בהסכמה וסומן </w:t>
      </w:r>
      <w:r>
        <w:rPr>
          <w:rFonts w:ascii="David" w:hAnsi="David"/>
          <w:b/>
          <w:bCs/>
          <w:rtl/>
        </w:rPr>
        <w:t>ת/1</w:t>
      </w:r>
      <w:r>
        <w:rPr>
          <w:rFonts w:ascii="David" w:hAnsi="David"/>
          <w:rtl/>
        </w:rPr>
        <w:t>).</w:t>
      </w:r>
    </w:p>
    <w:p w14:paraId="0701EC60" w14:textId="77777777" w:rsidR="006B7043" w:rsidRDefault="006B7043" w:rsidP="006B7043">
      <w:pPr>
        <w:spacing w:line="360" w:lineRule="auto"/>
        <w:jc w:val="both"/>
        <w:rPr>
          <w:rFonts w:ascii="David" w:hAnsi="David"/>
          <w:rtl/>
        </w:rPr>
      </w:pPr>
      <w:r>
        <w:rPr>
          <w:rFonts w:ascii="David" w:hAnsi="David"/>
          <w:rtl/>
        </w:rPr>
        <w:t>לדברי המאשימה מדובר בנאשם אשר הורשע בבית משפט לנוער בעבירה של סיוע לשוד מזוין ונדון לשלושה חודשי עבודות שירות, בתיק הנוכחי לא עבר הליך טיפולי כלשהו.</w:t>
      </w:r>
    </w:p>
    <w:p w14:paraId="6FD5DBDD" w14:textId="77777777" w:rsidR="006B7043" w:rsidRDefault="006B7043" w:rsidP="006B7043">
      <w:pPr>
        <w:spacing w:line="360" w:lineRule="auto"/>
        <w:jc w:val="both"/>
        <w:rPr>
          <w:rFonts w:ascii="David" w:hAnsi="David"/>
          <w:rtl/>
        </w:rPr>
      </w:pPr>
      <w:r>
        <w:rPr>
          <w:rFonts w:ascii="David" w:hAnsi="David"/>
          <w:rtl/>
        </w:rPr>
        <w:t>ב"כ המאשימה עותרת לקביעת מתחם אחד בכל האירועים, לדבריה מדובר על מספר מכירות אשר התרחשו בזמן היותו תחת מעצר בית מלא. המאשימה עותרת לקביעת מתחם עונש מחמיר הנע בין 20-40 חודשי מאסר בפועל לכל האירועים ולמקמו ברף הבינוני במתחם ולהשית עליו עונשים נלווים.</w:t>
      </w:r>
    </w:p>
    <w:p w14:paraId="7A60A7F1" w14:textId="77777777" w:rsidR="006B7043" w:rsidRDefault="006B7043" w:rsidP="006B7043">
      <w:pPr>
        <w:spacing w:line="360" w:lineRule="auto"/>
        <w:jc w:val="both"/>
        <w:rPr>
          <w:rFonts w:ascii="David" w:hAnsi="David"/>
          <w:rtl/>
        </w:rPr>
      </w:pPr>
      <w:r>
        <w:rPr>
          <w:rFonts w:ascii="David" w:hAnsi="David"/>
          <w:rtl/>
        </w:rPr>
        <w:t>המאשימה הפנתה  ל</w:t>
      </w:r>
      <w:hyperlink r:id="rId29" w:history="1">
        <w:r w:rsidR="00A9179B" w:rsidRPr="00A9179B">
          <w:rPr>
            <w:rFonts w:ascii="David" w:hAnsi="David"/>
            <w:b/>
            <w:bCs/>
            <w:color w:val="0000FF"/>
            <w:u w:val="single"/>
            <w:rtl/>
          </w:rPr>
          <w:t>רע"פ 7996/12</w:t>
        </w:r>
      </w:hyperlink>
      <w:r>
        <w:rPr>
          <w:rFonts w:ascii="David" w:hAnsi="David"/>
          <w:b/>
          <w:bCs/>
          <w:rtl/>
        </w:rPr>
        <w:t xml:space="preserve"> אליהו יוסף נגד מדינת ישראל</w:t>
      </w:r>
      <w:r>
        <w:rPr>
          <w:rFonts w:ascii="David" w:hAnsi="David"/>
          <w:rtl/>
        </w:rPr>
        <w:t>, אשר מדובר במי שהורשע בעבירת סחר וגם בהחזקה לשימוש עצמי. מדובר במכירה של קנביס במשקלים מאוד מאוד נמוכים ומכירה אחת של קוקאין במשקל של פחות מגרם, נעדר עבר פלילי להבדיל מהנאשם כאן ומי שלגביו הוגשו תסקירים חיוביים ובית המשפט העליון אישרר עונש מאסר בפועל של 21 חודשים.</w:t>
      </w:r>
    </w:p>
    <w:p w14:paraId="6917AFBA" w14:textId="77777777" w:rsidR="006B7043" w:rsidRDefault="006B7043" w:rsidP="006B7043">
      <w:pPr>
        <w:spacing w:line="360" w:lineRule="auto"/>
        <w:jc w:val="both"/>
        <w:rPr>
          <w:rFonts w:ascii="David" w:hAnsi="David"/>
          <w:rtl/>
        </w:rPr>
      </w:pPr>
      <w:r>
        <w:rPr>
          <w:rFonts w:ascii="David" w:hAnsi="David"/>
          <w:rtl/>
        </w:rPr>
        <w:t>ביחס לעבירת הסכין, הוסיפה המאשימה כי העובדה שהנאשם מחזיק סכין וגם מבצע עבירות סמים, הדבר מעיד על אדם בעל דפוסים עברייניים, מעבר לכך שהנאשם מסכן את הציבור בביצוע עבירות סמים ולא ירא מהחוק בכך שיוצא מביתו לביצוע העבירות שעה שמצוי במעצר בית.</w:t>
      </w:r>
    </w:p>
    <w:p w14:paraId="4CBD510E" w14:textId="77777777" w:rsidR="006B7043" w:rsidRDefault="006B7043" w:rsidP="006B7043">
      <w:pPr>
        <w:spacing w:line="360" w:lineRule="auto"/>
        <w:jc w:val="both"/>
        <w:rPr>
          <w:rFonts w:ascii="David" w:hAnsi="David"/>
          <w:rtl/>
        </w:rPr>
      </w:pPr>
    </w:p>
    <w:p w14:paraId="15DB61CD" w14:textId="77777777" w:rsidR="006B7043" w:rsidRDefault="006B7043" w:rsidP="006B7043">
      <w:pPr>
        <w:spacing w:line="360" w:lineRule="auto"/>
        <w:jc w:val="both"/>
        <w:rPr>
          <w:rFonts w:ascii="David" w:hAnsi="David"/>
          <w:rtl/>
        </w:rPr>
      </w:pPr>
      <w:r>
        <w:rPr>
          <w:rFonts w:ascii="David" w:hAnsi="David"/>
          <w:b/>
          <w:bCs/>
          <w:rtl/>
        </w:rPr>
        <w:t>ב"כ הנאשם</w:t>
      </w:r>
      <w:r>
        <w:rPr>
          <w:rFonts w:ascii="David" w:hAnsi="David"/>
          <w:rtl/>
        </w:rPr>
        <w:t xml:space="preserve"> טען לעניין העונש כי יש לתת משקל לכך שהסוכן יצר קשר עם הנאשם.</w:t>
      </w:r>
      <w:r>
        <w:rPr>
          <w:rFonts w:ascii="David" w:hAnsi="David"/>
          <w:rtl/>
        </w:rPr>
        <w:br/>
        <w:t>לדבריו, בעבירות הסחר נשוא כתב האישום מדובר על משקלים קטנים של קנביס, והפסיקה מתייחסת לכך בהתאם.</w:t>
      </w:r>
    </w:p>
    <w:p w14:paraId="1C43B58A" w14:textId="77777777" w:rsidR="006B7043" w:rsidRDefault="006B7043" w:rsidP="006B7043">
      <w:pPr>
        <w:spacing w:line="360" w:lineRule="auto"/>
        <w:jc w:val="both"/>
        <w:rPr>
          <w:rFonts w:ascii="David" w:hAnsi="David"/>
          <w:rtl/>
        </w:rPr>
      </w:pPr>
      <w:r>
        <w:rPr>
          <w:rFonts w:ascii="David" w:hAnsi="David"/>
          <w:rtl/>
        </w:rPr>
        <w:t>לעניין הפרת ההוראה החוקית, החזקת סכין וקבלת דבר במרמה טען כי המתחמים הרלוונטיים בנסיבות העניין מתחילים מענישה צופה פני עתיד ועד לחודשי מאסר ספורים. הגיש טבלת פסיקה התומכת בדבריו.</w:t>
      </w:r>
    </w:p>
    <w:p w14:paraId="6C982E38" w14:textId="77777777" w:rsidR="006B7043" w:rsidRDefault="006B7043" w:rsidP="006B7043">
      <w:pPr>
        <w:spacing w:line="360" w:lineRule="auto"/>
        <w:jc w:val="both"/>
        <w:rPr>
          <w:rFonts w:ascii="David" w:hAnsi="David"/>
          <w:rtl/>
        </w:rPr>
      </w:pPr>
      <w:r>
        <w:rPr>
          <w:rFonts w:ascii="David" w:hAnsi="David"/>
          <w:rtl/>
        </w:rPr>
        <w:t>לעניין מתחם העונש הסכים כי יש לקבוע מתחם אחד. לדבריו, יש לראות את כל אירועי כתב האישום כסובבים סביב אותו הציר. לעניין החזקת הסכין, לא מדובר באירוע בנסיבות מחמירות.</w:t>
      </w:r>
    </w:p>
    <w:p w14:paraId="2532184D" w14:textId="77777777" w:rsidR="006B7043" w:rsidRDefault="006B7043" w:rsidP="006B7043">
      <w:pPr>
        <w:spacing w:line="360" w:lineRule="auto"/>
        <w:jc w:val="both"/>
        <w:rPr>
          <w:rFonts w:ascii="David" w:hAnsi="David"/>
          <w:rtl/>
        </w:rPr>
      </w:pPr>
      <w:r>
        <w:rPr>
          <w:rFonts w:ascii="David" w:hAnsi="David"/>
          <w:rtl/>
        </w:rPr>
        <w:t xml:space="preserve">לסיכום טען למתחם אחד על כלל העבירות שינוע בין 10-18 חודשי מאסר בפועל תוך מיקום העונש בתחתית המתחם. </w:t>
      </w:r>
    </w:p>
    <w:p w14:paraId="0DDB027D" w14:textId="77777777" w:rsidR="006B7043" w:rsidRDefault="006B7043" w:rsidP="006B7043">
      <w:pPr>
        <w:spacing w:line="360" w:lineRule="auto"/>
        <w:jc w:val="both"/>
        <w:rPr>
          <w:rFonts w:ascii="David" w:hAnsi="David"/>
          <w:rtl/>
        </w:rPr>
      </w:pPr>
    </w:p>
    <w:p w14:paraId="25FB37F3" w14:textId="77777777" w:rsidR="006B7043" w:rsidRDefault="006B7043" w:rsidP="006B7043">
      <w:pPr>
        <w:spacing w:line="360" w:lineRule="auto"/>
        <w:jc w:val="both"/>
        <w:rPr>
          <w:rFonts w:ascii="David" w:hAnsi="David"/>
          <w:rtl/>
        </w:rPr>
      </w:pPr>
    </w:p>
    <w:p w14:paraId="319E2425" w14:textId="77777777" w:rsidR="006B7043" w:rsidRPr="006B7043" w:rsidRDefault="006B7043" w:rsidP="006B7043">
      <w:pPr>
        <w:spacing w:line="360" w:lineRule="auto"/>
        <w:jc w:val="both"/>
        <w:rPr>
          <w:rFonts w:ascii="Calibri" w:hAnsi="Calibri"/>
          <w:b/>
          <w:bCs/>
          <w:sz w:val="28"/>
          <w:szCs w:val="28"/>
          <w:u w:val="single"/>
          <w:rtl/>
        </w:rPr>
      </w:pPr>
      <w:r>
        <w:rPr>
          <w:b/>
          <w:bCs/>
          <w:sz w:val="28"/>
          <w:szCs w:val="28"/>
          <w:u w:val="single"/>
          <w:rtl/>
        </w:rPr>
        <w:t xml:space="preserve">דיון והכרעה </w:t>
      </w:r>
    </w:p>
    <w:p w14:paraId="1ADD6221" w14:textId="77777777" w:rsidR="006B7043" w:rsidRDefault="006B7043" w:rsidP="006B7043">
      <w:pPr>
        <w:spacing w:line="360" w:lineRule="auto"/>
        <w:jc w:val="both"/>
        <w:rPr>
          <w:b/>
          <w:bCs/>
          <w:u w:val="single"/>
        </w:rPr>
      </w:pPr>
      <w:r>
        <w:rPr>
          <w:b/>
          <w:bCs/>
          <w:u w:val="single"/>
          <w:rtl/>
        </w:rPr>
        <w:t xml:space="preserve">קביעת מתחם העונש ההולם </w:t>
      </w:r>
    </w:p>
    <w:p w14:paraId="3A0A58CA" w14:textId="77777777" w:rsidR="006B7043" w:rsidRDefault="006B7043" w:rsidP="006B7043">
      <w:pPr>
        <w:spacing w:line="360" w:lineRule="auto"/>
        <w:jc w:val="both"/>
        <w:rPr>
          <w:rtl/>
        </w:rPr>
      </w:pPr>
      <w:r>
        <w:rPr>
          <w:rtl/>
        </w:rPr>
        <w:t>קביעת מתחם העונש ההולם למעשה העבירה נעשה בהתאם לעקרון ההלימה. לשם קביעת מתחם העונש ההולם יש להתחשב בערך החברתי שנפגע, במידת הפגיעה בו, במדיניות הענישה הנוהגת ובנסיבות הקשורות בביצוע העבירה.</w:t>
      </w:r>
    </w:p>
    <w:p w14:paraId="39FD1E31" w14:textId="77777777" w:rsidR="006B7043" w:rsidRDefault="006B7043" w:rsidP="006B7043">
      <w:pPr>
        <w:spacing w:line="360" w:lineRule="auto"/>
        <w:jc w:val="both"/>
        <w:rPr>
          <w:rtl/>
        </w:rPr>
      </w:pPr>
      <w:r>
        <w:rPr>
          <w:rFonts w:ascii="David" w:hAnsi="David"/>
          <w:rtl/>
        </w:rPr>
        <w:t xml:space="preserve">כתב האישום מתאר מס' אירועים ועבירות שונות אשר התקיימו (ברובם) בין הסוכן הסמוי לבין הנאשם. טווח הזמנים הקצר בין האירועים והדמיון הרב בין כלל נסיבות האירועים והעבירות מלמד על קשר הדוק בין העבירות ועל מסכת עבריינית אחת. מכאן כי ראוי לקבוע מתחם עונש אחד, המביא בחשבון כי מדובר במס' אירועים שונים ומס' עבירות שונות. </w:t>
      </w:r>
      <w:r>
        <w:rPr>
          <w:rtl/>
        </w:rPr>
        <w:t xml:space="preserve">(ראה </w:t>
      </w:r>
      <w:hyperlink r:id="rId30" w:history="1">
        <w:r w:rsidR="00A9179B" w:rsidRPr="00A9179B">
          <w:rPr>
            <w:color w:val="0000FF"/>
            <w:u w:val="single"/>
            <w:rtl/>
          </w:rPr>
          <w:t>ע"פ 4910/13</w:t>
        </w:r>
      </w:hyperlink>
      <w:r w:rsidR="00A9179B">
        <w:t xml:space="preserve"> </w:t>
      </w:r>
      <w:r>
        <w:rPr>
          <w:b/>
          <w:bCs/>
          <w:rtl/>
        </w:rPr>
        <w:t>ג'אבר נ' מדינת ישראל,</w:t>
      </w:r>
      <w:r>
        <w:rPr>
          <w:rtl/>
        </w:rPr>
        <w:t xml:space="preserve"> 29.10.14; </w:t>
      </w:r>
      <w:hyperlink r:id="rId31" w:history="1">
        <w:r w:rsidR="00A9179B" w:rsidRPr="00A9179B">
          <w:rPr>
            <w:color w:val="0000FF"/>
            <w:u w:val="single"/>
            <w:rtl/>
          </w:rPr>
          <w:t>רע"פ 4760/14</w:t>
        </w:r>
      </w:hyperlink>
      <w:r w:rsidR="00A9179B">
        <w:t xml:space="preserve"> </w:t>
      </w:r>
      <w:r>
        <w:rPr>
          <w:b/>
          <w:bCs/>
          <w:rtl/>
        </w:rPr>
        <w:t>קיסלמן ואח' נ' מדינת ישראל</w:t>
      </w:r>
      <w:r>
        <w:rPr>
          <w:rtl/>
        </w:rPr>
        <w:t xml:space="preserve"> 07.05.15; </w:t>
      </w:r>
      <w:hyperlink r:id="rId32" w:history="1">
        <w:r w:rsidR="00A9179B" w:rsidRPr="00A9179B">
          <w:rPr>
            <w:color w:val="0000FF"/>
            <w:u w:val="single"/>
            <w:rtl/>
          </w:rPr>
          <w:t>דנ"פ 2999/16</w:t>
        </w:r>
      </w:hyperlink>
      <w:r w:rsidR="00A9179B">
        <w:t xml:space="preserve"> </w:t>
      </w:r>
      <w:r>
        <w:rPr>
          <w:b/>
          <w:bCs/>
          <w:rtl/>
        </w:rPr>
        <w:t>מזרחי נ' מדינת ישראל</w:t>
      </w:r>
      <w:r>
        <w:rPr>
          <w:rtl/>
        </w:rPr>
        <w:t xml:space="preserve"> 22.05.16).</w:t>
      </w:r>
    </w:p>
    <w:p w14:paraId="3E7C0B5A" w14:textId="77777777" w:rsidR="006B7043" w:rsidRDefault="006B7043" w:rsidP="006B7043">
      <w:pPr>
        <w:spacing w:line="360" w:lineRule="auto"/>
        <w:jc w:val="both"/>
        <w:rPr>
          <w:rtl/>
        </w:rPr>
      </w:pPr>
      <w:r>
        <w:rPr>
          <w:b/>
          <w:bCs/>
          <w:rtl/>
        </w:rPr>
        <w:t xml:space="preserve">הערכים החברתיים שנפגעו; </w:t>
      </w:r>
      <w:r>
        <w:rPr>
          <w:rtl/>
        </w:rPr>
        <w:t xml:space="preserve">עבירות סמים בכללותן, ובראשן עבירת הסחר בסמים, פוגעות בערכים החברתיים של הגנה על שלום הציבור, ביטחונו ובריאותו מפני הפגיעה ההרסנית הכרוכה בשימוש בסמים. בנוסף לכך, יש צורך לפעול למניעת אותם נזקים כלכליים וחברתיים עקיפים הנגרמים עקב הפצת סמים והשימוש בהם, כאשר פעמים רבות משתמשי הסם נופלים כנטל על החברה, ולעיתים נגררים, לביצוע עבירות נלוות אשר מבוצעות לצורך מימון צריכת הסמים. </w:t>
      </w:r>
    </w:p>
    <w:p w14:paraId="37CC5576" w14:textId="77777777" w:rsidR="006B7043" w:rsidRDefault="006B7043" w:rsidP="006B7043">
      <w:pPr>
        <w:spacing w:line="360" w:lineRule="auto"/>
        <w:jc w:val="both"/>
        <w:rPr>
          <w:rtl/>
        </w:rPr>
      </w:pPr>
      <w:r>
        <w:rPr>
          <w:rtl/>
        </w:rPr>
        <w:t>במקרה דנן מדובר בסחר בסם קנבוס אשר היה ונותר בגדר סם מסוכן, ראה הנאמר  ב</w:t>
      </w:r>
      <w:hyperlink r:id="rId33" w:history="1">
        <w:r w:rsidR="00A9179B" w:rsidRPr="00A9179B">
          <w:rPr>
            <w:color w:val="0000FF"/>
            <w:u w:val="single"/>
            <w:rtl/>
          </w:rPr>
          <w:t>ע"פ 170/07</w:t>
        </w:r>
      </w:hyperlink>
      <w:r>
        <w:rPr>
          <w:rtl/>
        </w:rPr>
        <w:t xml:space="preserve"> </w:t>
      </w:r>
      <w:r>
        <w:rPr>
          <w:b/>
          <w:bCs/>
          <w:rtl/>
        </w:rPr>
        <w:t>מטיס נ' מדינת ישראל</w:t>
      </w:r>
      <w:r>
        <w:rPr>
          <w:rtl/>
        </w:rPr>
        <w:t xml:space="preserve"> (2007), ביחס לסם הקנאביס, כי גם סמים קלים מהווים לעיתים קרובות את יריית הפתיחה להתמכרות לסמים קשים יותר וכי גם בשימוש בהם עצמם טמונה סכנה. </w:t>
      </w:r>
      <w:r>
        <w:rPr>
          <w:rtl/>
        </w:rPr>
        <w:br/>
        <w:t xml:space="preserve">בית המשפט העליון שב והדגיש כי סם קנבוס היה ועודנו נותר סם מסוכן (ראה </w:t>
      </w:r>
      <w:hyperlink r:id="rId34" w:history="1">
        <w:r w:rsidR="00A9179B" w:rsidRPr="00A9179B">
          <w:rPr>
            <w:color w:val="0000FF"/>
            <w:u w:val="single"/>
            <w:rtl/>
          </w:rPr>
          <w:t>רע"פ 174/21</w:t>
        </w:r>
      </w:hyperlink>
      <w:r>
        <w:rPr>
          <w:rtl/>
        </w:rPr>
        <w:t xml:space="preserve"> </w:t>
      </w:r>
      <w:r>
        <w:rPr>
          <w:b/>
          <w:bCs/>
          <w:rtl/>
        </w:rPr>
        <w:t>סויסה נ' מדינת ישראל</w:t>
      </w:r>
      <w:r>
        <w:rPr>
          <w:rtl/>
        </w:rPr>
        <w:t xml:space="preserve"> (25.02.21); </w:t>
      </w:r>
      <w:hyperlink r:id="rId35" w:history="1">
        <w:r w:rsidR="00A9179B" w:rsidRPr="00A9179B">
          <w:rPr>
            <w:color w:val="0000FF"/>
            <w:u w:val="single"/>
            <w:rtl/>
          </w:rPr>
          <w:t>רע"פ  8759/21</w:t>
        </w:r>
      </w:hyperlink>
      <w:r>
        <w:rPr>
          <w:rtl/>
        </w:rPr>
        <w:t xml:space="preserve"> </w:t>
      </w:r>
      <w:r>
        <w:rPr>
          <w:b/>
          <w:bCs/>
          <w:rtl/>
        </w:rPr>
        <w:t>אלעד קסלר נ' מדינת ישראל</w:t>
      </w:r>
      <w:r>
        <w:rPr>
          <w:rtl/>
        </w:rPr>
        <w:t xml:space="preserve"> (23.12.21)  וככלל מגמת הענישה בעבירות סמים, היא של החמרה והרתעה (ראה </w:t>
      </w:r>
      <w:hyperlink r:id="rId36" w:history="1">
        <w:r w:rsidR="00A9179B" w:rsidRPr="00A9179B">
          <w:rPr>
            <w:color w:val="0000FF"/>
            <w:u w:val="single"/>
            <w:rtl/>
          </w:rPr>
          <w:t>ע"פ 8048/19</w:t>
        </w:r>
      </w:hyperlink>
      <w:r>
        <w:rPr>
          <w:rtl/>
        </w:rPr>
        <w:t xml:space="preserve"> </w:t>
      </w:r>
      <w:r>
        <w:rPr>
          <w:bCs/>
          <w:rtl/>
        </w:rPr>
        <w:t>פיצ'חדזה נ' מדינת ישראל</w:t>
      </w:r>
      <w:r>
        <w:rPr>
          <w:rtl/>
        </w:rPr>
        <w:t xml:space="preserve">, פסקה 11) </w:t>
      </w:r>
    </w:p>
    <w:p w14:paraId="34F75A92" w14:textId="77777777" w:rsidR="006B7043" w:rsidRDefault="006B7043" w:rsidP="006B7043">
      <w:pPr>
        <w:spacing w:line="360" w:lineRule="auto"/>
        <w:jc w:val="both"/>
        <w:rPr>
          <w:rFonts w:ascii="Calibri" w:hAnsi="Calibri"/>
          <w:rtl/>
        </w:rPr>
      </w:pPr>
      <w:r>
        <w:rPr>
          <w:rFonts w:ascii="Calibri" w:hAnsi="Calibri"/>
          <w:b/>
          <w:bCs/>
          <w:rtl/>
        </w:rPr>
        <w:t>הערכים החברתיים שנפגעו</w:t>
      </w:r>
      <w:r>
        <w:rPr>
          <w:rFonts w:ascii="Calibri" w:hAnsi="Calibri"/>
          <w:rtl/>
        </w:rPr>
        <w:t xml:space="preserve"> כתוצאה מביצוע עבירה של החזקת סכין, הם הגנה על שלומו ובטחונו של הציבור. בפסיקה נשמעו קולות רבים המדגישים את החומרה הגלומה בעבירה של החזקת סכין, באשר לפוטנציאל הנזק העלול להיגרם מביצוע עבירה זו. </w:t>
      </w:r>
    </w:p>
    <w:p w14:paraId="105A708E" w14:textId="77777777" w:rsidR="006B7043" w:rsidRPr="006B7043" w:rsidRDefault="006B7043" w:rsidP="006B7043">
      <w:pPr>
        <w:spacing w:line="360" w:lineRule="auto"/>
        <w:jc w:val="both"/>
        <w:rPr>
          <w:rFonts w:ascii="Calibri" w:eastAsia="Calibri" w:hAnsi="Calibri"/>
          <w:rtl/>
        </w:rPr>
      </w:pPr>
    </w:p>
    <w:p w14:paraId="789C9F12" w14:textId="77777777" w:rsidR="006B7043" w:rsidRDefault="006B7043" w:rsidP="006B7043">
      <w:pPr>
        <w:spacing w:line="360" w:lineRule="auto"/>
        <w:jc w:val="both"/>
        <w:rPr>
          <w:rtl/>
        </w:rPr>
      </w:pPr>
      <w:r>
        <w:rPr>
          <w:rtl/>
        </w:rPr>
        <w:t xml:space="preserve">בחינת </w:t>
      </w:r>
      <w:r>
        <w:rPr>
          <w:b/>
          <w:bCs/>
          <w:rtl/>
        </w:rPr>
        <w:t>מדיניות הענישה הנוהגת</w:t>
      </w:r>
      <w:r>
        <w:rPr>
          <w:rtl/>
        </w:rPr>
        <w:t xml:space="preserve"> מעלה כי במקרים דומים הוטלו על נאשמים עונשים שונים וזאת בהתאם לנסיבות המקרה כמפורט להלן:</w:t>
      </w:r>
    </w:p>
    <w:p w14:paraId="2B8F6B2E" w14:textId="77777777" w:rsidR="006B7043" w:rsidRDefault="00A9179B" w:rsidP="006B7043">
      <w:pPr>
        <w:pStyle w:val="aa"/>
        <w:numPr>
          <w:ilvl w:val="0"/>
          <w:numId w:val="1"/>
        </w:numPr>
        <w:spacing w:line="360" w:lineRule="auto"/>
        <w:rPr>
          <w:rFonts w:ascii="David" w:hAnsi="David" w:cs="David"/>
          <w:sz w:val="24"/>
          <w:szCs w:val="24"/>
          <w:rtl/>
        </w:rPr>
      </w:pPr>
      <w:hyperlink r:id="rId37" w:history="1">
        <w:r w:rsidRPr="00A9179B">
          <w:rPr>
            <w:rFonts w:ascii="David" w:hAnsi="David" w:cs="David"/>
            <w:color w:val="0000FF"/>
            <w:sz w:val="24"/>
            <w:szCs w:val="24"/>
            <w:u w:val="single"/>
            <w:rtl/>
          </w:rPr>
          <w:t>רע"פ 8388/22</w:t>
        </w:r>
      </w:hyperlink>
      <w:r w:rsidR="006B7043">
        <w:rPr>
          <w:rFonts w:ascii="David" w:hAnsi="David" w:cs="David"/>
          <w:sz w:val="24"/>
          <w:szCs w:val="24"/>
          <w:rtl/>
        </w:rPr>
        <w:t xml:space="preserve"> </w:t>
      </w:r>
      <w:r w:rsidR="006B7043">
        <w:rPr>
          <w:rFonts w:ascii="David" w:hAnsi="David" w:cs="David"/>
          <w:b/>
          <w:bCs/>
          <w:sz w:val="24"/>
          <w:szCs w:val="24"/>
          <w:rtl/>
        </w:rPr>
        <w:t>עידן אביבי נ' מדינת ישראל</w:t>
      </w:r>
      <w:r w:rsidR="006B7043">
        <w:rPr>
          <w:rFonts w:ascii="David" w:hAnsi="David" w:cs="David"/>
          <w:sz w:val="24"/>
          <w:szCs w:val="24"/>
          <w:rtl/>
        </w:rPr>
        <w:t xml:space="preserve"> (9.12.22) נדון עניינו של נאשם אשר הורשע ע"פ הודאתו בביצוע שמונה עבירות סחר בסמים, שלוש עבירות של החזקת סם שלא לצריכה עצמית, שתי עבירות של קשירת קשר לביצוע פשע ועבירת שיבוש משפט. בית המשפט הדגיש לחומרה את זלזולו  של הנאשם במערכות אכיפת החוק בכך שלא נמנע מביצוע עבירות סמים גם לאחר שהוסרו ממנו התנאים המגבילים שהוטלו עליו בגין עבירות אלו. בית המשפט גזר על המבקש 16 חודשי מאסר בפועל, מאסרים על תנאי וענישה נלווית. ערעורו לבית המשפט המחוזי נדחה, תוך שנקבע כי לנוכח ריבוי העבירות ונסיבותיהן, העונש שנקבע הינו "מתון". בית המשפט העליון ציין כי הגשת הבר"ע בנסיבות אלו הינה בבחינת "עזות מצח" של המבקש, ודחה את ערעורו.</w:t>
      </w:r>
    </w:p>
    <w:p w14:paraId="380F7E15" w14:textId="77777777" w:rsidR="006B7043" w:rsidRPr="006B7043" w:rsidRDefault="00A9179B" w:rsidP="006B7043">
      <w:pPr>
        <w:pStyle w:val="aa"/>
        <w:numPr>
          <w:ilvl w:val="0"/>
          <w:numId w:val="1"/>
        </w:numPr>
        <w:spacing w:before="240" w:line="360" w:lineRule="auto"/>
        <w:rPr>
          <w:rFonts w:cs="David"/>
          <w:sz w:val="24"/>
          <w:szCs w:val="24"/>
          <w:rtl/>
        </w:rPr>
      </w:pPr>
      <w:hyperlink r:id="rId38" w:history="1">
        <w:r w:rsidRPr="00A9179B">
          <w:rPr>
            <w:rFonts w:cs="David" w:hint="cs"/>
            <w:color w:val="0000FF"/>
            <w:sz w:val="24"/>
            <w:szCs w:val="24"/>
            <w:u w:val="single"/>
            <w:rtl/>
          </w:rPr>
          <w:t>רע</w:t>
        </w:r>
        <w:r w:rsidRPr="00A9179B">
          <w:rPr>
            <w:rFonts w:cs="David"/>
            <w:color w:val="0000FF"/>
            <w:sz w:val="24"/>
            <w:szCs w:val="24"/>
            <w:u w:val="single"/>
            <w:rtl/>
          </w:rPr>
          <w:t>"</w:t>
        </w:r>
        <w:r w:rsidRPr="00A9179B">
          <w:rPr>
            <w:rFonts w:cs="David" w:hint="cs"/>
            <w:color w:val="0000FF"/>
            <w:sz w:val="24"/>
            <w:szCs w:val="24"/>
            <w:u w:val="single"/>
            <w:rtl/>
          </w:rPr>
          <w:t>פ</w:t>
        </w:r>
        <w:r w:rsidRPr="00A9179B">
          <w:rPr>
            <w:rFonts w:cs="David"/>
            <w:color w:val="0000FF"/>
            <w:sz w:val="24"/>
            <w:szCs w:val="24"/>
            <w:u w:val="single"/>
            <w:rtl/>
          </w:rPr>
          <w:t xml:space="preserve"> 957/22</w:t>
        </w:r>
      </w:hyperlink>
      <w:r w:rsidR="006B7043">
        <w:rPr>
          <w:rFonts w:cs="David"/>
          <w:sz w:val="24"/>
          <w:szCs w:val="24"/>
          <w:rtl/>
        </w:rPr>
        <w:t xml:space="preserve"> </w:t>
      </w:r>
      <w:r w:rsidR="006B7043">
        <w:rPr>
          <w:rFonts w:cs="David"/>
          <w:b/>
          <w:bCs/>
          <w:sz w:val="24"/>
          <w:szCs w:val="24"/>
          <w:rtl/>
        </w:rPr>
        <w:t xml:space="preserve">חבושה נ' מדינת ישראל </w:t>
      </w:r>
      <w:r w:rsidR="006B7043">
        <w:rPr>
          <w:rFonts w:cs="David"/>
          <w:sz w:val="24"/>
          <w:szCs w:val="24"/>
          <w:rtl/>
        </w:rPr>
        <w:t>(8.2.22). נדון עניינו של נאשם אשר הורשע בביצוע חמש עסקאות סחר בקנאביס והחזקת עשרות יחידות סם. לאחר שהוגשו שני תסקירים חיוביים נגזר עונשו של המבקש ל 6 חודשי מאסר בעבודות שירות ועונשים נלווים. ערעורו לבית המשפט המחוזי נדחה, תוך שנקבע כי העונש מקל עמו. בית המשפט העליון חזר על קביעה זו, ודחה את בקשתו לרשות ערעור.</w:t>
      </w:r>
    </w:p>
    <w:p w14:paraId="4564B236" w14:textId="77777777" w:rsidR="006B7043" w:rsidRDefault="00A9179B" w:rsidP="006B7043">
      <w:pPr>
        <w:pStyle w:val="aa"/>
        <w:numPr>
          <w:ilvl w:val="0"/>
          <w:numId w:val="1"/>
        </w:numPr>
        <w:spacing w:before="240" w:line="360" w:lineRule="auto"/>
        <w:rPr>
          <w:rFonts w:cs="David"/>
          <w:sz w:val="24"/>
          <w:szCs w:val="24"/>
        </w:rPr>
      </w:pPr>
      <w:hyperlink r:id="rId39" w:history="1">
        <w:r w:rsidRPr="00A9179B">
          <w:rPr>
            <w:rFonts w:cs="David" w:hint="cs"/>
            <w:color w:val="0000FF"/>
            <w:sz w:val="24"/>
            <w:szCs w:val="24"/>
            <w:u w:val="single"/>
            <w:rtl/>
          </w:rPr>
          <w:t>עפ</w:t>
        </w:r>
        <w:r w:rsidRPr="00A9179B">
          <w:rPr>
            <w:rFonts w:cs="David"/>
            <w:color w:val="0000FF"/>
            <w:sz w:val="24"/>
            <w:szCs w:val="24"/>
            <w:u w:val="single"/>
            <w:rtl/>
          </w:rPr>
          <w:t>"</w:t>
        </w:r>
        <w:r w:rsidRPr="00A9179B">
          <w:rPr>
            <w:rFonts w:cs="David" w:hint="cs"/>
            <w:color w:val="0000FF"/>
            <w:sz w:val="24"/>
            <w:szCs w:val="24"/>
            <w:u w:val="single"/>
            <w:rtl/>
          </w:rPr>
          <w:t>ג</w:t>
        </w:r>
        <w:r w:rsidRPr="00A9179B">
          <w:rPr>
            <w:rFonts w:cs="David"/>
            <w:color w:val="0000FF"/>
            <w:sz w:val="24"/>
            <w:szCs w:val="24"/>
            <w:u w:val="single"/>
            <w:rtl/>
          </w:rPr>
          <w:t xml:space="preserve"> 58296-05-19</w:t>
        </w:r>
      </w:hyperlink>
      <w:r w:rsidR="006B7043">
        <w:rPr>
          <w:rFonts w:cs="David"/>
          <w:sz w:val="24"/>
          <w:szCs w:val="24"/>
          <w:rtl/>
        </w:rPr>
        <w:t xml:space="preserve"> (מחוזי ב"ש) </w:t>
      </w:r>
      <w:r w:rsidR="006B7043">
        <w:rPr>
          <w:rFonts w:cs="David"/>
          <w:b/>
          <w:bCs/>
          <w:sz w:val="24"/>
          <w:szCs w:val="24"/>
          <w:rtl/>
        </w:rPr>
        <w:t>אלהואשלה נ' מדינת ישראל</w:t>
      </w:r>
      <w:r w:rsidR="006B7043">
        <w:rPr>
          <w:rFonts w:cs="David"/>
          <w:sz w:val="24"/>
          <w:szCs w:val="24"/>
          <w:rtl/>
        </w:rPr>
        <w:t xml:space="preserve"> [פורסם בנבו] (10.7.19) התקבל ערעורו של מי שהורשע בעבירה של סחר בסם קנבוס במשקל של 7.3 גרם תמורת 300 ₪ לסוכן משטרתי, כך שעונשו - 9 חודשי מאסר לריצוי בעבודות שירות - </w:t>
      </w:r>
      <w:r w:rsidR="006B7043">
        <w:rPr>
          <w:rFonts w:cs="David"/>
          <w:b/>
          <w:bCs/>
          <w:sz w:val="24"/>
          <w:szCs w:val="24"/>
          <w:rtl/>
        </w:rPr>
        <w:t>הופחת ל-7 חודשי מאסר בפועל לריצוי בדרך של עבודות שירות</w:t>
      </w:r>
      <w:r w:rsidR="006B7043">
        <w:rPr>
          <w:rFonts w:cs="David"/>
          <w:sz w:val="24"/>
          <w:szCs w:val="24"/>
          <w:rtl/>
        </w:rPr>
        <w:t>. בקבלו את הערעור ציין בית המשפט בהעדר עבר פלילי קודם והתרשמות שירות המבחן לפיה אינו בעל דפוסים עבריינים מושרשים שהביע מוטיבציה לנהל אורח חיים נורמטיבי .</w:t>
      </w:r>
    </w:p>
    <w:p w14:paraId="43159F81" w14:textId="77777777" w:rsidR="006B7043" w:rsidRDefault="00A9179B" w:rsidP="006B7043">
      <w:pPr>
        <w:pStyle w:val="aa"/>
        <w:numPr>
          <w:ilvl w:val="0"/>
          <w:numId w:val="1"/>
        </w:numPr>
        <w:spacing w:before="240" w:line="360" w:lineRule="auto"/>
        <w:rPr>
          <w:rFonts w:cs="David"/>
          <w:sz w:val="24"/>
          <w:szCs w:val="24"/>
        </w:rPr>
      </w:pPr>
      <w:hyperlink r:id="rId40" w:history="1">
        <w:r w:rsidRPr="00A9179B">
          <w:rPr>
            <w:rFonts w:cs="David" w:hint="cs"/>
            <w:color w:val="0000FF"/>
            <w:sz w:val="24"/>
            <w:szCs w:val="24"/>
            <w:u w:val="single"/>
            <w:rtl/>
          </w:rPr>
          <w:t>רע</w:t>
        </w:r>
        <w:r w:rsidRPr="00A9179B">
          <w:rPr>
            <w:rFonts w:cs="David"/>
            <w:color w:val="0000FF"/>
            <w:sz w:val="24"/>
            <w:szCs w:val="24"/>
            <w:u w:val="single"/>
            <w:rtl/>
          </w:rPr>
          <w:t>"</w:t>
        </w:r>
        <w:r w:rsidRPr="00A9179B">
          <w:rPr>
            <w:rFonts w:cs="David" w:hint="cs"/>
            <w:color w:val="0000FF"/>
            <w:sz w:val="24"/>
            <w:szCs w:val="24"/>
            <w:u w:val="single"/>
            <w:rtl/>
          </w:rPr>
          <w:t>פ</w:t>
        </w:r>
        <w:r w:rsidRPr="00A9179B">
          <w:rPr>
            <w:rFonts w:cs="David"/>
            <w:color w:val="0000FF"/>
            <w:sz w:val="24"/>
            <w:szCs w:val="24"/>
            <w:u w:val="single"/>
            <w:rtl/>
          </w:rPr>
          <w:t xml:space="preserve"> 1720/11</w:t>
        </w:r>
      </w:hyperlink>
      <w:r w:rsidR="006B7043">
        <w:rPr>
          <w:rFonts w:cs="David"/>
          <w:sz w:val="24"/>
          <w:szCs w:val="24"/>
          <w:rtl/>
        </w:rPr>
        <w:t xml:space="preserve"> </w:t>
      </w:r>
      <w:r w:rsidR="006B7043">
        <w:rPr>
          <w:rFonts w:cs="David"/>
          <w:b/>
          <w:bCs/>
          <w:sz w:val="24"/>
          <w:szCs w:val="24"/>
          <w:rtl/>
        </w:rPr>
        <w:t>מיכאל גליק נ' מדינת ישראל</w:t>
      </w:r>
      <w:r w:rsidR="006B7043">
        <w:rPr>
          <w:rFonts w:cs="David"/>
          <w:sz w:val="24"/>
          <w:szCs w:val="24"/>
          <w:rtl/>
        </w:rPr>
        <w:t xml:space="preserve">, (07.03.11) דחה בית המשפט העליון, בקשת רשות ערעור של נאשם אשר הורשע בהתאם להודאתו ב-3 עבירות של סחר בסם מסוג חשיש ותיווך בסם, מכירה לסוכן משטרתי, </w:t>
      </w:r>
      <w:r w:rsidR="006B7043">
        <w:rPr>
          <w:rFonts w:cs="David"/>
          <w:sz w:val="24"/>
          <w:szCs w:val="24"/>
          <w:u w:val="single"/>
          <w:rtl/>
        </w:rPr>
        <w:t>הנאשם נדון ל 8 חודשי מאסר בפועל</w:t>
      </w:r>
      <w:r w:rsidR="006B7043">
        <w:rPr>
          <w:rFonts w:cs="David"/>
          <w:sz w:val="24"/>
          <w:szCs w:val="24"/>
          <w:rtl/>
        </w:rPr>
        <w:t xml:space="preserve"> וענישה נלוות, חרף המלצת שירות המבחן להטלת עונש מאסר לריצוי בדרך של עבודות שירות נוכח הליך השיקום שעבר הנאשם.</w:t>
      </w:r>
    </w:p>
    <w:p w14:paraId="2F94E232" w14:textId="77777777" w:rsidR="006B7043" w:rsidRDefault="006B7043" w:rsidP="006B7043">
      <w:pPr>
        <w:pStyle w:val="aa"/>
        <w:numPr>
          <w:ilvl w:val="0"/>
          <w:numId w:val="1"/>
        </w:numPr>
        <w:tabs>
          <w:tab w:val="left" w:pos="346"/>
        </w:tabs>
        <w:spacing w:after="0" w:line="360" w:lineRule="auto"/>
        <w:jc w:val="both"/>
        <w:rPr>
          <w:rFonts w:ascii="Arial" w:hAnsi="Arial" w:cs="David"/>
          <w:sz w:val="24"/>
          <w:szCs w:val="24"/>
        </w:rPr>
      </w:pPr>
      <w:r>
        <w:rPr>
          <w:rFonts w:ascii="Arial" w:hAnsi="Arial" w:cs="David"/>
          <w:sz w:val="24"/>
          <w:szCs w:val="24"/>
          <w:rtl/>
        </w:rPr>
        <w:t xml:space="preserve">רע"פ </w:t>
      </w:r>
      <w:r>
        <w:rPr>
          <w:rFonts w:ascii="Arial" w:hAnsi="Arial" w:cs="David"/>
          <w:b/>
          <w:bCs/>
          <w:sz w:val="24"/>
          <w:szCs w:val="24"/>
          <w:rtl/>
        </w:rPr>
        <w:t xml:space="preserve"> אבו זניד נ' מדינת ישראל</w:t>
      </w:r>
      <w:r>
        <w:rPr>
          <w:rFonts w:ascii="Arial" w:hAnsi="Arial" w:cs="David"/>
          <w:sz w:val="24"/>
          <w:szCs w:val="24"/>
          <w:rtl/>
        </w:rPr>
        <w:t xml:space="preserve"> (27.6.12), המבקש הורשע בעבירה של החזקת סכין. בית משפט השלום השית על המבקש צו של"צ בהיקף של 180 שעות ללא הרשעה, בימ"ש המחוזי קיבל ערעור המדינה והרשיע המבקש, בקשת רשות הערעור נדחתה בבימ"ש העליון. </w:t>
      </w:r>
    </w:p>
    <w:p w14:paraId="7DB652D4" w14:textId="77777777" w:rsidR="006B7043" w:rsidRDefault="006B7043" w:rsidP="006B7043">
      <w:pPr>
        <w:spacing w:line="360" w:lineRule="auto"/>
        <w:jc w:val="both"/>
        <w:rPr>
          <w:rFonts w:ascii="Calibri" w:hAnsi="Calibri"/>
        </w:rPr>
      </w:pPr>
    </w:p>
    <w:p w14:paraId="569497D5" w14:textId="77777777" w:rsidR="006B7043" w:rsidRPr="006B7043" w:rsidRDefault="006B7043" w:rsidP="006B7043">
      <w:pPr>
        <w:spacing w:line="360" w:lineRule="auto"/>
        <w:jc w:val="both"/>
        <w:rPr>
          <w:rFonts w:ascii="Calibri" w:eastAsia="Calibri" w:hAnsi="Calibri"/>
          <w:b/>
          <w:bCs/>
        </w:rPr>
      </w:pPr>
      <w:r>
        <w:rPr>
          <w:b/>
          <w:bCs/>
          <w:rtl/>
        </w:rPr>
        <w:t xml:space="preserve">בחינת מידת הפגיעה בערכים המוגנים במקרה דנן מעלה כי הפגיעה הינה משמעותית. </w:t>
      </w:r>
      <w:r>
        <w:rPr>
          <w:rtl/>
        </w:rPr>
        <w:t>עבירות של סחר בסם הינן על פי הגדרתן ברף הגבוה של עבירות הסמים וזאת על אף כי מדובר בכמויות קטנות</w:t>
      </w:r>
      <w:r>
        <w:rPr>
          <w:b/>
          <w:bCs/>
          <w:rtl/>
        </w:rPr>
        <w:t>.</w:t>
      </w:r>
    </w:p>
    <w:p w14:paraId="1D91BA4C" w14:textId="77777777" w:rsidR="006B7043" w:rsidRDefault="006B7043" w:rsidP="006B7043">
      <w:pPr>
        <w:spacing w:line="360" w:lineRule="auto"/>
        <w:jc w:val="both"/>
        <w:rPr>
          <w:rtl/>
        </w:rPr>
      </w:pPr>
      <w:r>
        <w:rPr>
          <w:b/>
          <w:bCs/>
          <w:rtl/>
        </w:rPr>
        <w:t>בחינת הנסיבות הקשורות בביצוע העבירה</w:t>
      </w:r>
      <w:r>
        <w:rPr>
          <w:rtl/>
        </w:rPr>
        <w:t xml:space="preserve"> מעלה כי הנאשם ביצע את כלל העבירות נשוא כתב האישום תוך הפרה בוטה של ההוראה החוקית שהוטלה עליו על ידי בית המשפט, קרי הפרת "מעצר בית מלא" שהוטל עליו בהחלטה שיפוטית ובמסגרת ההפרה ביצע עבירות פליליות נוספות. הנאשם הפר את הוראות בית המשפט ברגל גסה וביצע עבירות חמורות של מכירת סמים לאור יום, החזקת סכין וקבלת דבר במרמה. </w:t>
      </w:r>
    </w:p>
    <w:p w14:paraId="7AA4A902" w14:textId="77777777" w:rsidR="006B7043" w:rsidRDefault="006B7043" w:rsidP="006B7043">
      <w:pPr>
        <w:spacing w:line="360" w:lineRule="auto"/>
        <w:jc w:val="both"/>
        <w:rPr>
          <w:b/>
          <w:bCs/>
          <w:rtl/>
        </w:rPr>
      </w:pPr>
      <w:r>
        <w:rPr>
          <w:b/>
          <w:bCs/>
          <w:rtl/>
        </w:rPr>
        <w:t>מכלל הדברים האמורים, לאחר שנתתי את דעתי לסוג העבירות בהם הורשע הנאשם, למדיניות הענישה הנוהגת בעבירות מסוג זה – מצאתי לקבוע כי מתחם העונש ההולם ינוע בין 13 ועד 26 חודשי מאסר בפועל.</w:t>
      </w:r>
    </w:p>
    <w:p w14:paraId="19F4A2CC" w14:textId="77777777" w:rsidR="006B7043" w:rsidRDefault="006B7043" w:rsidP="006B7043">
      <w:pPr>
        <w:spacing w:line="360" w:lineRule="auto"/>
        <w:jc w:val="both"/>
      </w:pPr>
    </w:p>
    <w:p w14:paraId="59162355" w14:textId="77777777" w:rsidR="006B7043" w:rsidRDefault="006B7043" w:rsidP="006B7043">
      <w:pPr>
        <w:spacing w:line="360" w:lineRule="auto"/>
        <w:jc w:val="both"/>
        <w:rPr>
          <w:rtl/>
        </w:rPr>
      </w:pPr>
    </w:p>
    <w:p w14:paraId="415648B3" w14:textId="77777777" w:rsidR="006B7043" w:rsidRDefault="006B7043" w:rsidP="006B7043">
      <w:pPr>
        <w:spacing w:line="360" w:lineRule="auto"/>
        <w:jc w:val="both"/>
        <w:rPr>
          <w:b/>
          <w:bCs/>
          <w:u w:val="single"/>
          <w:rtl/>
        </w:rPr>
      </w:pPr>
      <w:r>
        <w:rPr>
          <w:b/>
          <w:bCs/>
          <w:u w:val="single"/>
          <w:rtl/>
        </w:rPr>
        <w:t>עונשו של הנאשם</w:t>
      </w:r>
    </w:p>
    <w:p w14:paraId="262FC62F" w14:textId="77777777" w:rsidR="006B7043" w:rsidRDefault="006B7043" w:rsidP="006B7043">
      <w:pPr>
        <w:spacing w:line="360" w:lineRule="auto"/>
        <w:jc w:val="both"/>
        <w:rPr>
          <w:rtl/>
        </w:rPr>
      </w:pPr>
      <w:r>
        <w:rPr>
          <w:rtl/>
        </w:rPr>
        <w:t>במקרה הנידון, לא קיימים שיקולים אשר מצדיקים סטייה מהמתחם לחומרא או לקולא.</w:t>
      </w:r>
      <w:r>
        <w:rPr>
          <w:rtl/>
        </w:rPr>
        <w:br/>
        <w:t xml:space="preserve">הנאשם בחר שלא להמתין לקבלת תסקיר לעניין העונש בעניינו ולפיכך אין כל המלצה טיפולית או שיקומית. </w:t>
      </w:r>
    </w:p>
    <w:p w14:paraId="11D2B3AC" w14:textId="77777777" w:rsidR="006B7043" w:rsidRDefault="006B7043" w:rsidP="006B7043">
      <w:pPr>
        <w:spacing w:line="360" w:lineRule="auto"/>
        <w:jc w:val="both"/>
        <w:rPr>
          <w:rtl/>
        </w:rPr>
      </w:pPr>
      <w:r>
        <w:rPr>
          <w:rtl/>
        </w:rPr>
        <w:t xml:space="preserve">בהתאם להוראות </w:t>
      </w:r>
      <w:hyperlink r:id="rId41" w:history="1">
        <w:r w:rsidR="00264D00" w:rsidRPr="00264D00">
          <w:rPr>
            <w:color w:val="0000FF"/>
            <w:u w:val="single"/>
            <w:rtl/>
          </w:rPr>
          <w:t>סעיף 40 יא'</w:t>
        </w:r>
      </w:hyperlink>
      <w:r>
        <w:rPr>
          <w:rtl/>
        </w:rPr>
        <w:t xml:space="preserve"> ל</w:t>
      </w:r>
      <w:hyperlink r:id="rId42" w:history="1">
        <w:r w:rsidR="00A9179B" w:rsidRPr="00A9179B">
          <w:rPr>
            <w:color w:val="0000FF"/>
            <w:u w:val="single"/>
            <w:rtl/>
          </w:rPr>
          <w:t>חוק העונשין</w:t>
        </w:r>
      </w:hyperlink>
      <w:r>
        <w:rPr>
          <w:rtl/>
        </w:rPr>
        <w:t>, בגזירת העונש המתאים לנאשם בגדרי מתחם העונש ההולם, יתחשב בית המשפט בשיקולים שאינם קשורים בנסיבות ביצוע העבירה.</w:t>
      </w:r>
      <w:r>
        <w:rPr>
          <w:rtl/>
        </w:rPr>
        <w:br/>
        <w:t xml:space="preserve">ראשית, יינתן משקל לשיקולי הרתעת היחיד והרבים בשים לב לשכיחותן של עבירות הסמים, נפיצותן וחומרתן. </w:t>
      </w:r>
    </w:p>
    <w:p w14:paraId="5B43829B" w14:textId="77777777" w:rsidR="006B7043" w:rsidRDefault="006B7043" w:rsidP="006B7043">
      <w:pPr>
        <w:spacing w:line="360" w:lineRule="auto"/>
        <w:jc w:val="both"/>
        <w:rPr>
          <w:rtl/>
        </w:rPr>
      </w:pPr>
      <w:r>
        <w:rPr>
          <w:rtl/>
        </w:rPr>
        <w:t>לחומרה, נתתי דעתי לעברו הפלילי של הנאשם, אשר למרות גילו הצעיר, לחובתו הרשעה מנוער מתחום האלימות. לפיכך, מצאתי למקם את עונשו של הנאשם בשליש התחתון של מתחם העונש, שלא בתחתיתו.</w:t>
      </w:r>
    </w:p>
    <w:p w14:paraId="47F66C32" w14:textId="77777777" w:rsidR="006B7043" w:rsidRDefault="006B7043" w:rsidP="006B7043">
      <w:pPr>
        <w:spacing w:line="360" w:lineRule="auto"/>
        <w:jc w:val="both"/>
        <w:rPr>
          <w:rtl/>
        </w:rPr>
      </w:pPr>
      <w:r>
        <w:rPr>
          <w:rtl/>
        </w:rPr>
        <w:t>הנאשם הצטער על מעשיו בפני בית המשפט וטען כי ביצע עבירות אלו עקב צורך כספי. הנאשם לא השתלב בתכנית טיפולית אשר יכולה להצביע על רצון לשנות את אורח חייו.</w:t>
      </w:r>
    </w:p>
    <w:p w14:paraId="53A1859E" w14:textId="77777777" w:rsidR="006B7043" w:rsidRDefault="006B7043" w:rsidP="006B7043">
      <w:pPr>
        <w:spacing w:line="360" w:lineRule="auto"/>
        <w:ind w:right="426"/>
        <w:jc w:val="both"/>
        <w:rPr>
          <w:rFonts w:ascii="David" w:hAnsi="David"/>
          <w:rtl/>
        </w:rPr>
      </w:pPr>
      <w:r>
        <w:rPr>
          <w:rtl/>
        </w:rPr>
        <w:t>לצד זאת, אביא בחשבון את גילו הצעיר של הנאשם, כבן 22 שנים, את הודאת הנאשם אשר בעשותו כך חסך זמן שיפוטי יקר ערך.</w:t>
      </w:r>
    </w:p>
    <w:p w14:paraId="768FD4DD" w14:textId="77777777" w:rsidR="006B7043" w:rsidRDefault="006B7043" w:rsidP="006B7043">
      <w:pPr>
        <w:spacing w:line="360" w:lineRule="auto"/>
        <w:ind w:right="426"/>
        <w:jc w:val="both"/>
        <w:rPr>
          <w:rFonts w:ascii="David" w:hAnsi="David"/>
          <w:rtl/>
        </w:rPr>
      </w:pPr>
      <w:r>
        <w:rPr>
          <w:rFonts w:ascii="David" w:hAnsi="David"/>
          <w:rtl/>
        </w:rPr>
        <w:t xml:space="preserve">לא אתעלם מכך שהנאשם הסתייע ברכב על מנת לעבור את העבירות ובהתאם אטיל עליו רכיבי ענישה בדמות פסילת רישיון נהיגה. עם זאת, נתתי דעתי לעובדה כי הנאשם לא היה הנהג ברכב ולפיכך ועל מנת לאפשר לנאשם פוטנציאל שיקומי לאחר שחרורו, לא אמצה הדין איתו ברכיב זה. </w:t>
      </w:r>
    </w:p>
    <w:p w14:paraId="06E613A8" w14:textId="77777777" w:rsidR="006B7043" w:rsidRDefault="006B7043" w:rsidP="006B7043">
      <w:pPr>
        <w:spacing w:line="360" w:lineRule="auto"/>
        <w:ind w:right="426"/>
        <w:jc w:val="both"/>
        <w:rPr>
          <w:rFonts w:ascii="David" w:hAnsi="David"/>
        </w:rPr>
      </w:pPr>
      <w:r>
        <w:rPr>
          <w:rtl/>
        </w:rPr>
        <w:t xml:space="preserve">אשר לרכיבי ענישה כלכליים בדמות קנס כספי, בהינתן כי ברקע ביצוע העבירה עמד השגת רווח כספי קל ומהיר, ברי כי לא ניתן להוציא אותו פטור מעונש ברכיב זה.  </w:t>
      </w:r>
    </w:p>
    <w:p w14:paraId="438CC0C3" w14:textId="77777777" w:rsidR="006B7043" w:rsidRDefault="006B7043" w:rsidP="006B7043">
      <w:pPr>
        <w:spacing w:line="360" w:lineRule="auto"/>
        <w:ind w:right="426"/>
        <w:jc w:val="both"/>
        <w:rPr>
          <w:rFonts w:ascii="David" w:hAnsi="David"/>
          <w:rtl/>
        </w:rPr>
      </w:pPr>
    </w:p>
    <w:p w14:paraId="09CBE38B" w14:textId="77777777" w:rsidR="006B7043" w:rsidRPr="006B7043" w:rsidRDefault="006B7043" w:rsidP="006B7043">
      <w:pPr>
        <w:spacing w:line="360" w:lineRule="auto"/>
        <w:jc w:val="both"/>
        <w:rPr>
          <w:rFonts w:ascii="Calibri" w:hAnsi="Calibri"/>
          <w:b/>
          <w:bCs/>
          <w:u w:val="single"/>
          <w:rtl/>
        </w:rPr>
      </w:pPr>
      <w:r>
        <w:rPr>
          <w:b/>
          <w:bCs/>
          <w:u w:val="single"/>
          <w:rtl/>
        </w:rPr>
        <w:t>סוף דבר</w:t>
      </w:r>
    </w:p>
    <w:p w14:paraId="6DE4F1C8" w14:textId="77777777" w:rsidR="006B7043" w:rsidRDefault="006B7043" w:rsidP="006B7043">
      <w:pPr>
        <w:spacing w:line="360" w:lineRule="auto"/>
        <w:jc w:val="both"/>
        <w:rPr>
          <w:rtl/>
        </w:rPr>
      </w:pPr>
      <w:r>
        <w:rPr>
          <w:rtl/>
        </w:rPr>
        <w:t>לאחר שחזרתי ושקלתי את מכלול השיקולים המתבקשים לבחינת עונשו של הנאשם בתוך המתחם אותו קבעתי, אני גוזר עליו את העונשים הבאים:</w:t>
      </w:r>
    </w:p>
    <w:p w14:paraId="031C7EE5" w14:textId="77777777" w:rsidR="006B7043" w:rsidRDefault="006B7043" w:rsidP="006B7043">
      <w:pPr>
        <w:pStyle w:val="aa"/>
        <w:numPr>
          <w:ilvl w:val="0"/>
          <w:numId w:val="2"/>
        </w:numPr>
        <w:spacing w:line="360" w:lineRule="auto"/>
        <w:jc w:val="both"/>
        <w:rPr>
          <w:rFonts w:cs="David"/>
          <w:sz w:val="24"/>
          <w:szCs w:val="24"/>
          <w:rtl/>
        </w:rPr>
      </w:pPr>
      <w:r>
        <w:rPr>
          <w:rFonts w:cs="David"/>
          <w:sz w:val="24"/>
          <w:szCs w:val="24"/>
          <w:rtl/>
        </w:rPr>
        <w:t>15 חודשי מאסר בפועל בניכוי ימי מעצרו בגין תיק זה.</w:t>
      </w:r>
    </w:p>
    <w:p w14:paraId="773CC6C5" w14:textId="77777777" w:rsidR="006B7043" w:rsidRDefault="006B7043" w:rsidP="006B7043">
      <w:pPr>
        <w:pStyle w:val="aa"/>
        <w:numPr>
          <w:ilvl w:val="0"/>
          <w:numId w:val="2"/>
        </w:numPr>
        <w:spacing w:line="360" w:lineRule="auto"/>
        <w:jc w:val="both"/>
        <w:rPr>
          <w:rFonts w:cs="David"/>
          <w:sz w:val="24"/>
          <w:szCs w:val="24"/>
        </w:rPr>
      </w:pPr>
      <w:r>
        <w:rPr>
          <w:rFonts w:cs="David"/>
          <w:sz w:val="24"/>
          <w:szCs w:val="24"/>
          <w:rtl/>
        </w:rPr>
        <w:t>7 חודשי מאסר על תנאי למשך 3 שנים מיום שחרורו שלא יעבור עבירות סמים מסוג פשע.</w:t>
      </w:r>
    </w:p>
    <w:p w14:paraId="71A25A84" w14:textId="77777777" w:rsidR="006B7043" w:rsidRDefault="006B7043" w:rsidP="006B7043">
      <w:pPr>
        <w:pStyle w:val="aa"/>
        <w:numPr>
          <w:ilvl w:val="0"/>
          <w:numId w:val="2"/>
        </w:numPr>
        <w:spacing w:line="360" w:lineRule="auto"/>
        <w:jc w:val="both"/>
        <w:rPr>
          <w:rFonts w:cs="David"/>
          <w:sz w:val="24"/>
          <w:szCs w:val="24"/>
        </w:rPr>
      </w:pPr>
      <w:r>
        <w:rPr>
          <w:rFonts w:cs="David"/>
          <w:sz w:val="24"/>
          <w:szCs w:val="24"/>
          <w:rtl/>
        </w:rPr>
        <w:t>3 חודשי מאסר על תנאי למשך 3 שנים מיום שחרורו שלא יעבור עבירות סמים מסוג עוון ולרבות עבירה של החזקת סכין והפרת הוראה חוקית.</w:t>
      </w:r>
    </w:p>
    <w:p w14:paraId="7C7780E5" w14:textId="77777777" w:rsidR="006B7043" w:rsidRDefault="006B7043" w:rsidP="006B7043">
      <w:pPr>
        <w:pStyle w:val="aa"/>
        <w:numPr>
          <w:ilvl w:val="0"/>
          <w:numId w:val="2"/>
        </w:numPr>
        <w:spacing w:line="360" w:lineRule="auto"/>
        <w:jc w:val="both"/>
        <w:rPr>
          <w:rFonts w:cs="David"/>
          <w:sz w:val="24"/>
          <w:szCs w:val="24"/>
        </w:rPr>
      </w:pPr>
      <w:r>
        <w:rPr>
          <w:rFonts w:cs="David"/>
          <w:sz w:val="24"/>
          <w:szCs w:val="24"/>
          <w:rtl/>
        </w:rPr>
        <w:t>קנס בסך 5,000 ₪ או 50 ימי מאסר תמורתו. הקנס ישולם ב-10 תשלומים שווים ורצופים החל מיום 1.5.25 וב-1 לכל חודש שאחריו עד לסיום מלוא תשלום הקנס.</w:t>
      </w:r>
    </w:p>
    <w:p w14:paraId="0F98D6A4" w14:textId="77777777" w:rsidR="006B7043" w:rsidRDefault="006B7043" w:rsidP="006B7043">
      <w:pPr>
        <w:pStyle w:val="aa"/>
        <w:numPr>
          <w:ilvl w:val="0"/>
          <w:numId w:val="2"/>
        </w:numPr>
        <w:spacing w:line="360" w:lineRule="auto"/>
        <w:jc w:val="both"/>
        <w:rPr>
          <w:rFonts w:cs="David"/>
          <w:sz w:val="24"/>
          <w:szCs w:val="24"/>
        </w:rPr>
      </w:pPr>
      <w:r>
        <w:rPr>
          <w:rFonts w:cs="David"/>
          <w:sz w:val="24"/>
          <w:szCs w:val="24"/>
          <w:rtl/>
        </w:rPr>
        <w:t xml:space="preserve">התחייבות בסך 3,000 ₪ שלא לעבור כל עבירה בה הורשע ולרבות כל עבירה על </w:t>
      </w:r>
      <w:hyperlink r:id="rId43" w:history="1">
        <w:r w:rsidR="00A9179B" w:rsidRPr="00A9179B">
          <w:rPr>
            <w:rFonts w:cs="David" w:hint="cs"/>
            <w:color w:val="0000FF"/>
            <w:sz w:val="24"/>
            <w:szCs w:val="24"/>
            <w:u w:val="single"/>
            <w:rtl/>
          </w:rPr>
          <w:t>פקודת</w:t>
        </w:r>
        <w:r w:rsidR="00A9179B" w:rsidRPr="00A9179B">
          <w:rPr>
            <w:rFonts w:cs="David"/>
            <w:color w:val="0000FF"/>
            <w:sz w:val="24"/>
            <w:szCs w:val="24"/>
            <w:u w:val="single"/>
            <w:rtl/>
          </w:rPr>
          <w:t xml:space="preserve"> </w:t>
        </w:r>
        <w:r w:rsidR="00A9179B" w:rsidRPr="00A9179B">
          <w:rPr>
            <w:rFonts w:cs="David" w:hint="cs"/>
            <w:color w:val="0000FF"/>
            <w:sz w:val="24"/>
            <w:szCs w:val="24"/>
            <w:u w:val="single"/>
            <w:rtl/>
          </w:rPr>
          <w:t>הסמים</w:t>
        </w:r>
        <w:r w:rsidR="00A9179B" w:rsidRPr="00A9179B">
          <w:rPr>
            <w:rFonts w:cs="David"/>
            <w:color w:val="0000FF"/>
            <w:sz w:val="24"/>
            <w:szCs w:val="24"/>
            <w:u w:val="single"/>
            <w:rtl/>
          </w:rPr>
          <w:t xml:space="preserve"> </w:t>
        </w:r>
        <w:r w:rsidR="00A9179B" w:rsidRPr="00A9179B">
          <w:rPr>
            <w:rFonts w:cs="David" w:hint="cs"/>
            <w:color w:val="0000FF"/>
            <w:sz w:val="24"/>
            <w:szCs w:val="24"/>
            <w:u w:val="single"/>
            <w:rtl/>
          </w:rPr>
          <w:t>המסוכנים</w:t>
        </w:r>
      </w:hyperlink>
      <w:r>
        <w:rPr>
          <w:rFonts w:cs="David"/>
          <w:sz w:val="24"/>
          <w:szCs w:val="24"/>
          <w:rtl/>
        </w:rPr>
        <w:t xml:space="preserve"> למשך שנתיים מיום שחרורו.</w:t>
      </w:r>
    </w:p>
    <w:p w14:paraId="756F1862" w14:textId="77777777" w:rsidR="006B7043" w:rsidRDefault="006B7043" w:rsidP="006B7043">
      <w:pPr>
        <w:pStyle w:val="aa"/>
        <w:numPr>
          <w:ilvl w:val="0"/>
          <w:numId w:val="2"/>
        </w:numPr>
        <w:spacing w:line="360" w:lineRule="auto"/>
        <w:jc w:val="both"/>
        <w:rPr>
          <w:rFonts w:cs="David"/>
          <w:sz w:val="24"/>
          <w:szCs w:val="24"/>
        </w:rPr>
      </w:pPr>
      <w:r>
        <w:rPr>
          <w:rFonts w:cs="David"/>
          <w:sz w:val="24"/>
          <w:szCs w:val="24"/>
          <w:rtl/>
        </w:rPr>
        <w:t>פסילת רישיון נהיגה לתקופה של 4 חודשים</w:t>
      </w:r>
      <w:r>
        <w:rPr>
          <w:rFonts w:cs="David" w:hint="cs"/>
          <w:sz w:val="24"/>
          <w:szCs w:val="24"/>
          <w:rtl/>
        </w:rPr>
        <w:t xml:space="preserve"> מיום שחרורו</w:t>
      </w:r>
      <w:r>
        <w:rPr>
          <w:rFonts w:cs="David"/>
          <w:sz w:val="24"/>
          <w:szCs w:val="24"/>
          <w:rtl/>
        </w:rPr>
        <w:t>.</w:t>
      </w:r>
      <w:r>
        <w:rPr>
          <w:rFonts w:cs="David" w:hint="cs"/>
          <w:sz w:val="24"/>
          <w:szCs w:val="24"/>
          <w:rtl/>
        </w:rPr>
        <w:t xml:space="preserve"> הנאשם מצהיר בפני כי אינו מחזיק רישיון נהיגה כדין ולפיכך אני מורה כי הפסילה תיכנס לתוקף מיד עם שחרורו ללא צורך בהפקדת רישיון נהיגה.</w:t>
      </w:r>
    </w:p>
    <w:p w14:paraId="42075A64" w14:textId="77777777" w:rsidR="006B7043" w:rsidRDefault="006B7043" w:rsidP="006B7043">
      <w:pPr>
        <w:pStyle w:val="aa"/>
        <w:numPr>
          <w:ilvl w:val="0"/>
          <w:numId w:val="2"/>
        </w:numPr>
        <w:spacing w:line="360" w:lineRule="auto"/>
        <w:jc w:val="both"/>
        <w:rPr>
          <w:rFonts w:cs="David"/>
          <w:sz w:val="24"/>
          <w:szCs w:val="24"/>
        </w:rPr>
      </w:pPr>
      <w:r>
        <w:rPr>
          <w:rFonts w:cs="David"/>
          <w:sz w:val="24"/>
          <w:szCs w:val="24"/>
          <w:rtl/>
        </w:rPr>
        <w:t xml:space="preserve">פסילה על תנאי לתקופה של 6 חודשים למשך שנתיים מיום שחרורו ככל ויעבור עבירה של נהיגה בפסילה או עבירה כלשהיא על </w:t>
      </w:r>
      <w:hyperlink r:id="rId44" w:history="1">
        <w:r w:rsidR="00A9179B" w:rsidRPr="00A9179B">
          <w:rPr>
            <w:rFonts w:cs="David" w:hint="cs"/>
            <w:color w:val="0000FF"/>
            <w:sz w:val="24"/>
            <w:szCs w:val="24"/>
            <w:u w:val="single"/>
            <w:rtl/>
          </w:rPr>
          <w:t>פקודת</w:t>
        </w:r>
        <w:r w:rsidR="00A9179B" w:rsidRPr="00A9179B">
          <w:rPr>
            <w:rFonts w:cs="David"/>
            <w:color w:val="0000FF"/>
            <w:sz w:val="24"/>
            <w:szCs w:val="24"/>
            <w:u w:val="single"/>
            <w:rtl/>
          </w:rPr>
          <w:t xml:space="preserve"> </w:t>
        </w:r>
        <w:r w:rsidR="00A9179B" w:rsidRPr="00A9179B">
          <w:rPr>
            <w:rFonts w:cs="David" w:hint="cs"/>
            <w:color w:val="0000FF"/>
            <w:sz w:val="24"/>
            <w:szCs w:val="24"/>
            <w:u w:val="single"/>
            <w:rtl/>
          </w:rPr>
          <w:t>הסמים</w:t>
        </w:r>
        <w:r w:rsidR="00A9179B" w:rsidRPr="00A9179B">
          <w:rPr>
            <w:rFonts w:cs="David"/>
            <w:color w:val="0000FF"/>
            <w:sz w:val="24"/>
            <w:szCs w:val="24"/>
            <w:u w:val="single"/>
            <w:rtl/>
          </w:rPr>
          <w:t xml:space="preserve"> </w:t>
        </w:r>
        <w:r w:rsidR="00A9179B" w:rsidRPr="00A9179B">
          <w:rPr>
            <w:rFonts w:cs="David" w:hint="cs"/>
            <w:color w:val="0000FF"/>
            <w:sz w:val="24"/>
            <w:szCs w:val="24"/>
            <w:u w:val="single"/>
            <w:rtl/>
          </w:rPr>
          <w:t>המסוכנים</w:t>
        </w:r>
      </w:hyperlink>
      <w:r>
        <w:rPr>
          <w:rFonts w:cs="David"/>
          <w:sz w:val="24"/>
          <w:szCs w:val="24"/>
          <w:rtl/>
        </w:rPr>
        <w:t>.</w:t>
      </w:r>
    </w:p>
    <w:p w14:paraId="2F2392A9" w14:textId="77777777" w:rsidR="006B7043" w:rsidRDefault="00A9179B" w:rsidP="006B7043">
      <w:pPr>
        <w:pStyle w:val="aa"/>
        <w:numPr>
          <w:ilvl w:val="0"/>
          <w:numId w:val="2"/>
        </w:numPr>
        <w:spacing w:line="360" w:lineRule="auto"/>
        <w:jc w:val="both"/>
        <w:rPr>
          <w:rFonts w:cs="David"/>
          <w:sz w:val="24"/>
          <w:szCs w:val="24"/>
        </w:rPr>
      </w:pPr>
      <w:r w:rsidRPr="00A9179B">
        <w:rPr>
          <w:rFonts w:cs="David"/>
          <w:color w:val="FFFFFF"/>
          <w:sz w:val="2"/>
          <w:szCs w:val="2"/>
          <w:rtl/>
        </w:rPr>
        <w:t>5129371</w:t>
      </w:r>
      <w:r w:rsidR="006B7043">
        <w:rPr>
          <w:rFonts w:cs="David"/>
          <w:sz w:val="24"/>
          <w:szCs w:val="24"/>
          <w:rtl/>
        </w:rPr>
        <w:t>מורה על השמדת הסמים והסכין.</w:t>
      </w:r>
    </w:p>
    <w:p w14:paraId="02BE1931" w14:textId="77777777" w:rsidR="006B7043" w:rsidRPr="00A9179B" w:rsidRDefault="00A9179B" w:rsidP="006B7043">
      <w:pPr>
        <w:rPr>
          <w:rFonts w:ascii="Arial" w:hAnsi="Arial"/>
          <w:b/>
          <w:bCs/>
          <w:color w:val="FFFFFF"/>
          <w:sz w:val="2"/>
          <w:szCs w:val="2"/>
          <w:rtl/>
        </w:rPr>
      </w:pPr>
      <w:r w:rsidRPr="00A9179B">
        <w:rPr>
          <w:rFonts w:ascii="Arial" w:hAnsi="Arial"/>
          <w:b/>
          <w:bCs/>
          <w:color w:val="FFFFFF"/>
          <w:sz w:val="2"/>
          <w:szCs w:val="2"/>
          <w:rtl/>
        </w:rPr>
        <w:t>54678313</w:t>
      </w:r>
    </w:p>
    <w:p w14:paraId="51D91E54" w14:textId="77777777" w:rsidR="006B7043" w:rsidRPr="000F2247" w:rsidRDefault="006B7043" w:rsidP="006B7043">
      <w:pPr>
        <w:rPr>
          <w:rFonts w:ascii="Arial" w:hAnsi="Arial"/>
          <w:b/>
          <w:bCs/>
          <w:sz w:val="26"/>
          <w:szCs w:val="26"/>
          <w:rtl/>
        </w:rPr>
      </w:pPr>
    </w:p>
    <w:p w14:paraId="116D58D5" w14:textId="77777777" w:rsidR="006B7043" w:rsidRPr="000F2247" w:rsidRDefault="00A9179B" w:rsidP="006B704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כסלו תשפ"ה, 19 דצמבר 2024, בנוכחות הצדדים. </w:t>
      </w:r>
      <w:bookmarkEnd w:id="8"/>
      <w:r w:rsidR="006B7043">
        <w:rPr>
          <w:rFonts w:ascii="Arial" w:hAnsi="Arial"/>
          <w:b/>
          <w:bCs/>
          <w:sz w:val="26"/>
          <w:szCs w:val="26"/>
          <w:rtl/>
        </w:rPr>
        <w:tab/>
      </w:r>
      <w:r w:rsidR="006B7043">
        <w:rPr>
          <w:rFonts w:ascii="Arial" w:hAnsi="Arial"/>
          <w:b/>
          <w:bCs/>
          <w:sz w:val="26"/>
          <w:szCs w:val="26"/>
          <w:rtl/>
        </w:rPr>
        <w:tab/>
      </w:r>
      <w:r w:rsidR="006B7043">
        <w:rPr>
          <w:rFonts w:ascii="Arial" w:hAnsi="Arial"/>
          <w:b/>
          <w:bCs/>
          <w:sz w:val="26"/>
          <w:szCs w:val="26"/>
          <w:rtl/>
        </w:rPr>
        <w:tab/>
      </w:r>
      <w:r w:rsidR="006B7043">
        <w:rPr>
          <w:rFonts w:ascii="Arial" w:hAnsi="Arial"/>
          <w:b/>
          <w:bCs/>
          <w:sz w:val="26"/>
          <w:szCs w:val="26"/>
          <w:rtl/>
        </w:rPr>
        <w:tab/>
      </w:r>
      <w:r w:rsidR="006B7043">
        <w:rPr>
          <w:rFonts w:ascii="Arial" w:hAnsi="Arial"/>
          <w:b/>
          <w:bCs/>
          <w:sz w:val="26"/>
          <w:szCs w:val="26"/>
          <w:rtl/>
        </w:rPr>
        <w:tab/>
      </w:r>
      <w:r w:rsidR="006B7043">
        <w:rPr>
          <w:rFonts w:ascii="Arial" w:hAnsi="Arial"/>
          <w:b/>
          <w:bCs/>
          <w:sz w:val="26"/>
          <w:szCs w:val="26"/>
          <w:rtl/>
        </w:rPr>
        <w:tab/>
      </w:r>
      <w:r w:rsidR="006B7043">
        <w:rPr>
          <w:rFonts w:ascii="Arial" w:hAnsi="Arial"/>
          <w:b/>
          <w:bCs/>
          <w:sz w:val="26"/>
          <w:szCs w:val="26"/>
          <w:rtl/>
        </w:rPr>
        <w:tab/>
      </w:r>
      <w:r w:rsidR="006B7043">
        <w:rPr>
          <w:rFonts w:ascii="Arial" w:hAnsi="Arial" w:hint="cs"/>
          <w:b/>
          <w:bCs/>
          <w:sz w:val="26"/>
          <w:szCs w:val="26"/>
          <w:rtl/>
        </w:rPr>
        <w:t xml:space="preserve">         </w:t>
      </w:r>
    </w:p>
    <w:p w14:paraId="2AF5A578" w14:textId="77777777" w:rsidR="006B7043" w:rsidRPr="000F2247" w:rsidRDefault="006B7043" w:rsidP="00A9179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CD9A803" w14:textId="77777777" w:rsidR="006B7043" w:rsidRPr="00264D00" w:rsidRDefault="00264D00" w:rsidP="006B7043">
      <w:pPr>
        <w:jc w:val="center"/>
        <w:rPr>
          <w:rFonts w:ascii="Arial" w:hAnsi="Arial"/>
          <w:b/>
          <w:bCs/>
          <w:color w:val="FFFFFF"/>
          <w:sz w:val="2"/>
          <w:szCs w:val="2"/>
          <w:rtl/>
        </w:rPr>
      </w:pPr>
      <w:r w:rsidRPr="00264D00">
        <w:rPr>
          <w:rFonts w:ascii="Arial" w:hAnsi="Arial"/>
          <w:b/>
          <w:bCs/>
          <w:color w:val="FFFFFF"/>
          <w:sz w:val="2"/>
          <w:szCs w:val="2"/>
          <w:rtl/>
        </w:rPr>
        <w:t>5129371</w:t>
      </w:r>
    </w:p>
    <w:p w14:paraId="350F5681" w14:textId="77777777" w:rsidR="007D75C0" w:rsidRPr="00264D00" w:rsidRDefault="00264D00" w:rsidP="00A9179B">
      <w:pPr>
        <w:keepNext/>
        <w:rPr>
          <w:rFonts w:ascii="David" w:hAnsi="David"/>
          <w:color w:val="FFFFFF"/>
          <w:sz w:val="2"/>
          <w:szCs w:val="2"/>
          <w:rtl/>
        </w:rPr>
      </w:pPr>
      <w:r w:rsidRPr="00264D00">
        <w:rPr>
          <w:rFonts w:ascii="David" w:hAnsi="David"/>
          <w:color w:val="FFFFFF"/>
          <w:sz w:val="2"/>
          <w:szCs w:val="2"/>
          <w:rtl/>
        </w:rPr>
        <w:t>54678313</w:t>
      </w:r>
    </w:p>
    <w:p w14:paraId="28765D6B" w14:textId="77777777" w:rsidR="00A9179B" w:rsidRDefault="00A9179B" w:rsidP="00A9179B">
      <w:pPr>
        <w:rPr>
          <w:rtl/>
        </w:rPr>
      </w:pPr>
    </w:p>
    <w:p w14:paraId="5FEAA171" w14:textId="77777777" w:rsidR="00A9179B" w:rsidRDefault="00A9179B" w:rsidP="00A9179B">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47406882" w14:textId="77777777" w:rsidR="00264D00" w:rsidRPr="00264D00" w:rsidRDefault="00264D00" w:rsidP="00264D00">
      <w:pPr>
        <w:keepNext/>
        <w:rPr>
          <w:rFonts w:ascii="David" w:hAnsi="David"/>
          <w:color w:val="000000"/>
          <w:sz w:val="22"/>
          <w:szCs w:val="22"/>
          <w:rtl/>
        </w:rPr>
      </w:pPr>
    </w:p>
    <w:p w14:paraId="0CF611C1" w14:textId="77777777" w:rsidR="00264D00" w:rsidRPr="00264D00" w:rsidRDefault="00264D00" w:rsidP="00264D00">
      <w:pPr>
        <w:keepNext/>
        <w:rPr>
          <w:rFonts w:ascii="David" w:hAnsi="David"/>
          <w:color w:val="000000"/>
          <w:sz w:val="22"/>
          <w:szCs w:val="22"/>
          <w:rtl/>
        </w:rPr>
      </w:pPr>
      <w:r w:rsidRPr="00264D00">
        <w:rPr>
          <w:rFonts w:ascii="David" w:hAnsi="David"/>
          <w:color w:val="000000"/>
          <w:sz w:val="22"/>
          <w:szCs w:val="22"/>
          <w:rtl/>
        </w:rPr>
        <w:t>אבישי כהן 54678313-/</w:t>
      </w:r>
    </w:p>
    <w:p w14:paraId="5713DA60" w14:textId="77777777" w:rsidR="00A9179B" w:rsidRPr="00A9179B" w:rsidRDefault="00264D00" w:rsidP="00264D00">
      <w:pPr>
        <w:rPr>
          <w:color w:val="0000FF"/>
          <w:u w:val="single"/>
        </w:rPr>
      </w:pPr>
      <w:r w:rsidRPr="00264D00">
        <w:rPr>
          <w:color w:val="000000"/>
          <w:u w:val="single"/>
          <w:rtl/>
        </w:rPr>
        <w:t>נוסח מסמך זה כפוף לשינויי ניסוח ועריכה</w:t>
      </w:r>
    </w:p>
    <w:sectPr w:rsidR="00A9179B" w:rsidRPr="00A9179B" w:rsidSect="00264D00">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9CF8F" w14:textId="77777777" w:rsidR="00FF3DF5" w:rsidRDefault="00FF3DF5" w:rsidP="00242BE9">
      <w:r>
        <w:separator/>
      </w:r>
    </w:p>
  </w:endnote>
  <w:endnote w:type="continuationSeparator" w:id="0">
    <w:p w14:paraId="2EF1B5D8" w14:textId="77777777" w:rsidR="00FF3DF5" w:rsidRDefault="00FF3DF5" w:rsidP="00242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A1386" w14:textId="77777777" w:rsidR="00264D00" w:rsidRDefault="00264D00" w:rsidP="00264D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1DBE568" w14:textId="77777777" w:rsidR="005508AB" w:rsidRPr="00264D00" w:rsidRDefault="00264D00" w:rsidP="00264D00">
    <w:pPr>
      <w:pStyle w:val="a5"/>
      <w:pBdr>
        <w:top w:val="single" w:sz="4" w:space="1" w:color="auto"/>
        <w:between w:val="single" w:sz="4" w:space="0" w:color="auto"/>
      </w:pBdr>
      <w:spacing w:after="60"/>
      <w:jc w:val="center"/>
      <w:rPr>
        <w:rFonts w:ascii="FrankRuehl" w:hAnsi="FrankRuehl" w:cs="FrankRuehl"/>
        <w:color w:val="000000"/>
      </w:rPr>
    </w:pPr>
    <w:r w:rsidRPr="00264D0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D141E" w14:textId="77777777" w:rsidR="00264D00" w:rsidRDefault="00264D00" w:rsidP="00264D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48DA">
      <w:rPr>
        <w:rFonts w:ascii="FrankRuehl" w:hAnsi="FrankRuehl" w:cs="FrankRuehl"/>
        <w:noProof/>
        <w:rtl/>
      </w:rPr>
      <w:t>1</w:t>
    </w:r>
    <w:r>
      <w:rPr>
        <w:rFonts w:ascii="FrankRuehl" w:hAnsi="FrankRuehl" w:cs="FrankRuehl"/>
        <w:rtl/>
      </w:rPr>
      <w:fldChar w:fldCharType="end"/>
    </w:r>
  </w:p>
  <w:p w14:paraId="3219BA2F" w14:textId="77777777" w:rsidR="005508AB" w:rsidRPr="00264D00" w:rsidRDefault="00264D00" w:rsidP="00264D00">
    <w:pPr>
      <w:pStyle w:val="a5"/>
      <w:pBdr>
        <w:top w:val="single" w:sz="4" w:space="1" w:color="auto"/>
        <w:between w:val="single" w:sz="4" w:space="0" w:color="auto"/>
      </w:pBdr>
      <w:spacing w:after="60"/>
      <w:jc w:val="center"/>
      <w:rPr>
        <w:rFonts w:ascii="FrankRuehl" w:hAnsi="FrankRuehl" w:cs="FrankRuehl"/>
        <w:color w:val="000000"/>
      </w:rPr>
    </w:pPr>
    <w:r w:rsidRPr="00264D00">
      <w:rPr>
        <w:rFonts w:ascii="FrankRuehl" w:hAnsi="FrankRuehl" w:cs="FrankRuehl"/>
        <w:color w:val="000000"/>
      </w:rPr>
      <w:pict w14:anchorId="6F0F1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0C651" w14:textId="77777777" w:rsidR="00FF3DF5" w:rsidRDefault="00FF3DF5" w:rsidP="00242BE9">
      <w:r>
        <w:separator/>
      </w:r>
    </w:p>
  </w:footnote>
  <w:footnote w:type="continuationSeparator" w:id="0">
    <w:p w14:paraId="78C9E2DE" w14:textId="77777777" w:rsidR="00FF3DF5" w:rsidRDefault="00FF3DF5" w:rsidP="00242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381D8" w14:textId="77777777" w:rsidR="00A9179B" w:rsidRPr="00264D00" w:rsidRDefault="00264D00" w:rsidP="00264D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67359-02-24</w:t>
    </w:r>
    <w:r>
      <w:rPr>
        <w:rFonts w:ascii="David" w:hAnsi="David"/>
        <w:color w:val="000000"/>
        <w:sz w:val="22"/>
        <w:szCs w:val="22"/>
        <w:rtl/>
      </w:rPr>
      <w:tab/>
      <w:t xml:space="preserve"> מדינת ישראל נ' אמיר צליח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178F6" w14:textId="77777777" w:rsidR="00A9179B" w:rsidRPr="00264D00" w:rsidRDefault="00264D00" w:rsidP="00264D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67359-02-24</w:t>
    </w:r>
    <w:r>
      <w:rPr>
        <w:rFonts w:ascii="David" w:hAnsi="David"/>
        <w:color w:val="000000"/>
        <w:sz w:val="22"/>
        <w:szCs w:val="22"/>
        <w:rtl/>
      </w:rPr>
      <w:tab/>
      <w:t xml:space="preserve"> מדינת ישראל נ' אמיר צליח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4B3BA8"/>
    <w:multiLevelType w:val="hybridMultilevel"/>
    <w:tmpl w:val="6BEA5FAC"/>
    <w:lvl w:ilvl="0" w:tplc="8C9263C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90D4428"/>
    <w:multiLevelType w:val="hybridMultilevel"/>
    <w:tmpl w:val="8998F422"/>
    <w:lvl w:ilvl="0" w:tplc="7E96D95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562017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44437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7043"/>
    <w:rsid w:val="00242BE9"/>
    <w:rsid w:val="00264D00"/>
    <w:rsid w:val="005508AB"/>
    <w:rsid w:val="006B7043"/>
    <w:rsid w:val="006F48DA"/>
    <w:rsid w:val="007D75C0"/>
    <w:rsid w:val="00854B73"/>
    <w:rsid w:val="00A9179B"/>
    <w:rsid w:val="00E95426"/>
    <w:rsid w:val="00EE3294"/>
    <w:rsid w:val="00FF3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9F9DC0"/>
  <w15:chartTrackingRefBased/>
  <w15:docId w15:val="{FED3A03D-C0CD-4265-AD70-050421AE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704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7043"/>
    <w:pPr>
      <w:tabs>
        <w:tab w:val="center" w:pos="4153"/>
        <w:tab w:val="right" w:pos="8306"/>
      </w:tabs>
    </w:pPr>
  </w:style>
  <w:style w:type="character" w:customStyle="1" w:styleId="a4">
    <w:name w:val="כותרת עליונה תו"/>
    <w:link w:val="a3"/>
    <w:rsid w:val="006B7043"/>
    <w:rPr>
      <w:rFonts w:ascii="Times New Roman" w:eastAsia="Times New Roman" w:hAnsi="Times New Roman" w:cs="David"/>
      <w:sz w:val="24"/>
      <w:szCs w:val="24"/>
    </w:rPr>
  </w:style>
  <w:style w:type="paragraph" w:styleId="a5">
    <w:name w:val="footer"/>
    <w:basedOn w:val="a"/>
    <w:link w:val="a6"/>
    <w:rsid w:val="006B7043"/>
    <w:pPr>
      <w:tabs>
        <w:tab w:val="center" w:pos="4153"/>
        <w:tab w:val="right" w:pos="8306"/>
      </w:tabs>
    </w:pPr>
  </w:style>
  <w:style w:type="character" w:customStyle="1" w:styleId="a6">
    <w:name w:val="כותרת תחתונה תו"/>
    <w:link w:val="a5"/>
    <w:rsid w:val="006B7043"/>
    <w:rPr>
      <w:rFonts w:ascii="Times New Roman" w:eastAsia="Times New Roman" w:hAnsi="Times New Roman" w:cs="David"/>
      <w:sz w:val="24"/>
      <w:szCs w:val="24"/>
    </w:rPr>
  </w:style>
  <w:style w:type="table" w:styleId="a7">
    <w:name w:val="Table Grid"/>
    <w:basedOn w:val="a1"/>
    <w:rsid w:val="006B704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B7043"/>
  </w:style>
  <w:style w:type="character" w:customStyle="1" w:styleId="a9">
    <w:name w:val="פיסקת רשימה תו"/>
    <w:link w:val="aa"/>
    <w:locked/>
    <w:rsid w:val="006B7043"/>
  </w:style>
  <w:style w:type="paragraph" w:styleId="aa">
    <w:name w:val="List Paragraph"/>
    <w:basedOn w:val="a"/>
    <w:link w:val="a9"/>
    <w:qFormat/>
    <w:rsid w:val="006B7043"/>
    <w:pPr>
      <w:spacing w:after="160" w:line="256" w:lineRule="auto"/>
      <w:ind w:left="720"/>
      <w:contextualSpacing/>
    </w:pPr>
    <w:rPr>
      <w:rFonts w:ascii="Calibri" w:eastAsia="Calibri" w:hAnsi="Calibri" w:cs="Arial"/>
      <w:sz w:val="22"/>
      <w:szCs w:val="22"/>
    </w:rPr>
  </w:style>
  <w:style w:type="character" w:styleId="Hyperlink">
    <w:name w:val="Hyperlink"/>
    <w:rsid w:val="00A9179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70301/186.a" TargetMode="External"/><Relationship Id="rId39" Type="http://schemas.openxmlformats.org/officeDocument/2006/relationships/hyperlink" Target="http://www.nevo.co.il/case/2572579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313460" TargetMode="External"/><Relationship Id="rId42" Type="http://schemas.openxmlformats.org/officeDocument/2006/relationships/hyperlink" Target="http://www.nevo.co.il/law/7030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43" TargetMode="External"/><Relationship Id="rId29" Type="http://schemas.openxmlformats.org/officeDocument/2006/relationships/hyperlink" Target="http://www.nevo.co.il/case/5605484" TargetMode="External"/><Relationship Id="rId11" Type="http://schemas.openxmlformats.org/officeDocument/2006/relationships/hyperlink" Target="http://www.nevo.co.il/law/70301/186.a" TargetMode="External"/><Relationship Id="rId24" Type="http://schemas.openxmlformats.org/officeDocument/2006/relationships/hyperlink" Target="http://www.nevo.co.il/law/70301/415" TargetMode="External"/><Relationship Id="rId32" Type="http://schemas.openxmlformats.org/officeDocument/2006/relationships/hyperlink" Target="http://www.nevo.co.il/case/21473042" TargetMode="External"/><Relationship Id="rId37" Type="http://schemas.openxmlformats.org/officeDocument/2006/relationships/hyperlink" Target="http://www.nevo.co.il/case/29200734" TargetMode="External"/><Relationship Id="rId40" Type="http://schemas.openxmlformats.org/officeDocument/2006/relationships/hyperlink" Target="http://www.nevo.co.il/case/5787128"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5227" TargetMode="External"/><Relationship Id="rId23" Type="http://schemas.openxmlformats.org/officeDocument/2006/relationships/hyperlink" Target="http://www.nevo.co.il/law/5227" TargetMode="External"/><Relationship Id="rId28" Type="http://schemas.openxmlformats.org/officeDocument/2006/relationships/hyperlink" Target="http://www.nevo.co.il/case/29629204" TargetMode="External"/><Relationship Id="rId36" Type="http://schemas.openxmlformats.org/officeDocument/2006/relationships/hyperlink" Target="http://www.nevo.co.il/case/26246488"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7023776" TargetMode="External"/><Relationship Id="rId44"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15" TargetMode="External"/><Relationship Id="rId22" Type="http://schemas.openxmlformats.org/officeDocument/2006/relationships/hyperlink" Target="http://www.nevo.co.il/law/5227/43"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28190928" TargetMode="External"/><Relationship Id="rId43" Type="http://schemas.openxmlformats.org/officeDocument/2006/relationships/hyperlink" Target="http://www.nevo.co.il/law/4216" TargetMode="External"/><Relationship Id="rId48" Type="http://schemas.openxmlformats.org/officeDocument/2006/relationships/footer" Target="footer1.xml"/><Relationship Id="rId8" Type="http://schemas.openxmlformats.org/officeDocument/2006/relationships/hyperlink" Target="http://www.nevo.co.il/law/4216/13"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287a"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681787" TargetMode="External"/><Relationship Id="rId38" Type="http://schemas.openxmlformats.org/officeDocument/2006/relationships/hyperlink" Target="http://www.nevo.co.il/case/28303615" TargetMode="External"/><Relationship Id="rId46" Type="http://schemas.openxmlformats.org/officeDocument/2006/relationships/header" Target="header1.xml"/><Relationship Id="rId20" Type="http://schemas.openxmlformats.org/officeDocument/2006/relationships/hyperlink" Target="http://www.nevo.co.il/law/70301/287a" TargetMode="External"/><Relationship Id="rId41"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2556</Words>
  <Characters>12780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15306</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7995492</vt:i4>
      </vt:variant>
      <vt:variant>
        <vt:i4>105</vt:i4>
      </vt:variant>
      <vt:variant>
        <vt:i4>0</vt:i4>
      </vt:variant>
      <vt:variant>
        <vt:i4>5</vt:i4>
      </vt:variant>
      <vt:variant>
        <vt:lpwstr>http://www.nevo.co.il/law/70301</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3407990</vt:i4>
      </vt:variant>
      <vt:variant>
        <vt:i4>99</vt:i4>
      </vt:variant>
      <vt:variant>
        <vt:i4>0</vt:i4>
      </vt:variant>
      <vt:variant>
        <vt:i4>5</vt:i4>
      </vt:variant>
      <vt:variant>
        <vt:lpwstr>http://www.nevo.co.il/case/5787128</vt:lpwstr>
      </vt:variant>
      <vt:variant>
        <vt:lpwstr/>
      </vt:variant>
      <vt:variant>
        <vt:i4>3735668</vt:i4>
      </vt:variant>
      <vt:variant>
        <vt:i4>96</vt:i4>
      </vt:variant>
      <vt:variant>
        <vt:i4>0</vt:i4>
      </vt:variant>
      <vt:variant>
        <vt:i4>5</vt:i4>
      </vt:variant>
      <vt:variant>
        <vt:lpwstr>http://www.nevo.co.il/case/25725793</vt:lpwstr>
      </vt:variant>
      <vt:variant>
        <vt:lpwstr/>
      </vt:variant>
      <vt:variant>
        <vt:i4>3342458</vt:i4>
      </vt:variant>
      <vt:variant>
        <vt:i4>93</vt:i4>
      </vt:variant>
      <vt:variant>
        <vt:i4>0</vt:i4>
      </vt:variant>
      <vt:variant>
        <vt:i4>5</vt:i4>
      </vt:variant>
      <vt:variant>
        <vt:lpwstr>http://www.nevo.co.il/case/28303615</vt:lpwstr>
      </vt:variant>
      <vt:variant>
        <vt:lpwstr/>
      </vt:variant>
      <vt:variant>
        <vt:i4>3342458</vt:i4>
      </vt:variant>
      <vt:variant>
        <vt:i4>90</vt:i4>
      </vt:variant>
      <vt:variant>
        <vt:i4>0</vt:i4>
      </vt:variant>
      <vt:variant>
        <vt:i4>5</vt:i4>
      </vt:variant>
      <vt:variant>
        <vt:lpwstr>http://www.nevo.co.il/case/29200734</vt:lpwstr>
      </vt:variant>
      <vt:variant>
        <vt:lpwstr/>
      </vt:variant>
      <vt:variant>
        <vt:i4>4063346</vt:i4>
      </vt:variant>
      <vt:variant>
        <vt:i4>87</vt:i4>
      </vt:variant>
      <vt:variant>
        <vt:i4>0</vt:i4>
      </vt:variant>
      <vt:variant>
        <vt:i4>5</vt:i4>
      </vt:variant>
      <vt:variant>
        <vt:lpwstr>http://www.nevo.co.il/case/26246488</vt:lpwstr>
      </vt:variant>
      <vt:variant>
        <vt:lpwstr/>
      </vt:variant>
      <vt:variant>
        <vt:i4>3211388</vt:i4>
      </vt:variant>
      <vt:variant>
        <vt:i4>84</vt:i4>
      </vt:variant>
      <vt:variant>
        <vt:i4>0</vt:i4>
      </vt:variant>
      <vt:variant>
        <vt:i4>5</vt:i4>
      </vt:variant>
      <vt:variant>
        <vt:lpwstr>http://www.nevo.co.il/case/28190928</vt:lpwstr>
      </vt:variant>
      <vt:variant>
        <vt:lpwstr/>
      </vt:variant>
      <vt:variant>
        <vt:i4>3407990</vt:i4>
      </vt:variant>
      <vt:variant>
        <vt:i4>81</vt:i4>
      </vt:variant>
      <vt:variant>
        <vt:i4>0</vt:i4>
      </vt:variant>
      <vt:variant>
        <vt:i4>5</vt:i4>
      </vt:variant>
      <vt:variant>
        <vt:lpwstr>http://www.nevo.co.il/case/27313460</vt:lpwstr>
      </vt:variant>
      <vt:variant>
        <vt:lpwstr/>
      </vt:variant>
      <vt:variant>
        <vt:i4>3997819</vt:i4>
      </vt:variant>
      <vt:variant>
        <vt:i4>78</vt:i4>
      </vt:variant>
      <vt:variant>
        <vt:i4>0</vt:i4>
      </vt:variant>
      <vt:variant>
        <vt:i4>5</vt:i4>
      </vt:variant>
      <vt:variant>
        <vt:lpwstr>http://www.nevo.co.il/case/5681787</vt:lpwstr>
      </vt:variant>
      <vt:variant>
        <vt:lpwstr/>
      </vt:variant>
      <vt:variant>
        <vt:i4>3211378</vt:i4>
      </vt:variant>
      <vt:variant>
        <vt:i4>75</vt:i4>
      </vt:variant>
      <vt:variant>
        <vt:i4>0</vt:i4>
      </vt:variant>
      <vt:variant>
        <vt:i4>5</vt:i4>
      </vt:variant>
      <vt:variant>
        <vt:lpwstr>http://www.nevo.co.il/case/21473042</vt:lpwstr>
      </vt:variant>
      <vt:variant>
        <vt:lpwstr/>
      </vt:variant>
      <vt:variant>
        <vt:i4>3473526</vt:i4>
      </vt:variant>
      <vt:variant>
        <vt:i4>72</vt:i4>
      </vt:variant>
      <vt:variant>
        <vt:i4>0</vt:i4>
      </vt:variant>
      <vt:variant>
        <vt:i4>5</vt:i4>
      </vt:variant>
      <vt:variant>
        <vt:lpwstr>http://www.nevo.co.il/case/17023776</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3473535</vt:i4>
      </vt:variant>
      <vt:variant>
        <vt:i4>66</vt:i4>
      </vt:variant>
      <vt:variant>
        <vt:i4>0</vt:i4>
      </vt:variant>
      <vt:variant>
        <vt:i4>5</vt:i4>
      </vt:variant>
      <vt:variant>
        <vt:lpwstr>http://www.nevo.co.il/case/5605484</vt:lpwstr>
      </vt:variant>
      <vt:variant>
        <vt:lpwstr/>
      </vt:variant>
      <vt:variant>
        <vt:i4>3997821</vt:i4>
      </vt:variant>
      <vt:variant>
        <vt:i4>63</vt:i4>
      </vt:variant>
      <vt:variant>
        <vt:i4>0</vt:i4>
      </vt:variant>
      <vt:variant>
        <vt:i4>5</vt:i4>
      </vt:variant>
      <vt:variant>
        <vt:lpwstr>http://www.nevo.co.il/case/29629204</vt:lpwstr>
      </vt:variant>
      <vt:variant>
        <vt:lpwstr/>
      </vt:variant>
      <vt:variant>
        <vt:i4>7995492</vt:i4>
      </vt:variant>
      <vt:variant>
        <vt:i4>60</vt:i4>
      </vt:variant>
      <vt:variant>
        <vt:i4>0</vt:i4>
      </vt:variant>
      <vt:variant>
        <vt:i4>5</vt:i4>
      </vt:variant>
      <vt:variant>
        <vt:lpwstr>http://www.nevo.co.il/law/70301</vt:lpwstr>
      </vt:variant>
      <vt:variant>
        <vt:lpwstr/>
      </vt:variant>
      <vt:variant>
        <vt:i4>4390994</vt:i4>
      </vt:variant>
      <vt:variant>
        <vt:i4>57</vt:i4>
      </vt:variant>
      <vt:variant>
        <vt:i4>0</vt:i4>
      </vt:variant>
      <vt:variant>
        <vt:i4>5</vt:i4>
      </vt:variant>
      <vt:variant>
        <vt:lpwstr>http://www.nevo.co.il/law/70301/186.a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6553697</vt:i4>
      </vt:variant>
      <vt:variant>
        <vt:i4>51</vt:i4>
      </vt:variant>
      <vt:variant>
        <vt:i4>0</vt:i4>
      </vt:variant>
      <vt:variant>
        <vt:i4>5</vt:i4>
      </vt:variant>
      <vt:variant>
        <vt:lpwstr>http://www.nevo.co.il/law/70301/415</vt:lpwstr>
      </vt:variant>
      <vt:variant>
        <vt:lpwstr/>
      </vt:variant>
      <vt:variant>
        <vt:i4>8323175</vt:i4>
      </vt:variant>
      <vt:variant>
        <vt:i4>48</vt:i4>
      </vt:variant>
      <vt:variant>
        <vt:i4>0</vt:i4>
      </vt:variant>
      <vt:variant>
        <vt:i4>5</vt:i4>
      </vt:variant>
      <vt:variant>
        <vt:lpwstr>http://www.nevo.co.il/law/5227</vt:lpwstr>
      </vt:variant>
      <vt:variant>
        <vt:lpwstr/>
      </vt:variant>
      <vt:variant>
        <vt:i4>4915272</vt:i4>
      </vt:variant>
      <vt:variant>
        <vt:i4>45</vt:i4>
      </vt:variant>
      <vt:variant>
        <vt:i4>0</vt:i4>
      </vt:variant>
      <vt:variant>
        <vt:i4>5</vt:i4>
      </vt:variant>
      <vt:variant>
        <vt:lpwstr>http://www.nevo.co.il/law/5227/43</vt:lpwstr>
      </vt:variant>
      <vt:variant>
        <vt:lpwstr/>
      </vt:variant>
      <vt:variant>
        <vt:i4>7995492</vt:i4>
      </vt:variant>
      <vt:variant>
        <vt:i4>42</vt:i4>
      </vt:variant>
      <vt:variant>
        <vt:i4>0</vt:i4>
      </vt:variant>
      <vt:variant>
        <vt:i4>5</vt:i4>
      </vt:variant>
      <vt:variant>
        <vt:lpwstr>http://www.nevo.co.il/law/70301</vt:lpwstr>
      </vt:variant>
      <vt:variant>
        <vt:lpwstr/>
      </vt:variant>
      <vt:variant>
        <vt:i4>786512</vt:i4>
      </vt:variant>
      <vt:variant>
        <vt:i4>39</vt:i4>
      </vt:variant>
      <vt:variant>
        <vt:i4>0</vt:i4>
      </vt:variant>
      <vt:variant>
        <vt:i4>5</vt:i4>
      </vt:variant>
      <vt:variant>
        <vt:lpwstr>http://www.nevo.co.il/law/70301/287a</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4915272</vt:i4>
      </vt:variant>
      <vt:variant>
        <vt:i4>27</vt:i4>
      </vt:variant>
      <vt:variant>
        <vt:i4>0</vt:i4>
      </vt:variant>
      <vt:variant>
        <vt:i4>5</vt:i4>
      </vt:variant>
      <vt:variant>
        <vt:lpwstr>http://www.nevo.co.il/law/5227/43</vt:lpwstr>
      </vt:variant>
      <vt:variant>
        <vt:lpwstr/>
      </vt:variant>
      <vt:variant>
        <vt:i4>8323175</vt:i4>
      </vt:variant>
      <vt:variant>
        <vt:i4>24</vt:i4>
      </vt:variant>
      <vt:variant>
        <vt:i4>0</vt:i4>
      </vt:variant>
      <vt:variant>
        <vt:i4>5</vt:i4>
      </vt:variant>
      <vt:variant>
        <vt:lpwstr>http://www.nevo.co.il/law/5227</vt:lpwstr>
      </vt:variant>
      <vt:variant>
        <vt:lpwstr/>
      </vt:variant>
      <vt:variant>
        <vt:i4>6553697</vt:i4>
      </vt:variant>
      <vt:variant>
        <vt:i4>21</vt:i4>
      </vt:variant>
      <vt:variant>
        <vt:i4>0</vt:i4>
      </vt:variant>
      <vt:variant>
        <vt:i4>5</vt:i4>
      </vt:variant>
      <vt:variant>
        <vt:lpwstr>http://www.nevo.co.il/law/70301/415</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786512</vt:i4>
      </vt:variant>
      <vt:variant>
        <vt:i4>15</vt:i4>
      </vt:variant>
      <vt:variant>
        <vt:i4>0</vt:i4>
      </vt:variant>
      <vt:variant>
        <vt:i4>5</vt:i4>
      </vt:variant>
      <vt:variant>
        <vt:lpwstr>http://www.nevo.co.il/law/70301/287a</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2025-04-23T01:55:00Z</dcterms:created>
  <dcterms:modified xsi:type="dcterms:W3CDTF">2025-04-23T01:55:00Z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67359</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אמיר צליח</vt:lpwstr>
  </property>
  <property fmtid="{D5CDD505-2E9C-101B-9397-08002B2CF9AE}" pid="10" name="LAWYER">
    <vt:lpwstr>שירלי אוחיון;לאון קרסנוברודסקי </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20241219</vt:lpwstr>
  </property>
  <property fmtid="{D5CDD505-2E9C-101B-9397-08002B2CF9AE}" pid="14" name="TYPE_N_DATE">
    <vt:lpwstr>38020241219</vt:lpwstr>
  </property>
  <property fmtid="{D5CDD505-2E9C-101B-9397-08002B2CF9AE}" pid="15" name="CASESLISTTMP1">
    <vt:lpwstr>29629204;5605484;13093721;17023776;21473042;5681787;27313460;28190928;26246488;29200734;28303615;25725793;5787128</vt:lpwstr>
  </property>
  <property fmtid="{D5CDD505-2E9C-101B-9397-08002B2CF9AE}" pid="16" name="WORDNUMPAGES">
    <vt:lpwstr>7</vt:lpwstr>
  </property>
  <property fmtid="{D5CDD505-2E9C-101B-9397-08002B2CF9AE}" pid="17" name="TYPE_ABS_DATE">
    <vt:lpwstr>380020241219</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vt:lpwstr>
  </property>
  <property fmtid="{D5CDD505-2E9C-101B-9397-08002B2CF9AE}" pid="37" name="LAWLISTTMP2">
    <vt:lpwstr>70301/287a;415;186.a;40ja</vt:lpwstr>
  </property>
  <property fmtid="{D5CDD505-2E9C-101B-9397-08002B2CF9AE}" pid="38" name="LAWLISTTMP3">
    <vt:lpwstr>5227/043</vt:lpwstr>
  </property>
</Properties>
</file>