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13E5B" w:rsidRPr="008B6C27" w14:paraId="2829ED32" w14:textId="77777777" w:rsidTr="00E111D7">
        <w:trPr>
          <w:trHeight w:hRule="exact" w:val="418"/>
          <w:jc w:val="center"/>
        </w:trPr>
        <w:tc>
          <w:tcPr>
            <w:tcW w:w="8721" w:type="dxa"/>
            <w:gridSpan w:val="2"/>
          </w:tcPr>
          <w:p w14:paraId="375A8EED" w14:textId="77777777" w:rsidR="00D13E5B" w:rsidRPr="008B6C27" w:rsidRDefault="00D13E5B" w:rsidP="00957433">
            <w:pPr>
              <w:pStyle w:val="a3"/>
              <w:jc w:val="center"/>
              <w:rPr>
                <w:rFonts w:ascii="Tahoma" w:hAnsi="Tahoma" w:cs="Tahoma"/>
                <w:color w:val="000080"/>
                <w:rtl/>
              </w:rPr>
            </w:pPr>
            <w:bookmarkStart w:id="0" w:name="FirstLawyer"/>
            <w:bookmarkStart w:id="1" w:name="LastJudge"/>
            <w:r w:rsidRPr="008B6C27">
              <w:rPr>
                <w:rFonts w:ascii="Tahoma" w:hAnsi="Tahoma" w:cs="Tahoma"/>
                <w:b/>
                <w:bCs/>
                <w:color w:val="000080"/>
                <w:rtl/>
              </w:rPr>
              <w:t>בית משפט השלום בחדרה</w:t>
            </w:r>
          </w:p>
        </w:tc>
      </w:tr>
      <w:tr w:rsidR="00D13E5B" w:rsidRPr="008B6C27" w14:paraId="6D312E4B" w14:textId="77777777" w:rsidTr="00E111D7">
        <w:trPr>
          <w:trHeight w:val="337"/>
          <w:jc w:val="center"/>
        </w:trPr>
        <w:tc>
          <w:tcPr>
            <w:tcW w:w="5054" w:type="dxa"/>
          </w:tcPr>
          <w:p w14:paraId="6B7D5B7F" w14:textId="77777777" w:rsidR="00D13E5B" w:rsidRPr="008B6C27" w:rsidRDefault="00D13E5B" w:rsidP="00957433">
            <w:pPr>
              <w:rPr>
                <w:rFonts w:cs="FrankRuehl"/>
                <w:sz w:val="28"/>
                <w:szCs w:val="28"/>
                <w:rtl/>
              </w:rPr>
            </w:pPr>
            <w:r w:rsidRPr="008B6C27">
              <w:rPr>
                <w:rFonts w:cs="FrankRuehl"/>
                <w:sz w:val="28"/>
                <w:szCs w:val="28"/>
                <w:rtl/>
              </w:rPr>
              <w:t>ת"פ</w:t>
            </w:r>
            <w:r w:rsidRPr="008B6C27">
              <w:rPr>
                <w:rFonts w:cs="FrankRuehl" w:hint="cs"/>
                <w:sz w:val="28"/>
                <w:szCs w:val="28"/>
                <w:rtl/>
              </w:rPr>
              <w:t xml:space="preserve"> </w:t>
            </w:r>
            <w:r w:rsidRPr="008B6C27">
              <w:rPr>
                <w:rFonts w:cs="FrankRuehl"/>
                <w:sz w:val="28"/>
                <w:szCs w:val="28"/>
                <w:rtl/>
              </w:rPr>
              <w:t>11191-03-24</w:t>
            </w:r>
            <w:r w:rsidRPr="008B6C27">
              <w:rPr>
                <w:rFonts w:cs="FrankRuehl" w:hint="cs"/>
                <w:sz w:val="28"/>
                <w:szCs w:val="28"/>
                <w:rtl/>
              </w:rPr>
              <w:t xml:space="preserve"> </w:t>
            </w:r>
            <w:r w:rsidRPr="008B6C27">
              <w:rPr>
                <w:rFonts w:cs="FrankRuehl"/>
                <w:sz w:val="28"/>
                <w:szCs w:val="28"/>
                <w:rtl/>
              </w:rPr>
              <w:t>מדינת ישראל נ' אביטן</w:t>
            </w:r>
          </w:p>
          <w:p w14:paraId="432C0A27" w14:textId="77777777" w:rsidR="00D13E5B" w:rsidRPr="008B6C27" w:rsidRDefault="00D13E5B" w:rsidP="00957433">
            <w:pPr>
              <w:pStyle w:val="a3"/>
              <w:rPr>
                <w:rFonts w:cs="FrankRuehl"/>
                <w:sz w:val="28"/>
                <w:szCs w:val="28"/>
                <w:rtl/>
              </w:rPr>
            </w:pPr>
          </w:p>
        </w:tc>
        <w:tc>
          <w:tcPr>
            <w:tcW w:w="3667" w:type="dxa"/>
          </w:tcPr>
          <w:p w14:paraId="0B8E4D1E" w14:textId="77777777" w:rsidR="00D13E5B" w:rsidRPr="008B6C27" w:rsidRDefault="00D13E5B" w:rsidP="00957433">
            <w:pPr>
              <w:pStyle w:val="a3"/>
              <w:jc w:val="right"/>
              <w:rPr>
                <w:rFonts w:cs="FrankRuehl"/>
                <w:sz w:val="28"/>
                <w:szCs w:val="28"/>
                <w:rtl/>
              </w:rPr>
            </w:pPr>
          </w:p>
        </w:tc>
      </w:tr>
    </w:tbl>
    <w:p w14:paraId="12C9EE82" w14:textId="77777777" w:rsidR="00D13E5B" w:rsidRPr="008B6C27" w:rsidRDefault="00D13E5B" w:rsidP="00E111D7">
      <w:pPr>
        <w:pStyle w:val="a3"/>
      </w:pPr>
      <w:r w:rsidRPr="008B6C27">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D13E5B" w:rsidRPr="008B6C27" w14:paraId="18886204" w14:textId="77777777" w:rsidTr="00D13E5B">
        <w:trPr>
          <w:trHeight w:val="295"/>
          <w:jc w:val="center"/>
        </w:trPr>
        <w:tc>
          <w:tcPr>
            <w:tcW w:w="923" w:type="dxa"/>
            <w:tcBorders>
              <w:top w:val="nil"/>
              <w:left w:val="nil"/>
              <w:bottom w:val="nil"/>
              <w:right w:val="nil"/>
            </w:tcBorders>
            <w:shd w:val="clear" w:color="auto" w:fill="auto"/>
          </w:tcPr>
          <w:p w14:paraId="67CF9D0F" w14:textId="77777777" w:rsidR="00D13E5B" w:rsidRPr="008B6C27" w:rsidRDefault="00D13E5B" w:rsidP="00D13E5B">
            <w:pPr>
              <w:jc w:val="both"/>
              <w:rPr>
                <w:rFonts w:ascii="David" w:hAnsi="David"/>
                <w:sz w:val="26"/>
                <w:szCs w:val="26"/>
              </w:rPr>
            </w:pPr>
            <w:r w:rsidRPr="008B6C27">
              <w:rPr>
                <w:rFonts w:ascii="David" w:hAnsi="David" w:hint="cs"/>
                <w:sz w:val="26"/>
                <w:szCs w:val="26"/>
                <w:rtl/>
              </w:rPr>
              <w:t>ל</w:t>
            </w:r>
            <w:r w:rsidRPr="008B6C27">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22C92C41" w14:textId="77777777" w:rsidR="00D13E5B" w:rsidRPr="008B6C27" w:rsidRDefault="00D13E5B" w:rsidP="00957433">
            <w:pPr>
              <w:rPr>
                <w:rFonts w:ascii="David" w:hAnsi="David"/>
                <w:b/>
                <w:bCs/>
                <w:sz w:val="26"/>
                <w:szCs w:val="26"/>
                <w:rtl/>
              </w:rPr>
            </w:pPr>
            <w:r w:rsidRPr="008B6C27">
              <w:rPr>
                <w:rFonts w:ascii="David" w:hAnsi="David"/>
                <w:b/>
                <w:bCs/>
                <w:sz w:val="26"/>
                <w:szCs w:val="26"/>
                <w:rtl/>
              </w:rPr>
              <w:t>כבוד השופט  אלכס אחטר</w:t>
            </w:r>
          </w:p>
          <w:p w14:paraId="1AB3915B" w14:textId="77777777" w:rsidR="00D13E5B" w:rsidRPr="008B6C27" w:rsidRDefault="00D13E5B" w:rsidP="00957433">
            <w:pPr>
              <w:rPr>
                <w:rFonts w:ascii="David" w:hAnsi="David"/>
                <w:sz w:val="26"/>
                <w:szCs w:val="26"/>
                <w:rtl/>
              </w:rPr>
            </w:pPr>
          </w:p>
          <w:p w14:paraId="75DC1E6E" w14:textId="77777777" w:rsidR="00D13E5B" w:rsidRPr="008B6C27" w:rsidRDefault="00D13E5B" w:rsidP="00D13E5B">
            <w:pPr>
              <w:jc w:val="both"/>
              <w:rPr>
                <w:rFonts w:ascii="David" w:hAnsi="David"/>
                <w:sz w:val="26"/>
                <w:szCs w:val="26"/>
              </w:rPr>
            </w:pPr>
          </w:p>
        </w:tc>
      </w:tr>
      <w:tr w:rsidR="00D13E5B" w:rsidRPr="008B6C27" w14:paraId="193BEAD7" w14:textId="77777777" w:rsidTr="00D13E5B">
        <w:trPr>
          <w:trHeight w:val="355"/>
          <w:jc w:val="center"/>
        </w:trPr>
        <w:tc>
          <w:tcPr>
            <w:tcW w:w="923" w:type="dxa"/>
            <w:tcBorders>
              <w:top w:val="nil"/>
              <w:left w:val="nil"/>
              <w:bottom w:val="nil"/>
              <w:right w:val="nil"/>
            </w:tcBorders>
            <w:shd w:val="clear" w:color="auto" w:fill="auto"/>
          </w:tcPr>
          <w:p w14:paraId="4324F743" w14:textId="77777777" w:rsidR="00D13E5B" w:rsidRPr="008B6C27" w:rsidRDefault="00D13E5B" w:rsidP="00D13E5B">
            <w:pPr>
              <w:jc w:val="both"/>
              <w:rPr>
                <w:rFonts w:ascii="David" w:hAnsi="David"/>
                <w:sz w:val="26"/>
                <w:szCs w:val="26"/>
              </w:rPr>
            </w:pPr>
            <w:bookmarkStart w:id="2" w:name="FirstAppellant"/>
            <w:r w:rsidRPr="008B6C27">
              <w:rPr>
                <w:rFonts w:ascii="David" w:hAnsi="David"/>
                <w:sz w:val="26"/>
                <w:szCs w:val="26"/>
                <w:rtl/>
              </w:rPr>
              <w:t>בעניין:</w:t>
            </w:r>
          </w:p>
        </w:tc>
        <w:tc>
          <w:tcPr>
            <w:tcW w:w="3219" w:type="dxa"/>
            <w:tcBorders>
              <w:top w:val="nil"/>
              <w:left w:val="nil"/>
              <w:bottom w:val="nil"/>
              <w:right w:val="nil"/>
            </w:tcBorders>
            <w:shd w:val="clear" w:color="auto" w:fill="auto"/>
          </w:tcPr>
          <w:p w14:paraId="7C2EADF0" w14:textId="77777777" w:rsidR="00D13E5B" w:rsidRPr="008B6C27" w:rsidRDefault="00D13E5B" w:rsidP="00D13E5B">
            <w:pPr>
              <w:suppressLineNumbers/>
            </w:pPr>
            <w:r w:rsidRPr="008B6C27">
              <w:rPr>
                <w:rFonts w:ascii="Arial" w:hAnsi="Arial" w:hint="cs"/>
                <w:b/>
                <w:bCs/>
                <w:sz w:val="26"/>
                <w:szCs w:val="26"/>
                <w:rtl/>
              </w:rPr>
              <w:t>ה</w:t>
            </w:r>
            <w:r w:rsidRPr="008B6C27">
              <w:rPr>
                <w:rFonts w:ascii="Arial" w:hAnsi="Arial"/>
                <w:b/>
                <w:bCs/>
                <w:sz w:val="26"/>
                <w:szCs w:val="26"/>
                <w:rtl/>
              </w:rPr>
              <w:t>מאשימה</w:t>
            </w:r>
          </w:p>
          <w:p w14:paraId="25D3BFE8" w14:textId="77777777" w:rsidR="00D13E5B" w:rsidRPr="008B6C27" w:rsidRDefault="00D13E5B" w:rsidP="00957433">
            <w:pPr>
              <w:rPr>
                <w:rFonts w:ascii="David" w:hAnsi="David"/>
                <w:sz w:val="26"/>
                <w:szCs w:val="26"/>
              </w:rPr>
            </w:pPr>
          </w:p>
        </w:tc>
        <w:tc>
          <w:tcPr>
            <w:tcW w:w="4678" w:type="dxa"/>
            <w:tcBorders>
              <w:top w:val="nil"/>
              <w:left w:val="nil"/>
              <w:bottom w:val="nil"/>
              <w:right w:val="nil"/>
            </w:tcBorders>
            <w:shd w:val="clear" w:color="auto" w:fill="auto"/>
            <w:vAlign w:val="center"/>
          </w:tcPr>
          <w:p w14:paraId="4775FA87" w14:textId="77777777" w:rsidR="00D13E5B" w:rsidRPr="008B6C27" w:rsidRDefault="00D13E5B" w:rsidP="00D13E5B">
            <w:pPr>
              <w:suppressLineNumbers/>
            </w:pPr>
            <w:r w:rsidRPr="008B6C27">
              <w:rPr>
                <w:rFonts w:ascii="Arial" w:hAnsi="Arial"/>
                <w:b/>
                <w:bCs/>
                <w:sz w:val="26"/>
                <w:szCs w:val="26"/>
                <w:rtl/>
              </w:rPr>
              <w:t>מדינת ישראל</w:t>
            </w:r>
            <w:r w:rsidRPr="008B6C27">
              <w:rPr>
                <w:rFonts w:ascii="Arial" w:hAnsi="Arial" w:hint="cs"/>
                <w:b/>
                <w:bCs/>
                <w:sz w:val="26"/>
                <w:szCs w:val="26"/>
                <w:rtl/>
              </w:rPr>
              <w:t xml:space="preserve"> </w:t>
            </w:r>
            <w:r w:rsidRPr="008B6C27">
              <w:rPr>
                <w:rFonts w:ascii="Arial" w:hAnsi="Arial"/>
                <w:b/>
                <w:bCs/>
                <w:sz w:val="26"/>
                <w:szCs w:val="26"/>
                <w:rtl/>
              </w:rPr>
              <w:t>ע"י ב"כ עוה"ד</w:t>
            </w:r>
            <w:r w:rsidRPr="008B6C27">
              <w:rPr>
                <w:rFonts w:hint="cs"/>
                <w:b/>
                <w:bCs/>
                <w:rtl/>
              </w:rPr>
              <w:t xml:space="preserve"> </w:t>
            </w:r>
            <w:r w:rsidRPr="008B6C27">
              <w:rPr>
                <w:b/>
                <w:bCs/>
                <w:rtl/>
              </w:rPr>
              <w:t>מעיין בנימין קריאף ועו"ד אופיר בר מרטון</w:t>
            </w:r>
          </w:p>
          <w:p w14:paraId="1418DF51" w14:textId="77777777" w:rsidR="00D13E5B" w:rsidRPr="008B6C27" w:rsidRDefault="00D13E5B" w:rsidP="00957433">
            <w:pPr>
              <w:rPr>
                <w:rFonts w:ascii="David" w:hAnsi="David"/>
                <w:sz w:val="26"/>
                <w:szCs w:val="26"/>
              </w:rPr>
            </w:pPr>
          </w:p>
        </w:tc>
      </w:tr>
      <w:bookmarkEnd w:id="2"/>
      <w:tr w:rsidR="00D13E5B" w:rsidRPr="008B6C27" w14:paraId="5A1364CA" w14:textId="77777777" w:rsidTr="00D13E5B">
        <w:trPr>
          <w:trHeight w:val="355"/>
          <w:jc w:val="center"/>
        </w:trPr>
        <w:tc>
          <w:tcPr>
            <w:tcW w:w="923" w:type="dxa"/>
            <w:tcBorders>
              <w:top w:val="nil"/>
              <w:left w:val="nil"/>
              <w:bottom w:val="nil"/>
              <w:right w:val="nil"/>
            </w:tcBorders>
            <w:shd w:val="clear" w:color="auto" w:fill="auto"/>
          </w:tcPr>
          <w:p w14:paraId="2AACE75D" w14:textId="77777777" w:rsidR="00D13E5B" w:rsidRPr="008B6C27" w:rsidRDefault="00D13E5B" w:rsidP="00D13E5B">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634A989" w14:textId="77777777" w:rsidR="00D13E5B" w:rsidRPr="008B6C27" w:rsidRDefault="00D13E5B" w:rsidP="00D13E5B">
            <w:pPr>
              <w:jc w:val="center"/>
              <w:rPr>
                <w:rFonts w:ascii="David" w:hAnsi="David"/>
                <w:b/>
                <w:bCs/>
                <w:sz w:val="26"/>
                <w:szCs w:val="26"/>
                <w:rtl/>
              </w:rPr>
            </w:pPr>
          </w:p>
          <w:p w14:paraId="6D58C2EF" w14:textId="77777777" w:rsidR="00D13E5B" w:rsidRPr="008B6C27" w:rsidRDefault="00D13E5B" w:rsidP="00D13E5B">
            <w:pPr>
              <w:jc w:val="center"/>
              <w:rPr>
                <w:rFonts w:ascii="David" w:hAnsi="David"/>
                <w:b/>
                <w:bCs/>
                <w:sz w:val="26"/>
                <w:szCs w:val="26"/>
                <w:rtl/>
              </w:rPr>
            </w:pPr>
            <w:r w:rsidRPr="008B6C27">
              <w:rPr>
                <w:rFonts w:ascii="David" w:hAnsi="David"/>
                <w:b/>
                <w:bCs/>
                <w:sz w:val="26"/>
                <w:szCs w:val="26"/>
                <w:rtl/>
              </w:rPr>
              <w:t>נגד</w:t>
            </w:r>
          </w:p>
          <w:p w14:paraId="013B46AF" w14:textId="77777777" w:rsidR="00D13E5B" w:rsidRPr="008B6C27" w:rsidRDefault="00D13E5B" w:rsidP="00D13E5B">
            <w:pPr>
              <w:jc w:val="both"/>
              <w:rPr>
                <w:rFonts w:ascii="David" w:hAnsi="David"/>
                <w:sz w:val="26"/>
                <w:szCs w:val="26"/>
              </w:rPr>
            </w:pPr>
          </w:p>
        </w:tc>
      </w:tr>
      <w:tr w:rsidR="00D13E5B" w:rsidRPr="008B6C27" w14:paraId="6484B4E6" w14:textId="77777777" w:rsidTr="00D13E5B">
        <w:trPr>
          <w:trHeight w:val="355"/>
          <w:jc w:val="center"/>
        </w:trPr>
        <w:tc>
          <w:tcPr>
            <w:tcW w:w="923" w:type="dxa"/>
            <w:tcBorders>
              <w:top w:val="nil"/>
              <w:left w:val="nil"/>
              <w:bottom w:val="nil"/>
              <w:right w:val="nil"/>
            </w:tcBorders>
            <w:shd w:val="clear" w:color="auto" w:fill="auto"/>
          </w:tcPr>
          <w:p w14:paraId="350E8296" w14:textId="77777777" w:rsidR="00D13E5B" w:rsidRPr="008B6C27" w:rsidRDefault="00D13E5B" w:rsidP="00957433">
            <w:pPr>
              <w:rPr>
                <w:rFonts w:ascii="David" w:hAnsi="David"/>
                <w:sz w:val="26"/>
                <w:szCs w:val="26"/>
                <w:rtl/>
              </w:rPr>
            </w:pPr>
          </w:p>
        </w:tc>
        <w:tc>
          <w:tcPr>
            <w:tcW w:w="3219" w:type="dxa"/>
            <w:tcBorders>
              <w:top w:val="nil"/>
              <w:left w:val="nil"/>
              <w:bottom w:val="nil"/>
              <w:right w:val="nil"/>
            </w:tcBorders>
            <w:shd w:val="clear" w:color="auto" w:fill="auto"/>
          </w:tcPr>
          <w:p w14:paraId="08B47456" w14:textId="77777777" w:rsidR="00D13E5B" w:rsidRPr="008B6C27" w:rsidRDefault="00D13E5B" w:rsidP="00957433">
            <w:pPr>
              <w:rPr>
                <w:rFonts w:ascii="Arial" w:hAnsi="Arial"/>
                <w:b/>
                <w:bCs/>
                <w:sz w:val="26"/>
                <w:szCs w:val="26"/>
                <w:rtl/>
              </w:rPr>
            </w:pPr>
            <w:r w:rsidRPr="008B6C27">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0DDFB16E" w14:textId="77777777" w:rsidR="00D13E5B" w:rsidRPr="008B6C27" w:rsidRDefault="00D13E5B" w:rsidP="00D13E5B">
            <w:pPr>
              <w:suppressLineNumbers/>
            </w:pPr>
            <w:r w:rsidRPr="008B6C27">
              <w:rPr>
                <w:rFonts w:ascii="Arial" w:hAnsi="Arial"/>
                <w:b/>
                <w:bCs/>
                <w:sz w:val="26"/>
                <w:szCs w:val="26"/>
                <w:rtl/>
              </w:rPr>
              <w:t>שרון אביטן</w:t>
            </w:r>
            <w:r w:rsidRPr="008B6C27">
              <w:rPr>
                <w:rFonts w:ascii="Arial" w:hAnsi="Arial" w:hint="cs"/>
                <w:b/>
                <w:bCs/>
                <w:sz w:val="26"/>
                <w:szCs w:val="26"/>
                <w:rtl/>
              </w:rPr>
              <w:t xml:space="preserve"> </w:t>
            </w:r>
            <w:r w:rsidRPr="008B6C27">
              <w:rPr>
                <w:rFonts w:ascii="Arial" w:hAnsi="Arial"/>
                <w:b/>
                <w:bCs/>
                <w:sz w:val="26"/>
                <w:szCs w:val="26"/>
                <w:rtl/>
              </w:rPr>
              <w:t>ע"י ב"כ עוה"ד</w:t>
            </w:r>
            <w:r w:rsidRPr="008B6C27">
              <w:rPr>
                <w:rFonts w:hint="cs"/>
                <w:rtl/>
              </w:rPr>
              <w:t xml:space="preserve"> </w:t>
            </w:r>
            <w:r w:rsidRPr="008B6C27">
              <w:rPr>
                <w:rFonts w:hint="cs"/>
                <w:b/>
                <w:bCs/>
                <w:rtl/>
              </w:rPr>
              <w:t>שי לוי</w:t>
            </w:r>
          </w:p>
          <w:p w14:paraId="59A6868D" w14:textId="77777777" w:rsidR="00D13E5B" w:rsidRPr="008B6C27" w:rsidRDefault="00D13E5B" w:rsidP="00957433">
            <w:pPr>
              <w:rPr>
                <w:rFonts w:ascii="David" w:hAnsi="David"/>
                <w:sz w:val="26"/>
                <w:szCs w:val="26"/>
              </w:rPr>
            </w:pPr>
          </w:p>
        </w:tc>
      </w:tr>
    </w:tbl>
    <w:p w14:paraId="521CC80D" w14:textId="77777777" w:rsidR="008B6C27" w:rsidRPr="008B6C27" w:rsidRDefault="008B6C27" w:rsidP="008B6C27">
      <w:pPr>
        <w:spacing w:before="120" w:after="120" w:line="240" w:lineRule="exact"/>
        <w:ind w:left="283" w:hanging="283"/>
        <w:jc w:val="both"/>
        <w:rPr>
          <w:rFonts w:ascii="FrankRuehl" w:hAnsi="FrankRuehl" w:cs="FrankRuehl"/>
          <w:rtl/>
        </w:rPr>
      </w:pPr>
    </w:p>
    <w:p w14:paraId="35337529" w14:textId="77777777" w:rsidR="008B6C27" w:rsidRPr="008B6C27" w:rsidRDefault="008B6C27" w:rsidP="008B6C27">
      <w:pPr>
        <w:rPr>
          <w:sz w:val="26"/>
          <w:szCs w:val="26"/>
          <w:rtl/>
        </w:rPr>
      </w:pPr>
    </w:p>
    <w:p w14:paraId="122288F4" w14:textId="77777777" w:rsidR="00E111D7" w:rsidRPr="00E111D7" w:rsidRDefault="00E111D7" w:rsidP="00E111D7">
      <w:pPr>
        <w:spacing w:before="120" w:after="120" w:line="240" w:lineRule="exact"/>
        <w:ind w:left="283" w:hanging="283"/>
        <w:jc w:val="both"/>
        <w:rPr>
          <w:rFonts w:ascii="FrankRuehl" w:hAnsi="FrankRuehl" w:cs="FrankRuehl"/>
          <w:rtl/>
        </w:rPr>
      </w:pPr>
      <w:bookmarkStart w:id="3" w:name="LawTable"/>
      <w:bookmarkEnd w:id="3"/>
    </w:p>
    <w:p w14:paraId="51ECB110" w14:textId="77777777" w:rsidR="00E111D7" w:rsidRPr="00E111D7" w:rsidRDefault="00E111D7" w:rsidP="00E111D7">
      <w:pPr>
        <w:spacing w:before="120" w:after="120" w:line="240" w:lineRule="exact"/>
        <w:ind w:left="283" w:hanging="283"/>
        <w:jc w:val="both"/>
        <w:rPr>
          <w:rFonts w:ascii="FrankRuehl" w:hAnsi="FrankRuehl" w:cs="FrankRuehl"/>
          <w:rtl/>
        </w:rPr>
      </w:pPr>
      <w:r w:rsidRPr="00E111D7">
        <w:rPr>
          <w:rFonts w:ascii="FrankRuehl" w:hAnsi="FrankRuehl" w:cs="FrankRuehl"/>
          <w:rtl/>
        </w:rPr>
        <w:t xml:space="preserve">חקיקה שאוזכרה: </w:t>
      </w:r>
    </w:p>
    <w:p w14:paraId="0051840A" w14:textId="77777777" w:rsidR="00E111D7" w:rsidRPr="00E111D7" w:rsidRDefault="00E111D7" w:rsidP="00E111D7">
      <w:pPr>
        <w:spacing w:before="120" w:after="120" w:line="240" w:lineRule="exact"/>
        <w:ind w:left="283" w:hanging="283"/>
        <w:jc w:val="both"/>
        <w:rPr>
          <w:rFonts w:ascii="FrankRuehl" w:hAnsi="FrankRuehl" w:cs="FrankRuehl"/>
          <w:color w:val="0000FF"/>
          <w:rtl/>
        </w:rPr>
      </w:pPr>
      <w:hyperlink r:id="rId7" w:history="1">
        <w:r w:rsidRPr="00E111D7">
          <w:rPr>
            <w:rStyle w:val="Hyperlink"/>
            <w:rFonts w:ascii="FrankRuehl" w:hAnsi="FrankRuehl" w:cs="FrankRuehl"/>
            <w:u w:val="none"/>
            <w:rtl/>
          </w:rPr>
          <w:t>פקודת הסמים המסוכנים [נוסח חדש], תשל"ג-1973</w:t>
        </w:r>
      </w:hyperlink>
      <w:r w:rsidRPr="00E111D7">
        <w:rPr>
          <w:rFonts w:ascii="FrankRuehl" w:hAnsi="FrankRuehl" w:cs="FrankRuehl"/>
          <w:color w:val="0000FF"/>
          <w:rtl/>
        </w:rPr>
        <w:t xml:space="preserve">: סע'  </w:t>
      </w:r>
      <w:hyperlink r:id="rId8" w:history="1">
        <w:r w:rsidRPr="00E111D7">
          <w:rPr>
            <w:rStyle w:val="Hyperlink"/>
            <w:rFonts w:ascii="FrankRuehl" w:hAnsi="FrankRuehl" w:cs="FrankRuehl"/>
            <w:u w:val="none"/>
          </w:rPr>
          <w:t>7</w:t>
        </w:r>
      </w:hyperlink>
      <w:r w:rsidRPr="00E111D7">
        <w:rPr>
          <w:rFonts w:ascii="FrankRuehl" w:hAnsi="FrankRuehl" w:cs="FrankRuehl"/>
          <w:color w:val="0000FF"/>
          <w:rtl/>
        </w:rPr>
        <w:t xml:space="preserve">(א), </w:t>
      </w:r>
      <w:hyperlink r:id="rId9" w:history="1">
        <w:r w:rsidRPr="00E111D7">
          <w:rPr>
            <w:rStyle w:val="Hyperlink"/>
            <w:rFonts w:ascii="FrankRuehl" w:hAnsi="FrankRuehl" w:cs="FrankRuehl"/>
            <w:u w:val="none"/>
          </w:rPr>
          <w:t>7</w:t>
        </w:r>
      </w:hyperlink>
      <w:r w:rsidRPr="00E111D7">
        <w:rPr>
          <w:rFonts w:ascii="FrankRuehl" w:hAnsi="FrankRuehl" w:cs="FrankRuehl"/>
          <w:color w:val="0000FF"/>
          <w:rtl/>
        </w:rPr>
        <w:t xml:space="preserve">(ג), </w:t>
      </w:r>
      <w:hyperlink r:id="rId10" w:history="1">
        <w:r w:rsidRPr="00E111D7">
          <w:rPr>
            <w:rStyle w:val="Hyperlink"/>
            <w:rFonts w:ascii="FrankRuehl" w:hAnsi="FrankRuehl" w:cs="FrankRuehl"/>
            <w:u w:val="none"/>
          </w:rPr>
          <w:t>13.</w:t>
        </w:r>
        <w:r w:rsidRPr="00E111D7">
          <w:rPr>
            <w:rStyle w:val="Hyperlink"/>
            <w:rFonts w:ascii="FrankRuehl" w:hAnsi="FrankRuehl" w:cs="FrankRuehl"/>
            <w:u w:val="none"/>
            <w:rtl/>
          </w:rPr>
          <w:t>א</w:t>
        </w:r>
      </w:hyperlink>
      <w:r w:rsidRPr="00E111D7">
        <w:rPr>
          <w:rFonts w:ascii="FrankRuehl" w:hAnsi="FrankRuehl" w:cs="FrankRuehl"/>
          <w:color w:val="0000FF"/>
          <w:rtl/>
        </w:rPr>
        <w:t xml:space="preserve">, </w:t>
      </w:r>
      <w:hyperlink r:id="rId11" w:history="1">
        <w:r w:rsidRPr="00E111D7">
          <w:rPr>
            <w:rStyle w:val="Hyperlink"/>
            <w:rFonts w:ascii="FrankRuehl" w:hAnsi="FrankRuehl" w:cs="FrankRuehl"/>
            <w:u w:val="none"/>
          </w:rPr>
          <w:t>19</w:t>
        </w:r>
      </w:hyperlink>
    </w:p>
    <w:p w14:paraId="52432336" w14:textId="77777777" w:rsidR="00E111D7" w:rsidRPr="00E111D7" w:rsidRDefault="00E111D7" w:rsidP="00E111D7">
      <w:pPr>
        <w:spacing w:before="120" w:after="120" w:line="240" w:lineRule="exact"/>
        <w:ind w:left="283" w:hanging="283"/>
        <w:jc w:val="both"/>
        <w:rPr>
          <w:rFonts w:ascii="FrankRuehl" w:hAnsi="FrankRuehl" w:cs="FrankRuehl"/>
          <w:color w:val="0000FF"/>
          <w:rtl/>
        </w:rPr>
      </w:pPr>
      <w:hyperlink r:id="rId12" w:history="1">
        <w:r w:rsidRPr="00E111D7">
          <w:rPr>
            <w:rStyle w:val="Hyperlink"/>
            <w:rFonts w:ascii="FrankRuehl" w:hAnsi="FrankRuehl" w:cs="FrankRuehl"/>
            <w:u w:val="none"/>
            <w:rtl/>
          </w:rPr>
          <w:t>חוק העונשין, תשל"ז-1977</w:t>
        </w:r>
      </w:hyperlink>
      <w:r w:rsidRPr="00E111D7">
        <w:rPr>
          <w:rFonts w:ascii="FrankRuehl" w:hAnsi="FrankRuehl" w:cs="FrankRuehl"/>
          <w:color w:val="0000FF"/>
          <w:rtl/>
        </w:rPr>
        <w:t xml:space="preserve">: סע'  </w:t>
      </w:r>
      <w:hyperlink r:id="rId13" w:history="1">
        <w:r w:rsidRPr="00E111D7">
          <w:rPr>
            <w:rStyle w:val="Hyperlink"/>
            <w:rFonts w:ascii="FrankRuehl" w:hAnsi="FrankRuehl" w:cs="FrankRuehl"/>
            <w:u w:val="none"/>
          </w:rPr>
          <w:t>13.</w:t>
        </w:r>
        <w:r w:rsidRPr="00E111D7">
          <w:rPr>
            <w:rStyle w:val="Hyperlink"/>
            <w:rFonts w:ascii="FrankRuehl" w:hAnsi="FrankRuehl" w:cs="FrankRuehl"/>
            <w:u w:val="none"/>
            <w:rtl/>
          </w:rPr>
          <w:t>א</w:t>
        </w:r>
      </w:hyperlink>
      <w:r w:rsidRPr="00E111D7">
        <w:rPr>
          <w:rFonts w:ascii="FrankRuehl" w:hAnsi="FrankRuehl" w:cs="FrankRuehl"/>
          <w:color w:val="0000FF"/>
          <w:rtl/>
        </w:rPr>
        <w:t xml:space="preserve">, </w:t>
      </w:r>
      <w:hyperlink r:id="rId14" w:history="1">
        <w:r w:rsidRPr="00E111D7">
          <w:rPr>
            <w:rStyle w:val="Hyperlink"/>
            <w:rFonts w:ascii="FrankRuehl" w:hAnsi="FrankRuehl" w:cs="FrankRuehl"/>
            <w:u w:val="none"/>
          </w:rPr>
          <w:t>19</w:t>
        </w:r>
      </w:hyperlink>
      <w:r w:rsidRPr="00E111D7">
        <w:rPr>
          <w:rFonts w:ascii="FrankRuehl" w:hAnsi="FrankRuehl" w:cs="FrankRuehl"/>
          <w:color w:val="0000FF"/>
          <w:rtl/>
        </w:rPr>
        <w:t xml:space="preserve">, </w:t>
      </w:r>
      <w:hyperlink r:id="rId15" w:history="1">
        <w:r w:rsidRPr="00E111D7">
          <w:rPr>
            <w:rStyle w:val="Hyperlink"/>
            <w:rFonts w:ascii="FrankRuehl" w:hAnsi="FrankRuehl" w:cs="FrankRuehl"/>
            <w:u w:val="none"/>
          </w:rPr>
          <w:t>40</w:t>
        </w:r>
        <w:r w:rsidRPr="00E111D7">
          <w:rPr>
            <w:rStyle w:val="Hyperlink"/>
            <w:rFonts w:ascii="FrankRuehl" w:hAnsi="FrankRuehl" w:cs="FrankRuehl"/>
            <w:u w:val="none"/>
            <w:rtl/>
          </w:rPr>
          <w:t>ד</w:t>
        </w:r>
        <w:r w:rsidRPr="00E111D7">
          <w:rPr>
            <w:rStyle w:val="Hyperlink"/>
            <w:rFonts w:ascii="FrankRuehl" w:hAnsi="FrankRuehl" w:cs="FrankRuehl"/>
            <w:u w:val="none"/>
          </w:rPr>
          <w:t>'</w:t>
        </w:r>
      </w:hyperlink>
      <w:r w:rsidRPr="00E111D7">
        <w:rPr>
          <w:rFonts w:ascii="FrankRuehl" w:hAnsi="FrankRuehl" w:cs="FrankRuehl"/>
          <w:color w:val="0000FF"/>
          <w:rtl/>
        </w:rPr>
        <w:t xml:space="preserve">, </w:t>
      </w:r>
      <w:hyperlink r:id="rId16" w:history="1">
        <w:r w:rsidRPr="00E111D7">
          <w:rPr>
            <w:rStyle w:val="Hyperlink"/>
            <w:rFonts w:ascii="FrankRuehl" w:hAnsi="FrankRuehl" w:cs="FrankRuehl"/>
            <w:u w:val="none"/>
          </w:rPr>
          <w:t xml:space="preserve">40 </w:t>
        </w:r>
        <w:r w:rsidRPr="00E111D7">
          <w:rPr>
            <w:rStyle w:val="Hyperlink"/>
            <w:rFonts w:ascii="FrankRuehl" w:hAnsi="FrankRuehl" w:cs="FrankRuehl"/>
            <w:u w:val="none"/>
            <w:rtl/>
          </w:rPr>
          <w:t>ה</w:t>
        </w:r>
        <w:r w:rsidRPr="00E111D7">
          <w:rPr>
            <w:rStyle w:val="Hyperlink"/>
            <w:rFonts w:ascii="FrankRuehl" w:hAnsi="FrankRuehl" w:cs="FrankRuehl"/>
            <w:u w:val="none"/>
          </w:rPr>
          <w:t>'</w:t>
        </w:r>
      </w:hyperlink>
      <w:r w:rsidRPr="00E111D7">
        <w:rPr>
          <w:rFonts w:ascii="FrankRuehl" w:hAnsi="FrankRuehl" w:cs="FrankRuehl"/>
          <w:color w:val="0000FF"/>
          <w:rtl/>
        </w:rPr>
        <w:t xml:space="preserve">, </w:t>
      </w:r>
      <w:hyperlink r:id="rId17" w:history="1">
        <w:r w:rsidRPr="00E111D7">
          <w:rPr>
            <w:rStyle w:val="Hyperlink"/>
            <w:rFonts w:ascii="FrankRuehl" w:hAnsi="FrankRuehl" w:cs="FrankRuehl"/>
            <w:u w:val="none"/>
          </w:rPr>
          <w:t>40</w:t>
        </w:r>
        <w:r w:rsidRPr="00E111D7">
          <w:rPr>
            <w:rStyle w:val="Hyperlink"/>
            <w:rFonts w:ascii="FrankRuehl" w:hAnsi="FrankRuehl" w:cs="FrankRuehl"/>
            <w:u w:val="none"/>
            <w:rtl/>
          </w:rPr>
          <w:t>ט</w:t>
        </w:r>
        <w:r w:rsidRPr="00E111D7">
          <w:rPr>
            <w:rStyle w:val="Hyperlink"/>
            <w:rFonts w:ascii="FrankRuehl" w:hAnsi="FrankRuehl" w:cs="FrankRuehl"/>
            <w:u w:val="none"/>
          </w:rPr>
          <w:t>'</w:t>
        </w:r>
      </w:hyperlink>
      <w:r w:rsidRPr="00E111D7">
        <w:rPr>
          <w:rFonts w:ascii="FrankRuehl" w:hAnsi="FrankRuehl" w:cs="FrankRuehl"/>
          <w:color w:val="0000FF"/>
          <w:rtl/>
        </w:rPr>
        <w:t xml:space="preserve">, </w:t>
      </w:r>
      <w:hyperlink r:id="rId18" w:history="1">
        <w:r w:rsidRPr="00E111D7">
          <w:rPr>
            <w:rStyle w:val="Hyperlink"/>
            <w:rFonts w:ascii="FrankRuehl" w:hAnsi="FrankRuehl" w:cs="FrankRuehl"/>
            <w:u w:val="none"/>
          </w:rPr>
          <w:t>40</w:t>
        </w:r>
        <w:r w:rsidRPr="00E111D7">
          <w:rPr>
            <w:rStyle w:val="Hyperlink"/>
            <w:rFonts w:ascii="FrankRuehl" w:hAnsi="FrankRuehl" w:cs="FrankRuehl"/>
            <w:u w:val="none"/>
            <w:rtl/>
          </w:rPr>
          <w:t>יא</w:t>
        </w:r>
        <w:r w:rsidRPr="00E111D7">
          <w:rPr>
            <w:rStyle w:val="Hyperlink"/>
            <w:rFonts w:ascii="FrankRuehl" w:hAnsi="FrankRuehl" w:cs="FrankRuehl"/>
            <w:u w:val="none"/>
          </w:rPr>
          <w:t>'</w:t>
        </w:r>
      </w:hyperlink>
    </w:p>
    <w:p w14:paraId="74AAB591" w14:textId="77777777" w:rsidR="00D13E5B" w:rsidRPr="00E111D7" w:rsidRDefault="00D13E5B" w:rsidP="00E111D7">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13E5B" w14:paraId="3B8A0C3F" w14:textId="77777777" w:rsidTr="00D13E5B">
        <w:trPr>
          <w:trHeight w:val="355"/>
          <w:jc w:val="center"/>
        </w:trPr>
        <w:tc>
          <w:tcPr>
            <w:tcW w:w="8820" w:type="dxa"/>
            <w:tcBorders>
              <w:top w:val="nil"/>
              <w:left w:val="nil"/>
              <w:bottom w:val="nil"/>
              <w:right w:val="nil"/>
            </w:tcBorders>
            <w:shd w:val="clear" w:color="auto" w:fill="auto"/>
          </w:tcPr>
          <w:p w14:paraId="540479EE" w14:textId="77777777" w:rsidR="008B6C27" w:rsidRPr="008B6C27" w:rsidRDefault="008B6C27" w:rsidP="008B6C27">
            <w:pPr>
              <w:jc w:val="center"/>
              <w:rPr>
                <w:rFonts w:ascii="David" w:hAnsi="David"/>
                <w:b/>
                <w:bCs/>
                <w:sz w:val="32"/>
                <w:szCs w:val="32"/>
                <w:u w:val="single"/>
                <w:rtl/>
              </w:rPr>
            </w:pPr>
            <w:bookmarkStart w:id="5" w:name="PsakDin" w:colFirst="0" w:colLast="0"/>
            <w:bookmarkEnd w:id="0"/>
            <w:bookmarkEnd w:id="1"/>
            <w:r w:rsidRPr="008B6C27">
              <w:rPr>
                <w:rFonts w:ascii="David" w:hAnsi="David"/>
                <w:b/>
                <w:bCs/>
                <w:sz w:val="32"/>
                <w:szCs w:val="32"/>
                <w:u w:val="single"/>
                <w:rtl/>
              </w:rPr>
              <w:t>גזר דין</w:t>
            </w:r>
          </w:p>
          <w:p w14:paraId="4AC67BD9" w14:textId="77777777" w:rsidR="00D13E5B" w:rsidRPr="008B6C27" w:rsidRDefault="00D13E5B" w:rsidP="008B6C27">
            <w:pPr>
              <w:jc w:val="center"/>
              <w:rPr>
                <w:rFonts w:ascii="David" w:hAnsi="David"/>
                <w:bCs/>
                <w:sz w:val="32"/>
                <w:szCs w:val="32"/>
                <w:u w:val="single"/>
                <w:rtl/>
              </w:rPr>
            </w:pPr>
          </w:p>
        </w:tc>
      </w:tr>
      <w:bookmarkEnd w:id="5"/>
    </w:tbl>
    <w:p w14:paraId="3A04B39D" w14:textId="77777777" w:rsidR="00D13E5B" w:rsidRPr="000F2247" w:rsidRDefault="00D13E5B" w:rsidP="00D13E5B">
      <w:pPr>
        <w:rPr>
          <w:rFonts w:ascii="Arial" w:hAnsi="Arial"/>
          <w:b/>
          <w:bCs/>
          <w:sz w:val="26"/>
          <w:szCs w:val="26"/>
          <w:rtl/>
        </w:rPr>
      </w:pPr>
    </w:p>
    <w:p w14:paraId="616B68FF" w14:textId="77777777" w:rsidR="00D13E5B" w:rsidRPr="00D17705" w:rsidRDefault="00D13E5B" w:rsidP="00D13E5B">
      <w:pPr>
        <w:spacing w:line="360" w:lineRule="auto"/>
        <w:jc w:val="both"/>
        <w:rPr>
          <w:rFonts w:ascii="Arial" w:hAnsi="Arial"/>
          <w:rtl/>
        </w:rPr>
      </w:pPr>
      <w:bookmarkStart w:id="6" w:name="ABSTRACT_START"/>
      <w:bookmarkEnd w:id="6"/>
    </w:p>
    <w:p w14:paraId="70A7EC1B" w14:textId="77777777" w:rsidR="00D13E5B" w:rsidRPr="00D17705" w:rsidRDefault="00D13E5B" w:rsidP="00D13E5B">
      <w:pPr>
        <w:spacing w:line="360" w:lineRule="auto"/>
        <w:jc w:val="both"/>
        <w:rPr>
          <w:rFonts w:ascii="Arial" w:hAnsi="Arial"/>
          <w:rtl/>
        </w:rPr>
      </w:pPr>
      <w:r w:rsidRPr="00D17705">
        <w:rPr>
          <w:rFonts w:ascii="Arial" w:hAnsi="Arial" w:hint="cs"/>
          <w:rtl/>
        </w:rPr>
        <w:t xml:space="preserve">הנאשם הורשע על פי הודאתו בעבירות המיוחסות לו בכתב האישום המתוקן וזאת במסגרת הסדר טיעון שגובש בין הצדדים שלא כלל הסכמה עונשית. </w:t>
      </w:r>
    </w:p>
    <w:p w14:paraId="7519B01B" w14:textId="77777777" w:rsidR="00D13E5B" w:rsidRPr="00D17705" w:rsidRDefault="00D13E5B" w:rsidP="00D13E5B">
      <w:pPr>
        <w:spacing w:line="360" w:lineRule="auto"/>
        <w:jc w:val="both"/>
        <w:rPr>
          <w:rFonts w:ascii="Arial" w:hAnsi="Arial"/>
          <w:rtl/>
        </w:rPr>
      </w:pPr>
    </w:p>
    <w:p w14:paraId="7585F604" w14:textId="77777777" w:rsidR="00D13E5B" w:rsidRPr="00D17705" w:rsidRDefault="00D13E5B" w:rsidP="00D13E5B">
      <w:pPr>
        <w:spacing w:line="360" w:lineRule="auto"/>
        <w:jc w:val="both"/>
        <w:rPr>
          <w:rFonts w:ascii="Arial" w:hAnsi="Arial"/>
          <w:rtl/>
        </w:rPr>
      </w:pPr>
      <w:r w:rsidRPr="00D17705">
        <w:rPr>
          <w:rFonts w:ascii="Arial" w:hAnsi="Arial" w:hint="cs"/>
          <w:rtl/>
        </w:rPr>
        <w:t xml:space="preserve">בהתאם לעובדות כתב האישום המתוקן הורשע הנאשם בגין 3 פרטי אישום שונים, שעניינם החזקת סם שלא לצריכה עצמית וסחר בסם. </w:t>
      </w:r>
    </w:p>
    <w:p w14:paraId="2F3BDB2F" w14:textId="77777777" w:rsidR="00D13E5B" w:rsidRPr="00D17705" w:rsidRDefault="00D13E5B" w:rsidP="00D13E5B">
      <w:pPr>
        <w:spacing w:line="360" w:lineRule="auto"/>
        <w:jc w:val="both"/>
        <w:rPr>
          <w:rFonts w:ascii="Arial" w:hAnsi="Arial"/>
          <w:rtl/>
        </w:rPr>
      </w:pPr>
      <w:bookmarkStart w:id="7" w:name="ABSTRACT_END"/>
      <w:bookmarkEnd w:id="7"/>
    </w:p>
    <w:p w14:paraId="26546AEC" w14:textId="77777777" w:rsidR="00D13E5B" w:rsidRPr="00D17705" w:rsidRDefault="00D13E5B" w:rsidP="00D13E5B">
      <w:pPr>
        <w:spacing w:line="360" w:lineRule="auto"/>
        <w:jc w:val="both"/>
        <w:rPr>
          <w:rFonts w:ascii="Arial" w:hAnsi="Arial"/>
          <w:rtl/>
        </w:rPr>
      </w:pPr>
      <w:r w:rsidRPr="000310F0">
        <w:rPr>
          <w:rFonts w:ascii="Arial" w:hAnsi="Arial" w:hint="cs"/>
          <w:rtl/>
        </w:rPr>
        <w:t>בהתאם לפרט האישום הראשון</w:t>
      </w:r>
      <w:r>
        <w:rPr>
          <w:rFonts w:ascii="Arial" w:hAnsi="Arial" w:hint="cs"/>
          <w:rtl/>
        </w:rPr>
        <w:t xml:space="preserve"> - </w:t>
      </w:r>
      <w:r w:rsidRPr="00D17705">
        <w:rPr>
          <w:rFonts w:ascii="Arial" w:hAnsi="Arial" w:hint="cs"/>
          <w:rtl/>
        </w:rPr>
        <w:t xml:space="preserve"> הורשע הנאשם בביצוע עבירות של החזקת סם שלא לצריכה עצמית, עבירה לפי </w:t>
      </w:r>
      <w:hyperlink r:id="rId19" w:history="1">
        <w:r w:rsidR="00E111D7" w:rsidRPr="00E111D7">
          <w:rPr>
            <w:rStyle w:val="Hyperlink"/>
            <w:rFonts w:ascii="Arial" w:hAnsi="Arial" w:hint="eastAsia"/>
            <w:color w:val="0000FF"/>
            <w:rtl/>
          </w:rPr>
          <w:t>סעיף</w:t>
        </w:r>
        <w:r w:rsidR="00E111D7" w:rsidRPr="00E111D7">
          <w:rPr>
            <w:rStyle w:val="Hyperlink"/>
            <w:rFonts w:ascii="Arial" w:hAnsi="Arial"/>
            <w:color w:val="0000FF"/>
            <w:rtl/>
          </w:rPr>
          <w:t xml:space="preserve"> 7(א)</w:t>
        </w:r>
      </w:hyperlink>
      <w:r w:rsidRPr="00D17705">
        <w:rPr>
          <w:rFonts w:ascii="Arial" w:hAnsi="Arial" w:hint="cs"/>
          <w:rtl/>
        </w:rPr>
        <w:t xml:space="preserve"> + </w:t>
      </w:r>
      <w:hyperlink r:id="rId20" w:history="1">
        <w:r w:rsidR="00E111D7" w:rsidRPr="00E111D7">
          <w:rPr>
            <w:rStyle w:val="Hyperlink"/>
            <w:rFonts w:ascii="Arial" w:hAnsi="Arial"/>
            <w:color w:val="0000FF"/>
            <w:rtl/>
          </w:rPr>
          <w:t>7(ג)</w:t>
        </w:r>
      </w:hyperlink>
      <w:r w:rsidRPr="00D17705">
        <w:rPr>
          <w:rFonts w:ascii="Arial" w:hAnsi="Arial" w:hint="cs"/>
          <w:rtl/>
        </w:rPr>
        <w:t xml:space="preserve"> רישא, ל</w:t>
      </w:r>
      <w:hyperlink r:id="rId21" w:history="1">
        <w:r w:rsidR="008B6C27" w:rsidRPr="008B6C27">
          <w:rPr>
            <w:rFonts w:ascii="Arial" w:hAnsi="Arial"/>
            <w:color w:val="0000FF"/>
            <w:u w:val="single"/>
            <w:rtl/>
          </w:rPr>
          <w:t>פקודת הסמים המסוכנים</w:t>
        </w:r>
      </w:hyperlink>
      <w:r w:rsidRPr="00D17705">
        <w:rPr>
          <w:rFonts w:ascii="Arial" w:hAnsi="Arial" w:hint="cs"/>
          <w:rtl/>
        </w:rPr>
        <w:t xml:space="preserve"> וזאת ביחס לאירוע מיום 11/2/24, במהלכו, בעת חיפוש שנערך בביתו וברכבו של הנאשם נמצא סם מסוג קנביס  במשקלים שונים וסכום כסף בסך של 2,700 ₪. </w:t>
      </w:r>
    </w:p>
    <w:p w14:paraId="0F96B934" w14:textId="77777777" w:rsidR="00D13E5B" w:rsidRPr="00D17705" w:rsidRDefault="00D13E5B" w:rsidP="00D13E5B">
      <w:pPr>
        <w:spacing w:line="360" w:lineRule="auto"/>
        <w:jc w:val="both"/>
        <w:rPr>
          <w:rFonts w:ascii="Arial" w:hAnsi="Arial"/>
          <w:rtl/>
        </w:rPr>
      </w:pPr>
    </w:p>
    <w:p w14:paraId="244BAEB9" w14:textId="77777777" w:rsidR="00D13E5B" w:rsidRPr="00D17705" w:rsidRDefault="00D13E5B" w:rsidP="00D13E5B">
      <w:pPr>
        <w:spacing w:line="360" w:lineRule="auto"/>
        <w:jc w:val="both"/>
        <w:rPr>
          <w:rFonts w:ascii="Arial" w:hAnsi="Arial"/>
          <w:rtl/>
        </w:rPr>
      </w:pPr>
      <w:r w:rsidRPr="00D17705">
        <w:rPr>
          <w:rFonts w:ascii="Arial" w:hAnsi="Arial" w:hint="cs"/>
          <w:rtl/>
        </w:rPr>
        <w:lastRenderedPageBreak/>
        <w:t>בהתאם לפרט האישום השני</w:t>
      </w:r>
      <w:r>
        <w:rPr>
          <w:rFonts w:ascii="Arial" w:hAnsi="Arial" w:hint="cs"/>
          <w:rtl/>
        </w:rPr>
        <w:t xml:space="preserve"> -</w:t>
      </w:r>
      <w:r w:rsidRPr="00D17705">
        <w:rPr>
          <w:rFonts w:ascii="Arial" w:hAnsi="Arial" w:hint="cs"/>
          <w:rtl/>
        </w:rPr>
        <w:t xml:space="preserve"> הורשע הנאשם בביצוע עבירה של סחר ואספקת סם מסוכן, עבירה לפי </w:t>
      </w:r>
      <w:hyperlink r:id="rId22" w:history="1">
        <w:r w:rsidR="00E111D7" w:rsidRPr="00E111D7">
          <w:rPr>
            <w:rStyle w:val="Hyperlink"/>
            <w:rFonts w:ascii="Arial" w:hAnsi="Arial" w:hint="eastAsia"/>
            <w:color w:val="0000FF"/>
            <w:rtl/>
          </w:rPr>
          <w:t>סעיף</w:t>
        </w:r>
        <w:r w:rsidR="00E111D7" w:rsidRPr="00E111D7">
          <w:rPr>
            <w:rStyle w:val="Hyperlink"/>
            <w:rFonts w:ascii="Arial" w:hAnsi="Arial"/>
            <w:color w:val="0000FF"/>
            <w:rtl/>
          </w:rPr>
          <w:t xml:space="preserve"> 13+19א</w:t>
        </w:r>
      </w:hyperlink>
      <w:r w:rsidRPr="00D17705">
        <w:rPr>
          <w:rFonts w:ascii="Arial" w:hAnsi="Arial" w:hint="cs"/>
          <w:rtl/>
        </w:rPr>
        <w:t xml:space="preserve"> ל</w:t>
      </w:r>
      <w:hyperlink r:id="rId23" w:history="1">
        <w:r w:rsidR="008B6C27" w:rsidRPr="008B6C27">
          <w:rPr>
            <w:rFonts w:ascii="Arial" w:hAnsi="Arial"/>
            <w:color w:val="0000FF"/>
            <w:u w:val="single"/>
            <w:rtl/>
          </w:rPr>
          <w:t>פקודת הסמים המסוכנים</w:t>
        </w:r>
      </w:hyperlink>
      <w:r w:rsidRPr="00D17705">
        <w:rPr>
          <w:rFonts w:ascii="Arial" w:hAnsi="Arial" w:hint="cs"/>
          <w:rtl/>
        </w:rPr>
        <w:t xml:space="preserve"> וזאת בגין שני אירועים מיום 30/7/23 ו- 31/7/23 במהלכם מכר הנאשם סם מסוכן מסוג קנביס לקונה שפרטיו כאמור בעובדות פרט האישום השני. </w:t>
      </w:r>
    </w:p>
    <w:p w14:paraId="067AB6D8" w14:textId="77777777" w:rsidR="00D13E5B" w:rsidRPr="00D17705" w:rsidRDefault="00D13E5B" w:rsidP="00D13E5B">
      <w:pPr>
        <w:spacing w:line="360" w:lineRule="auto"/>
        <w:jc w:val="both"/>
        <w:rPr>
          <w:rFonts w:ascii="Arial" w:hAnsi="Arial"/>
          <w:rtl/>
        </w:rPr>
      </w:pPr>
    </w:p>
    <w:p w14:paraId="2CC52275" w14:textId="77777777" w:rsidR="00D13E5B" w:rsidRPr="00D17705" w:rsidRDefault="00D13E5B" w:rsidP="00D13E5B">
      <w:pPr>
        <w:spacing w:line="360" w:lineRule="auto"/>
        <w:jc w:val="both"/>
        <w:rPr>
          <w:rFonts w:ascii="Arial" w:hAnsi="Arial"/>
          <w:rtl/>
        </w:rPr>
      </w:pPr>
      <w:r w:rsidRPr="00D17705">
        <w:rPr>
          <w:rFonts w:ascii="Arial" w:hAnsi="Arial" w:hint="cs"/>
          <w:rtl/>
        </w:rPr>
        <w:t>בהתאם לפרט האישום השלישי</w:t>
      </w:r>
      <w:r>
        <w:rPr>
          <w:rFonts w:ascii="Arial" w:hAnsi="Arial" w:hint="cs"/>
          <w:rtl/>
        </w:rPr>
        <w:t xml:space="preserve"> -</w:t>
      </w:r>
      <w:r w:rsidRPr="00D17705">
        <w:rPr>
          <w:rFonts w:ascii="Arial" w:hAnsi="Arial" w:hint="cs"/>
          <w:rtl/>
        </w:rPr>
        <w:t xml:space="preserve"> הורשע הנאשם בביצוע עבירה של סחר והספקת סם מסוכן, עבירה לפי </w:t>
      </w:r>
      <w:hyperlink r:id="rId24" w:history="1">
        <w:r w:rsidR="00E111D7" w:rsidRPr="00E111D7">
          <w:rPr>
            <w:rStyle w:val="Hyperlink"/>
            <w:rFonts w:ascii="Arial" w:hAnsi="Arial" w:hint="eastAsia"/>
            <w:color w:val="0000FF"/>
            <w:rtl/>
          </w:rPr>
          <w:t>סעיף</w:t>
        </w:r>
        <w:r w:rsidR="00E111D7" w:rsidRPr="00E111D7">
          <w:rPr>
            <w:rStyle w:val="Hyperlink"/>
            <w:rFonts w:ascii="Arial" w:hAnsi="Arial"/>
            <w:color w:val="0000FF"/>
            <w:rtl/>
          </w:rPr>
          <w:t xml:space="preserve"> 13+19א</w:t>
        </w:r>
      </w:hyperlink>
      <w:r w:rsidRPr="00D17705">
        <w:rPr>
          <w:rFonts w:ascii="Arial" w:hAnsi="Arial" w:hint="cs"/>
          <w:rtl/>
        </w:rPr>
        <w:t xml:space="preserve"> ל</w:t>
      </w:r>
      <w:hyperlink r:id="rId25" w:history="1">
        <w:r w:rsidR="008B6C27" w:rsidRPr="008B6C27">
          <w:rPr>
            <w:rFonts w:ascii="Arial" w:hAnsi="Arial"/>
            <w:color w:val="0000FF"/>
            <w:u w:val="single"/>
            <w:rtl/>
          </w:rPr>
          <w:t>חוק העונשין</w:t>
        </w:r>
      </w:hyperlink>
      <w:r w:rsidRPr="00D17705">
        <w:rPr>
          <w:rFonts w:ascii="Arial" w:hAnsi="Arial" w:hint="cs"/>
          <w:rtl/>
        </w:rPr>
        <w:t xml:space="preserve">, וזאת בגין 4 אירועים מיום 2/11/23, 8/11/23, 18/11/23, ו- 28/11/23, במהלכם מכר הנאשם סם מסוכן מסוג קנביס, כמפורט בעובדות פרט האישום השלישי. </w:t>
      </w:r>
    </w:p>
    <w:p w14:paraId="21C7BFDE" w14:textId="77777777" w:rsidR="00D13E5B" w:rsidRPr="00D17705" w:rsidRDefault="00D13E5B" w:rsidP="00D13E5B">
      <w:pPr>
        <w:spacing w:line="360" w:lineRule="auto"/>
        <w:jc w:val="both"/>
        <w:rPr>
          <w:rFonts w:ascii="Arial" w:hAnsi="Arial"/>
          <w:rtl/>
        </w:rPr>
      </w:pPr>
    </w:p>
    <w:p w14:paraId="07186791" w14:textId="77777777" w:rsidR="00D13E5B" w:rsidRPr="00D17705" w:rsidRDefault="00D13E5B" w:rsidP="00D13E5B">
      <w:pPr>
        <w:spacing w:line="360" w:lineRule="auto"/>
        <w:jc w:val="both"/>
        <w:rPr>
          <w:rFonts w:ascii="Arial" w:hAnsi="Arial"/>
          <w:rtl/>
        </w:rPr>
      </w:pPr>
      <w:r w:rsidRPr="00D17705">
        <w:rPr>
          <w:rFonts w:ascii="Arial" w:hAnsi="Arial" w:hint="cs"/>
          <w:rtl/>
        </w:rPr>
        <w:t xml:space="preserve">בין הצדדים לא גובשה הסכמה עונשית, אך טרם שמיעת הטיעונים לעונש הופנה עניינו של הנאשם לשירות המבחן לצורך קבלת תסקיר בעניינו, כאשר בתחילת הדרך התבקש שירות המבחן לבחון את האפשרות של שילוב הנאשם בבית המשפט הקהילתי ומשהגיע שירות המבחן למסקנה כי בשל העדר ריבוי צרכים הדורשים מענה באמצעות מעטפת של בית המשפט הקהילתי, לא הומלץ על העברת עניינו של הנאשם לבית המשפט הקהילתי. </w:t>
      </w:r>
    </w:p>
    <w:p w14:paraId="4E49D6D4" w14:textId="77777777" w:rsidR="00D13E5B" w:rsidRPr="00D17705" w:rsidRDefault="00D13E5B" w:rsidP="00D13E5B">
      <w:pPr>
        <w:spacing w:line="360" w:lineRule="auto"/>
        <w:jc w:val="both"/>
        <w:rPr>
          <w:rFonts w:ascii="Arial" w:hAnsi="Arial"/>
          <w:rtl/>
        </w:rPr>
      </w:pPr>
    </w:p>
    <w:p w14:paraId="01C362DA" w14:textId="77777777" w:rsidR="00D13E5B" w:rsidRPr="00D17705" w:rsidRDefault="00D13E5B" w:rsidP="00D13E5B">
      <w:pPr>
        <w:spacing w:line="360" w:lineRule="auto"/>
        <w:jc w:val="both"/>
        <w:rPr>
          <w:rFonts w:ascii="Arial" w:hAnsi="Arial"/>
          <w:rtl/>
        </w:rPr>
      </w:pPr>
      <w:r w:rsidRPr="00D17705">
        <w:rPr>
          <w:rFonts w:ascii="Arial" w:hAnsi="Arial" w:hint="cs"/>
          <w:rtl/>
        </w:rPr>
        <w:t xml:space="preserve">במסגרת התסקיר השני, לאחר ששירות המבחן התרשם מהנאשם, בחן את נסיבותיו השונות, ולאור הערכת שירות המבחן כי ישנה חשיבות לאפשר לנאשם להמשיך את השתלבותו במתווה הטיפולי, וכי המשך הקשר עם שירות המבחן כגורם סמכותי, יש בו כדי להפחית את הסיכון הקיים בעניינו של הנאשם, המליץ שירות המבחן להטיל על הנאשם צו מבחן למשך שנה,  ומאסר על תנאי, וזאת במטרה לתת עדיפות לאימוץ האפיק השיקומי ביחס לנאשם זה. </w:t>
      </w:r>
    </w:p>
    <w:p w14:paraId="3FB404E2" w14:textId="77777777" w:rsidR="00D13E5B" w:rsidRPr="00D17705" w:rsidRDefault="00D13E5B" w:rsidP="00D13E5B">
      <w:pPr>
        <w:spacing w:line="360" w:lineRule="auto"/>
        <w:jc w:val="both"/>
        <w:rPr>
          <w:rFonts w:ascii="Arial" w:hAnsi="Arial"/>
          <w:rtl/>
        </w:rPr>
      </w:pPr>
    </w:p>
    <w:p w14:paraId="782C3B13" w14:textId="77777777" w:rsidR="00D13E5B" w:rsidRDefault="00D13E5B" w:rsidP="00D13E5B">
      <w:pPr>
        <w:spacing w:line="360" w:lineRule="auto"/>
        <w:jc w:val="both"/>
        <w:rPr>
          <w:rFonts w:ascii="Arial" w:hAnsi="Arial"/>
          <w:rtl/>
        </w:rPr>
      </w:pPr>
      <w:r w:rsidRPr="00D17705">
        <w:rPr>
          <w:rFonts w:ascii="Arial" w:hAnsi="Arial" w:hint="cs"/>
          <w:rtl/>
        </w:rPr>
        <w:t>ביום 5/2/25 נשמעו בפני טיעוני הצדדים לעניין העונש ולאחר ששמעתי את טיעוניהם ומבלי לקבוע מסמרות</w:t>
      </w:r>
      <w:r>
        <w:rPr>
          <w:rFonts w:ascii="Arial" w:hAnsi="Arial" w:hint="cs"/>
          <w:rtl/>
        </w:rPr>
        <w:t xml:space="preserve"> ולייצר ציפייה עונשית כלשהי</w:t>
      </w:r>
      <w:r w:rsidRPr="00D17705">
        <w:rPr>
          <w:rFonts w:ascii="Arial" w:hAnsi="Arial" w:hint="cs"/>
          <w:rtl/>
        </w:rPr>
        <w:t xml:space="preserve">, מצאתי לנכון להפנות את עניינו של הנאשם גם לממונה על עבודות השירות וזאת לצורך בדיקת כשירותו והתאמתו </w:t>
      </w:r>
      <w:r>
        <w:rPr>
          <w:rFonts w:ascii="Arial" w:hAnsi="Arial" w:hint="cs"/>
          <w:rtl/>
        </w:rPr>
        <w:t>לריצוי עונש מאסר בעבודות שירות ובמקביל שירת המבחן התבקש להגיש תסקיר נוסף ומציד התייחסות לאפשרות של הטלת צו של"צ.</w:t>
      </w:r>
    </w:p>
    <w:p w14:paraId="53E34B1A" w14:textId="77777777" w:rsidR="00D13E5B" w:rsidRDefault="00D13E5B" w:rsidP="00D13E5B">
      <w:pPr>
        <w:spacing w:line="360" w:lineRule="auto"/>
        <w:jc w:val="both"/>
        <w:rPr>
          <w:rFonts w:ascii="Arial" w:hAnsi="Arial"/>
          <w:rtl/>
        </w:rPr>
      </w:pPr>
    </w:p>
    <w:p w14:paraId="51C50062" w14:textId="77777777" w:rsidR="00D13E5B" w:rsidRPr="00D17705" w:rsidRDefault="00D13E5B" w:rsidP="00D13E5B">
      <w:pPr>
        <w:spacing w:line="360" w:lineRule="auto"/>
        <w:jc w:val="both"/>
        <w:rPr>
          <w:rFonts w:ascii="Arial" w:hAnsi="Arial"/>
          <w:rtl/>
        </w:rPr>
      </w:pPr>
      <w:r>
        <w:rPr>
          <w:rFonts w:ascii="Arial" w:hAnsi="Arial" w:hint="cs"/>
          <w:rtl/>
        </w:rPr>
        <w:t>ביום 25.02.2025 שהתקבלה חוו"ד הממונה על עבודות השירות, לפיה הנאשם נמצא כשיר לריצוי עונש המאסר בעבודות שירות ובתאריך 17.03.2025 התקבל התסקיר מטעם שירות המבחן לפיו הנאשם נמצא מתאים לשילוב בצו של"צ בהיקף של 200 שעות וזאת לצד צו מבחן למשך שנה.</w:t>
      </w:r>
    </w:p>
    <w:p w14:paraId="0DAC8493" w14:textId="77777777" w:rsidR="00D13E5B" w:rsidRPr="00D17705" w:rsidRDefault="00D13E5B" w:rsidP="00D13E5B">
      <w:pPr>
        <w:spacing w:line="360" w:lineRule="auto"/>
        <w:jc w:val="both"/>
        <w:rPr>
          <w:rFonts w:ascii="Arial" w:hAnsi="Arial"/>
          <w:rtl/>
        </w:rPr>
      </w:pPr>
    </w:p>
    <w:p w14:paraId="2E66AE21" w14:textId="77777777" w:rsidR="00D13E5B" w:rsidRPr="00D17705" w:rsidRDefault="00D13E5B" w:rsidP="00D13E5B">
      <w:pPr>
        <w:spacing w:line="360" w:lineRule="auto"/>
        <w:jc w:val="both"/>
        <w:rPr>
          <w:rFonts w:ascii="Arial" w:hAnsi="Arial"/>
          <w:b/>
          <w:bCs/>
          <w:u w:val="single"/>
          <w:rtl/>
        </w:rPr>
      </w:pPr>
      <w:r w:rsidRPr="00D17705">
        <w:rPr>
          <w:rFonts w:ascii="Arial" w:hAnsi="Arial" w:hint="cs"/>
          <w:b/>
          <w:bCs/>
          <w:u w:val="single"/>
          <w:rtl/>
        </w:rPr>
        <w:t>טיעוני הצדדים לעונש:</w:t>
      </w:r>
      <w:r w:rsidRPr="00D17705">
        <w:rPr>
          <w:rFonts w:ascii="Arial" w:hAnsi="Arial" w:hint="cs"/>
          <w:b/>
          <w:bCs/>
          <w:u w:val="single"/>
        </w:rPr>
        <w:t xml:space="preserve"> </w:t>
      </w:r>
    </w:p>
    <w:p w14:paraId="343300B4" w14:textId="77777777" w:rsidR="00D13E5B" w:rsidRPr="00D17705" w:rsidRDefault="00D13E5B" w:rsidP="00D13E5B">
      <w:pPr>
        <w:spacing w:line="360" w:lineRule="auto"/>
        <w:jc w:val="both"/>
        <w:rPr>
          <w:rFonts w:ascii="Arial" w:hAnsi="Arial"/>
          <w:rtl/>
        </w:rPr>
      </w:pPr>
      <w:r w:rsidRPr="00D17705">
        <w:rPr>
          <w:rFonts w:ascii="Arial" w:hAnsi="Arial" w:hint="cs"/>
          <w:rtl/>
        </w:rPr>
        <w:t>המאשימה הדגישה במסגרת טיעוניה את</w:t>
      </w:r>
      <w:r>
        <w:rPr>
          <w:rFonts w:ascii="Arial" w:hAnsi="Arial" w:hint="cs"/>
          <w:rtl/>
        </w:rPr>
        <w:t xml:space="preserve"> חומרת העבירות בהן הורשע הנאשם וזאת לאחר תיקון כתב האישום, </w:t>
      </w:r>
      <w:r w:rsidRPr="00D17705">
        <w:rPr>
          <w:rFonts w:ascii="Arial" w:hAnsi="Arial" w:hint="cs"/>
          <w:rtl/>
        </w:rPr>
        <w:t xml:space="preserve">את הפגיעה בערכים המוגנים, את העובדה כי המניע למעשי הנאשם נעוץ בהפקת רווח כספי, ובנסיבות העניין, מבלי להתעלם מעמדת שירות המבחן, ביקשה המאשימה לקבוע בעניינו של הנאשם בגין הליך זה מתחם ענישה שנע בין 9-24 חודשים מאסר וזאת בהתבסס על פסיקה שאוזכרה בטיעוניה לעונש. </w:t>
      </w:r>
    </w:p>
    <w:p w14:paraId="23AED5A1" w14:textId="77777777" w:rsidR="00D13E5B" w:rsidRPr="00D17705" w:rsidRDefault="00D13E5B" w:rsidP="00D13E5B">
      <w:pPr>
        <w:spacing w:line="360" w:lineRule="auto"/>
        <w:jc w:val="both"/>
        <w:rPr>
          <w:rFonts w:ascii="Arial" w:hAnsi="Arial"/>
          <w:rtl/>
        </w:rPr>
      </w:pPr>
    </w:p>
    <w:p w14:paraId="05464BF9" w14:textId="77777777" w:rsidR="00D13E5B" w:rsidRPr="00D17705" w:rsidRDefault="00D13E5B" w:rsidP="00D13E5B">
      <w:pPr>
        <w:spacing w:line="360" w:lineRule="auto"/>
        <w:jc w:val="both"/>
        <w:rPr>
          <w:rFonts w:ascii="Arial" w:hAnsi="Arial"/>
          <w:rtl/>
        </w:rPr>
      </w:pPr>
      <w:r w:rsidRPr="00D17705">
        <w:rPr>
          <w:rFonts w:ascii="Arial" w:hAnsi="Arial" w:hint="cs"/>
          <w:rtl/>
        </w:rPr>
        <w:t xml:space="preserve">המאשימה לא התעלמה גם מהנסיבות שאינן קשורות </w:t>
      </w:r>
      <w:r>
        <w:rPr>
          <w:rFonts w:ascii="Arial" w:hAnsi="Arial" w:hint="cs"/>
          <w:rtl/>
        </w:rPr>
        <w:t>ב</w:t>
      </w:r>
      <w:r w:rsidRPr="00D17705">
        <w:rPr>
          <w:rFonts w:ascii="Arial" w:hAnsi="Arial" w:hint="cs"/>
          <w:rtl/>
        </w:rPr>
        <w:t>ביצוע העביר</w:t>
      </w:r>
      <w:r>
        <w:rPr>
          <w:rFonts w:ascii="Arial" w:hAnsi="Arial" w:hint="cs"/>
          <w:rtl/>
        </w:rPr>
        <w:t>ות</w:t>
      </w:r>
      <w:r w:rsidRPr="00D17705">
        <w:rPr>
          <w:rFonts w:ascii="Arial" w:hAnsi="Arial" w:hint="cs"/>
          <w:rtl/>
        </w:rPr>
        <w:t>, בהן גילו של הנאשם, העובדה כי עסקינן בנאשם נטול הרשעות קודמות ועמדת שירות המבחן. עם זאת, בסופו של דבר ביקשה המאשימה למקם את עונשו של הנאשם ברף התחתון של המתחם הנ"ל, כך שעונש המאסר יכול וירוצה בעבודות שירות וזאת לצד מאסר על תנאי, קנס, התחייבות, פסילת רישיון נהיגה בפועל, ועל תנאי. בנוסף ביקשה המאשימה לחלט את הכספים שנתפסו, (שני סכומים הראשון בסך של 2,700 ₪ והשני בסך של 5,140 ₪)</w:t>
      </w:r>
      <w:r w:rsidRPr="00D17705">
        <w:rPr>
          <w:rFonts w:ascii="Arial" w:hAnsi="Arial" w:hint="cs"/>
        </w:rPr>
        <w:t xml:space="preserve"> </w:t>
      </w:r>
      <w:r w:rsidRPr="00D17705">
        <w:rPr>
          <w:rFonts w:ascii="Arial" w:hAnsi="Arial" w:hint="cs"/>
          <w:rtl/>
        </w:rPr>
        <w:t xml:space="preserve">וזאת ב"כ הנאשם. </w:t>
      </w:r>
    </w:p>
    <w:p w14:paraId="74DD31B2" w14:textId="77777777" w:rsidR="00D13E5B" w:rsidRPr="00D17705" w:rsidRDefault="00D13E5B" w:rsidP="00D13E5B">
      <w:pPr>
        <w:spacing w:line="360" w:lineRule="auto"/>
        <w:jc w:val="both"/>
        <w:rPr>
          <w:rFonts w:ascii="Arial" w:hAnsi="Arial"/>
          <w:rtl/>
        </w:rPr>
      </w:pPr>
    </w:p>
    <w:p w14:paraId="64C87A3D" w14:textId="77777777" w:rsidR="00D13E5B" w:rsidRPr="00D17705" w:rsidRDefault="00D13E5B" w:rsidP="00D13E5B">
      <w:pPr>
        <w:spacing w:line="360" w:lineRule="auto"/>
        <w:jc w:val="both"/>
        <w:rPr>
          <w:rFonts w:ascii="Arial" w:hAnsi="Arial"/>
          <w:rtl/>
        </w:rPr>
      </w:pPr>
      <w:r w:rsidRPr="00D17705">
        <w:rPr>
          <w:rFonts w:ascii="Arial" w:hAnsi="Arial" w:hint="cs"/>
          <w:rtl/>
        </w:rPr>
        <w:t xml:space="preserve">ב"כ הנאשם הדגיש במסגרת טיעוניו את העובדה כי הנאשם הודה בכתב אישום מתוקן, לקח אחריות על מעשיו, חסך זמן שיפוטי יקר, באשר לנסיבות ביצוע העבירות ומבלי להקל ראש בחומרתן ציין ב"כ הנאשם כי מדובר בעסקאות סם מינוריות, כאשר הרווח הכספי הוא שולי. </w:t>
      </w:r>
    </w:p>
    <w:p w14:paraId="7A066AAC" w14:textId="77777777" w:rsidR="00D13E5B" w:rsidRPr="00D17705" w:rsidRDefault="00D13E5B" w:rsidP="00D13E5B">
      <w:pPr>
        <w:spacing w:line="360" w:lineRule="auto"/>
        <w:jc w:val="both"/>
        <w:rPr>
          <w:rFonts w:ascii="Arial" w:hAnsi="Arial"/>
          <w:rtl/>
        </w:rPr>
      </w:pPr>
    </w:p>
    <w:p w14:paraId="633733A1" w14:textId="77777777" w:rsidR="00D13E5B" w:rsidRPr="00D17705" w:rsidRDefault="00D13E5B" w:rsidP="00D13E5B">
      <w:pPr>
        <w:spacing w:line="360" w:lineRule="auto"/>
        <w:jc w:val="both"/>
        <w:rPr>
          <w:rFonts w:ascii="Arial" w:hAnsi="Arial"/>
          <w:rtl/>
        </w:rPr>
      </w:pPr>
      <w:r w:rsidRPr="00D17705">
        <w:rPr>
          <w:rFonts w:ascii="Arial" w:hAnsi="Arial" w:hint="cs"/>
          <w:rtl/>
        </w:rPr>
        <w:t xml:space="preserve">ב"כ הנאשם הדגיש את נסיבותיו האישיות של הנאשם כפי שאלה באו לידי ביטוי בתסקיר וכן את הירתמותו של הנאשם להליך הטיפולי, והתרשמות שירות המבחן מהאפקטיביות של ההליך ביחס לנאשם זה. ב"כ הנאשם ביקש לאמץ את עמדת שירות המבחן, וזאת לצד מכלול נסיבותיו של מרשו וההליך הטיפולי אותו הוא עובר בחסות שירות המבחן מתוקף הליך זה. </w:t>
      </w:r>
    </w:p>
    <w:p w14:paraId="57C49E19" w14:textId="77777777" w:rsidR="00D13E5B" w:rsidRPr="00D17705" w:rsidRDefault="00D13E5B" w:rsidP="00D13E5B">
      <w:pPr>
        <w:spacing w:line="360" w:lineRule="auto"/>
        <w:jc w:val="both"/>
        <w:rPr>
          <w:rFonts w:ascii="Arial" w:hAnsi="Arial"/>
          <w:rtl/>
        </w:rPr>
      </w:pPr>
    </w:p>
    <w:p w14:paraId="2CF21387" w14:textId="77777777" w:rsidR="00D13E5B" w:rsidRPr="00D17705" w:rsidRDefault="00D13E5B" w:rsidP="00D13E5B">
      <w:pPr>
        <w:spacing w:line="360" w:lineRule="auto"/>
        <w:jc w:val="both"/>
        <w:rPr>
          <w:rFonts w:ascii="Arial" w:hAnsi="Arial"/>
          <w:rtl/>
        </w:rPr>
      </w:pPr>
      <w:r w:rsidRPr="00D17705">
        <w:rPr>
          <w:rFonts w:ascii="Arial" w:hAnsi="Arial" w:hint="cs"/>
          <w:rtl/>
        </w:rPr>
        <w:t xml:space="preserve">הנאשם אף הוא ביקש לומר את דברו, התנצל והצטער וביקש את עזרת בית המשפט. </w:t>
      </w:r>
    </w:p>
    <w:p w14:paraId="5DE3F1D7" w14:textId="77777777" w:rsidR="00D13E5B" w:rsidRPr="00D17705" w:rsidRDefault="00D13E5B" w:rsidP="00D13E5B">
      <w:pPr>
        <w:spacing w:line="360" w:lineRule="auto"/>
        <w:jc w:val="both"/>
        <w:rPr>
          <w:rFonts w:ascii="Arial" w:hAnsi="Arial"/>
          <w:rtl/>
        </w:rPr>
      </w:pPr>
    </w:p>
    <w:p w14:paraId="0CC1B01B" w14:textId="77777777" w:rsidR="00D13E5B" w:rsidRPr="00D17705" w:rsidRDefault="00D13E5B" w:rsidP="00D13E5B">
      <w:pPr>
        <w:spacing w:line="360" w:lineRule="auto"/>
        <w:jc w:val="both"/>
        <w:rPr>
          <w:rFonts w:ascii="Arial" w:hAnsi="Arial"/>
          <w:b/>
          <w:bCs/>
          <w:u w:val="single"/>
          <w:rtl/>
        </w:rPr>
      </w:pPr>
      <w:r w:rsidRPr="00D17705">
        <w:rPr>
          <w:rFonts w:ascii="Arial" w:hAnsi="Arial" w:hint="cs"/>
          <w:b/>
          <w:bCs/>
          <w:u w:val="single"/>
          <w:rtl/>
        </w:rPr>
        <w:t>דיון והכרעה:</w:t>
      </w:r>
      <w:r w:rsidRPr="00D17705">
        <w:rPr>
          <w:rFonts w:ascii="Arial" w:hAnsi="Arial" w:hint="cs"/>
          <w:b/>
          <w:bCs/>
          <w:u w:val="single"/>
        </w:rPr>
        <w:t xml:space="preserve"> </w:t>
      </w:r>
    </w:p>
    <w:p w14:paraId="7D8DBDF8" w14:textId="77777777" w:rsidR="00D13E5B" w:rsidRPr="00D17705" w:rsidRDefault="00D13E5B" w:rsidP="00D13E5B">
      <w:pPr>
        <w:spacing w:line="360" w:lineRule="auto"/>
        <w:jc w:val="both"/>
        <w:rPr>
          <w:rFonts w:ascii="Arial" w:hAnsi="Arial"/>
          <w:rtl/>
        </w:rPr>
      </w:pPr>
      <w:r w:rsidRPr="00D17705">
        <w:rPr>
          <w:rFonts w:ascii="Arial" w:hAnsi="Arial"/>
          <w:rtl/>
        </w:rPr>
        <w:t>תיקון 113 ל</w:t>
      </w:r>
      <w:hyperlink r:id="rId26" w:history="1">
        <w:r w:rsidR="008B6C27" w:rsidRPr="008B6C27">
          <w:rPr>
            <w:rFonts w:ascii="Arial" w:hAnsi="Arial"/>
            <w:color w:val="0000FF"/>
            <w:u w:val="single"/>
            <w:rtl/>
          </w:rPr>
          <w:t>חוק העונשין</w:t>
        </w:r>
      </w:hyperlink>
      <w:r w:rsidRPr="00D17705">
        <w:rPr>
          <w:rFonts w:ascii="Arial" w:hAnsi="Arial"/>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למעשה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27" w:history="1">
        <w:r w:rsidR="00E111D7" w:rsidRPr="00E111D7">
          <w:rPr>
            <w:rStyle w:val="Hyperlink"/>
            <w:rFonts w:ascii="Arial" w:hAnsi="Arial"/>
            <w:color w:val="0000FF"/>
            <w:rtl/>
          </w:rPr>
          <w:t>בסעיף 40ט'</w:t>
        </w:r>
      </w:hyperlink>
      <w:r w:rsidRPr="00D17705">
        <w:rPr>
          <w:rFonts w:ascii="Arial" w:hAnsi="Arial"/>
          <w:rtl/>
        </w:rPr>
        <w:t xml:space="preserve"> ל</w:t>
      </w:r>
      <w:hyperlink r:id="rId28" w:history="1">
        <w:r w:rsidR="008B6C27" w:rsidRPr="008B6C27">
          <w:rPr>
            <w:rFonts w:ascii="Arial" w:hAnsi="Arial"/>
            <w:color w:val="0000FF"/>
            <w:u w:val="single"/>
            <w:rtl/>
          </w:rPr>
          <w:t>חוק העונשין</w:t>
        </w:r>
      </w:hyperlink>
      <w:r w:rsidRPr="00D17705">
        <w:rPr>
          <w:rFonts w:ascii="Arial" w:hAnsi="Arial"/>
          <w:rtl/>
        </w:rPr>
        <w:t xml:space="preserve">. </w:t>
      </w:r>
    </w:p>
    <w:p w14:paraId="41BDBBD8" w14:textId="77777777" w:rsidR="00D13E5B" w:rsidRPr="00D17705" w:rsidRDefault="00D13E5B" w:rsidP="00D13E5B">
      <w:pPr>
        <w:spacing w:line="360" w:lineRule="auto"/>
        <w:jc w:val="both"/>
        <w:rPr>
          <w:rFonts w:ascii="Arial" w:hAnsi="Arial"/>
          <w:rtl/>
        </w:rPr>
      </w:pPr>
    </w:p>
    <w:p w14:paraId="26DC24E9" w14:textId="77777777" w:rsidR="00D13E5B" w:rsidRPr="00D17705" w:rsidRDefault="00D13E5B" w:rsidP="00D13E5B">
      <w:pPr>
        <w:spacing w:line="360" w:lineRule="auto"/>
        <w:jc w:val="both"/>
        <w:rPr>
          <w:rFonts w:ascii="Arial" w:hAnsi="Arial"/>
          <w:rtl/>
        </w:rPr>
      </w:pPr>
      <w:r w:rsidRPr="00D17705">
        <w:rPr>
          <w:rFonts w:ascii="Arial" w:hAnsi="Arial"/>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29" w:history="1">
        <w:r w:rsidR="00E111D7" w:rsidRPr="00E111D7">
          <w:rPr>
            <w:rStyle w:val="Hyperlink"/>
            <w:rFonts w:ascii="Arial" w:hAnsi="Arial"/>
            <w:color w:val="0000FF"/>
            <w:rtl/>
          </w:rPr>
          <w:t>בסעיף 40יא'</w:t>
        </w:r>
      </w:hyperlink>
      <w:r w:rsidRPr="00D17705">
        <w:rPr>
          <w:rFonts w:ascii="Arial" w:hAnsi="Arial"/>
          <w:rtl/>
        </w:rPr>
        <w:t xml:space="preserve"> לחוק. </w:t>
      </w:r>
    </w:p>
    <w:p w14:paraId="6680D782" w14:textId="77777777" w:rsidR="00D13E5B" w:rsidRPr="00D17705" w:rsidRDefault="00D13E5B" w:rsidP="00D13E5B">
      <w:pPr>
        <w:spacing w:line="360" w:lineRule="auto"/>
        <w:jc w:val="both"/>
        <w:rPr>
          <w:rFonts w:ascii="Arial" w:hAnsi="Arial"/>
          <w:rtl/>
        </w:rPr>
      </w:pPr>
    </w:p>
    <w:p w14:paraId="77D88066" w14:textId="77777777" w:rsidR="00D13E5B" w:rsidRPr="00D17705" w:rsidRDefault="00D13E5B" w:rsidP="00D13E5B">
      <w:pPr>
        <w:spacing w:line="360" w:lineRule="auto"/>
        <w:jc w:val="both"/>
        <w:rPr>
          <w:rFonts w:ascii="Arial" w:hAnsi="Arial"/>
          <w:rtl/>
        </w:rPr>
      </w:pPr>
      <w:r w:rsidRPr="00D17705">
        <w:rPr>
          <w:rFonts w:ascii="Arial" w:hAnsi="Arial"/>
          <w:rtl/>
        </w:rPr>
        <w:t xml:space="preserve">בית המשפט רשאי לחרוג ממתחם העונש ההולם בשל שיקולי שיקום או הגנה על שלום הציבור לפי </w:t>
      </w:r>
      <w:hyperlink r:id="rId30" w:history="1">
        <w:r w:rsidR="00E111D7" w:rsidRPr="00E111D7">
          <w:rPr>
            <w:rStyle w:val="Hyperlink"/>
            <w:rFonts w:ascii="Arial" w:hAnsi="Arial"/>
            <w:color w:val="0000FF"/>
            <w:rtl/>
          </w:rPr>
          <w:t>סעיפים 40ד'</w:t>
        </w:r>
      </w:hyperlink>
      <w:r w:rsidRPr="00D17705">
        <w:rPr>
          <w:rFonts w:ascii="Arial" w:hAnsi="Arial"/>
          <w:rtl/>
        </w:rPr>
        <w:t xml:space="preserve"> ו</w:t>
      </w:r>
      <w:hyperlink r:id="rId31" w:history="1">
        <w:r w:rsidR="00E111D7" w:rsidRPr="00E111D7">
          <w:rPr>
            <w:rStyle w:val="Hyperlink"/>
            <w:rFonts w:ascii="Arial" w:hAnsi="Arial"/>
            <w:color w:val="0000FF"/>
            <w:rtl/>
          </w:rPr>
          <w:t>40 ה'</w:t>
        </w:r>
      </w:hyperlink>
      <w:r w:rsidRPr="00D17705">
        <w:rPr>
          <w:rFonts w:ascii="Arial" w:hAnsi="Arial"/>
          <w:rtl/>
        </w:rPr>
        <w:t xml:space="preserve"> לחוק. </w:t>
      </w:r>
    </w:p>
    <w:p w14:paraId="47C2B1A8" w14:textId="77777777" w:rsidR="00D13E5B" w:rsidRDefault="00D13E5B" w:rsidP="00D13E5B">
      <w:pPr>
        <w:spacing w:line="360" w:lineRule="auto"/>
        <w:jc w:val="both"/>
        <w:rPr>
          <w:rFonts w:ascii="David" w:eastAsia="Calibri" w:hAnsi="David"/>
        </w:rPr>
      </w:pPr>
    </w:p>
    <w:p w14:paraId="13264364" w14:textId="77777777" w:rsidR="00D13E5B" w:rsidRDefault="00D13E5B" w:rsidP="00D13E5B">
      <w:pPr>
        <w:spacing w:line="360" w:lineRule="auto"/>
        <w:jc w:val="both"/>
        <w:rPr>
          <w:rFonts w:ascii="David" w:eastAsia="Calibri" w:hAnsi="David"/>
          <w:rtl/>
        </w:rPr>
      </w:pPr>
      <w:r>
        <w:rPr>
          <w:rFonts w:ascii="David" w:eastAsia="Calibri" w:hAnsi="David"/>
          <w:u w:val="single"/>
          <w:rtl/>
        </w:rPr>
        <w:t>קביעת מתחם העונש ההולם – נסיבות הקשורות לביצוע העבירה</w:t>
      </w:r>
    </w:p>
    <w:p w14:paraId="3DF40023" w14:textId="77777777" w:rsidR="00D13E5B" w:rsidRDefault="00D13E5B" w:rsidP="00D13E5B">
      <w:pPr>
        <w:spacing w:line="360" w:lineRule="auto"/>
        <w:jc w:val="both"/>
        <w:rPr>
          <w:rFonts w:ascii="David" w:eastAsia="Calibri" w:hAnsi="David"/>
          <w:rtl/>
        </w:rPr>
      </w:pPr>
      <w:r>
        <w:rPr>
          <w:rFonts w:ascii="David" w:eastAsia="Calibri" w:hAnsi="David"/>
          <w:rtl/>
        </w:rPr>
        <w:t>אין צורך להכביר מילים אודות חומרת העביר</w:t>
      </w:r>
      <w:r>
        <w:rPr>
          <w:rFonts w:ascii="David" w:eastAsia="Calibri" w:hAnsi="David" w:hint="cs"/>
          <w:rtl/>
        </w:rPr>
        <w:t>ות</w:t>
      </w:r>
      <w:r>
        <w:rPr>
          <w:rFonts w:ascii="David" w:eastAsia="Calibri" w:hAnsi="David"/>
          <w:rtl/>
        </w:rPr>
        <w:t xml:space="preserve"> בה</w:t>
      </w:r>
      <w:r>
        <w:rPr>
          <w:rFonts w:ascii="David" w:eastAsia="Calibri" w:hAnsi="David" w:hint="cs"/>
          <w:rtl/>
        </w:rPr>
        <w:t>ן</w:t>
      </w:r>
      <w:r>
        <w:rPr>
          <w:rFonts w:ascii="David" w:eastAsia="Calibri" w:hAnsi="David"/>
          <w:rtl/>
        </w:rPr>
        <w:t xml:space="preserve"> הורשע הנאשם</w:t>
      </w:r>
      <w:r>
        <w:rPr>
          <w:rFonts w:ascii="David" w:eastAsia="Calibri" w:hAnsi="David" w:hint="cs"/>
          <w:rtl/>
        </w:rPr>
        <w:t xml:space="preserve">, וזאת גם לאחר תיקון כתב האישום, </w:t>
      </w:r>
      <w:r>
        <w:rPr>
          <w:rFonts w:ascii="David" w:eastAsia="Calibri" w:hAnsi="David"/>
          <w:rtl/>
        </w:rPr>
        <w:t xml:space="preserve">הפגיעה בערכים המוגנים </w:t>
      </w:r>
      <w:r>
        <w:rPr>
          <w:rFonts w:ascii="David" w:eastAsia="Calibri" w:hAnsi="David" w:hint="cs"/>
          <w:rtl/>
        </w:rPr>
        <w:t xml:space="preserve">היא משמעותית וקונקרטית ומתבטאת בפגיעה </w:t>
      </w:r>
      <w:r>
        <w:rPr>
          <w:rFonts w:ascii="David" w:eastAsia="Calibri" w:hAnsi="David"/>
          <w:rtl/>
        </w:rPr>
        <w:t>בציבור בכללותו אפילו כאשר עסקינן בסם "קל" מסוג קנאביס שחומרתו פחותה בהשוואה לסוגי סמים אחרים, כגון הרואין או קוקאין. עם זאת, וחרף העובדה כי בשנים האחרונות ננקטת מדיניות ענישה מקלה עם משתמשי הסמים ה"קלים", הרי מדיניות הענישה הנוהגת כלפי אלו החוטאים ונוטלים חלק בשרשרת ההפצה, נותרה ועודנה ממשית ומרתיעה (</w:t>
      </w:r>
      <w:hyperlink r:id="rId32" w:history="1">
        <w:r w:rsidR="008B6C27" w:rsidRPr="008B6C27">
          <w:rPr>
            <w:rFonts w:ascii="David" w:eastAsia="Calibri" w:hAnsi="David"/>
            <w:color w:val="0000FF"/>
            <w:u w:val="single"/>
            <w:rtl/>
          </w:rPr>
          <w:t>רע"פ 174/21</w:t>
        </w:r>
      </w:hyperlink>
      <w:r>
        <w:rPr>
          <w:rFonts w:ascii="David" w:eastAsia="Calibri" w:hAnsi="David"/>
          <w:rtl/>
        </w:rPr>
        <w:t xml:space="preserve"> </w:t>
      </w:r>
      <w:r>
        <w:rPr>
          <w:rFonts w:ascii="David" w:eastAsia="Calibri" w:hAnsi="David"/>
          <w:b/>
          <w:bCs/>
          <w:rtl/>
        </w:rPr>
        <w:t>סויסה נ' מדינת ישראל</w:t>
      </w:r>
      <w:r>
        <w:rPr>
          <w:rFonts w:ascii="David" w:eastAsia="Calibri" w:hAnsi="David"/>
          <w:rtl/>
        </w:rPr>
        <w:t xml:space="preserve"> (25.02.21); </w:t>
      </w:r>
      <w:hyperlink r:id="rId33" w:history="1">
        <w:r w:rsidR="008B6C27" w:rsidRPr="008B6C27">
          <w:rPr>
            <w:rFonts w:ascii="David" w:eastAsia="Calibri" w:hAnsi="David"/>
            <w:color w:val="0000FF"/>
            <w:u w:val="single"/>
            <w:rtl/>
          </w:rPr>
          <w:t>ע"פ 6299/20</w:t>
        </w:r>
      </w:hyperlink>
      <w:r>
        <w:rPr>
          <w:rFonts w:ascii="David" w:eastAsia="Calibri" w:hAnsi="David"/>
          <w:rtl/>
        </w:rPr>
        <w:t xml:space="preserve"> </w:t>
      </w:r>
      <w:r>
        <w:rPr>
          <w:rFonts w:ascii="David" w:eastAsia="Calibri" w:hAnsi="David"/>
          <w:b/>
          <w:bCs/>
          <w:rtl/>
        </w:rPr>
        <w:t>חן נ' מדינת ישראל</w:t>
      </w:r>
      <w:r>
        <w:rPr>
          <w:rFonts w:ascii="David" w:eastAsia="Calibri" w:hAnsi="David"/>
          <w:rtl/>
        </w:rPr>
        <w:t xml:space="preserve"> (04.02.21); </w:t>
      </w:r>
      <w:hyperlink r:id="rId34" w:history="1">
        <w:r w:rsidR="008B6C27" w:rsidRPr="008B6C27">
          <w:rPr>
            <w:rFonts w:ascii="David" w:eastAsia="Calibri" w:hAnsi="David"/>
            <w:color w:val="0000FF"/>
            <w:u w:val="single"/>
            <w:rtl/>
          </w:rPr>
          <w:t>ע"פ 5807/17</w:t>
        </w:r>
      </w:hyperlink>
      <w:r>
        <w:rPr>
          <w:rFonts w:ascii="David" w:eastAsia="Calibri" w:hAnsi="David"/>
          <w:rtl/>
        </w:rPr>
        <w:t xml:space="preserve"> </w:t>
      </w:r>
      <w:r>
        <w:rPr>
          <w:rFonts w:ascii="David" w:eastAsia="Calibri" w:hAnsi="David"/>
          <w:b/>
          <w:bCs/>
          <w:rtl/>
        </w:rPr>
        <w:t>דרחי נ' מדינת ישראל</w:t>
      </w:r>
      <w:r>
        <w:rPr>
          <w:rFonts w:ascii="David" w:eastAsia="Calibri" w:hAnsi="David"/>
          <w:rtl/>
        </w:rPr>
        <w:t xml:space="preserve"> (18.06.18)).</w:t>
      </w:r>
    </w:p>
    <w:p w14:paraId="54B60A04" w14:textId="77777777" w:rsidR="00D13E5B" w:rsidRDefault="00D13E5B" w:rsidP="00D13E5B">
      <w:pPr>
        <w:spacing w:after="160" w:line="360" w:lineRule="atLeast"/>
        <w:jc w:val="both"/>
        <w:rPr>
          <w:rFonts w:ascii="David" w:eastAsia="Calibri" w:hAnsi="David"/>
          <w:rtl/>
        </w:rPr>
      </w:pPr>
      <w:r>
        <w:rPr>
          <w:rFonts w:ascii="David" w:eastAsia="Calibri" w:hAnsi="David"/>
          <w:rtl/>
        </w:rPr>
        <w:t>ב</w:t>
      </w:r>
      <w:hyperlink r:id="rId35" w:history="1">
        <w:r w:rsidR="008B6C27" w:rsidRPr="008B6C27">
          <w:rPr>
            <w:rFonts w:ascii="David" w:eastAsia="Calibri" w:hAnsi="David"/>
            <w:color w:val="0000FF"/>
            <w:u w:val="single"/>
            <w:rtl/>
          </w:rPr>
          <w:t>ע"פ 2596/18</w:t>
        </w:r>
      </w:hyperlink>
      <w:r>
        <w:rPr>
          <w:rFonts w:ascii="David" w:eastAsia="Calibri" w:hAnsi="David"/>
          <w:rtl/>
        </w:rPr>
        <w:t xml:space="preserve"> זנזורי נ' מדינת ישראל (12.8.2018) נכתב:</w:t>
      </w:r>
      <w:r>
        <w:rPr>
          <w:rFonts w:ascii="David" w:eastAsia="Calibri" w:hAnsi="David" w:hint="cs"/>
          <w:rtl/>
        </w:rPr>
        <w:t xml:space="preserve"> </w:t>
      </w:r>
      <w:r>
        <w:rPr>
          <w:rFonts w:ascii="David" w:eastAsia="Calibri" w:hAnsi="David"/>
          <w:rtl/>
        </w:rPr>
        <w:t>"</w:t>
      </w:r>
      <w:r>
        <w:rPr>
          <w:rFonts w:ascii="David" w:eastAsia="Calibri" w:hAnsi="David"/>
          <w:b/>
          <w:bCs/>
          <w:rtl/>
        </w:rPr>
        <w:t>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Pr>
          <w:rFonts w:ascii="David" w:eastAsia="Calibri" w:hAnsi="David"/>
          <w:rtl/>
        </w:rPr>
        <w:t>"</w:t>
      </w:r>
    </w:p>
    <w:p w14:paraId="66AB2A58" w14:textId="77777777" w:rsidR="00D13E5B" w:rsidRDefault="00D13E5B" w:rsidP="00D13E5B">
      <w:pPr>
        <w:spacing w:before="240" w:after="240" w:line="360" w:lineRule="auto"/>
        <w:jc w:val="both"/>
        <w:rPr>
          <w:rFonts w:ascii="David" w:hAnsi="David"/>
          <w:rtl/>
        </w:rPr>
      </w:pPr>
      <w:r>
        <w:rPr>
          <w:rFonts w:ascii="David" w:hAnsi="David"/>
          <w:rtl/>
        </w:rPr>
        <w:t>עוד הודגש בפסיקה כי אף שרשויות האכיפה מציגות מדיניות אכיפה מקלה יותר לגבי שימוש בקנבוס – השימוש בקנבוס אסור ויש להמשיך להילחם בתופעות של גידול והפצה של סם זה:</w:t>
      </w:r>
      <w:r>
        <w:rPr>
          <w:rFonts w:ascii="David" w:hAnsi="David" w:hint="cs"/>
          <w:rtl/>
        </w:rPr>
        <w:t xml:space="preserve"> </w:t>
      </w:r>
      <w:r>
        <w:rPr>
          <w:rFonts w:ascii="David" w:hAnsi="David"/>
          <w:rtl/>
        </w:rPr>
        <w:t>"</w:t>
      </w:r>
      <w:r>
        <w:rPr>
          <w:rFonts w:ascii="David" w:hAnsi="David"/>
          <w:b/>
          <w:bCs/>
          <w:rtl/>
        </w:rPr>
        <w:t>לטעמי זה אינו סם קל אלא סם פחות חמור. ממילא, אין זו המסגרת לבחון את מדיניות רשויות האכיפה. מתוך הנחה שהיא ראויה, הרי שהיא נועדה בעיקר למשתמשים בסם זה לשימוש עצמי, ולא בתדירות גבוהה... מדיניות החדשה זו לא נועדה לעודד הספקה או ייצור של סם, ואין בה לגורע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לחוד</w:t>
      </w:r>
      <w:r>
        <w:rPr>
          <w:rFonts w:ascii="David" w:hAnsi="David"/>
          <w:rtl/>
        </w:rPr>
        <w:t>" (</w:t>
      </w:r>
      <w:hyperlink r:id="rId36" w:history="1">
        <w:r w:rsidR="008B6C27" w:rsidRPr="008B6C27">
          <w:rPr>
            <w:rFonts w:ascii="David" w:hAnsi="David"/>
            <w:color w:val="0000FF"/>
            <w:u w:val="single"/>
            <w:rtl/>
          </w:rPr>
          <w:t>ע"פ 5807/17</w:t>
        </w:r>
      </w:hyperlink>
      <w:r w:rsidR="008B6C27">
        <w:rPr>
          <w:rFonts w:ascii="David" w:hAnsi="David"/>
          <w:b/>
          <w:bCs/>
          <w:rtl/>
        </w:rPr>
        <w:t xml:space="preserve"> </w:t>
      </w:r>
      <w:r>
        <w:rPr>
          <w:rFonts w:ascii="David" w:hAnsi="David"/>
          <w:b/>
          <w:bCs/>
          <w:rtl/>
        </w:rPr>
        <w:t>דרחי נ' מדינת ישראל</w:t>
      </w:r>
      <w:r>
        <w:rPr>
          <w:rFonts w:ascii="David" w:hAnsi="David"/>
          <w:rtl/>
        </w:rPr>
        <w:t xml:space="preserve"> (18.6.2018))</w:t>
      </w:r>
      <w:r>
        <w:rPr>
          <w:rFonts w:ascii="David" w:hAnsi="David" w:hint="cs"/>
          <w:rtl/>
        </w:rPr>
        <w:t>.</w:t>
      </w:r>
    </w:p>
    <w:p w14:paraId="4F846B94" w14:textId="77777777" w:rsidR="00D13E5B" w:rsidRDefault="00D13E5B" w:rsidP="00D13E5B">
      <w:pPr>
        <w:spacing w:line="360" w:lineRule="auto"/>
        <w:jc w:val="both"/>
        <w:rPr>
          <w:rFonts w:ascii="David" w:eastAsia="Calibri" w:hAnsi="David"/>
        </w:rPr>
      </w:pPr>
      <w:r>
        <w:rPr>
          <w:rFonts w:ascii="David" w:eastAsia="Calibri" w:hAnsi="David"/>
          <w:rtl/>
        </w:rPr>
        <w:t>עבירות הסמים פוגעות בשלומו ובריאותו של הציבור</w:t>
      </w:r>
      <w:r>
        <w:rPr>
          <w:rFonts w:ascii="David" w:eastAsia="Calibri" w:hAnsi="David" w:hint="cs"/>
          <w:rtl/>
        </w:rPr>
        <w:t xml:space="preserve">, בהן עבירות של </w:t>
      </w:r>
      <w:r>
        <w:rPr>
          <w:rFonts w:ascii="David" w:eastAsia="Calibri" w:hAnsi="David"/>
          <w:rtl/>
        </w:rPr>
        <w:t xml:space="preserve"> גידול סם, החזקה שלא לצריכה עצמית, יבוא סם וסחר בסם תורמות להפצת הסם. בתי המשפט עמדו על הצורך בענישה משמעותית בעבירות אלו, המביאה בחשבון בין היתר את כמות הסם ואת חלקו של הנאשם בביצוע העבירות (</w:t>
      </w:r>
      <w:hyperlink r:id="rId37" w:history="1">
        <w:r w:rsidR="008B6C27" w:rsidRPr="008B6C27">
          <w:rPr>
            <w:rFonts w:ascii="David" w:eastAsia="Calibri" w:hAnsi="David"/>
            <w:color w:val="0000FF"/>
            <w:u w:val="single"/>
            <w:rtl/>
          </w:rPr>
          <w:t>רע"פ 7906/19</w:t>
        </w:r>
      </w:hyperlink>
      <w:r w:rsidR="008B6C27">
        <w:rPr>
          <w:rFonts w:ascii="David" w:eastAsia="Calibri" w:hAnsi="David"/>
          <w:rtl/>
        </w:rPr>
        <w:t xml:space="preserve"> </w:t>
      </w:r>
      <w:r>
        <w:rPr>
          <w:rFonts w:ascii="David" w:eastAsia="Calibri" w:hAnsi="David"/>
          <w:b/>
          <w:bCs/>
          <w:rtl/>
        </w:rPr>
        <w:t>אדרי נ' מדינת ישראל</w:t>
      </w:r>
      <w:r w:rsidR="008B6C27">
        <w:rPr>
          <w:rFonts w:ascii="David" w:eastAsia="Calibri" w:hAnsi="David"/>
          <w:rtl/>
        </w:rPr>
        <w:t xml:space="preserve"> </w:t>
      </w:r>
      <w:r>
        <w:rPr>
          <w:rFonts w:ascii="David" w:eastAsia="Calibri" w:hAnsi="David"/>
          <w:rtl/>
        </w:rPr>
        <w:t>(03.12.19) וכן</w:t>
      </w:r>
      <w:r w:rsidR="008B6C27">
        <w:rPr>
          <w:rFonts w:ascii="David" w:eastAsia="Calibri" w:hAnsi="David"/>
          <w:rtl/>
        </w:rPr>
        <w:t xml:space="preserve"> </w:t>
      </w:r>
      <w:hyperlink r:id="rId38" w:history="1">
        <w:r w:rsidR="008B6C27" w:rsidRPr="008B6C27">
          <w:rPr>
            <w:rFonts w:ascii="David" w:eastAsia="Calibri" w:hAnsi="David"/>
            <w:color w:val="0000FF"/>
            <w:u w:val="single"/>
            <w:rtl/>
          </w:rPr>
          <w:t>רע"פ 5494/19</w:t>
        </w:r>
      </w:hyperlink>
      <w:r w:rsidR="008B6C27">
        <w:rPr>
          <w:rFonts w:ascii="David" w:eastAsia="Calibri" w:hAnsi="David"/>
          <w:rtl/>
        </w:rPr>
        <w:t xml:space="preserve"> </w:t>
      </w:r>
      <w:r>
        <w:rPr>
          <w:rFonts w:ascii="David" w:eastAsia="Calibri" w:hAnsi="David"/>
          <w:b/>
          <w:bCs/>
          <w:rtl/>
        </w:rPr>
        <w:t>רנד נ' מדינת ישראל</w:t>
      </w:r>
      <w:r w:rsidR="008B6C27">
        <w:rPr>
          <w:rFonts w:ascii="David" w:eastAsia="Calibri" w:hAnsi="David"/>
          <w:rtl/>
        </w:rPr>
        <w:t xml:space="preserve"> </w:t>
      </w:r>
      <w:r>
        <w:rPr>
          <w:rFonts w:ascii="David" w:eastAsia="Calibri" w:hAnsi="David"/>
          <w:rtl/>
        </w:rPr>
        <w:t>(22.08.19)).</w:t>
      </w:r>
    </w:p>
    <w:p w14:paraId="261FDF0A" w14:textId="77777777" w:rsidR="00D13E5B" w:rsidRDefault="00D13E5B" w:rsidP="00D13E5B">
      <w:pPr>
        <w:spacing w:line="360" w:lineRule="auto"/>
        <w:jc w:val="both"/>
        <w:rPr>
          <w:rFonts w:ascii="David" w:eastAsia="Calibri" w:hAnsi="David"/>
          <w:rtl/>
        </w:rPr>
      </w:pPr>
    </w:p>
    <w:p w14:paraId="2FBC470B" w14:textId="77777777" w:rsidR="00D13E5B" w:rsidRDefault="00D13E5B" w:rsidP="00D13E5B">
      <w:pPr>
        <w:spacing w:line="360" w:lineRule="auto"/>
        <w:jc w:val="both"/>
        <w:rPr>
          <w:rFonts w:ascii="David" w:eastAsia="Calibri" w:hAnsi="David"/>
          <w:rtl/>
        </w:rPr>
      </w:pPr>
      <w:r>
        <w:rPr>
          <w:rFonts w:ascii="David" w:eastAsia="Calibri" w:hAnsi="David"/>
          <w:rtl/>
        </w:rPr>
        <w:t>בנוסף לשימוש בסם עצמו, ההתמכרות לסמים והצורך במימונם מגבירים ומהווים לעיתים את הסיבה העיקרית לביצוע עבירות פליליות אחרות כגון עבירות רכוש הפוגעות בקניינו של הפרט.</w:t>
      </w:r>
    </w:p>
    <w:p w14:paraId="64FE449D" w14:textId="77777777" w:rsidR="00D13E5B" w:rsidRDefault="00D13E5B" w:rsidP="00D13E5B">
      <w:pPr>
        <w:spacing w:line="360" w:lineRule="auto"/>
        <w:jc w:val="both"/>
        <w:rPr>
          <w:rFonts w:ascii="David" w:eastAsia="Calibri" w:hAnsi="David"/>
          <w:rtl/>
        </w:rPr>
      </w:pPr>
    </w:p>
    <w:p w14:paraId="099B3027" w14:textId="77777777" w:rsidR="00D13E5B" w:rsidRDefault="00D13E5B" w:rsidP="00D13E5B">
      <w:pPr>
        <w:spacing w:after="160" w:line="360" w:lineRule="auto"/>
        <w:jc w:val="both"/>
        <w:rPr>
          <w:rFonts w:ascii="David" w:eastAsia="Calibri" w:hAnsi="David"/>
          <w:rtl/>
        </w:rPr>
      </w:pPr>
      <w:r>
        <w:rPr>
          <w:rFonts w:ascii="David" w:eastAsia="Calibri" w:hAnsi="David"/>
          <w:rtl/>
        </w:rPr>
        <w:t>ב</w:t>
      </w:r>
      <w:hyperlink r:id="rId39" w:history="1">
        <w:r w:rsidR="008B6C27" w:rsidRPr="008B6C27">
          <w:rPr>
            <w:rFonts w:ascii="David" w:eastAsia="Calibri" w:hAnsi="David"/>
            <w:color w:val="0000FF"/>
            <w:u w:val="single"/>
            <w:rtl/>
          </w:rPr>
          <w:t>ע"פ 966/94</w:t>
        </w:r>
      </w:hyperlink>
      <w:r w:rsidR="008B6C27">
        <w:rPr>
          <w:rFonts w:ascii="David" w:eastAsia="Calibri" w:hAnsi="David"/>
          <w:rtl/>
        </w:rPr>
        <w:t xml:space="preserve"> </w:t>
      </w:r>
      <w:r>
        <w:rPr>
          <w:rFonts w:ascii="David" w:eastAsia="Calibri" w:hAnsi="David"/>
          <w:rtl/>
        </w:rPr>
        <w:t>אמזלג נ' מדינת ישראל</w:t>
      </w:r>
      <w:r>
        <w:rPr>
          <w:rFonts w:ascii="David" w:eastAsia="Calibri" w:hAnsi="David" w:hint="cs"/>
          <w:rtl/>
        </w:rPr>
        <w:t xml:space="preserve"> נאמר כי:</w:t>
      </w:r>
      <w:r>
        <w:rPr>
          <w:rFonts w:ascii="David" w:eastAsia="Calibri" w:hAnsi="David"/>
          <w:rtl/>
        </w:rPr>
        <w:t>,</w:t>
      </w:r>
      <w:r w:rsidR="008B6C27">
        <w:rPr>
          <w:rFonts w:ascii="David" w:eastAsia="Calibri" w:hAnsi="David"/>
          <w:rtl/>
        </w:rPr>
        <w:t xml:space="preserve"> </w:t>
      </w:r>
      <w:r>
        <w:rPr>
          <w:rFonts w:ascii="David" w:eastAsia="Calibri" w:hAnsi="David"/>
          <w:b/>
          <w:bCs/>
          <w:rtl/>
        </w:rPr>
        <w:t>"נגע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w:t>
      </w:r>
      <w:r w:rsidR="008B6C27">
        <w:rPr>
          <w:rFonts w:ascii="David" w:eastAsia="Calibri" w:hAnsi="David"/>
          <w:b/>
          <w:bCs/>
          <w:rtl/>
        </w:rPr>
        <w:t xml:space="preserve"> </w:t>
      </w:r>
      <w:r>
        <w:rPr>
          <w:rFonts w:ascii="David" w:eastAsia="Calibri" w:hAnsi="David"/>
          <w:b/>
          <w:bCs/>
          <w:rtl/>
        </w:rPr>
        <w:t>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p>
    <w:p w14:paraId="2192F7F9" w14:textId="77777777" w:rsidR="00D13E5B" w:rsidRDefault="00D13E5B" w:rsidP="00D13E5B">
      <w:pPr>
        <w:spacing w:line="360" w:lineRule="auto"/>
        <w:jc w:val="both"/>
        <w:rPr>
          <w:rFonts w:ascii="David" w:eastAsia="Calibri" w:hAnsi="David"/>
          <w:rtl/>
        </w:rPr>
      </w:pPr>
      <w:r>
        <w:rPr>
          <w:rFonts w:ascii="David" w:eastAsia="Calibri" w:hAnsi="David"/>
          <w:rtl/>
        </w:rPr>
        <w:t>ראו לעניין זה גם</w:t>
      </w:r>
      <w:r w:rsidR="008B6C27">
        <w:rPr>
          <w:rFonts w:ascii="David" w:eastAsia="Calibri" w:hAnsi="David"/>
          <w:rtl/>
        </w:rPr>
        <w:t xml:space="preserve"> </w:t>
      </w:r>
      <w:hyperlink r:id="rId40" w:history="1">
        <w:r w:rsidR="008B6C27" w:rsidRPr="008B6C27">
          <w:rPr>
            <w:rFonts w:ascii="David" w:eastAsia="Calibri" w:hAnsi="David"/>
            <w:color w:val="0000FF"/>
            <w:u w:val="single"/>
            <w:rtl/>
          </w:rPr>
          <w:t>ע"פ 211/09</w:t>
        </w:r>
      </w:hyperlink>
      <w:r w:rsidR="008B6C27">
        <w:rPr>
          <w:rFonts w:ascii="David" w:eastAsia="Calibri" w:hAnsi="David"/>
          <w:rtl/>
        </w:rPr>
        <w:t xml:space="preserve"> </w:t>
      </w:r>
      <w:r>
        <w:rPr>
          <w:rFonts w:ascii="David" w:eastAsia="Calibri" w:hAnsi="David"/>
          <w:rtl/>
        </w:rPr>
        <w:t>אזולאי נ' מדינת ישראל</w:t>
      </w:r>
      <w:r>
        <w:rPr>
          <w:rFonts w:ascii="David" w:eastAsia="Calibri" w:hAnsi="David"/>
          <w:spacing w:val="10"/>
          <w:rtl/>
        </w:rPr>
        <w:t>:</w:t>
      </w:r>
      <w:r w:rsidR="008B6C27">
        <w:rPr>
          <w:rFonts w:ascii="David" w:eastAsia="Calibri" w:hAnsi="David"/>
          <w:b/>
          <w:bCs/>
          <w:rtl/>
        </w:rPr>
        <w:t xml:space="preserve"> </w:t>
      </w:r>
      <w:r>
        <w:rPr>
          <w:rFonts w:ascii="David" w:eastAsia="Calibri" w:hAnsi="David"/>
          <w:b/>
          <w:bCs/>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14:paraId="1E3FE0F4" w14:textId="77777777" w:rsidR="00D13E5B" w:rsidRDefault="00D13E5B" w:rsidP="00D13E5B">
      <w:pPr>
        <w:spacing w:line="360" w:lineRule="auto"/>
        <w:jc w:val="both"/>
        <w:rPr>
          <w:rFonts w:ascii="David" w:eastAsia="Calibri" w:hAnsi="David"/>
          <w:rtl/>
        </w:rPr>
      </w:pPr>
      <w:r>
        <w:rPr>
          <w:rFonts w:ascii="David" w:eastAsia="Calibri" w:hAnsi="David"/>
          <w:rtl/>
        </w:rPr>
        <w:t xml:space="preserve">בענייננו </w:t>
      </w:r>
      <w:r>
        <w:rPr>
          <w:rFonts w:ascii="David" w:eastAsia="Calibri" w:hAnsi="David" w:hint="cs"/>
          <w:rtl/>
        </w:rPr>
        <w:t xml:space="preserve">הנאשם </w:t>
      </w:r>
      <w:r>
        <w:rPr>
          <w:rFonts w:ascii="David" w:eastAsia="Calibri" w:hAnsi="David"/>
          <w:rtl/>
        </w:rPr>
        <w:t xml:space="preserve">הורשע בעבירות </w:t>
      </w:r>
      <w:r>
        <w:rPr>
          <w:rFonts w:ascii="David" w:eastAsia="Calibri" w:hAnsi="David" w:hint="cs"/>
          <w:rtl/>
        </w:rPr>
        <w:t xml:space="preserve">של </w:t>
      </w:r>
      <w:r>
        <w:rPr>
          <w:rFonts w:ascii="David" w:eastAsia="Calibri" w:hAnsi="David"/>
          <w:rtl/>
        </w:rPr>
        <w:t>סחר בסם</w:t>
      </w:r>
      <w:r>
        <w:rPr>
          <w:rFonts w:ascii="David" w:eastAsia="Calibri" w:hAnsi="David" w:hint="cs"/>
          <w:rtl/>
        </w:rPr>
        <w:t xml:space="preserve"> והחזקת סם בכמות שאינה לצריכה עצמית בהתאם לעובדות כתב האישום המתוקן</w:t>
      </w:r>
      <w:r>
        <w:rPr>
          <w:rFonts w:ascii="David" w:eastAsia="Calibri" w:hAnsi="David"/>
          <w:rtl/>
        </w:rPr>
        <w:t xml:space="preserve">. </w:t>
      </w:r>
      <w:r>
        <w:rPr>
          <w:rFonts w:ascii="David" w:eastAsia="Calibri" w:hAnsi="David" w:hint="cs"/>
          <w:rtl/>
        </w:rPr>
        <w:t>ס</w:t>
      </w:r>
      <w:r>
        <w:rPr>
          <w:rFonts w:ascii="David" w:eastAsia="Calibri" w:hAnsi="David"/>
          <w:rtl/>
        </w:rPr>
        <w:t xml:space="preserve">קירת מדיניות הענישה הנוהגת בתיקי סחר </w:t>
      </w:r>
      <w:r>
        <w:rPr>
          <w:rFonts w:ascii="David" w:eastAsia="Calibri" w:hAnsi="David" w:hint="cs"/>
          <w:rtl/>
        </w:rPr>
        <w:t xml:space="preserve">והחזקת סם שלא לצריכה עצמית, </w:t>
      </w:r>
      <w:r>
        <w:rPr>
          <w:rFonts w:ascii="David" w:eastAsia="Calibri" w:hAnsi="David"/>
          <w:rtl/>
        </w:rPr>
        <w:t>מלמדת על טווח ענישה רחב התלוי לרוב בנסיבותיו של כל מקרה ומקרה, זאת בהתחשב בכמות הסם שנסחרה, סוג הסם ומספר העסקאות.</w:t>
      </w:r>
    </w:p>
    <w:p w14:paraId="13A5ADC9" w14:textId="77777777" w:rsidR="00D13E5B" w:rsidRDefault="00D13E5B" w:rsidP="00D13E5B">
      <w:pPr>
        <w:spacing w:line="360" w:lineRule="auto"/>
        <w:jc w:val="both"/>
        <w:rPr>
          <w:rFonts w:ascii="David" w:eastAsia="Calibri" w:hAnsi="David"/>
          <w:rtl/>
        </w:rPr>
      </w:pPr>
    </w:p>
    <w:p w14:paraId="5608B3E3" w14:textId="77777777" w:rsidR="00D13E5B" w:rsidRDefault="00D13E5B" w:rsidP="00D13E5B">
      <w:pPr>
        <w:spacing w:line="360" w:lineRule="auto"/>
        <w:jc w:val="both"/>
        <w:rPr>
          <w:rFonts w:ascii="David" w:eastAsia="Calibri" w:hAnsi="David"/>
          <w:rtl/>
        </w:rPr>
      </w:pPr>
      <w:r>
        <w:rPr>
          <w:rFonts w:ascii="David" w:eastAsia="Calibri" w:hAnsi="David"/>
          <w:rtl/>
        </w:rPr>
        <w:t>ב</w:t>
      </w:r>
      <w:hyperlink r:id="rId41" w:history="1">
        <w:r w:rsidR="008B6C27" w:rsidRPr="008B6C27">
          <w:rPr>
            <w:rFonts w:ascii="David" w:eastAsia="Calibri" w:hAnsi="David"/>
            <w:color w:val="0000FF"/>
            <w:u w:val="single"/>
            <w:rtl/>
          </w:rPr>
          <w:t>רע"פ 2309/21</w:t>
        </w:r>
      </w:hyperlink>
      <w:r>
        <w:rPr>
          <w:rFonts w:ascii="David" w:eastAsia="Calibri" w:hAnsi="David"/>
          <w:rtl/>
        </w:rPr>
        <w:t xml:space="preserve"> </w:t>
      </w:r>
      <w:r>
        <w:rPr>
          <w:rFonts w:ascii="David" w:eastAsia="Calibri" w:hAnsi="David"/>
          <w:b/>
          <w:bCs/>
          <w:rtl/>
        </w:rPr>
        <w:t>ז'גסטיבסקי נ' מדינת ישראל</w:t>
      </w:r>
      <w:r>
        <w:rPr>
          <w:rFonts w:ascii="David" w:eastAsia="Calibri" w:hAnsi="David"/>
          <w:rtl/>
        </w:rPr>
        <w:t xml:space="preserve"> (08.04.21) – נדחתה בקשת רשות לערער של נאשם שהורשע בשתי עבירות של אספקת סם לאחר שפעמיים סיפק חשיש לקטינות אותו רכש ב-50 שקל כל פעם. הנאשם נדון לחודשיים מאסר בעבודות שירות לצד ענישה נלווית. ערעור שהגיש למחוזי נדחה וכך גם בקשת הרשות לערער.</w:t>
      </w:r>
    </w:p>
    <w:p w14:paraId="26E9EA53" w14:textId="77777777" w:rsidR="00D13E5B" w:rsidRDefault="00D13E5B" w:rsidP="00D13E5B">
      <w:pPr>
        <w:spacing w:line="360" w:lineRule="auto"/>
        <w:jc w:val="both"/>
        <w:rPr>
          <w:rFonts w:ascii="David" w:eastAsia="Calibri" w:hAnsi="David"/>
          <w:rtl/>
        </w:rPr>
      </w:pPr>
    </w:p>
    <w:p w14:paraId="76CF4A57" w14:textId="77777777" w:rsidR="00D13E5B" w:rsidRDefault="00D13E5B" w:rsidP="00D13E5B">
      <w:pPr>
        <w:spacing w:line="360" w:lineRule="auto"/>
        <w:jc w:val="both"/>
        <w:rPr>
          <w:rFonts w:ascii="David" w:eastAsia="Calibri" w:hAnsi="David"/>
          <w:rtl/>
        </w:rPr>
      </w:pPr>
      <w:r>
        <w:rPr>
          <w:rFonts w:ascii="David" w:eastAsia="Calibri" w:hAnsi="David"/>
          <w:rtl/>
        </w:rPr>
        <w:t>ב</w:t>
      </w:r>
      <w:hyperlink r:id="rId42" w:history="1">
        <w:r w:rsidR="008B6C27" w:rsidRPr="008B6C27">
          <w:rPr>
            <w:rFonts w:ascii="David" w:eastAsia="Calibri" w:hAnsi="David"/>
            <w:color w:val="0000FF"/>
            <w:u w:val="single"/>
            <w:rtl/>
          </w:rPr>
          <w:t>רע"פ 7858/19</w:t>
        </w:r>
      </w:hyperlink>
      <w:r w:rsidR="008B6C27">
        <w:rPr>
          <w:rFonts w:ascii="David" w:eastAsia="Calibri" w:hAnsi="David"/>
        </w:rPr>
        <w:t xml:space="preserve"> </w:t>
      </w:r>
      <w:r>
        <w:rPr>
          <w:rFonts w:ascii="David" w:eastAsia="Calibri" w:hAnsi="David"/>
          <w:b/>
          <w:bCs/>
          <w:rtl/>
        </w:rPr>
        <w:t>וקנין נ' מדינת ישראל</w:t>
      </w:r>
      <w:r w:rsidR="008B6C27">
        <w:rPr>
          <w:rFonts w:ascii="David" w:eastAsia="Calibri" w:hAnsi="David"/>
          <w:rtl/>
        </w:rPr>
        <w:t xml:space="preserve"> </w:t>
      </w:r>
      <w:r>
        <w:rPr>
          <w:rFonts w:ascii="David" w:eastAsia="Calibri" w:hAnsi="David"/>
        </w:rPr>
        <w:t>(28.11.19)</w:t>
      </w:r>
      <w:r>
        <w:rPr>
          <w:rFonts w:ascii="David" w:eastAsia="Calibri" w:hAnsi="David"/>
          <w:rtl/>
        </w:rPr>
        <w:t xml:space="preserve"> – הנאשם הורשע על פי הודאתו בשתי עבירות של סחר בסמים, כשמכר בשני מועדים סם מסוכן מסוג קנבוס וחשיש במשקל כולל של כ-5.8 גרם. נקבע מתחם ענישה ממאסר בפועל למספר חודשים ועד לשמונה חודשים שיכול וירוצו על דרך של עבודות שירות. הנאשם נידון ל- 12 חודשי מאסר בפועל הכוללים מאסר בפועל למשך 5 חודשים והפעלת 3 מאסרים מותנים בחופף, לצד רכיבי ענישה נוספים. ערעור לבית המשפט המחוזי נדחה כך גם בקשת רשות לערער</w:t>
      </w:r>
      <w:r>
        <w:rPr>
          <w:rFonts w:ascii="David" w:eastAsia="Calibri" w:hAnsi="David"/>
        </w:rPr>
        <w:t>.</w:t>
      </w:r>
      <w:r w:rsidR="008B6C27">
        <w:rPr>
          <w:rFonts w:ascii="David" w:eastAsia="Calibri" w:hAnsi="David"/>
          <w:rtl/>
        </w:rPr>
        <w:t xml:space="preserve"> </w:t>
      </w:r>
    </w:p>
    <w:p w14:paraId="0963E3CB" w14:textId="77777777" w:rsidR="00D13E5B" w:rsidRDefault="00D13E5B" w:rsidP="00D13E5B">
      <w:pPr>
        <w:spacing w:line="360" w:lineRule="auto"/>
        <w:jc w:val="both"/>
        <w:rPr>
          <w:rFonts w:ascii="David" w:eastAsia="Calibri" w:hAnsi="David"/>
          <w:rtl/>
        </w:rPr>
      </w:pPr>
    </w:p>
    <w:p w14:paraId="5826A3B5" w14:textId="77777777" w:rsidR="00D13E5B" w:rsidRDefault="00D13E5B" w:rsidP="00D13E5B">
      <w:pPr>
        <w:spacing w:line="360" w:lineRule="auto"/>
        <w:jc w:val="both"/>
        <w:rPr>
          <w:rFonts w:ascii="David" w:eastAsia="Calibri" w:hAnsi="David"/>
          <w:rtl/>
        </w:rPr>
      </w:pPr>
      <w:r>
        <w:rPr>
          <w:rFonts w:ascii="David" w:eastAsia="Calibri" w:hAnsi="David"/>
          <w:rtl/>
        </w:rPr>
        <w:t>ב</w:t>
      </w:r>
      <w:hyperlink r:id="rId43" w:history="1">
        <w:r w:rsidR="008B6C27" w:rsidRPr="008B6C27">
          <w:rPr>
            <w:rFonts w:ascii="David" w:eastAsia="Calibri" w:hAnsi="David"/>
            <w:color w:val="0000FF"/>
            <w:u w:val="single"/>
            <w:rtl/>
          </w:rPr>
          <w:t>רע"פ 957/22</w:t>
        </w:r>
      </w:hyperlink>
      <w:r w:rsidR="008B6C27">
        <w:rPr>
          <w:rFonts w:ascii="David" w:eastAsia="Calibri" w:hAnsi="David"/>
        </w:rPr>
        <w:t xml:space="preserve"> </w:t>
      </w:r>
      <w:r>
        <w:rPr>
          <w:rFonts w:ascii="David" w:eastAsia="Calibri" w:hAnsi="David"/>
          <w:b/>
          <w:bCs/>
          <w:rtl/>
        </w:rPr>
        <w:t>חבושה נ' מדינת ישראל</w:t>
      </w:r>
      <w:r>
        <w:rPr>
          <w:rFonts w:ascii="David" w:eastAsia="Calibri" w:hAnsi="David"/>
          <w:rtl/>
        </w:rPr>
        <w:t xml:space="preserve"> (08.02.22) – הנאשם הורשע בחמש עסקאות סחר בקנאביס והחזקת עשרות יחידות סם. לאחר שהוגשו שני תסקירים חיוביים נגזר עונשו של המבקש ל-6 חודשי מאסר בעבודות שירות ועונשים נלווים. ערעורו לבית המשפט המחוזי נדחה, תוך שנקבע כי העונש מקל עמו. בית המשפט העליון חזר על קביעה זו, ודחה את בקשתו לרשות ערעור</w:t>
      </w:r>
      <w:r>
        <w:rPr>
          <w:rFonts w:ascii="David" w:eastAsia="Calibri" w:hAnsi="David"/>
        </w:rPr>
        <w:t>.</w:t>
      </w:r>
    </w:p>
    <w:p w14:paraId="5D634319" w14:textId="77777777" w:rsidR="00D13E5B" w:rsidRDefault="00D13E5B" w:rsidP="00D13E5B">
      <w:pPr>
        <w:spacing w:line="360" w:lineRule="auto"/>
        <w:jc w:val="both"/>
        <w:rPr>
          <w:rFonts w:ascii="David" w:eastAsia="Calibri" w:hAnsi="David"/>
          <w:rtl/>
        </w:rPr>
      </w:pPr>
    </w:p>
    <w:p w14:paraId="441208F2" w14:textId="77777777" w:rsidR="00D13E5B" w:rsidRDefault="00D13E5B" w:rsidP="00D13E5B">
      <w:pPr>
        <w:spacing w:line="360" w:lineRule="auto"/>
        <w:jc w:val="both"/>
        <w:rPr>
          <w:rFonts w:ascii="David" w:eastAsia="Calibri" w:hAnsi="David"/>
          <w:rtl/>
        </w:rPr>
      </w:pPr>
      <w:r>
        <w:rPr>
          <w:rFonts w:ascii="David" w:eastAsia="Calibri" w:hAnsi="David"/>
          <w:rtl/>
        </w:rPr>
        <w:t>ב</w:t>
      </w:r>
      <w:hyperlink r:id="rId44" w:history="1">
        <w:r w:rsidR="008B6C27" w:rsidRPr="008B6C27">
          <w:rPr>
            <w:rFonts w:ascii="David" w:eastAsia="Calibri" w:hAnsi="David"/>
            <w:color w:val="0000FF"/>
            <w:u w:val="single"/>
            <w:rtl/>
          </w:rPr>
          <w:t>רע"פ 8632/19</w:t>
        </w:r>
      </w:hyperlink>
      <w:r>
        <w:rPr>
          <w:rFonts w:ascii="David" w:eastAsia="Calibri" w:hAnsi="David"/>
          <w:rtl/>
        </w:rPr>
        <w:t xml:space="preserve"> </w:t>
      </w:r>
      <w:r>
        <w:rPr>
          <w:rFonts w:ascii="David" w:eastAsia="Calibri" w:hAnsi="David"/>
          <w:b/>
          <w:bCs/>
          <w:rtl/>
        </w:rPr>
        <w:t>כהן נ' מדינת ישראל</w:t>
      </w:r>
      <w:r>
        <w:rPr>
          <w:rFonts w:ascii="David" w:eastAsia="Calibri" w:hAnsi="David"/>
          <w:rtl/>
        </w:rPr>
        <w:t xml:space="preserve"> (05.01.20) – נדחתה בקשת ערעור של נאשם שבית המשפט השלום חרג ממתחם הענישה משיקולי שיקום ודן אותו לצו של"צ וצו מבחן תוך שהאריך את התנאי לאחר שהורשע בשלוש עבירות של סחר בסמים, עבירה של החזקת סם שלא לצריכה עצמית, וכן בעבירה של החזקת כלים להכנת סם. לאחר שהנאשם לא עמד בצו המבחן ולא ביצע את צו השל"צ נגזר עונשו מחדש לתשעה חודשי מאסר בעבודות שירות תוך הפעלת 8 חודשי מאסר מותנה בחופף. ערעור הנאשם לבית המשפט המחוזי נדחה וכך גם בקשתו לרשות ערעור.</w:t>
      </w:r>
    </w:p>
    <w:p w14:paraId="02EE1737" w14:textId="77777777" w:rsidR="00D13E5B" w:rsidRDefault="00D13E5B" w:rsidP="00D13E5B">
      <w:pPr>
        <w:spacing w:line="360" w:lineRule="auto"/>
        <w:jc w:val="both"/>
        <w:rPr>
          <w:rFonts w:ascii="David" w:eastAsia="Calibri" w:hAnsi="David"/>
          <w:rtl/>
        </w:rPr>
      </w:pPr>
    </w:p>
    <w:p w14:paraId="02FD50A8" w14:textId="77777777" w:rsidR="00D13E5B" w:rsidRDefault="008B6C27" w:rsidP="00D13E5B">
      <w:pPr>
        <w:spacing w:line="360" w:lineRule="auto"/>
        <w:jc w:val="both"/>
        <w:rPr>
          <w:rFonts w:ascii="David" w:eastAsia="Calibri" w:hAnsi="David"/>
        </w:rPr>
      </w:pPr>
      <w:r>
        <w:rPr>
          <w:rFonts w:ascii="David" w:hAnsi="David"/>
          <w:spacing w:val="10"/>
        </w:rPr>
        <w:t xml:space="preserve"> </w:t>
      </w:r>
      <w:r w:rsidR="00D13E5B">
        <w:rPr>
          <w:rFonts w:ascii="David" w:eastAsia="Calibri" w:hAnsi="David"/>
          <w:rtl/>
        </w:rPr>
        <w:t>ב</w:t>
      </w:r>
      <w:hyperlink r:id="rId45" w:history="1">
        <w:r w:rsidRPr="008B6C27">
          <w:rPr>
            <w:rFonts w:ascii="David" w:eastAsia="Calibri" w:hAnsi="David"/>
            <w:color w:val="0000FF"/>
            <w:u w:val="single"/>
            <w:rtl/>
          </w:rPr>
          <w:t>רע"פ 5494/19</w:t>
        </w:r>
      </w:hyperlink>
      <w:r>
        <w:rPr>
          <w:rFonts w:ascii="David" w:eastAsia="Calibri" w:hAnsi="David"/>
          <w:rtl/>
        </w:rPr>
        <w:t xml:space="preserve"> </w:t>
      </w:r>
      <w:r w:rsidR="00D13E5B">
        <w:rPr>
          <w:rFonts w:ascii="David" w:eastAsia="Calibri" w:hAnsi="David"/>
          <w:b/>
          <w:bCs/>
          <w:rtl/>
        </w:rPr>
        <w:t>רנד נ' מדינת ישראל</w:t>
      </w:r>
      <w:r>
        <w:rPr>
          <w:rFonts w:ascii="David" w:eastAsia="Calibri" w:hAnsi="David"/>
          <w:rtl/>
        </w:rPr>
        <w:t xml:space="preserve"> </w:t>
      </w:r>
      <w:r w:rsidR="00D13E5B">
        <w:rPr>
          <w:rFonts w:ascii="David" w:eastAsia="Calibri" w:hAnsi="David"/>
          <w:rtl/>
        </w:rPr>
        <w:t>(22.08.19) – נדחתה</w:t>
      </w:r>
      <w:r>
        <w:rPr>
          <w:rFonts w:ascii="David" w:eastAsia="Calibri" w:hAnsi="David"/>
          <w:rtl/>
        </w:rPr>
        <w:t xml:space="preserve"> </w:t>
      </w:r>
      <w:r w:rsidR="00D13E5B">
        <w:rPr>
          <w:rFonts w:ascii="David" w:eastAsia="Calibri" w:hAnsi="David"/>
          <w:rtl/>
        </w:rPr>
        <w:t>בקשת ערעור של נאשם שבית המשפט השלום דן אותו ל-6 חודשי מאסר בפועל בעבודות שירות לצד ענישה נלווית לאחר שהורשע בשתי עסקאות מכירת סם מסוכן מסוג "קריסטל" תמורת סך כולל של 750 ₪ והחזקה ברכבו 14 "יחידות" של סם מסוג הרואין במשקל כולל של כ-11 גרם, ו-8 "יחידות" של סם מסוג קוקאין במשקל כולל של כ-1.9 גרם. בית המשפט קבע מתחם ענישה בין 6-18 חודשי מאסר בפועל וגזר 6 חודשי עבודות שירות בשל נסיבותיו של הנאשם. המדינה לא ערערה על גזר הדין ובקשת ערעורו של הנאשם נדחתה כאמור.</w:t>
      </w:r>
    </w:p>
    <w:p w14:paraId="4B0BEEEF" w14:textId="77777777" w:rsidR="00D13E5B" w:rsidRDefault="00D13E5B" w:rsidP="00D13E5B">
      <w:pPr>
        <w:spacing w:line="360" w:lineRule="auto"/>
        <w:jc w:val="both"/>
        <w:rPr>
          <w:rFonts w:ascii="David" w:eastAsia="Calibri" w:hAnsi="David"/>
          <w:rtl/>
        </w:rPr>
      </w:pPr>
    </w:p>
    <w:p w14:paraId="23DA369D" w14:textId="77777777" w:rsidR="00D13E5B" w:rsidRDefault="00D13E5B" w:rsidP="00D13E5B">
      <w:pPr>
        <w:spacing w:line="360" w:lineRule="auto"/>
        <w:jc w:val="both"/>
        <w:rPr>
          <w:rFonts w:ascii="David" w:eastAsia="Calibri" w:hAnsi="David"/>
          <w:rtl/>
        </w:rPr>
      </w:pPr>
      <w:r>
        <w:rPr>
          <w:rFonts w:ascii="David" w:eastAsia="Calibri" w:hAnsi="David"/>
          <w:rtl/>
        </w:rPr>
        <w:t>ב</w:t>
      </w:r>
      <w:hyperlink r:id="rId46" w:history="1">
        <w:r w:rsidR="008B6C27" w:rsidRPr="008B6C27">
          <w:rPr>
            <w:rFonts w:ascii="David" w:eastAsia="Calibri" w:hAnsi="David"/>
            <w:color w:val="0000FF"/>
            <w:u w:val="single"/>
            <w:rtl/>
          </w:rPr>
          <w:t>רע"פ 1183/18</w:t>
        </w:r>
      </w:hyperlink>
      <w:r w:rsidR="008B6C27">
        <w:rPr>
          <w:rFonts w:ascii="David" w:eastAsia="Calibri" w:hAnsi="David"/>
          <w:rtl/>
        </w:rPr>
        <w:t xml:space="preserve"> </w:t>
      </w:r>
      <w:r>
        <w:rPr>
          <w:rFonts w:ascii="David" w:eastAsia="Calibri" w:hAnsi="David"/>
          <w:b/>
          <w:bCs/>
          <w:rtl/>
        </w:rPr>
        <w:t>דולב</w:t>
      </w:r>
      <w:r w:rsidR="008B6C27">
        <w:rPr>
          <w:rFonts w:ascii="David" w:eastAsia="Calibri" w:hAnsi="David"/>
          <w:b/>
          <w:bCs/>
          <w:rtl/>
        </w:rPr>
        <w:t xml:space="preserve"> </w:t>
      </w:r>
      <w:r>
        <w:rPr>
          <w:rFonts w:ascii="David" w:eastAsia="Calibri" w:hAnsi="David"/>
          <w:b/>
          <w:bCs/>
          <w:rtl/>
        </w:rPr>
        <w:t>ששון נ' מדינת ישראל</w:t>
      </w:r>
      <w:r w:rsidR="008B6C27">
        <w:rPr>
          <w:rFonts w:ascii="David" w:eastAsia="Calibri" w:hAnsi="David"/>
          <w:rtl/>
        </w:rPr>
        <w:t xml:space="preserve"> </w:t>
      </w:r>
      <w:r>
        <w:rPr>
          <w:rFonts w:ascii="David" w:eastAsia="Calibri" w:hAnsi="David"/>
          <w:rtl/>
        </w:rPr>
        <w:t>(21.03.18) – נדון עניינו של מי שבשני מועדים סיכם עם אחר למכור לו סמים מסוג</w:t>
      </w:r>
      <w:r w:rsidR="008B6C27">
        <w:rPr>
          <w:rFonts w:ascii="David" w:eastAsia="Calibri" w:hAnsi="David"/>
          <w:rtl/>
        </w:rPr>
        <w:t xml:space="preserve"> </w:t>
      </w:r>
      <w:r>
        <w:rPr>
          <w:rFonts w:ascii="David" w:eastAsia="Calibri" w:hAnsi="David"/>
        </w:rPr>
        <w:t>LSD</w:t>
      </w:r>
      <w:r w:rsidR="008B6C27">
        <w:rPr>
          <w:rFonts w:ascii="David" w:eastAsia="Calibri" w:hAnsi="David"/>
          <w:rtl/>
        </w:rPr>
        <w:t xml:space="preserve"> </w:t>
      </w:r>
      <w:r>
        <w:rPr>
          <w:rFonts w:ascii="David" w:eastAsia="Calibri" w:hAnsi="David"/>
          <w:rtl/>
        </w:rPr>
        <w:t>– פעם אחת ב-150 ₪ ובפעם השניה ב-500 ₪. נקבע כי מתחם העונש ההולם הוא בין מספר חודשי מאסר בפועל לשנה מאסר בפועל ונגזרו 5 חודשי מאסר בפועל (ערעור ובקשת רשות ערעור נדחו).</w:t>
      </w:r>
    </w:p>
    <w:p w14:paraId="056DF789" w14:textId="77777777" w:rsidR="00D13E5B" w:rsidRDefault="00D13E5B" w:rsidP="00D13E5B">
      <w:pPr>
        <w:spacing w:line="360" w:lineRule="auto"/>
        <w:jc w:val="both"/>
        <w:rPr>
          <w:rFonts w:ascii="David" w:eastAsia="Calibri" w:hAnsi="David"/>
          <w:rtl/>
        </w:rPr>
      </w:pPr>
    </w:p>
    <w:p w14:paraId="66BDF5B8" w14:textId="77777777" w:rsidR="00D13E5B" w:rsidRDefault="00D13E5B" w:rsidP="00D13E5B">
      <w:pPr>
        <w:spacing w:line="360" w:lineRule="auto"/>
        <w:jc w:val="both"/>
        <w:rPr>
          <w:rFonts w:ascii="David" w:eastAsia="Calibri" w:hAnsi="David"/>
          <w:rtl/>
        </w:rPr>
      </w:pPr>
      <w:r>
        <w:rPr>
          <w:rFonts w:ascii="David" w:eastAsia="Calibri" w:hAnsi="David" w:hint="cs"/>
          <w:rtl/>
        </w:rPr>
        <w:t>ב</w:t>
      </w:r>
      <w:r>
        <w:rPr>
          <w:rFonts w:ascii="David" w:eastAsia="Calibri" w:hAnsi="David"/>
          <w:rtl/>
        </w:rPr>
        <w:t xml:space="preserve">התחשב בשיקולים האמורים ובנסיבות המקרה דנא, אני קובע שמתחם העונש ההולם ביחס לעבירות בהן הורשע הנאשם, </w:t>
      </w:r>
      <w:r>
        <w:rPr>
          <w:rFonts w:ascii="David" w:eastAsia="Calibri" w:hAnsi="David" w:hint="cs"/>
          <w:rtl/>
        </w:rPr>
        <w:t>נע בין 8 - 18</w:t>
      </w:r>
      <w:r>
        <w:rPr>
          <w:rFonts w:ascii="David" w:eastAsia="Calibri" w:hAnsi="David"/>
          <w:rtl/>
        </w:rPr>
        <w:t xml:space="preserve"> חודשי מאסר בפועל לצד ענישה נלווית.</w:t>
      </w:r>
    </w:p>
    <w:p w14:paraId="20888177" w14:textId="77777777" w:rsidR="00D13E5B" w:rsidRDefault="00D13E5B" w:rsidP="00D13E5B">
      <w:pPr>
        <w:spacing w:line="360" w:lineRule="auto"/>
        <w:jc w:val="both"/>
        <w:rPr>
          <w:rFonts w:ascii="David" w:hAnsi="David"/>
          <w:noProof/>
          <w:rtl/>
        </w:rPr>
      </w:pPr>
    </w:p>
    <w:p w14:paraId="2FDB821B" w14:textId="77777777" w:rsidR="00D13E5B" w:rsidRDefault="00D13E5B" w:rsidP="00D13E5B">
      <w:pPr>
        <w:spacing w:line="360" w:lineRule="auto"/>
        <w:jc w:val="both"/>
        <w:rPr>
          <w:rFonts w:ascii="David" w:hAnsi="David"/>
          <w:rtl/>
        </w:rPr>
      </w:pPr>
      <w:r>
        <w:rPr>
          <w:rFonts w:ascii="David" w:hAnsi="David"/>
          <w:u w:val="single"/>
          <w:rtl/>
        </w:rPr>
        <w:t>גזירת עונשו של הנאשם בתוך מתחם העונש ההולם – נסיבות שאינן קשורות לביצוע העבירה</w:t>
      </w:r>
    </w:p>
    <w:p w14:paraId="131B116A" w14:textId="77777777" w:rsidR="00D13E5B" w:rsidRDefault="00D13E5B" w:rsidP="00D13E5B">
      <w:pPr>
        <w:spacing w:line="360" w:lineRule="auto"/>
        <w:jc w:val="both"/>
        <w:rPr>
          <w:rFonts w:ascii="David" w:hAnsi="David"/>
          <w:b/>
          <w:bCs/>
          <w:spacing w:val="10"/>
          <w:rtl/>
        </w:rPr>
      </w:pPr>
      <w:r>
        <w:rPr>
          <w:rFonts w:ascii="David" w:hAnsi="David"/>
          <w:rtl/>
        </w:rPr>
        <w:t>על שיקולי ענישה, עמד בהרחבה כב' בית המשפט העליון ב</w:t>
      </w:r>
      <w:hyperlink r:id="rId47" w:history="1">
        <w:r w:rsidR="008B6C27" w:rsidRPr="008B6C27">
          <w:rPr>
            <w:rFonts w:ascii="David" w:hAnsi="David"/>
            <w:color w:val="0000FF"/>
            <w:u w:val="single"/>
            <w:rtl/>
          </w:rPr>
          <w:t>ע"פ 11699/05</w:t>
        </w:r>
      </w:hyperlink>
      <w:r>
        <w:rPr>
          <w:rFonts w:ascii="David" w:hAnsi="David"/>
          <w:rtl/>
        </w:rPr>
        <w:t xml:space="preserve"> </w:t>
      </w:r>
      <w:r>
        <w:rPr>
          <w:rFonts w:ascii="David" w:hAnsi="David"/>
          <w:b/>
          <w:bCs/>
          <w:rtl/>
        </w:rPr>
        <w:t>סרפו נ' מ"י</w:t>
      </w:r>
      <w:r>
        <w:rPr>
          <w:rFonts w:ascii="David" w:hAnsi="David"/>
          <w:rtl/>
        </w:rPr>
        <w:t xml:space="preserve"> (23/6/08):</w:t>
      </w:r>
      <w:r>
        <w:rPr>
          <w:rFonts w:ascii="David" w:hAnsi="David" w:hint="cs"/>
          <w:b/>
          <w:bCs/>
          <w:spacing w:val="10"/>
          <w:rtl/>
        </w:rPr>
        <w:t xml:space="preserve"> </w:t>
      </w:r>
      <w:r>
        <w:rPr>
          <w:rFonts w:ascii="David" w:hAnsi="David"/>
          <w:b/>
          <w:bCs/>
          <w:spacing w:val="10"/>
          <w:rtl/>
        </w:rPr>
        <w:t xml:space="preserve">"מלאכת גזירת הדין קשה ומורכבת היא. היא מצריכה עריכת איזון עדין ורגיש בין שיקולי הענישה השונים, ובין נתוניו של הנאשם הקונקרטי והנסיבות שבהן נעברה העבירה, לבין שיקולי מדיניות מגוונים והצורך בהתוויית מדיניות עונשית ברורה שיש בה כדי לקדם ערכים חברתיים. מטבע הדברים, זהו אינו מדע מדויק, שהרי אין מקרה אחד זהה למשנהו, אין נאשם דומה לחברו וגם אם ניתן לעיתים להצביע על דמיון או קרבת-מה בין נסיבותיו של מקרה פלוני למקרה אלמוני, הרי שתמיד יימצא ייחוד ושוני בנסיבותיו של כל מקרה ומקרה ובאופן שבו ראוי ליישם את השיקולים השונים על עניינו של אותו נאשם העומד בפני בית המשפט. בסופו של יום, וזאת אין לשכוח, גזירת העונש נעשית למידותיו של הנאשם הספציפי. עמד על הדברים בבהירות רבה, כדרכו, השופט (כתוארו אז) א' ברק בפרשה קודמת: </w:t>
      </w:r>
    </w:p>
    <w:p w14:paraId="1077CD8D" w14:textId="77777777" w:rsidR="00D13E5B" w:rsidRDefault="00D13E5B" w:rsidP="00D13E5B">
      <w:pPr>
        <w:spacing w:line="360" w:lineRule="auto"/>
        <w:jc w:val="both"/>
        <w:rPr>
          <w:rFonts w:ascii="David" w:hAnsi="David"/>
          <w:b/>
          <w:bCs/>
          <w:spacing w:val="10"/>
          <w:rtl/>
        </w:rPr>
      </w:pPr>
    </w:p>
    <w:p w14:paraId="5F155CFB" w14:textId="77777777" w:rsidR="00D13E5B" w:rsidRDefault="00D13E5B" w:rsidP="00D13E5B">
      <w:pPr>
        <w:spacing w:line="360" w:lineRule="auto"/>
        <w:jc w:val="both"/>
        <w:rPr>
          <w:rFonts w:ascii="David" w:hAnsi="David"/>
          <w:b/>
          <w:bCs/>
        </w:rPr>
      </w:pPr>
      <w:r>
        <w:rPr>
          <w:rFonts w:ascii="David" w:hAnsi="David"/>
          <w:b/>
          <w:bCs/>
          <w:spacing w:val="10"/>
          <w:rtl/>
        </w:rPr>
        <w:t>"ביסוד הענישה אינו עומד שיקול אחד ויחיד, אלא מכלול של שיקולים. במלאכת הענישה בכל מקרה ומקרה חייב השופט למצוא את המשקל הראוי שיש להעניק לכל אחד מהשיקולים הנזכרים, תוך שהוא מודע לכך כי לעיתים קרובות שיקול אחד בא על חשבונו של שיקול אחר. מכאן, שהעונש אשר מוטל בסופו של דבר על הנאשם, אינו אלא תוצאה "משוקללת" – אם תרצה פשרה – של השיקולים השונים שיש להביאם בחשבון. מלאכת "שקלול" זו אינה מלאכה מדעית, אך היא אף אינה מלאכה שרירותית. היא ענין שבשיקול דעת, הנעשה על הרקע הכללי והאינדיבידואלי, במסגרת המדיניות העונשית הכללית כפי שהיא מתבצעת על-ידי בתי-המשפט" (</w:t>
      </w:r>
      <w:hyperlink r:id="rId48" w:history="1">
        <w:r w:rsidR="008B6C27" w:rsidRPr="008B6C27">
          <w:rPr>
            <w:rFonts w:ascii="David" w:hAnsi="David"/>
            <w:b/>
            <w:bCs/>
            <w:color w:val="0000FF"/>
            <w:u w:val="single"/>
            <w:rtl/>
          </w:rPr>
          <w:t>ע"פ 212/79</w:t>
        </w:r>
      </w:hyperlink>
      <w:r>
        <w:rPr>
          <w:rFonts w:ascii="David" w:hAnsi="David"/>
          <w:b/>
          <w:bCs/>
          <w:rtl/>
        </w:rPr>
        <w:t xml:space="preserve"> פלוני נ' מדינת ישראל, פ"ד לד</w:t>
      </w:r>
      <w:r>
        <w:rPr>
          <w:rFonts w:ascii="David" w:hAnsi="David"/>
          <w:b/>
          <w:bCs/>
          <w:spacing w:val="10"/>
          <w:rtl/>
        </w:rPr>
        <w:t>(2) 421, 434 (1979))....".</w:t>
      </w:r>
    </w:p>
    <w:p w14:paraId="519D0351" w14:textId="77777777" w:rsidR="00D13E5B" w:rsidRDefault="008B6C27" w:rsidP="00D13E5B">
      <w:pPr>
        <w:overflowPunct w:val="0"/>
        <w:ind w:left="584" w:right="600"/>
        <w:jc w:val="both"/>
        <w:rPr>
          <w:rFonts w:ascii="David" w:hAnsi="David"/>
          <w:rtl/>
        </w:rPr>
      </w:pPr>
      <w:r>
        <w:rPr>
          <w:rFonts w:ascii="David" w:hAnsi="David"/>
          <w:rtl/>
        </w:rPr>
        <w:t xml:space="preserve"> </w:t>
      </w:r>
    </w:p>
    <w:p w14:paraId="0F95171E" w14:textId="77777777" w:rsidR="00D13E5B" w:rsidRDefault="00D13E5B" w:rsidP="00D13E5B">
      <w:pPr>
        <w:spacing w:line="360" w:lineRule="auto"/>
        <w:jc w:val="both"/>
        <w:rPr>
          <w:rFonts w:ascii="David" w:hAnsi="David"/>
          <w:rtl/>
        </w:rPr>
      </w:pPr>
      <w:r>
        <w:rPr>
          <w:rFonts w:ascii="David" w:eastAsia="Calibri" w:hAnsi="David"/>
          <w:rtl/>
        </w:rPr>
        <w:t xml:space="preserve">בענייננו, כפי שעלה מתסקירי שירות המבחן ומטיעוני באת כוחו, הנאשם </w:t>
      </w:r>
      <w:r>
        <w:rPr>
          <w:rFonts w:ascii="David" w:eastAsia="Calibri" w:hAnsi="David" w:hint="cs"/>
          <w:rtl/>
        </w:rPr>
        <w:t xml:space="preserve">נמצא מתאים לשילוב בהליך טיפולי שכן יש בו כדי להביא להפחתת הסיכון להישנות עבירות בעתיד. </w:t>
      </w:r>
      <w:r>
        <w:rPr>
          <w:rFonts w:ascii="David" w:hAnsi="David"/>
          <w:rtl/>
        </w:rPr>
        <w:t>לנאשם אין הרשעות קודמות</w:t>
      </w:r>
      <w:r>
        <w:rPr>
          <w:rFonts w:ascii="David" w:hAnsi="David" w:hint="cs"/>
          <w:rtl/>
        </w:rPr>
        <w:t xml:space="preserve"> ונסיבותיו האישיות כפי שבאו לידי ביטוי בתסקיר מיום 03.02.2025 מדברות בעד עצמן ואך מפאת צנעת הפרט לא אצטט מהאמור בתסקיר.</w:t>
      </w:r>
    </w:p>
    <w:p w14:paraId="65A48175" w14:textId="77777777" w:rsidR="00D13E5B" w:rsidRDefault="00D13E5B" w:rsidP="00D13E5B">
      <w:pPr>
        <w:spacing w:line="360" w:lineRule="auto"/>
        <w:jc w:val="both"/>
        <w:rPr>
          <w:rFonts w:ascii="David" w:hAnsi="David"/>
          <w:rtl/>
        </w:rPr>
      </w:pPr>
    </w:p>
    <w:p w14:paraId="7307621B" w14:textId="77777777" w:rsidR="00D13E5B" w:rsidRDefault="00D13E5B" w:rsidP="00D13E5B">
      <w:pPr>
        <w:spacing w:line="360" w:lineRule="auto"/>
        <w:jc w:val="both"/>
        <w:rPr>
          <w:rFonts w:ascii="David" w:hAnsi="David"/>
          <w:noProof/>
          <w:rtl/>
        </w:rPr>
      </w:pPr>
      <w:r>
        <w:rPr>
          <w:rFonts w:ascii="David" w:hAnsi="David"/>
          <w:noProof/>
          <w:rtl/>
        </w:rPr>
        <w:t>בנוסף, יש לתת משקל להודאתו של הנאשם בכתב האישום המתוקן בהזדמנות הראשונה ולחיסכון בזמן השיפוטי.</w:t>
      </w:r>
    </w:p>
    <w:p w14:paraId="7D4BA8A1" w14:textId="77777777" w:rsidR="00D13E5B" w:rsidRDefault="00D13E5B" w:rsidP="00D13E5B">
      <w:pPr>
        <w:spacing w:line="360" w:lineRule="auto"/>
        <w:jc w:val="both"/>
        <w:rPr>
          <w:rFonts w:ascii="David" w:hAnsi="David"/>
          <w:noProof/>
          <w:rtl/>
        </w:rPr>
      </w:pPr>
    </w:p>
    <w:p w14:paraId="5A912E62" w14:textId="77777777" w:rsidR="00D13E5B" w:rsidRDefault="00D13E5B" w:rsidP="00D13E5B">
      <w:pPr>
        <w:spacing w:line="360" w:lineRule="auto"/>
        <w:jc w:val="both"/>
        <w:rPr>
          <w:rFonts w:ascii="David" w:hAnsi="David"/>
          <w:noProof/>
          <w:rtl/>
        </w:rPr>
      </w:pPr>
      <w:r>
        <w:rPr>
          <w:rFonts w:ascii="David" w:hAnsi="David"/>
          <w:noProof/>
          <w:rtl/>
        </w:rPr>
        <w:t>לנוכח האמור ובהתאם לעמדת המאשימה, יש למקם את הנאשם ברף התחתון</w:t>
      </w:r>
      <w:r w:rsidR="008B6C27">
        <w:rPr>
          <w:rFonts w:ascii="David" w:hAnsi="David"/>
          <w:noProof/>
          <w:rtl/>
        </w:rPr>
        <w:t xml:space="preserve"> </w:t>
      </w:r>
      <w:r>
        <w:rPr>
          <w:rFonts w:ascii="David" w:hAnsi="David"/>
          <w:noProof/>
          <w:rtl/>
        </w:rPr>
        <w:t>של מתחמי העונש ההולם.</w:t>
      </w:r>
    </w:p>
    <w:p w14:paraId="0EAD5639" w14:textId="77777777" w:rsidR="00D13E5B" w:rsidRDefault="00D13E5B" w:rsidP="00D13E5B">
      <w:pPr>
        <w:spacing w:line="360" w:lineRule="auto"/>
        <w:jc w:val="both"/>
        <w:rPr>
          <w:rFonts w:ascii="David" w:hAnsi="David"/>
          <w:noProof/>
          <w:rtl/>
        </w:rPr>
      </w:pPr>
    </w:p>
    <w:p w14:paraId="2AD17C69" w14:textId="77777777" w:rsidR="00D13E5B" w:rsidRDefault="00D13E5B" w:rsidP="00D13E5B">
      <w:pPr>
        <w:spacing w:line="360" w:lineRule="auto"/>
        <w:jc w:val="both"/>
        <w:rPr>
          <w:rFonts w:ascii="David" w:hAnsi="David"/>
          <w:noProof/>
          <w:rtl/>
        </w:rPr>
      </w:pPr>
      <w:r>
        <w:rPr>
          <w:rFonts w:ascii="David" w:hAnsi="David"/>
          <w:noProof/>
          <w:rtl/>
        </w:rPr>
        <w:t xml:space="preserve">עם זאת, ב"כ הנאשם ביקש מבית המשפט לאמץ את המלצות שירות המבחן ולהטיל על הנאשם צו של"צ </w:t>
      </w:r>
      <w:r>
        <w:rPr>
          <w:rFonts w:ascii="David" w:hAnsi="David" w:hint="cs"/>
          <w:noProof/>
          <w:rtl/>
        </w:rPr>
        <w:t xml:space="preserve">וצו מבחן </w:t>
      </w:r>
      <w:r>
        <w:rPr>
          <w:rFonts w:ascii="David" w:hAnsi="David"/>
          <w:noProof/>
          <w:rtl/>
        </w:rPr>
        <w:t>חלף עונש מאסר וזאת משיקולי שיקום.</w:t>
      </w:r>
    </w:p>
    <w:p w14:paraId="419E885C" w14:textId="77777777" w:rsidR="00D13E5B" w:rsidRDefault="00D13E5B" w:rsidP="00D13E5B">
      <w:pPr>
        <w:spacing w:line="360" w:lineRule="auto"/>
        <w:jc w:val="both"/>
        <w:rPr>
          <w:rFonts w:ascii="David" w:hAnsi="David"/>
          <w:noProof/>
          <w:rtl/>
        </w:rPr>
      </w:pPr>
    </w:p>
    <w:p w14:paraId="79E1FE72" w14:textId="77777777" w:rsidR="00D13E5B" w:rsidRDefault="00D13E5B" w:rsidP="00D13E5B">
      <w:pPr>
        <w:spacing w:line="360" w:lineRule="auto"/>
        <w:jc w:val="both"/>
        <w:rPr>
          <w:rFonts w:ascii="David" w:hAnsi="David"/>
          <w:rtl/>
        </w:rPr>
      </w:pPr>
      <w:r>
        <w:rPr>
          <w:rFonts w:ascii="David" w:hAnsi="David"/>
          <w:noProof/>
          <w:rtl/>
        </w:rPr>
        <w:t>כידוע, שיקולי שיקום עשויים להצדיק סטייה ממתחם העונש, ומובן שהם מהווים שיקול אף כבד משקל בקביעת העונש בגדרי ה</w:t>
      </w:r>
      <w:r>
        <w:rPr>
          <w:rFonts w:ascii="David" w:hAnsi="David"/>
          <w:rtl/>
        </w:rPr>
        <w:t>מתחם.</w:t>
      </w:r>
    </w:p>
    <w:p w14:paraId="6DEB5120" w14:textId="77777777" w:rsidR="00D13E5B" w:rsidRDefault="00D13E5B" w:rsidP="00D13E5B">
      <w:pPr>
        <w:spacing w:line="360" w:lineRule="auto"/>
        <w:jc w:val="both"/>
        <w:rPr>
          <w:rFonts w:ascii="David" w:hAnsi="David"/>
        </w:rPr>
      </w:pPr>
    </w:p>
    <w:p w14:paraId="7794203F" w14:textId="77777777" w:rsidR="00D13E5B" w:rsidRDefault="00D13E5B" w:rsidP="00D13E5B">
      <w:pPr>
        <w:spacing w:line="360" w:lineRule="auto"/>
        <w:jc w:val="both"/>
        <w:rPr>
          <w:rFonts w:ascii="David" w:hAnsi="David"/>
          <w:rtl/>
        </w:rPr>
      </w:pPr>
      <w:r>
        <w:rPr>
          <w:rFonts w:ascii="David" w:hAnsi="David"/>
          <w:rtl/>
        </w:rPr>
        <w:t>על שיקום מוצלח ניתן ללמוד בין היתר, מהמוטיבציה שהפגין הנאשם להשתקם, מאינדיקציות לשינוי עמוק בהתנהגות ובדרך החשיבה, הבעת חרטה כנה על המעשים ונטילת אחריות, ועוד (</w:t>
      </w:r>
      <w:hyperlink r:id="rId49" w:history="1">
        <w:r w:rsidR="008B6C27" w:rsidRPr="008B6C27">
          <w:rPr>
            <w:rFonts w:ascii="David" w:hAnsi="David"/>
            <w:color w:val="0000FF"/>
            <w:u w:val="single"/>
            <w:rtl/>
          </w:rPr>
          <w:t>ע"פ 6637/17</w:t>
        </w:r>
      </w:hyperlink>
      <w:r>
        <w:rPr>
          <w:rFonts w:ascii="David" w:hAnsi="David"/>
          <w:rtl/>
        </w:rPr>
        <w:t xml:space="preserve"> </w:t>
      </w:r>
      <w:r>
        <w:rPr>
          <w:rFonts w:ascii="David" w:hAnsi="David"/>
          <w:b/>
          <w:bCs/>
          <w:rtl/>
        </w:rPr>
        <w:t>אליזבת קרנדל נ' מדינת ישראל</w:t>
      </w:r>
      <w:r>
        <w:rPr>
          <w:rFonts w:ascii="David" w:hAnsi="David"/>
          <w:rtl/>
        </w:rPr>
        <w:t xml:space="preserve"> (18.04.18), </w:t>
      </w:r>
      <w:hyperlink r:id="rId50" w:history="1">
        <w:r w:rsidR="008B6C27" w:rsidRPr="008B6C27">
          <w:rPr>
            <w:rFonts w:ascii="David" w:hAnsi="David"/>
            <w:color w:val="0000FF"/>
            <w:u w:val="single"/>
            <w:rtl/>
          </w:rPr>
          <w:t>ע"פ 7459/12</w:t>
        </w:r>
      </w:hyperlink>
      <w:r>
        <w:rPr>
          <w:rFonts w:ascii="David" w:hAnsi="David"/>
          <w:rtl/>
        </w:rPr>
        <w:t xml:space="preserve"> </w:t>
      </w:r>
      <w:r>
        <w:rPr>
          <w:rFonts w:ascii="David" w:hAnsi="David"/>
          <w:b/>
          <w:bCs/>
          <w:rtl/>
        </w:rPr>
        <w:t>שיבר נ' מדינת ישראל</w:t>
      </w:r>
      <w:r>
        <w:rPr>
          <w:rFonts w:ascii="David" w:hAnsi="David"/>
          <w:rtl/>
        </w:rPr>
        <w:t xml:space="preserve"> (20.06.13), </w:t>
      </w:r>
      <w:hyperlink r:id="rId51" w:history="1">
        <w:r w:rsidR="008B6C27" w:rsidRPr="008B6C27">
          <w:rPr>
            <w:rFonts w:ascii="David" w:hAnsi="David"/>
            <w:color w:val="0000FF"/>
            <w:u w:val="single"/>
            <w:rtl/>
          </w:rPr>
          <w:t>ע"פ 779/15</w:t>
        </w:r>
      </w:hyperlink>
      <w:r>
        <w:rPr>
          <w:rFonts w:ascii="David" w:hAnsi="David"/>
          <w:rtl/>
        </w:rPr>
        <w:t xml:space="preserve"> </w:t>
      </w:r>
      <w:r>
        <w:rPr>
          <w:rFonts w:ascii="David" w:hAnsi="David"/>
          <w:b/>
          <w:bCs/>
          <w:rtl/>
        </w:rPr>
        <w:t>פלוני נ' מדינת ישראל</w:t>
      </w:r>
      <w:r>
        <w:rPr>
          <w:rFonts w:ascii="David" w:hAnsi="David"/>
          <w:rtl/>
        </w:rPr>
        <w:t xml:space="preserve"> (12.04.15), </w:t>
      </w:r>
      <w:hyperlink r:id="rId52" w:history="1">
        <w:r w:rsidR="008B6C27" w:rsidRPr="008B6C27">
          <w:rPr>
            <w:rFonts w:ascii="David" w:hAnsi="David"/>
            <w:color w:val="0000FF"/>
            <w:u w:val="single"/>
            <w:rtl/>
          </w:rPr>
          <w:t>ע"פ 3381/16</w:t>
        </w:r>
      </w:hyperlink>
      <w:r>
        <w:rPr>
          <w:rFonts w:ascii="David" w:hAnsi="David"/>
          <w:rtl/>
        </w:rPr>
        <w:t xml:space="preserve"> </w:t>
      </w:r>
      <w:r>
        <w:rPr>
          <w:rFonts w:ascii="David" w:hAnsi="David"/>
          <w:b/>
          <w:bCs/>
          <w:rtl/>
        </w:rPr>
        <w:t>אלקרינאוי נ' מדינת ישראל</w:t>
      </w:r>
      <w:r>
        <w:rPr>
          <w:rFonts w:ascii="David" w:hAnsi="David"/>
          <w:rtl/>
        </w:rPr>
        <w:t xml:space="preserve"> (10.07.16), </w:t>
      </w:r>
      <w:hyperlink r:id="rId53" w:history="1">
        <w:r w:rsidR="008B6C27" w:rsidRPr="008B6C27">
          <w:rPr>
            <w:rFonts w:ascii="David" w:hAnsi="David"/>
            <w:color w:val="0000FF"/>
            <w:u w:val="single"/>
            <w:rtl/>
          </w:rPr>
          <w:t>ע"פ 5611/16</w:t>
        </w:r>
      </w:hyperlink>
      <w:r>
        <w:rPr>
          <w:rFonts w:ascii="David" w:hAnsi="David"/>
          <w:rtl/>
        </w:rPr>
        <w:t xml:space="preserve"> </w:t>
      </w:r>
      <w:r>
        <w:rPr>
          <w:rFonts w:ascii="David" w:hAnsi="David"/>
          <w:b/>
          <w:bCs/>
          <w:rtl/>
        </w:rPr>
        <w:t>סלב נ' מדינת ישראל</w:t>
      </w:r>
      <w:r>
        <w:rPr>
          <w:rFonts w:ascii="David" w:hAnsi="David"/>
          <w:rtl/>
        </w:rPr>
        <w:t xml:space="preserve"> (14.09.17), </w:t>
      </w:r>
      <w:hyperlink r:id="rId54" w:history="1">
        <w:r w:rsidR="008B6C27" w:rsidRPr="008B6C27">
          <w:rPr>
            <w:rFonts w:ascii="David" w:hAnsi="David"/>
            <w:color w:val="0000FF"/>
            <w:u w:val="single"/>
            <w:rtl/>
          </w:rPr>
          <w:t>ע"פ 1288/17</w:t>
        </w:r>
      </w:hyperlink>
      <w:r>
        <w:rPr>
          <w:rFonts w:ascii="David" w:hAnsi="David"/>
          <w:rtl/>
        </w:rPr>
        <w:t xml:space="preserve"> </w:t>
      </w:r>
      <w:r>
        <w:rPr>
          <w:rFonts w:ascii="David" w:hAnsi="David"/>
          <w:b/>
          <w:bCs/>
          <w:rtl/>
        </w:rPr>
        <w:t>מדינת ישראל נ' שנהר</w:t>
      </w:r>
      <w:r>
        <w:rPr>
          <w:rFonts w:ascii="David" w:hAnsi="David"/>
          <w:rtl/>
        </w:rPr>
        <w:t xml:space="preserve"> (03.10.17)).</w:t>
      </w:r>
    </w:p>
    <w:p w14:paraId="08A6192F" w14:textId="77777777" w:rsidR="00D13E5B" w:rsidRDefault="00D13E5B" w:rsidP="00D13E5B">
      <w:pPr>
        <w:spacing w:line="360" w:lineRule="auto"/>
        <w:jc w:val="both"/>
        <w:rPr>
          <w:rFonts w:ascii="David" w:hAnsi="David"/>
          <w:rtl/>
        </w:rPr>
      </w:pPr>
    </w:p>
    <w:p w14:paraId="6720E322" w14:textId="77777777" w:rsidR="00D13E5B" w:rsidRDefault="00D13E5B" w:rsidP="00D13E5B">
      <w:pPr>
        <w:spacing w:line="360" w:lineRule="auto"/>
        <w:jc w:val="both"/>
        <w:rPr>
          <w:rFonts w:ascii="David" w:hAnsi="David"/>
          <w:noProof/>
          <w:rtl/>
        </w:rPr>
      </w:pPr>
      <w:r>
        <w:rPr>
          <w:rFonts w:ascii="David" w:hAnsi="David"/>
          <w:rtl/>
        </w:rPr>
        <w:t>וראה גם דברי כב' המשנה לנשיא בדימוס, כב' השופט אילון ב</w:t>
      </w:r>
      <w:hyperlink r:id="rId55" w:history="1">
        <w:r w:rsidR="008B6C27" w:rsidRPr="008B6C27">
          <w:rPr>
            <w:rFonts w:ascii="David" w:hAnsi="David"/>
            <w:color w:val="0000FF"/>
            <w:u w:val="single"/>
            <w:rtl/>
          </w:rPr>
          <w:t>ע"פ 344/81</w:t>
        </w:r>
      </w:hyperlink>
      <w:r>
        <w:rPr>
          <w:rFonts w:ascii="David" w:hAnsi="David"/>
          <w:rtl/>
        </w:rPr>
        <w:t xml:space="preserve"> </w:t>
      </w:r>
      <w:r>
        <w:rPr>
          <w:rFonts w:ascii="David" w:hAnsi="David"/>
          <w:b/>
          <w:bCs/>
          <w:rtl/>
        </w:rPr>
        <w:t xml:space="preserve">מדינת ישראל נ' סגל, </w:t>
      </w:r>
      <w:r>
        <w:rPr>
          <w:rFonts w:ascii="David" w:hAnsi="David"/>
          <w:rtl/>
        </w:rPr>
        <w:t>פ"ד לה(4) 313, 321 (1981):</w:t>
      </w:r>
      <w:r>
        <w:rPr>
          <w:rFonts w:ascii="David" w:hAnsi="David" w:hint="cs"/>
          <w:b/>
          <w:bCs/>
          <w:noProof/>
          <w:spacing w:val="10"/>
          <w:rtl/>
        </w:rPr>
        <w:t xml:space="preserve"> </w:t>
      </w:r>
      <w:r>
        <w:rPr>
          <w:rFonts w:ascii="David" w:hAnsi="David"/>
          <w:b/>
          <w:bCs/>
          <w:noProof/>
          <w:spacing w:val="10"/>
          <w:rtl/>
        </w:rPr>
        <w:t xml:space="preserve">"מדידת מידת העונש קשה היא לשופט כקריעת ים סוף. משבא הוא לשקול, אם להרשיע או לזכות, מצויים בידיו עקרונות וכללים, פרטי דינים ודקדוקי דקדוקים של תלי תלים של הלכות, שאותם הוא מיישם לעניין המסוים שלפניו. לא כן משסיים מלאכה זו, ועלה בידו, שיש להרשיע את הנאשם. המחוקק מסר בידו מידת עונש – </w:t>
      </w:r>
      <w:r w:rsidR="008B6C27">
        <w:rPr>
          <w:rFonts w:ascii="David" w:hAnsi="David"/>
          <w:b/>
          <w:bCs/>
          <w:noProof/>
          <w:spacing w:val="10"/>
          <w:rtl/>
        </w:rPr>
        <w:t xml:space="preserve"> </w:t>
      </w:r>
      <w:r>
        <w:rPr>
          <w:rFonts w:ascii="David" w:hAnsi="David"/>
          <w:b/>
          <w:bCs/>
          <w:noProof/>
          <w:spacing w:val="10"/>
          <w:rtl/>
        </w:rPr>
        <w:t>במיוחד כשמדובר בעונש מאסר – שיש לה שיעור למעלה ואין לה שיעור כל שהוא למטה (פרט למקרים יוצאים מן הכלל); ובמסורת הפסיקה נקבעו כללים כלליים בדבר אופיה של העבירה, טיבו של העבריין ושלומו של הציבור. כל אלה יפים הם לעיון ולדיון, אך קשים הם ביותר ליישמם להלכה ולמעשה, שהרי מעצם טיבם ומהותם אין בהם כדי לכוון את דעתו והכרעתו של השופט אלא בצורה כללית ביותר. ואם אמנם מציאות זו של הכוונה כללית וסתמית לשופט בהטלת העונש קשה היא לו, הרי חיונית והכרחית היא לעצם מלאכת הענישה: באה היא ללמדך, שכל מקרה ומקרה צריך להיות נדון לגופה של העבירה ולגופו של העבריין, והכללים שבדרכי ענישה אינם אלא בבחינת נקודות מוצא בלבד"</w:t>
      </w:r>
      <w:r>
        <w:rPr>
          <w:rFonts w:ascii="David" w:hAnsi="David"/>
          <w:noProof/>
          <w:rtl/>
        </w:rPr>
        <w:t>.</w:t>
      </w:r>
    </w:p>
    <w:p w14:paraId="73B67EFE" w14:textId="77777777" w:rsidR="00D13E5B" w:rsidRDefault="00D13E5B" w:rsidP="00D13E5B">
      <w:pPr>
        <w:spacing w:line="360" w:lineRule="auto"/>
        <w:jc w:val="both"/>
        <w:rPr>
          <w:rFonts w:ascii="David" w:hAnsi="David"/>
        </w:rPr>
      </w:pPr>
    </w:p>
    <w:p w14:paraId="3B32C8D7" w14:textId="77777777" w:rsidR="00D13E5B" w:rsidRDefault="00D13E5B" w:rsidP="00D13E5B">
      <w:pPr>
        <w:spacing w:line="360" w:lineRule="auto"/>
        <w:jc w:val="both"/>
        <w:rPr>
          <w:rFonts w:ascii="David" w:hAnsi="David"/>
          <w:rtl/>
        </w:rPr>
      </w:pPr>
      <w:r>
        <w:rPr>
          <w:rFonts w:ascii="David" w:hAnsi="David" w:hint="cs"/>
          <w:rtl/>
        </w:rPr>
        <w:t xml:space="preserve">סבורני כי </w:t>
      </w:r>
      <w:r>
        <w:rPr>
          <w:rFonts w:ascii="David" w:hAnsi="David"/>
          <w:rtl/>
        </w:rPr>
        <w:t>בנקודה זו שבה הנאשם עושה מאמצים להימנע מביצוע עבירות ואף נתמך בעניין זה בהמלצת שירות המבחן, הרי שיש להושיט לו יד ולו בשל הסיכוי לשיקומו.</w:t>
      </w:r>
      <w:r>
        <w:rPr>
          <w:rFonts w:ascii="David" w:hAnsi="David" w:hint="cs"/>
          <w:rtl/>
        </w:rPr>
        <w:t xml:space="preserve"> </w:t>
      </w:r>
    </w:p>
    <w:p w14:paraId="264FAF9B" w14:textId="77777777" w:rsidR="00D13E5B" w:rsidRDefault="00D13E5B" w:rsidP="00D13E5B">
      <w:pPr>
        <w:spacing w:line="360" w:lineRule="auto"/>
        <w:jc w:val="both"/>
        <w:rPr>
          <w:rFonts w:ascii="David" w:hAnsi="David"/>
          <w:rtl/>
        </w:rPr>
      </w:pPr>
    </w:p>
    <w:p w14:paraId="5A109C6E" w14:textId="77777777" w:rsidR="00D13E5B" w:rsidRDefault="00D13E5B" w:rsidP="00D13E5B">
      <w:pPr>
        <w:spacing w:line="360" w:lineRule="auto"/>
        <w:jc w:val="both"/>
        <w:rPr>
          <w:rFonts w:ascii="David" w:hAnsi="David"/>
          <w:rtl/>
        </w:rPr>
      </w:pPr>
      <w:r>
        <w:rPr>
          <w:rFonts w:ascii="David" w:hAnsi="David" w:hint="cs"/>
          <w:rtl/>
        </w:rPr>
        <w:t xml:space="preserve">לאחר ששקלתי בדבר באתי לכלל מסקנה כי </w:t>
      </w:r>
      <w:r>
        <w:rPr>
          <w:rFonts w:ascii="David" w:hAnsi="David"/>
          <w:rtl/>
        </w:rPr>
        <w:t>במקרה זה יש ליתן לפן השיקומי משקל רב משיקולי ענישה אחרים כמו הגמול וההרתעה, שכן שליחת הנאשם למאסר בפועל, אפילו בעבודות שירות, עלולה בהסתברות גבוהה לסכל את שיקומו. לעניין זה יפים דברי בית המשפט העליון ב</w:t>
      </w:r>
      <w:hyperlink r:id="rId56" w:history="1">
        <w:r w:rsidR="008B6C27" w:rsidRPr="008B6C27">
          <w:rPr>
            <w:rFonts w:ascii="David" w:hAnsi="David"/>
            <w:color w:val="0000FF"/>
            <w:u w:val="single"/>
            <w:rtl/>
          </w:rPr>
          <w:t>רע"פ 262/14</w:t>
        </w:r>
      </w:hyperlink>
      <w:r>
        <w:rPr>
          <w:rFonts w:ascii="David" w:hAnsi="David"/>
          <w:rtl/>
        </w:rPr>
        <w:t xml:space="preserve"> </w:t>
      </w:r>
      <w:r>
        <w:rPr>
          <w:rFonts w:ascii="David" w:hAnsi="David"/>
          <w:b/>
          <w:bCs/>
          <w:rtl/>
        </w:rPr>
        <w:t>נאשף נ' מ"י</w:t>
      </w:r>
      <w:r>
        <w:rPr>
          <w:rFonts w:ascii="David" w:hAnsi="David"/>
          <w:rtl/>
        </w:rPr>
        <w:t>: "</w:t>
      </w:r>
      <w:r>
        <w:rPr>
          <w:rFonts w:ascii="David" w:hAnsi="David"/>
          <w:b/>
          <w:bCs/>
          <w:rtl/>
        </w:rPr>
        <w:t>במקרים שבהם נרתם הנאשם להליך שיקומו או מראה נכונות כנה לעשות כן – עשויים שיקולי השיקום אף לגבור על שיקולי ההרתעה והגמול</w:t>
      </w:r>
      <w:r>
        <w:rPr>
          <w:rFonts w:ascii="David" w:hAnsi="David"/>
          <w:rtl/>
        </w:rPr>
        <w:t>".</w:t>
      </w:r>
    </w:p>
    <w:p w14:paraId="4A4E20F8" w14:textId="77777777" w:rsidR="00D13E5B" w:rsidRDefault="00D13E5B" w:rsidP="00D13E5B">
      <w:pPr>
        <w:spacing w:line="360" w:lineRule="auto"/>
        <w:jc w:val="both"/>
        <w:rPr>
          <w:rFonts w:ascii="David" w:hAnsi="David"/>
          <w:rtl/>
        </w:rPr>
      </w:pPr>
    </w:p>
    <w:p w14:paraId="3253B159" w14:textId="77777777" w:rsidR="00D13E5B" w:rsidRDefault="00D13E5B" w:rsidP="00D13E5B">
      <w:pPr>
        <w:spacing w:line="360" w:lineRule="auto"/>
        <w:jc w:val="both"/>
        <w:rPr>
          <w:rFonts w:ascii="David" w:hAnsi="David"/>
          <w:rtl/>
        </w:rPr>
      </w:pPr>
      <w:r>
        <w:rPr>
          <w:rFonts w:ascii="David" w:hAnsi="David"/>
          <w:rtl/>
        </w:rPr>
        <w:t xml:space="preserve">אני סבור כי </w:t>
      </w:r>
      <w:r>
        <w:rPr>
          <w:rFonts w:ascii="David" w:hAnsi="David" w:hint="cs"/>
          <w:rtl/>
        </w:rPr>
        <w:t xml:space="preserve">במקרה זה </w:t>
      </w:r>
      <w:r>
        <w:rPr>
          <w:rFonts w:ascii="David" w:hAnsi="David"/>
          <w:rtl/>
        </w:rPr>
        <w:t>ניתן להשיג את מטרת הענישה</w:t>
      </w:r>
      <w:r>
        <w:rPr>
          <w:rFonts w:ascii="David" w:hAnsi="David" w:hint="cs"/>
          <w:rtl/>
        </w:rPr>
        <w:t>, תכליתה וההגנה על ה</w:t>
      </w:r>
      <w:r>
        <w:rPr>
          <w:rFonts w:ascii="David" w:hAnsi="David"/>
          <w:rtl/>
        </w:rPr>
        <w:t>אינטרס הציבור</w:t>
      </w:r>
      <w:r>
        <w:rPr>
          <w:rFonts w:ascii="David" w:hAnsi="David" w:hint="cs"/>
          <w:rtl/>
        </w:rPr>
        <w:t>י</w:t>
      </w:r>
      <w:r>
        <w:rPr>
          <w:rFonts w:ascii="David" w:hAnsi="David"/>
          <w:rtl/>
        </w:rPr>
        <w:t xml:space="preserve"> בדרך סבירה ומתונה יותר שפגיעתה ב</w:t>
      </w:r>
      <w:r>
        <w:rPr>
          <w:rFonts w:ascii="David" w:hAnsi="David" w:hint="cs"/>
          <w:rtl/>
        </w:rPr>
        <w:t xml:space="preserve">חירותו של </w:t>
      </w:r>
      <w:r>
        <w:rPr>
          <w:rFonts w:ascii="David" w:hAnsi="David"/>
          <w:rtl/>
        </w:rPr>
        <w:t>נאשם הינה פחותה. מחד, תועלת לציבור תצמח מהמשך שיקומו של הנאשם והפחתה כאמור משמעותית של הסיכון הנשקף ממנו, ומאידך צו מבחן</w:t>
      </w:r>
      <w:r>
        <w:rPr>
          <w:rFonts w:ascii="David" w:hAnsi="David" w:hint="cs"/>
          <w:rtl/>
        </w:rPr>
        <w:t xml:space="preserve"> וצו של"צ</w:t>
      </w:r>
      <w:r>
        <w:rPr>
          <w:rFonts w:ascii="David" w:hAnsi="David"/>
          <w:rtl/>
        </w:rPr>
        <w:t xml:space="preserve"> לצד עונשים צופי פני עתיד מהווים עונש מרתיע ומאוזן שמגלם בחובו גם שיקולי ענישה נוספים, כמו גמול והרתעה.</w:t>
      </w:r>
    </w:p>
    <w:p w14:paraId="4FC76259" w14:textId="77777777" w:rsidR="00D13E5B" w:rsidRDefault="00D13E5B" w:rsidP="00D13E5B">
      <w:pPr>
        <w:spacing w:line="360" w:lineRule="auto"/>
        <w:jc w:val="both"/>
        <w:rPr>
          <w:rFonts w:ascii="David" w:hAnsi="David"/>
          <w:rtl/>
        </w:rPr>
      </w:pPr>
    </w:p>
    <w:p w14:paraId="2F14C0F5" w14:textId="77777777" w:rsidR="00D13E5B" w:rsidRDefault="00D13E5B" w:rsidP="00D13E5B">
      <w:pPr>
        <w:spacing w:line="360" w:lineRule="auto"/>
        <w:jc w:val="both"/>
        <w:rPr>
          <w:rFonts w:ascii="David" w:hAnsi="David"/>
          <w:rtl/>
        </w:rPr>
      </w:pPr>
      <w:r>
        <w:rPr>
          <w:rFonts w:ascii="David" w:hAnsi="David"/>
          <w:rtl/>
        </w:rPr>
        <w:t xml:space="preserve">יתר על כן, מובן כי ככל שלא ישכיל הנאשם לנצל את ההזדמנות שניתנת לו, ולשנות באמת את עמדותיו </w:t>
      </w:r>
      <w:r>
        <w:rPr>
          <w:rFonts w:ascii="David" w:hAnsi="David" w:hint="cs"/>
          <w:rtl/>
        </w:rPr>
        <w:t xml:space="preserve">והתנהלותו </w:t>
      </w:r>
      <w:r>
        <w:rPr>
          <w:rFonts w:ascii="David" w:hAnsi="David"/>
          <w:rtl/>
        </w:rPr>
        <w:t>כלפי עבירות סמים, הרי שיהיה חשוף לעונשים כבדים וכואבים.</w:t>
      </w:r>
    </w:p>
    <w:p w14:paraId="4A3B3B90" w14:textId="77777777" w:rsidR="00D13E5B" w:rsidRDefault="00D13E5B" w:rsidP="00D13E5B">
      <w:pPr>
        <w:spacing w:line="360" w:lineRule="auto"/>
        <w:jc w:val="both"/>
        <w:rPr>
          <w:rFonts w:ascii="David" w:hAnsi="David"/>
        </w:rPr>
      </w:pPr>
    </w:p>
    <w:p w14:paraId="5D68E4DE" w14:textId="77777777" w:rsidR="00D13E5B" w:rsidRPr="00370CCD" w:rsidRDefault="00D13E5B" w:rsidP="00D13E5B">
      <w:pPr>
        <w:spacing w:line="360" w:lineRule="auto"/>
        <w:jc w:val="both"/>
        <w:rPr>
          <w:rFonts w:ascii="David" w:hAnsi="David"/>
          <w:u w:val="single"/>
          <w:rtl/>
        </w:rPr>
      </w:pPr>
      <w:r>
        <w:rPr>
          <w:rFonts w:ascii="David" w:hAnsi="David"/>
          <w:rtl/>
        </w:rPr>
        <w:t>לאור האמור, ולאחר שנשקלו כל השיקולים הרלוונטיים שצוינו, תוך עריכת איזון בין רכיבי הענישה השונים,</w:t>
      </w:r>
      <w:r w:rsidRPr="00370CCD">
        <w:rPr>
          <w:rFonts w:ascii="David" w:hAnsi="David"/>
          <w:u w:val="single"/>
          <w:rtl/>
        </w:rPr>
        <w:t xml:space="preserve"> אני מטיל על הנאשם את העונשים הבאים: </w:t>
      </w:r>
    </w:p>
    <w:p w14:paraId="1C210586" w14:textId="77777777" w:rsidR="00D13E5B" w:rsidRDefault="00D13E5B" w:rsidP="00D13E5B">
      <w:pPr>
        <w:spacing w:line="360" w:lineRule="auto"/>
        <w:jc w:val="both"/>
        <w:rPr>
          <w:rFonts w:ascii="David" w:hAnsi="David"/>
          <w:rtl/>
        </w:rPr>
      </w:pPr>
      <w:r>
        <w:rPr>
          <w:rFonts w:ascii="David" w:hAnsi="David"/>
          <w:rtl/>
        </w:rPr>
        <w:t xml:space="preserve"> </w:t>
      </w:r>
    </w:p>
    <w:p w14:paraId="39DD963C" w14:textId="77777777" w:rsidR="00D13E5B" w:rsidRDefault="00D13E5B" w:rsidP="00D13E5B">
      <w:pPr>
        <w:numPr>
          <w:ilvl w:val="0"/>
          <w:numId w:val="1"/>
        </w:numPr>
        <w:spacing w:after="160" w:line="360" w:lineRule="auto"/>
        <w:contextualSpacing/>
        <w:jc w:val="both"/>
        <w:rPr>
          <w:rFonts w:ascii="David" w:hAnsi="David"/>
        </w:rPr>
      </w:pPr>
      <w:r w:rsidRPr="00853611">
        <w:rPr>
          <w:rFonts w:ascii="David" w:hAnsi="David"/>
          <w:rtl/>
        </w:rPr>
        <w:t xml:space="preserve">מאסר על תנאי של 6 חודשים </w:t>
      </w:r>
      <w:r w:rsidRPr="00853611">
        <w:rPr>
          <w:rFonts w:ascii="David" w:hAnsi="David" w:hint="cs"/>
          <w:rtl/>
        </w:rPr>
        <w:t xml:space="preserve">למשך 3 שנים והתנאי הוא שהנאשם </w:t>
      </w:r>
      <w:r w:rsidRPr="00853611">
        <w:rPr>
          <w:rFonts w:ascii="David" w:hAnsi="David"/>
          <w:rtl/>
        </w:rPr>
        <w:t>לא יעבור</w:t>
      </w:r>
      <w:r w:rsidRPr="00853611">
        <w:rPr>
          <w:rFonts w:ascii="David" w:hAnsi="David" w:hint="cs"/>
          <w:rtl/>
        </w:rPr>
        <w:t xml:space="preserve"> בפרק זמן זה על כל עבירת סמים לפי </w:t>
      </w:r>
      <w:hyperlink r:id="rId57" w:history="1">
        <w:r w:rsidR="008B6C27" w:rsidRPr="008B6C27">
          <w:rPr>
            <w:rFonts w:ascii="David" w:hAnsi="David"/>
            <w:color w:val="0000FF"/>
            <w:u w:val="single"/>
            <w:rtl/>
          </w:rPr>
          <w:t>פקודת הסמים המסוכנים</w:t>
        </w:r>
      </w:hyperlink>
      <w:r w:rsidRPr="00853611">
        <w:rPr>
          <w:rFonts w:ascii="David" w:hAnsi="David" w:hint="cs"/>
          <w:rtl/>
        </w:rPr>
        <w:t xml:space="preserve"> מסוג פשע ויורשע בה. </w:t>
      </w:r>
    </w:p>
    <w:p w14:paraId="04D94A40" w14:textId="77777777" w:rsidR="00D13E5B" w:rsidRPr="00853611" w:rsidRDefault="00D13E5B" w:rsidP="00D13E5B">
      <w:pPr>
        <w:spacing w:after="160" w:line="360" w:lineRule="auto"/>
        <w:ind w:left="1080"/>
        <w:contextualSpacing/>
        <w:jc w:val="both"/>
        <w:rPr>
          <w:rFonts w:ascii="David" w:hAnsi="David"/>
          <w:rtl/>
        </w:rPr>
      </w:pPr>
    </w:p>
    <w:p w14:paraId="1F02338C" w14:textId="77777777" w:rsidR="00D13E5B" w:rsidRDefault="00D13E5B" w:rsidP="00D13E5B">
      <w:pPr>
        <w:spacing w:line="360" w:lineRule="auto"/>
        <w:ind w:left="1088" w:hanging="766"/>
        <w:jc w:val="both"/>
        <w:rPr>
          <w:rFonts w:ascii="David" w:hAnsi="David"/>
          <w:rtl/>
        </w:rPr>
      </w:pPr>
      <w:r>
        <w:rPr>
          <w:rFonts w:ascii="David" w:hAnsi="David"/>
          <w:rtl/>
        </w:rPr>
        <w:t>2.</w:t>
      </w:r>
      <w:r>
        <w:rPr>
          <w:rFonts w:ascii="David" w:hAnsi="David"/>
          <w:rtl/>
        </w:rPr>
        <w:tab/>
        <w:t>צו של"צ בהיקף 2</w:t>
      </w:r>
      <w:r>
        <w:rPr>
          <w:rFonts w:ascii="David" w:hAnsi="David" w:hint="cs"/>
          <w:rtl/>
        </w:rPr>
        <w:t>0</w:t>
      </w:r>
      <w:r>
        <w:rPr>
          <w:rFonts w:ascii="David" w:hAnsi="David"/>
          <w:rtl/>
        </w:rPr>
        <w:t xml:space="preserve">0 שעות שיבוצעו בהתאם לתוכנית אותה יבנה שירות המבחן ותוגש לאישור בית המשפט. </w:t>
      </w:r>
    </w:p>
    <w:p w14:paraId="3280417A" w14:textId="77777777" w:rsidR="00D13E5B" w:rsidRDefault="00D13E5B" w:rsidP="00D13E5B">
      <w:pPr>
        <w:spacing w:line="360" w:lineRule="auto"/>
        <w:ind w:left="1088" w:hanging="766"/>
        <w:jc w:val="both"/>
        <w:rPr>
          <w:rFonts w:ascii="David" w:hAnsi="David"/>
          <w:rtl/>
        </w:rPr>
      </w:pPr>
    </w:p>
    <w:p w14:paraId="7D5CA0F6" w14:textId="77777777" w:rsidR="00D13E5B" w:rsidRPr="003B623E" w:rsidRDefault="00D13E5B" w:rsidP="00D13E5B">
      <w:pPr>
        <w:pStyle w:val="a9"/>
        <w:numPr>
          <w:ilvl w:val="0"/>
          <w:numId w:val="1"/>
        </w:numPr>
        <w:spacing w:line="360" w:lineRule="auto"/>
        <w:jc w:val="both"/>
        <w:rPr>
          <w:rFonts w:ascii="David" w:hAnsi="David"/>
          <w:rtl/>
        </w:rPr>
      </w:pPr>
      <w:r w:rsidRPr="003B623E">
        <w:rPr>
          <w:rFonts w:ascii="David" w:hAnsi="David"/>
          <w:rtl/>
        </w:rPr>
        <w:t xml:space="preserve">צו מבחן למשך שנה. </w:t>
      </w:r>
      <w:r>
        <w:rPr>
          <w:rFonts w:ascii="David" w:hAnsi="David" w:hint="cs"/>
          <w:rtl/>
        </w:rPr>
        <w:t xml:space="preserve">אשר יבוצע ויפוקח בידי שירות המבחן במהלכו ישולב הנאשם בהליך טיפולי שיקומי רלוונטי מטעם שירות המבחן יפעל על פי הצו לרבות מתן בדיקות שתן תקופתיות. </w:t>
      </w:r>
    </w:p>
    <w:p w14:paraId="6597EDAF" w14:textId="77777777" w:rsidR="00D13E5B" w:rsidRPr="003B623E" w:rsidRDefault="00D13E5B" w:rsidP="00D13E5B">
      <w:pPr>
        <w:pStyle w:val="a9"/>
        <w:spacing w:line="360" w:lineRule="auto"/>
        <w:ind w:left="1080"/>
        <w:jc w:val="both"/>
        <w:rPr>
          <w:rFonts w:ascii="David" w:hAnsi="David"/>
          <w:rtl/>
        </w:rPr>
      </w:pPr>
    </w:p>
    <w:p w14:paraId="10863735" w14:textId="77777777" w:rsidR="00D13E5B" w:rsidRDefault="00D13E5B" w:rsidP="00D13E5B">
      <w:pPr>
        <w:spacing w:line="360" w:lineRule="auto"/>
        <w:ind w:left="1088"/>
        <w:jc w:val="both"/>
        <w:rPr>
          <w:rFonts w:ascii="David" w:hAnsi="David"/>
          <w:rtl/>
        </w:rPr>
      </w:pPr>
      <w:r>
        <w:rPr>
          <w:rFonts w:ascii="David" w:hAnsi="David"/>
          <w:rtl/>
        </w:rPr>
        <w:t>הוסבר לנאשם כי ככל שלא יבצע את עבודות השל"צ ו/או לא ימלא אחר צו המבחן, יכול ותוגש בקשה לביטולם ועניינו יובא לבית המשפט לצורך דיון מחודש ברכיבי הענישה של גזר הדין.</w:t>
      </w:r>
    </w:p>
    <w:p w14:paraId="08009D8F" w14:textId="77777777" w:rsidR="00D13E5B" w:rsidRDefault="00D13E5B" w:rsidP="00D13E5B">
      <w:pPr>
        <w:spacing w:line="360" w:lineRule="auto"/>
        <w:ind w:left="1088" w:hanging="720"/>
        <w:jc w:val="both"/>
        <w:rPr>
          <w:rFonts w:ascii="David" w:hAnsi="David"/>
          <w:rtl/>
        </w:rPr>
      </w:pPr>
    </w:p>
    <w:p w14:paraId="1AA93E5C" w14:textId="77777777" w:rsidR="00D13E5B" w:rsidRDefault="00D13E5B" w:rsidP="00D13E5B">
      <w:pPr>
        <w:spacing w:line="360" w:lineRule="auto"/>
        <w:ind w:left="1080" w:hanging="720"/>
        <w:jc w:val="both"/>
        <w:rPr>
          <w:rFonts w:ascii="David" w:eastAsia="Calibri" w:hAnsi="David"/>
          <w:rtl/>
        </w:rPr>
      </w:pPr>
      <w:r>
        <w:rPr>
          <w:rFonts w:ascii="David" w:hAnsi="David"/>
          <w:rtl/>
        </w:rPr>
        <w:t>4.</w:t>
      </w:r>
      <w:r>
        <w:rPr>
          <w:rFonts w:ascii="David" w:hAnsi="David"/>
          <w:rtl/>
        </w:rPr>
        <w:tab/>
      </w:r>
      <w:r>
        <w:rPr>
          <w:rFonts w:ascii="David" w:eastAsia="Calibri" w:hAnsi="David"/>
          <w:rtl/>
        </w:rPr>
        <w:t xml:space="preserve">אני פוסל את הנאשם מלהחזיק או לקבל רישיון נהיגה לתקופה של </w:t>
      </w:r>
      <w:r>
        <w:rPr>
          <w:rFonts w:ascii="David" w:eastAsia="Calibri" w:hAnsi="David" w:hint="cs"/>
          <w:rtl/>
        </w:rPr>
        <w:t>4</w:t>
      </w:r>
      <w:r>
        <w:rPr>
          <w:rFonts w:ascii="David" w:eastAsia="Calibri" w:hAnsi="David"/>
          <w:rtl/>
        </w:rPr>
        <w:t xml:space="preserve"> חודשים. </w:t>
      </w:r>
      <w:r>
        <w:rPr>
          <w:rFonts w:ascii="David" w:eastAsia="Calibri" w:hAnsi="David" w:hint="cs"/>
          <w:rtl/>
        </w:rPr>
        <w:t xml:space="preserve"> הנאשם </w:t>
      </w:r>
      <w:bookmarkStart w:id="8" w:name="Nitan"/>
      <w:r w:rsidR="008B6C27">
        <w:rPr>
          <w:rFonts w:ascii="David" w:eastAsia="Calibri" w:hAnsi="David"/>
          <w:rtl/>
        </w:rPr>
        <w:t xml:space="preserve">יפקיד את רישיון הנהיגה במזכירות בית המשפט לא יאוחר מיום 15/6/25 ופסילה זו </w:t>
      </w:r>
      <w:bookmarkEnd w:id="8"/>
      <w:r>
        <w:rPr>
          <w:rFonts w:ascii="David" w:eastAsia="Calibri" w:hAnsi="David" w:hint="cs"/>
          <w:rtl/>
        </w:rPr>
        <w:t xml:space="preserve">תרוצה במצטבר לכל פסילה אחרת ככל שקיימת. </w:t>
      </w:r>
    </w:p>
    <w:p w14:paraId="69CA06DE" w14:textId="77777777" w:rsidR="00D13E5B" w:rsidRDefault="00D13E5B" w:rsidP="00D13E5B">
      <w:pPr>
        <w:spacing w:line="360" w:lineRule="auto"/>
        <w:ind w:left="1080" w:hanging="720"/>
        <w:jc w:val="both"/>
        <w:rPr>
          <w:rFonts w:ascii="David" w:eastAsia="Calibri" w:hAnsi="David"/>
          <w:rtl/>
        </w:rPr>
      </w:pPr>
    </w:p>
    <w:p w14:paraId="06765C60" w14:textId="77777777" w:rsidR="00D13E5B" w:rsidRDefault="00D13E5B" w:rsidP="00D13E5B">
      <w:pPr>
        <w:spacing w:line="360" w:lineRule="auto"/>
        <w:ind w:left="1088" w:hanging="720"/>
        <w:jc w:val="both"/>
        <w:rPr>
          <w:rFonts w:ascii="David" w:hAnsi="David"/>
          <w:rtl/>
        </w:rPr>
      </w:pPr>
      <w:r>
        <w:rPr>
          <w:rFonts w:ascii="David" w:eastAsia="Calibri" w:hAnsi="David"/>
          <w:rtl/>
        </w:rPr>
        <w:t>5.</w:t>
      </w:r>
      <w:r>
        <w:rPr>
          <w:rFonts w:ascii="David" w:eastAsia="Calibri" w:hAnsi="David"/>
          <w:rtl/>
        </w:rPr>
        <w:tab/>
        <w:t xml:space="preserve">אני פוסל את הנאשם מלקבל או מלהחזיק רישיון נהיגה לתקופה של </w:t>
      </w:r>
      <w:r>
        <w:rPr>
          <w:rFonts w:ascii="David" w:eastAsia="Calibri" w:hAnsi="David" w:hint="cs"/>
          <w:rtl/>
        </w:rPr>
        <w:t>4</w:t>
      </w:r>
      <w:r>
        <w:rPr>
          <w:rFonts w:ascii="David" w:eastAsia="Calibri" w:hAnsi="David"/>
          <w:rtl/>
        </w:rPr>
        <w:t xml:space="preserve"> חודשים על תנאי </w:t>
      </w:r>
      <w:r>
        <w:rPr>
          <w:rFonts w:ascii="David" w:eastAsia="Calibri" w:hAnsi="David" w:hint="cs"/>
          <w:rtl/>
        </w:rPr>
        <w:t xml:space="preserve">למשך 3 </w:t>
      </w:r>
      <w:r>
        <w:rPr>
          <w:rFonts w:ascii="David" w:eastAsia="Calibri" w:hAnsi="David"/>
          <w:rtl/>
        </w:rPr>
        <w:t>שנים והתנאי הוא שהנאשם לא יעבור על עבירה לפי</w:t>
      </w:r>
      <w:r w:rsidR="008B6C27">
        <w:rPr>
          <w:rFonts w:ascii="David" w:eastAsia="Calibri" w:hAnsi="David"/>
          <w:rtl/>
        </w:rPr>
        <w:t xml:space="preserve"> </w:t>
      </w:r>
      <w:hyperlink r:id="rId58" w:history="1">
        <w:r w:rsidR="008B6C27" w:rsidRPr="008B6C27">
          <w:rPr>
            <w:rFonts w:ascii="David" w:eastAsia="Calibri" w:hAnsi="David"/>
            <w:color w:val="0000FF"/>
            <w:u w:val="single"/>
            <w:rtl/>
          </w:rPr>
          <w:t>פקודת הסמים המסוכנים</w:t>
        </w:r>
      </w:hyperlink>
      <w:r w:rsidR="008B6C27">
        <w:rPr>
          <w:rFonts w:ascii="David" w:eastAsia="Calibri" w:hAnsi="David"/>
          <w:rtl/>
        </w:rPr>
        <w:t xml:space="preserve"> </w:t>
      </w:r>
      <w:r>
        <w:rPr>
          <w:rFonts w:ascii="David" w:eastAsia="Calibri" w:hAnsi="David"/>
          <w:rtl/>
        </w:rPr>
        <w:t>ויורשע בה או על עבירה של נהיגה בזמן פסילה.</w:t>
      </w:r>
      <w:r>
        <w:rPr>
          <w:rFonts w:ascii="David" w:hAnsi="David"/>
          <w:rtl/>
        </w:rPr>
        <w:t xml:space="preserve"> </w:t>
      </w:r>
    </w:p>
    <w:p w14:paraId="05C28DAB" w14:textId="77777777" w:rsidR="00D13E5B" w:rsidRDefault="00D13E5B" w:rsidP="00D13E5B">
      <w:pPr>
        <w:spacing w:line="360" w:lineRule="auto"/>
        <w:ind w:left="1088" w:hanging="720"/>
        <w:jc w:val="both"/>
        <w:rPr>
          <w:rFonts w:ascii="David" w:hAnsi="David"/>
          <w:rtl/>
        </w:rPr>
      </w:pPr>
    </w:p>
    <w:p w14:paraId="13C194D8" w14:textId="77777777" w:rsidR="00D13E5B" w:rsidRDefault="00D13E5B" w:rsidP="00D13E5B">
      <w:pPr>
        <w:spacing w:line="360" w:lineRule="auto"/>
        <w:ind w:left="1088" w:hanging="720"/>
        <w:jc w:val="both"/>
        <w:rPr>
          <w:rFonts w:ascii="David" w:eastAsia="Calibri" w:hAnsi="David"/>
          <w:rtl/>
        </w:rPr>
      </w:pPr>
      <w:r>
        <w:rPr>
          <w:rFonts w:ascii="David" w:hAnsi="David"/>
          <w:rtl/>
        </w:rPr>
        <w:t>6.</w:t>
      </w:r>
      <w:r>
        <w:rPr>
          <w:rFonts w:ascii="David" w:hAnsi="David"/>
          <w:rtl/>
        </w:rPr>
        <w:tab/>
      </w:r>
      <w:r>
        <w:rPr>
          <w:rFonts w:ascii="David" w:hAnsi="David" w:hint="cs"/>
          <w:rtl/>
        </w:rPr>
        <w:t xml:space="preserve">נוכח הסכמת הצדדים בדבר חילוט הכספים שנתפסו חלף הכרזת הנאשם כסוחר סמים, אני מורה בזאת על חילוט הכספים לטובת אוצר המדינה. </w:t>
      </w:r>
    </w:p>
    <w:p w14:paraId="0477CD08" w14:textId="77777777" w:rsidR="00D13E5B" w:rsidRPr="008B6C27" w:rsidRDefault="008B6C27" w:rsidP="00D13E5B">
      <w:pPr>
        <w:spacing w:line="360" w:lineRule="auto"/>
        <w:ind w:left="1088" w:hanging="720"/>
        <w:jc w:val="both"/>
        <w:rPr>
          <w:rFonts w:ascii="David" w:eastAsia="Calibri" w:hAnsi="David"/>
          <w:color w:val="FFFFFF"/>
          <w:sz w:val="2"/>
          <w:szCs w:val="2"/>
          <w:rtl/>
        </w:rPr>
      </w:pPr>
      <w:r w:rsidRPr="008B6C27">
        <w:rPr>
          <w:rFonts w:ascii="David" w:eastAsia="Calibri" w:hAnsi="David"/>
          <w:color w:val="FFFFFF"/>
          <w:sz w:val="2"/>
          <w:szCs w:val="2"/>
          <w:rtl/>
        </w:rPr>
        <w:t>5129371</w:t>
      </w:r>
    </w:p>
    <w:p w14:paraId="030165FB" w14:textId="77777777" w:rsidR="00D13E5B" w:rsidRDefault="008B6C27" w:rsidP="00D13E5B">
      <w:pPr>
        <w:spacing w:line="360" w:lineRule="auto"/>
        <w:rPr>
          <w:rFonts w:ascii="David" w:hAnsi="David"/>
          <w:b/>
          <w:bCs/>
          <w:rtl/>
        </w:rPr>
      </w:pPr>
      <w:r w:rsidRPr="008B6C27">
        <w:rPr>
          <w:rFonts w:ascii="David" w:eastAsia="Calibri" w:hAnsi="David"/>
          <w:b/>
          <w:bCs/>
          <w:color w:val="FFFFFF"/>
          <w:sz w:val="2"/>
          <w:szCs w:val="2"/>
          <w:rtl/>
        </w:rPr>
        <w:t>54678313</w:t>
      </w:r>
      <w:r w:rsidR="00D13E5B">
        <w:rPr>
          <w:rFonts w:ascii="David" w:eastAsia="Calibri" w:hAnsi="David"/>
          <w:b/>
          <w:bCs/>
          <w:rtl/>
        </w:rPr>
        <w:t>ניתן בזאת צו להשמדת המוצגים - סמים.</w:t>
      </w:r>
      <w:r w:rsidR="00D13E5B">
        <w:rPr>
          <w:rFonts w:ascii="David" w:hAnsi="David"/>
          <w:b/>
          <w:bCs/>
          <w:rtl/>
        </w:rPr>
        <w:t xml:space="preserve"> </w:t>
      </w:r>
    </w:p>
    <w:p w14:paraId="67B1F8E4" w14:textId="77777777" w:rsidR="00D13E5B" w:rsidRDefault="00D13E5B" w:rsidP="00D13E5B">
      <w:pPr>
        <w:spacing w:line="360" w:lineRule="auto"/>
        <w:rPr>
          <w:rFonts w:ascii="David" w:hAnsi="David"/>
          <w:b/>
          <w:bCs/>
          <w:rtl/>
        </w:rPr>
      </w:pPr>
    </w:p>
    <w:p w14:paraId="31A63133" w14:textId="77777777" w:rsidR="00D13E5B" w:rsidRDefault="00D13E5B" w:rsidP="00D13E5B">
      <w:pPr>
        <w:spacing w:line="360" w:lineRule="auto"/>
        <w:rPr>
          <w:rFonts w:ascii="David" w:hAnsi="David"/>
          <w:b/>
          <w:bCs/>
          <w:rtl/>
        </w:rPr>
      </w:pPr>
      <w:r>
        <w:rPr>
          <w:rFonts w:ascii="David" w:hAnsi="David"/>
          <w:b/>
          <w:bCs/>
          <w:rtl/>
        </w:rPr>
        <w:t>המזכירות תשלח העתק גזר הדין אל שירות המבחן.</w:t>
      </w:r>
    </w:p>
    <w:p w14:paraId="4FBA515C" w14:textId="77777777" w:rsidR="00D13E5B" w:rsidRDefault="00D13E5B" w:rsidP="00D13E5B">
      <w:pPr>
        <w:spacing w:line="360" w:lineRule="auto"/>
        <w:rPr>
          <w:rFonts w:ascii="David" w:hAnsi="David"/>
          <w:b/>
          <w:bCs/>
          <w:rtl/>
        </w:rPr>
      </w:pPr>
    </w:p>
    <w:p w14:paraId="39D01C7A" w14:textId="77777777" w:rsidR="00D13E5B" w:rsidRDefault="00E111D7" w:rsidP="00D13E5B">
      <w:pPr>
        <w:spacing w:line="360" w:lineRule="auto"/>
        <w:rPr>
          <w:rFonts w:ascii="David" w:hAnsi="David"/>
          <w:b/>
          <w:bCs/>
          <w:rtl/>
        </w:rPr>
      </w:pPr>
      <w:r w:rsidRPr="00E111D7">
        <w:rPr>
          <w:rFonts w:ascii="David" w:hAnsi="David"/>
          <w:b/>
          <w:bCs/>
          <w:color w:val="FFFFFF"/>
          <w:sz w:val="2"/>
          <w:szCs w:val="2"/>
          <w:rtl/>
        </w:rPr>
        <w:t>5129371</w:t>
      </w:r>
      <w:r w:rsidR="008B6C27">
        <w:rPr>
          <w:rFonts w:ascii="David" w:hAnsi="David"/>
          <w:b/>
          <w:bCs/>
          <w:rtl/>
        </w:rPr>
        <w:t xml:space="preserve">זכות ערעור לבית המשפט המחוזי בחיפה תוך 45 ימים מהיום.  </w:t>
      </w:r>
    </w:p>
    <w:p w14:paraId="7FE136EE" w14:textId="77777777" w:rsidR="00FC7230" w:rsidRPr="00E111D7" w:rsidRDefault="00E111D7" w:rsidP="008B6C27">
      <w:pPr>
        <w:keepNext/>
        <w:rPr>
          <w:rFonts w:ascii="David" w:hAnsi="David"/>
          <w:color w:val="FFFFFF"/>
          <w:sz w:val="2"/>
          <w:szCs w:val="2"/>
          <w:rtl/>
        </w:rPr>
      </w:pPr>
      <w:r w:rsidRPr="00E111D7">
        <w:rPr>
          <w:rFonts w:ascii="David" w:hAnsi="David"/>
          <w:color w:val="FFFFFF"/>
          <w:sz w:val="2"/>
          <w:szCs w:val="2"/>
          <w:rtl/>
        </w:rPr>
        <w:t>54678313</w:t>
      </w:r>
    </w:p>
    <w:p w14:paraId="7E0534A7" w14:textId="77777777" w:rsidR="008B6C27" w:rsidRDefault="008B6C27" w:rsidP="008B6C27">
      <w:pPr>
        <w:rPr>
          <w:rtl/>
        </w:rPr>
      </w:pPr>
    </w:p>
    <w:p w14:paraId="28C1F5F6" w14:textId="77777777" w:rsidR="008B6C27" w:rsidRDefault="008B6C27" w:rsidP="008B6C27">
      <w:pPr>
        <w:jc w:val="center"/>
        <w:rPr>
          <w:color w:val="0000FF"/>
          <w:u w:val="single"/>
        </w:rPr>
      </w:pPr>
      <w:hyperlink r:id="rId59" w:history="1">
        <w:r>
          <w:rPr>
            <w:color w:val="0000FF"/>
            <w:u w:val="single"/>
            <w:rtl/>
          </w:rPr>
          <w:t>בעניין עריכה ושינויים במסמכי פסיקה, חקיקה ועוד באתר נבו – הקש כאן</w:t>
        </w:r>
      </w:hyperlink>
    </w:p>
    <w:p w14:paraId="3405AB9F" w14:textId="77777777" w:rsidR="00E111D7" w:rsidRPr="00E111D7" w:rsidRDefault="00E111D7" w:rsidP="00E111D7">
      <w:pPr>
        <w:keepNext/>
        <w:rPr>
          <w:rFonts w:ascii="David" w:hAnsi="David"/>
          <w:color w:val="000000"/>
          <w:sz w:val="22"/>
          <w:szCs w:val="22"/>
          <w:rtl/>
        </w:rPr>
      </w:pPr>
    </w:p>
    <w:p w14:paraId="5895B0A7" w14:textId="77777777" w:rsidR="00E111D7" w:rsidRPr="00E111D7" w:rsidRDefault="00E111D7" w:rsidP="00E111D7">
      <w:pPr>
        <w:keepNext/>
        <w:rPr>
          <w:rFonts w:ascii="David" w:hAnsi="David"/>
          <w:color w:val="000000"/>
          <w:sz w:val="22"/>
          <w:szCs w:val="22"/>
          <w:rtl/>
        </w:rPr>
      </w:pPr>
      <w:r w:rsidRPr="00E111D7">
        <w:rPr>
          <w:rFonts w:ascii="David" w:hAnsi="David"/>
          <w:color w:val="000000"/>
          <w:sz w:val="22"/>
          <w:szCs w:val="22"/>
          <w:rtl/>
        </w:rPr>
        <w:t>אלכס אחטר 54678313-/</w:t>
      </w:r>
    </w:p>
    <w:p w14:paraId="01A6D1DC" w14:textId="77777777" w:rsidR="008B6C27" w:rsidRPr="008B6C27" w:rsidRDefault="00E111D7" w:rsidP="00E111D7">
      <w:pPr>
        <w:rPr>
          <w:color w:val="0000FF"/>
          <w:u w:val="single"/>
        </w:rPr>
      </w:pPr>
      <w:r w:rsidRPr="00E111D7">
        <w:rPr>
          <w:color w:val="000000"/>
          <w:u w:val="single"/>
          <w:rtl/>
        </w:rPr>
        <w:t>נוסח מסמך זה כפוף לשינויי ניסוח ועריכה</w:t>
      </w:r>
    </w:p>
    <w:sectPr w:rsidR="008B6C27" w:rsidRPr="008B6C27" w:rsidSect="00E111D7">
      <w:headerReference w:type="even" r:id="rId60"/>
      <w:headerReference w:type="default" r:id="rId61"/>
      <w:footerReference w:type="even" r:id="rId62"/>
      <w:footerReference w:type="default" r:id="rId6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B1726" w14:textId="77777777" w:rsidR="00F71A2C" w:rsidRDefault="00F71A2C" w:rsidP="00AE1030">
      <w:r>
        <w:separator/>
      </w:r>
    </w:p>
  </w:endnote>
  <w:endnote w:type="continuationSeparator" w:id="0">
    <w:p w14:paraId="7F8C00DB" w14:textId="77777777" w:rsidR="00F71A2C" w:rsidRDefault="00F71A2C" w:rsidP="00AE1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72413" w14:textId="77777777" w:rsidR="00E111D7" w:rsidRDefault="00E111D7" w:rsidP="00E111D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216FAD1C" w14:textId="77777777" w:rsidR="00957433" w:rsidRPr="00E111D7" w:rsidRDefault="00E111D7" w:rsidP="00E111D7">
    <w:pPr>
      <w:pStyle w:val="a5"/>
      <w:pBdr>
        <w:top w:val="single" w:sz="4" w:space="1" w:color="auto"/>
        <w:between w:val="single" w:sz="4" w:space="0" w:color="auto"/>
      </w:pBdr>
      <w:spacing w:after="60"/>
      <w:jc w:val="center"/>
      <w:rPr>
        <w:rFonts w:ascii="FrankRuehl" w:hAnsi="FrankRuehl" w:cs="FrankRuehl"/>
        <w:color w:val="000000"/>
      </w:rPr>
    </w:pPr>
    <w:r w:rsidRPr="00E111D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9F632" w14:textId="77777777" w:rsidR="00E111D7" w:rsidRDefault="00E111D7" w:rsidP="00E111D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75813">
      <w:rPr>
        <w:rFonts w:ascii="FrankRuehl" w:hAnsi="FrankRuehl" w:cs="FrankRuehl"/>
        <w:noProof/>
        <w:rtl/>
      </w:rPr>
      <w:t>1</w:t>
    </w:r>
    <w:r>
      <w:rPr>
        <w:rFonts w:ascii="FrankRuehl" w:hAnsi="FrankRuehl" w:cs="FrankRuehl"/>
        <w:rtl/>
      </w:rPr>
      <w:fldChar w:fldCharType="end"/>
    </w:r>
  </w:p>
  <w:p w14:paraId="5CA6AB23" w14:textId="77777777" w:rsidR="00957433" w:rsidRPr="00E111D7" w:rsidRDefault="00E111D7" w:rsidP="00E111D7">
    <w:pPr>
      <w:pStyle w:val="a5"/>
      <w:pBdr>
        <w:top w:val="single" w:sz="4" w:space="1" w:color="auto"/>
        <w:between w:val="single" w:sz="4" w:space="0" w:color="auto"/>
      </w:pBdr>
      <w:spacing w:after="60"/>
      <w:jc w:val="center"/>
      <w:rPr>
        <w:rFonts w:ascii="FrankRuehl" w:hAnsi="FrankRuehl" w:cs="FrankRuehl"/>
        <w:color w:val="000000"/>
      </w:rPr>
    </w:pPr>
    <w:r w:rsidRPr="00E111D7">
      <w:rPr>
        <w:rFonts w:ascii="FrankRuehl" w:hAnsi="FrankRuehl" w:cs="FrankRuehl"/>
        <w:color w:val="000000"/>
      </w:rPr>
      <w:pict w14:anchorId="14392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AFAEFB" w14:textId="77777777" w:rsidR="00F71A2C" w:rsidRDefault="00F71A2C" w:rsidP="00AE1030">
      <w:r>
        <w:separator/>
      </w:r>
    </w:p>
  </w:footnote>
  <w:footnote w:type="continuationSeparator" w:id="0">
    <w:p w14:paraId="11B5876E" w14:textId="77777777" w:rsidR="00F71A2C" w:rsidRDefault="00F71A2C" w:rsidP="00AE10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335CB" w14:textId="77777777" w:rsidR="008B6C27" w:rsidRPr="00E111D7" w:rsidRDefault="00E111D7" w:rsidP="00E111D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11191-03-24</w:t>
    </w:r>
    <w:r>
      <w:rPr>
        <w:rFonts w:ascii="David" w:hAnsi="David"/>
        <w:color w:val="000000"/>
        <w:sz w:val="22"/>
        <w:szCs w:val="22"/>
        <w:rtl/>
      </w:rPr>
      <w:tab/>
      <w:t xml:space="preserve"> מדינת ישראל נ' שרון אביטן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F80F3" w14:textId="77777777" w:rsidR="008B6C27" w:rsidRPr="00E111D7" w:rsidRDefault="00E111D7" w:rsidP="00E111D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11191-03-24</w:t>
    </w:r>
    <w:r>
      <w:rPr>
        <w:rFonts w:ascii="David" w:hAnsi="David"/>
        <w:color w:val="000000"/>
        <w:sz w:val="22"/>
        <w:szCs w:val="22"/>
        <w:rtl/>
      </w:rPr>
      <w:tab/>
      <w:t xml:space="preserve"> מדינת ישראל נ' שרון אביטן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142EC"/>
    <w:multiLevelType w:val="hybridMultilevel"/>
    <w:tmpl w:val="7C28A780"/>
    <w:lvl w:ilvl="0" w:tplc="7FBE17EC">
      <w:start w:val="1"/>
      <w:numFmt w:val="decimal"/>
      <w:lvlText w:val="%1."/>
      <w:lvlJc w:val="left"/>
      <w:pPr>
        <w:ind w:left="1080" w:hanging="720"/>
      </w:pPr>
      <w:rPr>
        <w:rFonts w:cs="David"/>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5281827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13E5B"/>
    <w:rsid w:val="00640B70"/>
    <w:rsid w:val="00875813"/>
    <w:rsid w:val="008B6C27"/>
    <w:rsid w:val="00957433"/>
    <w:rsid w:val="00A912ED"/>
    <w:rsid w:val="00AE1030"/>
    <w:rsid w:val="00D13E5B"/>
    <w:rsid w:val="00E111D7"/>
    <w:rsid w:val="00F71A2C"/>
    <w:rsid w:val="00FC72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D66FA5"/>
  <w15:chartTrackingRefBased/>
  <w15:docId w15:val="{7311FEC7-F347-46C5-A9AD-0B9312E93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13E5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13E5B"/>
    <w:pPr>
      <w:tabs>
        <w:tab w:val="center" w:pos="4153"/>
        <w:tab w:val="right" w:pos="8306"/>
      </w:tabs>
    </w:pPr>
  </w:style>
  <w:style w:type="character" w:customStyle="1" w:styleId="a4">
    <w:name w:val="כותרת עליונה תו"/>
    <w:link w:val="a3"/>
    <w:rsid w:val="00D13E5B"/>
    <w:rPr>
      <w:rFonts w:ascii="Times New Roman" w:eastAsia="Times New Roman" w:hAnsi="Times New Roman" w:cs="David"/>
      <w:sz w:val="24"/>
      <w:szCs w:val="24"/>
    </w:rPr>
  </w:style>
  <w:style w:type="paragraph" w:styleId="a5">
    <w:name w:val="footer"/>
    <w:basedOn w:val="a"/>
    <w:link w:val="a6"/>
    <w:rsid w:val="00D13E5B"/>
    <w:pPr>
      <w:tabs>
        <w:tab w:val="center" w:pos="4153"/>
        <w:tab w:val="right" w:pos="8306"/>
      </w:tabs>
    </w:pPr>
  </w:style>
  <w:style w:type="character" w:customStyle="1" w:styleId="a6">
    <w:name w:val="כותרת תחתונה תו"/>
    <w:link w:val="a5"/>
    <w:rsid w:val="00D13E5B"/>
    <w:rPr>
      <w:rFonts w:ascii="Times New Roman" w:eastAsia="Times New Roman" w:hAnsi="Times New Roman" w:cs="David"/>
      <w:sz w:val="24"/>
      <w:szCs w:val="24"/>
    </w:rPr>
  </w:style>
  <w:style w:type="table" w:styleId="a7">
    <w:name w:val="Table Grid"/>
    <w:basedOn w:val="a1"/>
    <w:rsid w:val="00D13E5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13E5B"/>
  </w:style>
  <w:style w:type="paragraph" w:styleId="a9">
    <w:name w:val="List Paragraph"/>
    <w:basedOn w:val="a"/>
    <w:qFormat/>
    <w:rsid w:val="00D13E5B"/>
    <w:pPr>
      <w:ind w:left="720"/>
      <w:contextualSpacing/>
    </w:pPr>
  </w:style>
  <w:style w:type="character" w:styleId="Hyperlink">
    <w:name w:val="Hyperlink"/>
    <w:rsid w:val="008B6C2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4216" TargetMode="External"/><Relationship Id="rId34" Type="http://schemas.openxmlformats.org/officeDocument/2006/relationships/hyperlink" Target="http://www.nevo.co.il/case/22841413" TargetMode="External"/><Relationship Id="rId42" Type="http://schemas.openxmlformats.org/officeDocument/2006/relationships/hyperlink" Target="http://www.nevo.co.il/case/26222649" TargetMode="External"/><Relationship Id="rId47" Type="http://schemas.openxmlformats.org/officeDocument/2006/relationships/hyperlink" Target="http://www.nevo.co.il/case/5764903" TargetMode="External"/><Relationship Id="rId50" Type="http://schemas.openxmlformats.org/officeDocument/2006/relationships/hyperlink" Target="http://www.nevo.co.il/case/5601394" TargetMode="External"/><Relationship Id="rId55" Type="http://schemas.openxmlformats.org/officeDocument/2006/relationships/hyperlink" Target="http://www.nevo.co.il/case/17939098" TargetMode="External"/><Relationship Id="rId63"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e" TargetMode="External"/><Relationship Id="rId29" Type="http://schemas.openxmlformats.org/officeDocument/2006/relationships/hyperlink" Target="http://www.nevo.co.il/law/70301/40ja" TargetMode="External"/><Relationship Id="rId11" Type="http://schemas.openxmlformats.org/officeDocument/2006/relationships/hyperlink" Target="http://www.nevo.co.il/law/4216/19" TargetMode="External"/><Relationship Id="rId24" Type="http://schemas.openxmlformats.org/officeDocument/2006/relationships/hyperlink" Target="http://www.nevo.co.il/law/70301/19;13.a" TargetMode="External"/><Relationship Id="rId32" Type="http://schemas.openxmlformats.org/officeDocument/2006/relationships/hyperlink" Target="http://www.nevo.co.il/case/27313460" TargetMode="External"/><Relationship Id="rId37" Type="http://schemas.openxmlformats.org/officeDocument/2006/relationships/hyperlink" Target="http://www.nevo.co.il/case/26230247" TargetMode="External"/><Relationship Id="rId40" Type="http://schemas.openxmlformats.org/officeDocument/2006/relationships/hyperlink" Target="http://www.nevo.co.il/case/5698919" TargetMode="External"/><Relationship Id="rId45" Type="http://schemas.openxmlformats.org/officeDocument/2006/relationships/hyperlink" Target="http://www.nevo.co.il/case/25977712" TargetMode="External"/><Relationship Id="rId53" Type="http://schemas.openxmlformats.org/officeDocument/2006/relationships/hyperlink" Target="http://www.nevo.co.il/case/21476337" TargetMode="External"/><Relationship Id="rId58" Type="http://schemas.openxmlformats.org/officeDocument/2006/relationships/hyperlink" Target="http://www.nevo.co.il/law/4216"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4216/7.a" TargetMode="External"/><Relationship Id="rId14" Type="http://schemas.openxmlformats.org/officeDocument/2006/relationships/hyperlink" Target="http://www.nevo.co.il/law/70301/19" TargetMode="External"/><Relationship Id="rId22" Type="http://schemas.openxmlformats.org/officeDocument/2006/relationships/hyperlink" Target="http://www.nevo.co.il/law/4216/19;13.a" TargetMode="External"/><Relationship Id="rId27" Type="http://schemas.openxmlformats.org/officeDocument/2006/relationships/hyperlink" Target="http://www.nevo.co.il/law/70301/40i" TargetMode="External"/><Relationship Id="rId30" Type="http://schemas.openxmlformats.org/officeDocument/2006/relationships/hyperlink" Target="http://www.nevo.co.il/law/70301/40d" TargetMode="External"/><Relationship Id="rId35" Type="http://schemas.openxmlformats.org/officeDocument/2006/relationships/hyperlink" Target="http://www.nevo.co.il/case/23827604" TargetMode="External"/><Relationship Id="rId43" Type="http://schemas.openxmlformats.org/officeDocument/2006/relationships/hyperlink" Target="http://www.nevo.co.il/case/28303615" TargetMode="External"/><Relationship Id="rId48" Type="http://schemas.openxmlformats.org/officeDocument/2006/relationships/hyperlink" Target="http://www.nevo.co.il/case/17914714" TargetMode="External"/><Relationship Id="rId56" Type="http://schemas.openxmlformats.org/officeDocument/2006/relationships/hyperlink" Target="http://www.nevo.co.il/case/11269647" TargetMode="External"/><Relationship Id="rId64" Type="http://schemas.openxmlformats.org/officeDocument/2006/relationships/fontTable" Target="fontTable.xml"/><Relationship Id="rId8" Type="http://schemas.openxmlformats.org/officeDocument/2006/relationships/hyperlink" Target="http://www.nevo.co.il/law/4216/7.a" TargetMode="External"/><Relationship Id="rId51" Type="http://schemas.openxmlformats.org/officeDocument/2006/relationships/hyperlink" Target="http://www.nevo.co.il/case/20009419"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40i"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6991436" TargetMode="External"/><Relationship Id="rId38" Type="http://schemas.openxmlformats.org/officeDocument/2006/relationships/hyperlink" Target="http://www.nevo.co.il/case/25977712" TargetMode="External"/><Relationship Id="rId46" Type="http://schemas.openxmlformats.org/officeDocument/2006/relationships/hyperlink" Target="http://www.nevo.co.il/case/23748897"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4216/7.c" TargetMode="External"/><Relationship Id="rId41" Type="http://schemas.openxmlformats.org/officeDocument/2006/relationships/hyperlink" Target="http://www.nevo.co.il/case/27521789" TargetMode="External"/><Relationship Id="rId54" Type="http://schemas.openxmlformats.org/officeDocument/2006/relationships/hyperlink" Target="http://www.nevo.co.il/case/23129184"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d"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2841413" TargetMode="External"/><Relationship Id="rId49" Type="http://schemas.openxmlformats.org/officeDocument/2006/relationships/hyperlink" Target="http://www.nevo.co.il/case/22938500" TargetMode="External"/><Relationship Id="rId57" Type="http://schemas.openxmlformats.org/officeDocument/2006/relationships/hyperlink" Target="http://www.nevo.co.il/law/4216" TargetMode="External"/><Relationship Id="rId10" Type="http://schemas.openxmlformats.org/officeDocument/2006/relationships/hyperlink" Target="http://www.nevo.co.il/law/4216/13.a" TargetMode="External"/><Relationship Id="rId31" Type="http://schemas.openxmlformats.org/officeDocument/2006/relationships/hyperlink" Target="http://www.nevo.co.il/law/70301/40e" TargetMode="External"/><Relationship Id="rId44" Type="http://schemas.openxmlformats.org/officeDocument/2006/relationships/hyperlink" Target="http://www.nevo.co.il/case/26314376" TargetMode="External"/><Relationship Id="rId52" Type="http://schemas.openxmlformats.org/officeDocument/2006/relationships/hyperlink" Target="http://www.nevo.co.il/case/21473565"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13.a" TargetMode="External"/><Relationship Id="rId18" Type="http://schemas.openxmlformats.org/officeDocument/2006/relationships/hyperlink" Target="http://www.nevo.co.il/law/70301/40ja" TargetMode="External"/><Relationship Id="rId39" Type="http://schemas.openxmlformats.org/officeDocument/2006/relationships/hyperlink" Target="http://www.nevo.co.il/case/1793297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3275</Words>
  <Characters>16377</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19613</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8257637</vt:i4>
      </vt:variant>
      <vt:variant>
        <vt:i4>153</vt:i4>
      </vt:variant>
      <vt:variant>
        <vt:i4>0</vt:i4>
      </vt:variant>
      <vt:variant>
        <vt:i4>5</vt:i4>
      </vt:variant>
      <vt:variant>
        <vt:lpwstr>http://www.nevo.co.il/law/4216</vt:lpwstr>
      </vt:variant>
      <vt:variant>
        <vt:lpwstr/>
      </vt:variant>
      <vt:variant>
        <vt:i4>8257637</vt:i4>
      </vt:variant>
      <vt:variant>
        <vt:i4>150</vt:i4>
      </vt:variant>
      <vt:variant>
        <vt:i4>0</vt:i4>
      </vt:variant>
      <vt:variant>
        <vt:i4>5</vt:i4>
      </vt:variant>
      <vt:variant>
        <vt:lpwstr>http://www.nevo.co.il/law/4216</vt:lpwstr>
      </vt:variant>
      <vt:variant>
        <vt:lpwstr/>
      </vt:variant>
      <vt:variant>
        <vt:i4>4063349</vt:i4>
      </vt:variant>
      <vt:variant>
        <vt:i4>147</vt:i4>
      </vt:variant>
      <vt:variant>
        <vt:i4>0</vt:i4>
      </vt:variant>
      <vt:variant>
        <vt:i4>5</vt:i4>
      </vt:variant>
      <vt:variant>
        <vt:lpwstr>http://www.nevo.co.il/case/11269647</vt:lpwstr>
      </vt:variant>
      <vt:variant>
        <vt:lpwstr/>
      </vt:variant>
      <vt:variant>
        <vt:i4>3670128</vt:i4>
      </vt:variant>
      <vt:variant>
        <vt:i4>144</vt:i4>
      </vt:variant>
      <vt:variant>
        <vt:i4>0</vt:i4>
      </vt:variant>
      <vt:variant>
        <vt:i4>5</vt:i4>
      </vt:variant>
      <vt:variant>
        <vt:lpwstr>http://www.nevo.co.il/case/17939098</vt:lpwstr>
      </vt:variant>
      <vt:variant>
        <vt:lpwstr/>
      </vt:variant>
      <vt:variant>
        <vt:i4>3276916</vt:i4>
      </vt:variant>
      <vt:variant>
        <vt:i4>141</vt:i4>
      </vt:variant>
      <vt:variant>
        <vt:i4>0</vt:i4>
      </vt:variant>
      <vt:variant>
        <vt:i4>5</vt:i4>
      </vt:variant>
      <vt:variant>
        <vt:lpwstr>http://www.nevo.co.il/case/23129184</vt:lpwstr>
      </vt:variant>
      <vt:variant>
        <vt:lpwstr/>
      </vt:variant>
      <vt:variant>
        <vt:i4>3342449</vt:i4>
      </vt:variant>
      <vt:variant>
        <vt:i4>138</vt:i4>
      </vt:variant>
      <vt:variant>
        <vt:i4>0</vt:i4>
      </vt:variant>
      <vt:variant>
        <vt:i4>5</vt:i4>
      </vt:variant>
      <vt:variant>
        <vt:lpwstr>http://www.nevo.co.il/case/21476337</vt:lpwstr>
      </vt:variant>
      <vt:variant>
        <vt:lpwstr/>
      </vt:variant>
      <vt:variant>
        <vt:i4>3342455</vt:i4>
      </vt:variant>
      <vt:variant>
        <vt:i4>135</vt:i4>
      </vt:variant>
      <vt:variant>
        <vt:i4>0</vt:i4>
      </vt:variant>
      <vt:variant>
        <vt:i4>5</vt:i4>
      </vt:variant>
      <vt:variant>
        <vt:lpwstr>http://www.nevo.co.il/case/21473565</vt:lpwstr>
      </vt:variant>
      <vt:variant>
        <vt:lpwstr/>
      </vt:variant>
      <vt:variant>
        <vt:i4>3801200</vt:i4>
      </vt:variant>
      <vt:variant>
        <vt:i4>132</vt:i4>
      </vt:variant>
      <vt:variant>
        <vt:i4>0</vt:i4>
      </vt:variant>
      <vt:variant>
        <vt:i4>5</vt:i4>
      </vt:variant>
      <vt:variant>
        <vt:lpwstr>http://www.nevo.co.il/case/20009419</vt:lpwstr>
      </vt:variant>
      <vt:variant>
        <vt:lpwstr/>
      </vt:variant>
      <vt:variant>
        <vt:i4>3276922</vt:i4>
      </vt:variant>
      <vt:variant>
        <vt:i4>129</vt:i4>
      </vt:variant>
      <vt:variant>
        <vt:i4>0</vt:i4>
      </vt:variant>
      <vt:variant>
        <vt:i4>5</vt:i4>
      </vt:variant>
      <vt:variant>
        <vt:lpwstr>http://www.nevo.co.il/case/5601394</vt:lpwstr>
      </vt:variant>
      <vt:variant>
        <vt:lpwstr/>
      </vt:variant>
      <vt:variant>
        <vt:i4>3342448</vt:i4>
      </vt:variant>
      <vt:variant>
        <vt:i4>126</vt:i4>
      </vt:variant>
      <vt:variant>
        <vt:i4>0</vt:i4>
      </vt:variant>
      <vt:variant>
        <vt:i4>5</vt:i4>
      </vt:variant>
      <vt:variant>
        <vt:lpwstr>http://www.nevo.co.il/case/22938500</vt:lpwstr>
      </vt:variant>
      <vt:variant>
        <vt:lpwstr/>
      </vt:variant>
      <vt:variant>
        <vt:i4>3997813</vt:i4>
      </vt:variant>
      <vt:variant>
        <vt:i4>123</vt:i4>
      </vt:variant>
      <vt:variant>
        <vt:i4>0</vt:i4>
      </vt:variant>
      <vt:variant>
        <vt:i4>5</vt:i4>
      </vt:variant>
      <vt:variant>
        <vt:lpwstr>http://www.nevo.co.il/case/17914714</vt:lpwstr>
      </vt:variant>
      <vt:variant>
        <vt:lpwstr/>
      </vt:variant>
      <vt:variant>
        <vt:i4>3735671</vt:i4>
      </vt:variant>
      <vt:variant>
        <vt:i4>120</vt:i4>
      </vt:variant>
      <vt:variant>
        <vt:i4>0</vt:i4>
      </vt:variant>
      <vt:variant>
        <vt:i4>5</vt:i4>
      </vt:variant>
      <vt:variant>
        <vt:lpwstr>http://www.nevo.co.il/case/5764903</vt:lpwstr>
      </vt:variant>
      <vt:variant>
        <vt:lpwstr/>
      </vt:variant>
      <vt:variant>
        <vt:i4>3407995</vt:i4>
      </vt:variant>
      <vt:variant>
        <vt:i4>117</vt:i4>
      </vt:variant>
      <vt:variant>
        <vt:i4>0</vt:i4>
      </vt:variant>
      <vt:variant>
        <vt:i4>5</vt:i4>
      </vt:variant>
      <vt:variant>
        <vt:lpwstr>http://www.nevo.co.il/case/23748897</vt:lpwstr>
      </vt:variant>
      <vt:variant>
        <vt:lpwstr/>
      </vt:variant>
      <vt:variant>
        <vt:i4>3997809</vt:i4>
      </vt:variant>
      <vt:variant>
        <vt:i4>114</vt:i4>
      </vt:variant>
      <vt:variant>
        <vt:i4>0</vt:i4>
      </vt:variant>
      <vt:variant>
        <vt:i4>5</vt:i4>
      </vt:variant>
      <vt:variant>
        <vt:lpwstr>http://www.nevo.co.il/case/25977712</vt:lpwstr>
      </vt:variant>
      <vt:variant>
        <vt:lpwstr/>
      </vt:variant>
      <vt:variant>
        <vt:i4>3276912</vt:i4>
      </vt:variant>
      <vt:variant>
        <vt:i4>111</vt:i4>
      </vt:variant>
      <vt:variant>
        <vt:i4>0</vt:i4>
      </vt:variant>
      <vt:variant>
        <vt:i4>5</vt:i4>
      </vt:variant>
      <vt:variant>
        <vt:lpwstr>http://www.nevo.co.il/case/26314376</vt:lpwstr>
      </vt:variant>
      <vt:variant>
        <vt:lpwstr/>
      </vt:variant>
      <vt:variant>
        <vt:i4>3342458</vt:i4>
      </vt:variant>
      <vt:variant>
        <vt:i4>108</vt:i4>
      </vt:variant>
      <vt:variant>
        <vt:i4>0</vt:i4>
      </vt:variant>
      <vt:variant>
        <vt:i4>5</vt:i4>
      </vt:variant>
      <vt:variant>
        <vt:lpwstr>http://www.nevo.co.il/case/28303615</vt:lpwstr>
      </vt:variant>
      <vt:variant>
        <vt:lpwstr/>
      </vt:variant>
      <vt:variant>
        <vt:i4>3539062</vt:i4>
      </vt:variant>
      <vt:variant>
        <vt:i4>105</vt:i4>
      </vt:variant>
      <vt:variant>
        <vt:i4>0</vt:i4>
      </vt:variant>
      <vt:variant>
        <vt:i4>5</vt:i4>
      </vt:variant>
      <vt:variant>
        <vt:lpwstr>http://www.nevo.co.il/case/26222649</vt:lpwstr>
      </vt:variant>
      <vt:variant>
        <vt:lpwstr/>
      </vt:variant>
      <vt:variant>
        <vt:i4>4063350</vt:i4>
      </vt:variant>
      <vt:variant>
        <vt:i4>102</vt:i4>
      </vt:variant>
      <vt:variant>
        <vt:i4>0</vt:i4>
      </vt:variant>
      <vt:variant>
        <vt:i4>5</vt:i4>
      </vt:variant>
      <vt:variant>
        <vt:lpwstr>http://www.nevo.co.il/case/27521789</vt:lpwstr>
      </vt:variant>
      <vt:variant>
        <vt:lpwstr/>
      </vt:variant>
      <vt:variant>
        <vt:i4>3932283</vt:i4>
      </vt:variant>
      <vt:variant>
        <vt:i4>99</vt:i4>
      </vt:variant>
      <vt:variant>
        <vt:i4>0</vt:i4>
      </vt:variant>
      <vt:variant>
        <vt:i4>5</vt:i4>
      </vt:variant>
      <vt:variant>
        <vt:lpwstr>http://www.nevo.co.il/case/5698919</vt:lpwstr>
      </vt:variant>
      <vt:variant>
        <vt:lpwstr/>
      </vt:variant>
      <vt:variant>
        <vt:i4>3997817</vt:i4>
      </vt:variant>
      <vt:variant>
        <vt:i4>96</vt:i4>
      </vt:variant>
      <vt:variant>
        <vt:i4>0</vt:i4>
      </vt:variant>
      <vt:variant>
        <vt:i4>5</vt:i4>
      </vt:variant>
      <vt:variant>
        <vt:lpwstr>http://www.nevo.co.il/case/17932979</vt:lpwstr>
      </vt:variant>
      <vt:variant>
        <vt:lpwstr/>
      </vt:variant>
      <vt:variant>
        <vt:i4>3997809</vt:i4>
      </vt:variant>
      <vt:variant>
        <vt:i4>93</vt:i4>
      </vt:variant>
      <vt:variant>
        <vt:i4>0</vt:i4>
      </vt:variant>
      <vt:variant>
        <vt:i4>5</vt:i4>
      </vt:variant>
      <vt:variant>
        <vt:lpwstr>http://www.nevo.co.il/case/25977712</vt:lpwstr>
      </vt:variant>
      <vt:variant>
        <vt:lpwstr/>
      </vt:variant>
      <vt:variant>
        <vt:i4>3407987</vt:i4>
      </vt:variant>
      <vt:variant>
        <vt:i4>90</vt:i4>
      </vt:variant>
      <vt:variant>
        <vt:i4>0</vt:i4>
      </vt:variant>
      <vt:variant>
        <vt:i4>5</vt:i4>
      </vt:variant>
      <vt:variant>
        <vt:lpwstr>http://www.nevo.co.il/case/26230247</vt:lpwstr>
      </vt:variant>
      <vt:variant>
        <vt:lpwstr/>
      </vt:variant>
      <vt:variant>
        <vt:i4>3801206</vt:i4>
      </vt:variant>
      <vt:variant>
        <vt:i4>87</vt:i4>
      </vt:variant>
      <vt:variant>
        <vt:i4>0</vt:i4>
      </vt:variant>
      <vt:variant>
        <vt:i4>5</vt:i4>
      </vt:variant>
      <vt:variant>
        <vt:lpwstr>http://www.nevo.co.il/case/22841413</vt:lpwstr>
      </vt:variant>
      <vt:variant>
        <vt:lpwstr/>
      </vt:variant>
      <vt:variant>
        <vt:i4>3997811</vt:i4>
      </vt:variant>
      <vt:variant>
        <vt:i4>84</vt:i4>
      </vt:variant>
      <vt:variant>
        <vt:i4>0</vt:i4>
      </vt:variant>
      <vt:variant>
        <vt:i4>5</vt:i4>
      </vt:variant>
      <vt:variant>
        <vt:lpwstr>http://www.nevo.co.il/case/23827604</vt:lpwstr>
      </vt:variant>
      <vt:variant>
        <vt:lpwstr/>
      </vt:variant>
      <vt:variant>
        <vt:i4>3801206</vt:i4>
      </vt:variant>
      <vt:variant>
        <vt:i4>81</vt:i4>
      </vt:variant>
      <vt:variant>
        <vt:i4>0</vt:i4>
      </vt:variant>
      <vt:variant>
        <vt:i4>5</vt:i4>
      </vt:variant>
      <vt:variant>
        <vt:lpwstr>http://www.nevo.co.il/case/22841413</vt:lpwstr>
      </vt:variant>
      <vt:variant>
        <vt:lpwstr/>
      </vt:variant>
      <vt:variant>
        <vt:i4>3735679</vt:i4>
      </vt:variant>
      <vt:variant>
        <vt:i4>78</vt:i4>
      </vt:variant>
      <vt:variant>
        <vt:i4>0</vt:i4>
      </vt:variant>
      <vt:variant>
        <vt:i4>5</vt:i4>
      </vt:variant>
      <vt:variant>
        <vt:lpwstr>http://www.nevo.co.il/case/26991436</vt:lpwstr>
      </vt:variant>
      <vt:variant>
        <vt:lpwstr/>
      </vt:variant>
      <vt:variant>
        <vt:i4>3407990</vt:i4>
      </vt:variant>
      <vt:variant>
        <vt:i4>75</vt:i4>
      </vt:variant>
      <vt:variant>
        <vt:i4>0</vt:i4>
      </vt:variant>
      <vt:variant>
        <vt:i4>5</vt:i4>
      </vt:variant>
      <vt:variant>
        <vt:lpwstr>http://www.nevo.co.il/case/27313460</vt:lpwstr>
      </vt:variant>
      <vt:variant>
        <vt:lpwstr/>
      </vt:variant>
      <vt:variant>
        <vt:i4>6619233</vt:i4>
      </vt:variant>
      <vt:variant>
        <vt:i4>72</vt:i4>
      </vt:variant>
      <vt:variant>
        <vt:i4>0</vt:i4>
      </vt:variant>
      <vt:variant>
        <vt:i4>5</vt:i4>
      </vt:variant>
      <vt:variant>
        <vt:lpwstr>http://www.nevo.co.il/law/70301/40e</vt:lpwstr>
      </vt:variant>
      <vt:variant>
        <vt:lpwstr/>
      </vt:variant>
      <vt:variant>
        <vt:i4>6619233</vt:i4>
      </vt:variant>
      <vt:variant>
        <vt:i4>69</vt:i4>
      </vt:variant>
      <vt:variant>
        <vt:i4>0</vt:i4>
      </vt:variant>
      <vt:variant>
        <vt:i4>5</vt:i4>
      </vt:variant>
      <vt:variant>
        <vt:lpwstr>http://www.nevo.co.il/law/70301/40d</vt:lpwstr>
      </vt:variant>
      <vt:variant>
        <vt:lpwstr/>
      </vt:variant>
      <vt:variant>
        <vt:i4>262155</vt:i4>
      </vt:variant>
      <vt:variant>
        <vt:i4>66</vt:i4>
      </vt:variant>
      <vt:variant>
        <vt:i4>0</vt:i4>
      </vt:variant>
      <vt:variant>
        <vt:i4>5</vt:i4>
      </vt:variant>
      <vt:variant>
        <vt:lpwstr>http://www.nevo.co.il/law/70301/40ja</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http://www.nevo.co.il/law/70301/40i</vt:lpwstr>
      </vt:variant>
      <vt:variant>
        <vt:lpwstr/>
      </vt:variant>
      <vt:variant>
        <vt:i4>7995492</vt:i4>
      </vt:variant>
      <vt:variant>
        <vt:i4>57</vt:i4>
      </vt:variant>
      <vt:variant>
        <vt:i4>0</vt:i4>
      </vt:variant>
      <vt:variant>
        <vt:i4>5</vt:i4>
      </vt:variant>
      <vt:variant>
        <vt:lpwstr>http://www.nevo.co.il/law/70301</vt:lpwstr>
      </vt:variant>
      <vt:variant>
        <vt:lpwstr/>
      </vt:variant>
      <vt:variant>
        <vt:i4>7995492</vt:i4>
      </vt:variant>
      <vt:variant>
        <vt:i4>54</vt:i4>
      </vt:variant>
      <vt:variant>
        <vt:i4>0</vt:i4>
      </vt:variant>
      <vt:variant>
        <vt:i4>5</vt:i4>
      </vt:variant>
      <vt:variant>
        <vt:lpwstr>http://www.nevo.co.il/law/70301</vt:lpwstr>
      </vt:variant>
      <vt:variant>
        <vt:lpwstr/>
      </vt:variant>
      <vt:variant>
        <vt:i4>7536748</vt:i4>
      </vt:variant>
      <vt:variant>
        <vt:i4>51</vt:i4>
      </vt:variant>
      <vt:variant>
        <vt:i4>0</vt:i4>
      </vt:variant>
      <vt:variant>
        <vt:i4>5</vt:i4>
      </vt:variant>
      <vt:variant>
        <vt:lpwstr>http://www.nevo.co.il/law/70301/19;13.a</vt:lpwstr>
      </vt:variant>
      <vt:variant>
        <vt:lpwstr/>
      </vt:variant>
      <vt:variant>
        <vt:i4>8257637</vt:i4>
      </vt:variant>
      <vt:variant>
        <vt:i4>48</vt:i4>
      </vt:variant>
      <vt:variant>
        <vt:i4>0</vt:i4>
      </vt:variant>
      <vt:variant>
        <vt:i4>5</vt:i4>
      </vt:variant>
      <vt:variant>
        <vt:lpwstr>http://www.nevo.co.il/law/4216</vt:lpwstr>
      </vt:variant>
      <vt:variant>
        <vt:lpwstr/>
      </vt:variant>
      <vt:variant>
        <vt:i4>2490476</vt:i4>
      </vt:variant>
      <vt:variant>
        <vt:i4>45</vt:i4>
      </vt:variant>
      <vt:variant>
        <vt:i4>0</vt:i4>
      </vt:variant>
      <vt:variant>
        <vt:i4>5</vt:i4>
      </vt:variant>
      <vt:variant>
        <vt:lpwstr>http://www.nevo.co.il/law/4216/19;13.a</vt:lpwstr>
      </vt:variant>
      <vt:variant>
        <vt:lpwstr/>
      </vt:variant>
      <vt:variant>
        <vt:i4>8257637</vt:i4>
      </vt:variant>
      <vt:variant>
        <vt:i4>42</vt:i4>
      </vt:variant>
      <vt:variant>
        <vt:i4>0</vt:i4>
      </vt:variant>
      <vt:variant>
        <vt:i4>5</vt:i4>
      </vt:variant>
      <vt:variant>
        <vt:lpwstr>http://www.nevo.co.il/law/4216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6619233</vt:i4>
      </vt:variant>
      <vt:variant>
        <vt:i4>27</vt:i4>
      </vt:variant>
      <vt:variant>
        <vt:i4>0</vt:i4>
      </vt:variant>
      <vt:variant>
        <vt:i4>5</vt:i4>
      </vt:variant>
      <vt:variant>
        <vt:lpwstr>http://www.nevo.co.il/law/70301/40e</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7077988</vt:i4>
      </vt:variant>
      <vt:variant>
        <vt:i4>21</vt:i4>
      </vt:variant>
      <vt:variant>
        <vt:i4>0</vt:i4>
      </vt:variant>
      <vt:variant>
        <vt:i4>5</vt:i4>
      </vt:variant>
      <vt:variant>
        <vt:lpwstr>http://www.nevo.co.il/law/70301/19</vt:lpwstr>
      </vt:variant>
      <vt:variant>
        <vt:lpwstr/>
      </vt:variant>
      <vt:variant>
        <vt:i4>458826</vt:i4>
      </vt:variant>
      <vt:variant>
        <vt:i4>18</vt:i4>
      </vt:variant>
      <vt:variant>
        <vt:i4>0</vt:i4>
      </vt:variant>
      <vt:variant>
        <vt:i4>5</vt:i4>
      </vt:variant>
      <vt:variant>
        <vt:lpwstr>http://www.nevo.co.il/law/70301/13.a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http://www.nevo.co.il/law/4216/19</vt:lpwstr>
      </vt:variant>
      <vt:variant>
        <vt:lpwstr/>
      </vt:variant>
      <vt:variant>
        <vt:i4>6357113</vt:i4>
      </vt:variant>
      <vt:variant>
        <vt:i4>9</vt:i4>
      </vt:variant>
      <vt:variant>
        <vt:i4>0</vt:i4>
      </vt:variant>
      <vt:variant>
        <vt:i4>5</vt:i4>
      </vt:variant>
      <vt:variant>
        <vt:lpwstr>http://www.nevo.co.il/law/4216/13.a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2025-04-23T01:56:00Z</dcterms:created>
  <dcterms:modified xsi:type="dcterms:W3CDTF">2025-04-23T01:56:00Z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11191</vt:lpwstr>
  </property>
  <property fmtid="{D5CDD505-2E9C-101B-9397-08002B2CF9AE}" pid="6" name="NEWPARTB">
    <vt:lpwstr>03</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שרון אביטן</vt:lpwstr>
  </property>
  <property fmtid="{D5CDD505-2E9C-101B-9397-08002B2CF9AE}" pid="10" name="LAWYER">
    <vt:lpwstr>אופיר בר מרטון;שי לוי</vt:lpwstr>
  </property>
  <property fmtid="{D5CDD505-2E9C-101B-9397-08002B2CF9AE}" pid="11" name="JUDGE">
    <vt:lpwstr>אלכס אחטר</vt:lpwstr>
  </property>
  <property fmtid="{D5CDD505-2E9C-101B-9397-08002B2CF9AE}" pid="12" name="CITY">
    <vt:lpwstr>חד'</vt:lpwstr>
  </property>
  <property fmtid="{D5CDD505-2E9C-101B-9397-08002B2CF9AE}" pid="13" name="TYPE_N_DATE">
    <vt:lpwstr>38020250326</vt:lpwstr>
  </property>
  <property fmtid="{D5CDD505-2E9C-101B-9397-08002B2CF9AE}" pid="14" name="CASESLISTTMP1">
    <vt:lpwstr>27313460;26991436;22841413:2;23827604;26230247;25977712:2;17932979;5698919;27521789;26222649;28303615;26314376;23748897;5764903;17914714;22938500;5601394;20009419;21473565;21476337;23129184;17939098;11269647</vt:lpwstr>
  </property>
  <property fmtid="{D5CDD505-2E9C-101B-9397-08002B2CF9AE}" pid="15" name="WORDNUMPAGES">
    <vt:lpwstr>9</vt:lpwstr>
  </property>
  <property fmtid="{D5CDD505-2E9C-101B-9397-08002B2CF9AE}" pid="16" name="APPELLANT1">
    <vt:lpwstr/>
  </property>
  <property fmtid="{D5CDD505-2E9C-101B-9397-08002B2CF9AE}" pid="17" name="APPELLANT2">
    <vt:lpwstr/>
  </property>
  <property fmtid="{D5CDD505-2E9C-101B-9397-08002B2CF9AE}" pid="18" name="APPELLEE1">
    <vt:lpwstr/>
  </property>
  <property fmtid="{D5CDD505-2E9C-101B-9397-08002B2CF9AE}" pid="19" name="APPELLEE2">
    <vt:lpwstr/>
  </property>
  <property fmtid="{D5CDD505-2E9C-101B-9397-08002B2CF9AE}" pid="20" name="PROCESS">
    <vt:lpwstr/>
  </property>
  <property fmtid="{D5CDD505-2E9C-101B-9397-08002B2CF9AE}" pid="21" name="PROCNUM">
    <vt:lpwstr/>
  </property>
  <property fmtid="{D5CDD505-2E9C-101B-9397-08002B2CF9AE}" pid="22" name="PROCYEAR">
    <vt:lpwstr/>
  </property>
  <property fmtid="{D5CDD505-2E9C-101B-9397-08002B2CF9AE}" pid="23" name="VOLUME">
    <vt:lpwstr/>
  </property>
  <property fmtid="{D5CDD505-2E9C-101B-9397-08002B2CF9AE}" pid="24" name="PART">
    <vt:lpwstr/>
  </property>
  <property fmtid="{D5CDD505-2E9C-101B-9397-08002B2CF9AE}" pid="25" name="PAGE">
    <vt:lpwstr/>
  </property>
  <property fmtid="{D5CDD505-2E9C-101B-9397-08002B2CF9AE}" pid="26" name="PADIMAIL">
    <vt:lpwstr/>
  </property>
  <property fmtid="{D5CDD505-2E9C-101B-9397-08002B2CF9AE}" pid="27" name="DELEMATA">
    <vt:lpwstr/>
  </property>
  <property fmtid="{D5CDD505-2E9C-101B-9397-08002B2CF9AE}" pid="28" name="LINKK1">
    <vt:lpwstr/>
  </property>
  <property fmtid="{D5CDD505-2E9C-101B-9397-08002B2CF9AE}" pid="29" name="LINKK2">
    <vt:lpwstr/>
  </property>
  <property fmtid="{D5CDD505-2E9C-101B-9397-08002B2CF9AE}" pid="30" name="LINKK3">
    <vt:lpwstr/>
  </property>
  <property fmtid="{D5CDD505-2E9C-101B-9397-08002B2CF9AE}" pid="31" name="LINKK4">
    <vt:lpwstr/>
  </property>
  <property fmtid="{D5CDD505-2E9C-101B-9397-08002B2CF9AE}" pid="32" name="LINKK5">
    <vt:lpwstr/>
  </property>
  <property fmtid="{D5CDD505-2E9C-101B-9397-08002B2CF9AE}" pid="33" name="DATE">
    <vt:lpwstr>20250326</vt:lpwstr>
  </property>
  <property fmtid="{D5CDD505-2E9C-101B-9397-08002B2CF9AE}" pid="34" name="TYPE_ABS_DATE">
    <vt:lpwstr>380020250326</vt:lpwstr>
  </property>
  <property fmtid="{D5CDD505-2E9C-101B-9397-08002B2CF9AE}" pid="35" name="LAWLISTTMP1">
    <vt:lpwstr>4216/007.a;007.c;019;013.a</vt:lpwstr>
  </property>
  <property fmtid="{D5CDD505-2E9C-101B-9397-08002B2CF9AE}" pid="36" name="LAWLISTTMP2">
    <vt:lpwstr>70301/019;013.a;040i;40ja;040d;040e</vt:lpwstr>
  </property>
  <property fmtid="{D5CDD505-2E9C-101B-9397-08002B2CF9AE}" pid="37" name="ISABSTRACT">
    <vt:lpwstr>Y</vt:lpwstr>
  </property>
</Properties>
</file>