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8D6B14" w:rsidRPr="00696E5D" w14:paraId="1AF8A9E1" w14:textId="77777777" w:rsidTr="00D70960">
        <w:trPr>
          <w:trHeight w:hRule="exact" w:val="704"/>
          <w:jc w:val="center"/>
        </w:trPr>
        <w:tc>
          <w:tcPr>
            <w:tcW w:w="8721" w:type="dxa"/>
          </w:tcPr>
          <w:p w14:paraId="4D30F057" w14:textId="77777777" w:rsidR="008D6B14" w:rsidRPr="00696E5D" w:rsidRDefault="008D6B14" w:rsidP="00D70960">
            <w:pPr>
              <w:pStyle w:val="a3"/>
              <w:jc w:val="center"/>
              <w:rPr>
                <w:rFonts w:ascii="Tahoma" w:hAnsi="Tahoma" w:cs="Tahoma"/>
                <w:b/>
                <w:bCs/>
                <w:noProof w:val="0"/>
                <w:color w:val="000080"/>
                <w:rtl/>
              </w:rPr>
            </w:pPr>
            <w:r w:rsidRPr="00696E5D">
              <w:rPr>
                <w:rFonts w:ascii="Tahoma" w:hAnsi="Tahoma" w:cs="Tahoma"/>
                <w:b/>
                <w:bCs/>
                <w:noProof w:val="0"/>
                <w:color w:val="000080"/>
                <w:rtl/>
              </w:rPr>
              <w:t>בית משפט השלום בחדרה</w:t>
            </w:r>
          </w:p>
          <w:p w14:paraId="6981286C" w14:textId="77777777" w:rsidR="008D6B14" w:rsidRPr="00696E5D" w:rsidRDefault="008D6B14" w:rsidP="00D70960">
            <w:pPr>
              <w:pStyle w:val="a3"/>
              <w:jc w:val="center"/>
              <w:rPr>
                <w:rFonts w:ascii="Tahoma" w:hAnsi="Tahoma" w:cs="Tahoma"/>
                <w:noProof w:val="0"/>
                <w:color w:val="000080"/>
                <w:rtl/>
              </w:rPr>
            </w:pPr>
          </w:p>
        </w:tc>
      </w:tr>
      <w:tr w:rsidR="008D6B14" w:rsidRPr="00696E5D" w14:paraId="2D77DB59" w14:textId="77777777" w:rsidTr="00D70960">
        <w:trPr>
          <w:trHeight w:val="337"/>
          <w:jc w:val="center"/>
        </w:trPr>
        <w:tc>
          <w:tcPr>
            <w:tcW w:w="8721" w:type="dxa"/>
          </w:tcPr>
          <w:p w14:paraId="5099CCC4" w14:textId="77777777" w:rsidR="008D6B14" w:rsidRPr="00696E5D" w:rsidRDefault="008D6B14" w:rsidP="00D70960">
            <w:pPr>
              <w:rPr>
                <w:b/>
                <w:bCs/>
                <w:noProof w:val="0"/>
                <w:sz w:val="26"/>
                <w:szCs w:val="26"/>
                <w:rtl/>
              </w:rPr>
            </w:pPr>
            <w:r w:rsidRPr="00696E5D">
              <w:rPr>
                <w:b/>
                <w:bCs/>
                <w:noProof w:val="0"/>
                <w:sz w:val="26"/>
                <w:szCs w:val="26"/>
                <w:rtl/>
              </w:rPr>
              <w:t>ת"פ 1404-03-24 מדינת ישראל נ' יחיאלוב(עציר)</w:t>
            </w:r>
          </w:p>
          <w:p w14:paraId="3751659A" w14:textId="77777777" w:rsidR="008D6B14" w:rsidRPr="00696E5D" w:rsidRDefault="008D6B14" w:rsidP="00D70960">
            <w:pPr>
              <w:rPr>
                <w:rtl/>
              </w:rPr>
            </w:pPr>
          </w:p>
          <w:p w14:paraId="48B39C16" w14:textId="77777777" w:rsidR="008D6B14" w:rsidRPr="00696E5D" w:rsidRDefault="008D6B14" w:rsidP="00D70960">
            <w:pPr>
              <w:rPr>
                <w:rtl/>
              </w:rPr>
            </w:pPr>
            <w:r w:rsidRPr="00696E5D">
              <w:rPr>
                <w:rFonts w:hint="cs"/>
                <w:sz w:val="20"/>
                <w:szCs w:val="20"/>
                <w:rtl/>
              </w:rPr>
              <w:t>תיק חיצוני</w:t>
            </w:r>
            <w:r w:rsidRPr="00696E5D">
              <w:rPr>
                <w:rFonts w:hint="cs"/>
                <w:rtl/>
              </w:rPr>
              <w:t xml:space="preserve">: </w:t>
            </w:r>
            <w:r w:rsidRPr="00696E5D">
              <w:rPr>
                <w:sz w:val="20"/>
                <w:szCs w:val="20"/>
              </w:rPr>
              <w:t>87190/2024</w:t>
            </w:r>
          </w:p>
        </w:tc>
      </w:tr>
    </w:tbl>
    <w:p w14:paraId="6A26B9A0" w14:textId="77777777" w:rsidR="008D6B14" w:rsidRPr="00696E5D" w:rsidRDefault="008D6B14" w:rsidP="00336937">
      <w:pPr>
        <w:pStyle w:val="a3"/>
        <w:rPr>
          <w:rFonts w:ascii="David" w:hAnsi="David"/>
          <w:rtl/>
        </w:rPr>
      </w:pPr>
      <w:r w:rsidRPr="00696E5D">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8D6B14" w:rsidRPr="00696E5D" w14:paraId="5B7E2874" w14:textId="77777777" w:rsidTr="008D6B14">
        <w:trPr>
          <w:jc w:val="center"/>
        </w:trPr>
        <w:tc>
          <w:tcPr>
            <w:tcW w:w="743" w:type="dxa"/>
            <w:shd w:val="clear" w:color="auto" w:fill="auto"/>
          </w:tcPr>
          <w:p w14:paraId="6AAC1639" w14:textId="77777777" w:rsidR="008D6B14" w:rsidRPr="00696E5D" w:rsidRDefault="008D6B14" w:rsidP="008D6B14">
            <w:pPr>
              <w:jc w:val="both"/>
              <w:rPr>
                <w:rFonts w:ascii="David" w:hAnsi="David"/>
                <w:b/>
                <w:bCs/>
              </w:rPr>
            </w:pPr>
            <w:r w:rsidRPr="00696E5D">
              <w:rPr>
                <w:rFonts w:ascii="David" w:hAnsi="David"/>
                <w:b/>
                <w:bCs/>
                <w:rtl/>
              </w:rPr>
              <w:t xml:space="preserve">בפני </w:t>
            </w:r>
          </w:p>
        </w:tc>
        <w:tc>
          <w:tcPr>
            <w:tcW w:w="8077" w:type="dxa"/>
            <w:gridSpan w:val="2"/>
            <w:shd w:val="clear" w:color="auto" w:fill="auto"/>
          </w:tcPr>
          <w:p w14:paraId="66DD8682" w14:textId="77777777" w:rsidR="008D6B14" w:rsidRPr="00696E5D" w:rsidRDefault="008D6B14" w:rsidP="00D70960">
            <w:pPr>
              <w:rPr>
                <w:rFonts w:ascii="David" w:hAnsi="David"/>
                <w:b/>
                <w:bCs/>
                <w:highlight w:val="yellow"/>
              </w:rPr>
            </w:pPr>
            <w:r w:rsidRPr="00696E5D">
              <w:rPr>
                <w:rFonts w:ascii="David" w:hAnsi="David"/>
                <w:b/>
                <w:bCs/>
                <w:rtl/>
              </w:rPr>
              <w:t>כב' סגנית הנשיאה, השופטת ליזי פרוינד</w:t>
            </w:r>
          </w:p>
        </w:tc>
      </w:tr>
      <w:tr w:rsidR="008D6B14" w:rsidRPr="00696E5D" w14:paraId="2127B20F" w14:textId="77777777" w:rsidTr="008D6B14">
        <w:trPr>
          <w:jc w:val="center"/>
        </w:trPr>
        <w:tc>
          <w:tcPr>
            <w:tcW w:w="3249" w:type="dxa"/>
            <w:gridSpan w:val="2"/>
            <w:shd w:val="clear" w:color="auto" w:fill="auto"/>
          </w:tcPr>
          <w:p w14:paraId="11E2D451" w14:textId="77777777" w:rsidR="008D6B14" w:rsidRPr="00696E5D" w:rsidRDefault="008D6B14" w:rsidP="008D6B14">
            <w:pPr>
              <w:bidi w:val="0"/>
              <w:jc w:val="right"/>
              <w:rPr>
                <w:rFonts w:ascii="David" w:hAnsi="David"/>
                <w:b/>
                <w:bCs/>
                <w:noProof w:val="0"/>
              </w:rPr>
            </w:pPr>
            <w:bookmarkStart w:id="0" w:name="FirstAppellant"/>
            <w:bookmarkStart w:id="1" w:name="LastJudge"/>
            <w:bookmarkEnd w:id="1"/>
          </w:p>
          <w:p w14:paraId="45F7E9AA" w14:textId="77777777" w:rsidR="008D6B14" w:rsidRPr="00696E5D" w:rsidRDefault="008D6B14" w:rsidP="008D6B14">
            <w:pPr>
              <w:bidi w:val="0"/>
              <w:jc w:val="right"/>
              <w:rPr>
                <w:rFonts w:ascii="David" w:hAnsi="David"/>
                <w:b/>
                <w:bCs/>
                <w:noProof w:val="0"/>
                <w:rtl/>
              </w:rPr>
            </w:pPr>
            <w:r w:rsidRPr="00696E5D">
              <w:rPr>
                <w:rFonts w:ascii="David" w:hAnsi="David"/>
                <w:b/>
                <w:bCs/>
                <w:noProof w:val="0"/>
                <w:rtl/>
              </w:rPr>
              <w:t>מאשימה</w:t>
            </w:r>
          </w:p>
        </w:tc>
        <w:tc>
          <w:tcPr>
            <w:tcW w:w="5571" w:type="dxa"/>
            <w:shd w:val="clear" w:color="auto" w:fill="auto"/>
          </w:tcPr>
          <w:p w14:paraId="52CBE81D" w14:textId="77777777" w:rsidR="008D6B14" w:rsidRPr="00696E5D" w:rsidRDefault="008D6B14" w:rsidP="00D70960">
            <w:pPr>
              <w:rPr>
                <w:rFonts w:ascii="David" w:hAnsi="David"/>
                <w:b/>
                <w:bCs/>
                <w:noProof w:val="0"/>
                <w:rtl/>
              </w:rPr>
            </w:pPr>
          </w:p>
          <w:p w14:paraId="739473B4" w14:textId="77777777" w:rsidR="008D6B14" w:rsidRPr="00696E5D" w:rsidRDefault="008D6B14" w:rsidP="00D70960">
            <w:pPr>
              <w:rPr>
                <w:rFonts w:ascii="David" w:hAnsi="David"/>
                <w:b/>
                <w:bCs/>
                <w:noProof w:val="0"/>
              </w:rPr>
            </w:pPr>
            <w:r w:rsidRPr="00696E5D">
              <w:rPr>
                <w:rFonts w:ascii="David" w:hAnsi="David"/>
                <w:b/>
                <w:bCs/>
                <w:noProof w:val="0"/>
                <w:rtl/>
              </w:rPr>
              <w:t>מדינת ישראל</w:t>
            </w:r>
          </w:p>
        </w:tc>
      </w:tr>
      <w:bookmarkEnd w:id="0"/>
      <w:tr w:rsidR="008D6B14" w:rsidRPr="00696E5D" w14:paraId="4CAECD69" w14:textId="77777777" w:rsidTr="008D6B14">
        <w:trPr>
          <w:jc w:val="center"/>
        </w:trPr>
        <w:tc>
          <w:tcPr>
            <w:tcW w:w="8820" w:type="dxa"/>
            <w:gridSpan w:val="3"/>
            <w:shd w:val="clear" w:color="auto" w:fill="auto"/>
          </w:tcPr>
          <w:p w14:paraId="0AE6B20F" w14:textId="77777777" w:rsidR="008D6B14" w:rsidRPr="00696E5D" w:rsidRDefault="008D6B14" w:rsidP="00D70960">
            <w:pPr>
              <w:rPr>
                <w:rFonts w:ascii="David" w:hAnsi="David"/>
                <w:b/>
                <w:bCs/>
                <w:noProof w:val="0"/>
                <w:rtl/>
              </w:rPr>
            </w:pPr>
          </w:p>
          <w:p w14:paraId="4F499D4D" w14:textId="77777777" w:rsidR="008D6B14" w:rsidRPr="00696E5D" w:rsidRDefault="008D6B14" w:rsidP="008D6B14">
            <w:pPr>
              <w:jc w:val="center"/>
              <w:rPr>
                <w:rFonts w:ascii="David" w:hAnsi="David"/>
                <w:b/>
                <w:bCs/>
                <w:noProof w:val="0"/>
                <w:rtl/>
              </w:rPr>
            </w:pPr>
            <w:r w:rsidRPr="00696E5D">
              <w:rPr>
                <w:rFonts w:ascii="David" w:hAnsi="David"/>
                <w:b/>
                <w:bCs/>
                <w:noProof w:val="0"/>
                <w:rtl/>
              </w:rPr>
              <w:t>נגד</w:t>
            </w:r>
          </w:p>
          <w:p w14:paraId="5624611F" w14:textId="77777777" w:rsidR="008D6B14" w:rsidRPr="00696E5D" w:rsidRDefault="008D6B14" w:rsidP="00D70960">
            <w:pPr>
              <w:rPr>
                <w:rFonts w:ascii="David" w:hAnsi="David"/>
                <w:b/>
                <w:bCs/>
                <w:noProof w:val="0"/>
              </w:rPr>
            </w:pPr>
          </w:p>
        </w:tc>
      </w:tr>
      <w:tr w:rsidR="008D6B14" w:rsidRPr="00696E5D" w14:paraId="75359076" w14:textId="77777777" w:rsidTr="008D6B14">
        <w:trPr>
          <w:jc w:val="center"/>
        </w:trPr>
        <w:tc>
          <w:tcPr>
            <w:tcW w:w="3249" w:type="dxa"/>
            <w:gridSpan w:val="2"/>
            <w:shd w:val="clear" w:color="auto" w:fill="auto"/>
          </w:tcPr>
          <w:p w14:paraId="690B053E" w14:textId="77777777" w:rsidR="008D6B14" w:rsidRPr="00696E5D" w:rsidRDefault="008D6B14" w:rsidP="00D70960">
            <w:pPr>
              <w:rPr>
                <w:rFonts w:ascii="David" w:hAnsi="David"/>
                <w:b/>
                <w:bCs/>
                <w:noProof w:val="0"/>
                <w:rtl/>
              </w:rPr>
            </w:pPr>
          </w:p>
          <w:p w14:paraId="66D4FC07" w14:textId="77777777" w:rsidR="008D6B14" w:rsidRPr="00696E5D" w:rsidRDefault="008D6B14" w:rsidP="00D70960">
            <w:pPr>
              <w:rPr>
                <w:rFonts w:ascii="David" w:hAnsi="David"/>
                <w:b/>
                <w:bCs/>
                <w:noProof w:val="0"/>
              </w:rPr>
            </w:pPr>
            <w:r w:rsidRPr="00696E5D">
              <w:rPr>
                <w:rFonts w:ascii="David" w:hAnsi="David"/>
                <w:b/>
                <w:bCs/>
                <w:noProof w:val="0"/>
                <w:rtl/>
              </w:rPr>
              <w:t>נאשמים</w:t>
            </w:r>
          </w:p>
        </w:tc>
        <w:tc>
          <w:tcPr>
            <w:tcW w:w="5571" w:type="dxa"/>
            <w:shd w:val="clear" w:color="auto" w:fill="auto"/>
          </w:tcPr>
          <w:p w14:paraId="13D596F3" w14:textId="77777777" w:rsidR="008D6B14" w:rsidRPr="00696E5D" w:rsidRDefault="008D6B14" w:rsidP="00D70960">
            <w:pPr>
              <w:rPr>
                <w:rFonts w:ascii="David" w:hAnsi="David"/>
                <w:b/>
                <w:bCs/>
                <w:noProof w:val="0"/>
                <w:rtl/>
              </w:rPr>
            </w:pPr>
          </w:p>
          <w:p w14:paraId="040CAC2B" w14:textId="77777777" w:rsidR="008D6B14" w:rsidRPr="00696E5D" w:rsidRDefault="008D6B14" w:rsidP="00D70960">
            <w:pPr>
              <w:rPr>
                <w:rFonts w:ascii="David" w:hAnsi="David"/>
                <w:b/>
                <w:bCs/>
                <w:noProof w:val="0"/>
                <w:rtl/>
              </w:rPr>
            </w:pPr>
            <w:r w:rsidRPr="00696E5D">
              <w:rPr>
                <w:rFonts w:ascii="David" w:hAnsi="David"/>
                <w:b/>
                <w:bCs/>
                <w:noProof w:val="0"/>
                <w:rtl/>
              </w:rPr>
              <w:t>מסלי יחיאלוב (עציר)</w:t>
            </w:r>
          </w:p>
        </w:tc>
      </w:tr>
    </w:tbl>
    <w:p w14:paraId="22F3EA77" w14:textId="77777777" w:rsidR="008D6B14" w:rsidRPr="00696E5D" w:rsidRDefault="008D6B14" w:rsidP="008D6B14">
      <w:pPr>
        <w:suppressLineNumbers/>
        <w:rPr>
          <w:rFonts w:ascii="David" w:hAnsi="David"/>
        </w:rPr>
      </w:pPr>
    </w:p>
    <w:p w14:paraId="0276AAC8" w14:textId="77777777" w:rsidR="008D6B14" w:rsidRPr="00696E5D" w:rsidRDefault="008D6B14" w:rsidP="008D6B14">
      <w:pPr>
        <w:suppressLineNumbers/>
        <w:rPr>
          <w:rFonts w:ascii="David" w:hAnsi="David"/>
          <w:rtl/>
        </w:rPr>
      </w:pPr>
    </w:p>
    <w:p w14:paraId="1D825C14" w14:textId="77777777" w:rsidR="008D6B14" w:rsidRPr="00696E5D" w:rsidRDefault="008D6B14" w:rsidP="008D6B14">
      <w:pPr>
        <w:suppressLineNumbers/>
        <w:rPr>
          <w:rFonts w:ascii="David" w:hAnsi="David"/>
          <w:rtl/>
        </w:rPr>
      </w:pPr>
    </w:p>
    <w:p w14:paraId="2D131F32" w14:textId="77777777" w:rsidR="008D6B14" w:rsidRPr="00696E5D" w:rsidRDefault="008D6B14" w:rsidP="008D6B14">
      <w:pPr>
        <w:suppressLineNumbers/>
        <w:rPr>
          <w:rFonts w:ascii="David" w:hAnsi="David"/>
          <w:rtl/>
        </w:rPr>
      </w:pPr>
      <w:r w:rsidRPr="00696E5D">
        <w:rPr>
          <w:rFonts w:ascii="David" w:hAnsi="David" w:hint="cs"/>
          <w:rtl/>
        </w:rPr>
        <w:t>בהמשך לגזר הדין אשר ניתן ב-21.5.24 ותקלת המחשב, להלן גזר הדין המלא על נימוקיו.</w:t>
      </w:r>
    </w:p>
    <w:p w14:paraId="51A086EC" w14:textId="77777777" w:rsidR="008D6B14" w:rsidRPr="00696E5D" w:rsidRDefault="008D6B14" w:rsidP="008D6B14">
      <w:pPr>
        <w:suppressLineNumbers/>
        <w:rPr>
          <w:rFonts w:ascii="David" w:hAnsi="David"/>
          <w:rtl/>
        </w:rPr>
      </w:pPr>
    </w:p>
    <w:p w14:paraId="1664E9B3" w14:textId="77777777" w:rsidR="00696E5D" w:rsidRPr="00696E5D" w:rsidRDefault="00696E5D" w:rsidP="00696E5D">
      <w:pPr>
        <w:suppressLineNumbers/>
        <w:spacing w:before="120" w:after="120" w:line="240" w:lineRule="exact"/>
        <w:ind w:left="283" w:hanging="283"/>
        <w:jc w:val="both"/>
        <w:rPr>
          <w:rFonts w:ascii="FrankRuehl" w:hAnsi="FrankRuehl" w:cs="FrankRuehl"/>
          <w:rtl/>
        </w:rPr>
      </w:pPr>
    </w:p>
    <w:p w14:paraId="386622F6" w14:textId="77777777" w:rsidR="00696E5D" w:rsidRPr="00696E5D" w:rsidRDefault="00696E5D" w:rsidP="00696E5D">
      <w:pPr>
        <w:suppressLineNumbers/>
        <w:rPr>
          <w:rFonts w:ascii="David" w:hAnsi="David"/>
          <w:rtl/>
        </w:rPr>
      </w:pPr>
    </w:p>
    <w:p w14:paraId="41581447" w14:textId="77777777" w:rsidR="00336937" w:rsidRPr="00336937" w:rsidRDefault="00336937" w:rsidP="00336937">
      <w:pPr>
        <w:suppressLineNumbers/>
        <w:spacing w:before="120" w:after="120" w:line="240" w:lineRule="exact"/>
        <w:ind w:left="283" w:hanging="283"/>
        <w:jc w:val="both"/>
        <w:rPr>
          <w:rFonts w:ascii="FrankRuehl" w:hAnsi="FrankRuehl" w:cs="FrankRuehl"/>
          <w:rtl/>
        </w:rPr>
      </w:pPr>
    </w:p>
    <w:p w14:paraId="6B0ECA9F" w14:textId="77777777" w:rsidR="00CE4A7A" w:rsidRPr="00CE4A7A" w:rsidRDefault="00CE4A7A" w:rsidP="00CE4A7A">
      <w:pPr>
        <w:suppressLineNumbers/>
        <w:spacing w:before="120" w:after="120" w:line="240" w:lineRule="exact"/>
        <w:ind w:left="283" w:hanging="283"/>
        <w:jc w:val="both"/>
        <w:rPr>
          <w:rFonts w:ascii="FrankRuehl" w:hAnsi="FrankRuehl" w:cs="FrankRuehl"/>
          <w:rtl/>
        </w:rPr>
      </w:pPr>
    </w:p>
    <w:p w14:paraId="31802601" w14:textId="77777777" w:rsidR="00FB3FB8" w:rsidRDefault="00FB3FB8" w:rsidP="00FB3FB8">
      <w:pPr>
        <w:suppressLineNumbers/>
        <w:rPr>
          <w:rFonts w:ascii="David" w:hAnsi="David"/>
          <w:rtl/>
        </w:rPr>
      </w:pPr>
      <w:bookmarkStart w:id="2" w:name="LawTable"/>
      <w:bookmarkEnd w:id="2"/>
    </w:p>
    <w:p w14:paraId="1C3ED21A" w14:textId="77777777" w:rsidR="00FB3FB8" w:rsidRPr="00FB3FB8" w:rsidRDefault="00FB3FB8" w:rsidP="00FB3FB8">
      <w:pPr>
        <w:suppressLineNumbers/>
        <w:spacing w:before="120" w:after="120" w:line="240" w:lineRule="exact"/>
        <w:ind w:left="283" w:hanging="283"/>
        <w:jc w:val="both"/>
        <w:rPr>
          <w:rFonts w:ascii="FrankRuehl" w:hAnsi="FrankRuehl" w:cs="FrankRuehl"/>
          <w:rtl/>
        </w:rPr>
      </w:pPr>
    </w:p>
    <w:p w14:paraId="310EEBD7" w14:textId="77777777" w:rsidR="00FB3FB8" w:rsidRPr="00FB3FB8" w:rsidRDefault="00FB3FB8" w:rsidP="00FB3FB8">
      <w:pPr>
        <w:suppressLineNumbers/>
        <w:spacing w:before="120" w:after="120" w:line="240" w:lineRule="exact"/>
        <w:ind w:left="283" w:hanging="283"/>
        <w:jc w:val="both"/>
        <w:rPr>
          <w:rFonts w:ascii="FrankRuehl" w:hAnsi="FrankRuehl" w:cs="FrankRuehl"/>
          <w:rtl/>
        </w:rPr>
      </w:pPr>
    </w:p>
    <w:p w14:paraId="247A5A05" w14:textId="77777777" w:rsidR="00FB3FB8" w:rsidRPr="00FB3FB8" w:rsidRDefault="00FB3FB8" w:rsidP="00FB3FB8">
      <w:pPr>
        <w:suppressLineNumbers/>
        <w:spacing w:before="120" w:after="120" w:line="240" w:lineRule="exact"/>
        <w:ind w:left="283" w:hanging="283"/>
        <w:jc w:val="both"/>
        <w:rPr>
          <w:rFonts w:ascii="FrankRuehl" w:hAnsi="FrankRuehl" w:cs="FrankRuehl"/>
          <w:rtl/>
        </w:rPr>
      </w:pPr>
      <w:r w:rsidRPr="00FB3FB8">
        <w:rPr>
          <w:rFonts w:ascii="FrankRuehl" w:hAnsi="FrankRuehl" w:cs="FrankRuehl"/>
          <w:rtl/>
        </w:rPr>
        <w:t xml:space="preserve">חקיקה שאוזכרה: </w:t>
      </w:r>
    </w:p>
    <w:p w14:paraId="04DC2D2A" w14:textId="77777777" w:rsidR="00FB3FB8" w:rsidRPr="00FB3FB8" w:rsidRDefault="00FB3FB8" w:rsidP="00FB3FB8">
      <w:pPr>
        <w:suppressLineNumbers/>
        <w:spacing w:before="120" w:after="120" w:line="240" w:lineRule="exact"/>
        <w:ind w:left="283" w:hanging="283"/>
        <w:jc w:val="both"/>
        <w:rPr>
          <w:rFonts w:ascii="FrankRuehl" w:hAnsi="FrankRuehl" w:cs="FrankRuehl"/>
          <w:rtl/>
        </w:rPr>
      </w:pPr>
      <w:hyperlink r:id="rId7" w:history="1">
        <w:r w:rsidRPr="00FB3FB8">
          <w:rPr>
            <w:rFonts w:ascii="FrankRuehl" w:hAnsi="FrankRuehl" w:cs="FrankRuehl"/>
            <w:color w:val="0000FF"/>
            <w:rtl/>
          </w:rPr>
          <w:t>פקודת הסמים המסוכנים [נוסח חדש], תשל"ג-1973</w:t>
        </w:r>
      </w:hyperlink>
      <w:r w:rsidRPr="00FB3FB8">
        <w:rPr>
          <w:rFonts w:ascii="FrankRuehl" w:hAnsi="FrankRuehl" w:cs="FrankRuehl"/>
          <w:rtl/>
        </w:rPr>
        <w:t xml:space="preserve">: סע'  </w:t>
      </w:r>
      <w:hyperlink r:id="rId8" w:history="1">
        <w:r w:rsidRPr="00FB3FB8">
          <w:rPr>
            <w:rFonts w:ascii="FrankRuehl" w:hAnsi="FrankRuehl" w:cs="FrankRuehl"/>
            <w:color w:val="0000FF"/>
            <w:rtl/>
          </w:rPr>
          <w:t>13</w:t>
        </w:r>
      </w:hyperlink>
      <w:r w:rsidRPr="00FB3FB8">
        <w:rPr>
          <w:rFonts w:ascii="FrankRuehl" w:hAnsi="FrankRuehl" w:cs="FrankRuehl"/>
          <w:rtl/>
        </w:rPr>
        <w:t xml:space="preserve">, </w:t>
      </w:r>
      <w:hyperlink r:id="rId9" w:history="1">
        <w:r w:rsidRPr="00FB3FB8">
          <w:rPr>
            <w:rFonts w:ascii="FrankRuehl" w:hAnsi="FrankRuehl" w:cs="FrankRuehl"/>
            <w:color w:val="0000FF"/>
            <w:rtl/>
          </w:rPr>
          <w:t>19 א'</w:t>
        </w:r>
      </w:hyperlink>
    </w:p>
    <w:p w14:paraId="0DBD5258" w14:textId="77777777" w:rsidR="00FB3FB8" w:rsidRPr="00FB3FB8" w:rsidRDefault="00FB3FB8" w:rsidP="00FB3FB8">
      <w:pPr>
        <w:suppressLineNumbers/>
        <w:rPr>
          <w:rFonts w:ascii="David" w:hAnsi="David"/>
          <w:rtl/>
        </w:rPr>
      </w:pPr>
      <w:bookmarkStart w:id="3" w:name="LawTable_End"/>
      <w:bookmarkEnd w:id="3"/>
    </w:p>
    <w:p w14:paraId="330CA248" w14:textId="77777777" w:rsidR="00336937" w:rsidRPr="00CE4A7A" w:rsidRDefault="00336937" w:rsidP="00CE4A7A">
      <w:pPr>
        <w:suppressLineNumbers/>
        <w:rPr>
          <w:rFonts w:ascii="David" w:hAnsi="David" w:hint="cs"/>
        </w:rPr>
      </w:pPr>
    </w:p>
    <w:tbl>
      <w:tblPr>
        <w:bidiVisual/>
        <w:tblW w:w="8820" w:type="dxa"/>
        <w:jc w:val="center"/>
        <w:tblLook w:val="01E0" w:firstRow="1" w:lastRow="1" w:firstColumn="1" w:lastColumn="1" w:noHBand="0" w:noVBand="0"/>
      </w:tblPr>
      <w:tblGrid>
        <w:gridCol w:w="8820"/>
      </w:tblGrid>
      <w:tr w:rsidR="008D6B14" w:rsidRPr="00AE5F96" w14:paraId="1E79009E" w14:textId="77777777" w:rsidTr="008D6B14">
        <w:trPr>
          <w:trHeight w:val="416"/>
          <w:jc w:val="center"/>
        </w:trPr>
        <w:tc>
          <w:tcPr>
            <w:tcW w:w="8820" w:type="dxa"/>
            <w:shd w:val="clear" w:color="auto" w:fill="auto"/>
          </w:tcPr>
          <w:p w14:paraId="06BA735C" w14:textId="77777777" w:rsidR="00696E5D" w:rsidRPr="00696E5D" w:rsidRDefault="00696E5D" w:rsidP="00696E5D">
            <w:pPr>
              <w:bidi w:val="0"/>
              <w:jc w:val="center"/>
              <w:rPr>
                <w:rFonts w:ascii="David" w:hAnsi="David"/>
                <w:b/>
                <w:bCs/>
                <w:noProof w:val="0"/>
                <w:sz w:val="28"/>
                <w:szCs w:val="28"/>
                <w:u w:val="single"/>
              </w:rPr>
            </w:pPr>
            <w:bookmarkStart w:id="4" w:name="PsakDin" w:colFirst="0" w:colLast="0"/>
            <w:r w:rsidRPr="00696E5D">
              <w:rPr>
                <w:rFonts w:ascii="David" w:hAnsi="David"/>
                <w:b/>
                <w:bCs/>
                <w:noProof w:val="0"/>
                <w:sz w:val="28"/>
                <w:szCs w:val="28"/>
                <w:u w:val="single"/>
                <w:rtl/>
              </w:rPr>
              <w:t>גזר דין</w:t>
            </w:r>
          </w:p>
          <w:p w14:paraId="39E843AC" w14:textId="77777777" w:rsidR="008D6B14" w:rsidRPr="00696E5D" w:rsidRDefault="008D6B14" w:rsidP="00696E5D">
            <w:pPr>
              <w:bidi w:val="0"/>
              <w:jc w:val="center"/>
              <w:rPr>
                <w:rFonts w:ascii="David" w:hAnsi="David"/>
                <w:b/>
                <w:bCs/>
                <w:noProof w:val="0"/>
                <w:sz w:val="28"/>
                <w:szCs w:val="28"/>
                <w:u w:val="single"/>
              </w:rPr>
            </w:pPr>
          </w:p>
        </w:tc>
      </w:tr>
      <w:bookmarkEnd w:id="4"/>
    </w:tbl>
    <w:p w14:paraId="23196CCA" w14:textId="77777777" w:rsidR="008D6B14" w:rsidRPr="00AE5F96" w:rsidRDefault="008D6B14" w:rsidP="008D6B14">
      <w:pPr>
        <w:spacing w:line="360" w:lineRule="auto"/>
        <w:jc w:val="both"/>
        <w:rPr>
          <w:rFonts w:ascii="David" w:hAnsi="David"/>
          <w:noProof w:val="0"/>
          <w:rtl/>
        </w:rPr>
      </w:pPr>
    </w:p>
    <w:p w14:paraId="216F4E7C" w14:textId="77777777" w:rsidR="008D6B14" w:rsidRPr="00AE5F96" w:rsidRDefault="008D6B14" w:rsidP="008D6B14">
      <w:pPr>
        <w:tabs>
          <w:tab w:val="left" w:pos="720"/>
        </w:tabs>
        <w:spacing w:after="120" w:line="360" w:lineRule="auto"/>
        <w:jc w:val="both"/>
        <w:rPr>
          <w:rFonts w:ascii="David" w:hAnsi="David"/>
          <w:b/>
          <w:bCs/>
          <w:noProof w:val="0"/>
          <w:color w:val="000000"/>
          <w:u w:val="single"/>
        </w:rPr>
      </w:pPr>
      <w:r w:rsidRPr="00AE5F96">
        <w:rPr>
          <w:rFonts w:ascii="David" w:hAnsi="David"/>
          <w:b/>
          <w:bCs/>
          <w:noProof w:val="0"/>
          <w:color w:val="000000"/>
          <w:u w:val="single"/>
          <w:rtl/>
        </w:rPr>
        <w:t>רקע</w:t>
      </w:r>
    </w:p>
    <w:p w14:paraId="4622C15D" w14:textId="77777777" w:rsidR="008D6B14" w:rsidRPr="00AE5F96" w:rsidRDefault="008D6B14" w:rsidP="008D6B14">
      <w:pPr>
        <w:tabs>
          <w:tab w:val="left" w:pos="720"/>
        </w:tabs>
        <w:spacing w:after="120" w:line="360" w:lineRule="auto"/>
        <w:jc w:val="both"/>
        <w:rPr>
          <w:rFonts w:ascii="David" w:hAnsi="David"/>
          <w:b/>
          <w:bCs/>
          <w:noProof w:val="0"/>
          <w:color w:val="000000"/>
          <w:rtl/>
        </w:rPr>
      </w:pPr>
      <w:bookmarkStart w:id="5" w:name="ABSTRACT_START"/>
      <w:bookmarkEnd w:id="5"/>
      <w:r w:rsidRPr="00AE5F96">
        <w:rPr>
          <w:rFonts w:ascii="David" w:hAnsi="David"/>
          <w:noProof w:val="0"/>
          <w:color w:val="000000"/>
          <w:rtl/>
        </w:rPr>
        <w:t xml:space="preserve">הנאשם, הורשע בהתאם להודאתו בביצוע עבירה של </w:t>
      </w:r>
      <w:r w:rsidRPr="00AE5F96">
        <w:rPr>
          <w:rFonts w:ascii="David" w:hAnsi="David"/>
          <w:b/>
          <w:bCs/>
          <w:noProof w:val="0"/>
          <w:color w:val="000000"/>
          <w:rtl/>
        </w:rPr>
        <w:t xml:space="preserve">סחר בסמים מסוכנים, לפי </w:t>
      </w:r>
      <w:hyperlink r:id="rId10" w:history="1">
        <w:r w:rsidR="00336937" w:rsidRPr="00336937">
          <w:rPr>
            <w:rStyle w:val="Hyperlink"/>
            <w:rFonts w:ascii="David" w:hAnsi="David"/>
            <w:b/>
            <w:bCs/>
            <w:noProof w:val="0"/>
            <w:rtl/>
          </w:rPr>
          <w:t>סעיף 13</w:t>
        </w:r>
      </w:hyperlink>
      <w:r w:rsidRPr="00AE5F96">
        <w:rPr>
          <w:rFonts w:ascii="David" w:hAnsi="David"/>
          <w:b/>
          <w:bCs/>
          <w:noProof w:val="0"/>
          <w:color w:val="000000"/>
          <w:rtl/>
        </w:rPr>
        <w:t xml:space="preserve"> ו-</w:t>
      </w:r>
      <w:hyperlink r:id="rId11" w:history="1">
        <w:r w:rsidR="00336937" w:rsidRPr="00336937">
          <w:rPr>
            <w:rStyle w:val="Hyperlink"/>
            <w:rFonts w:ascii="David" w:hAnsi="David"/>
            <w:b/>
            <w:bCs/>
            <w:noProof w:val="0"/>
            <w:rtl/>
          </w:rPr>
          <w:t>19 א'</w:t>
        </w:r>
      </w:hyperlink>
      <w:r w:rsidRPr="00AE5F96">
        <w:rPr>
          <w:rFonts w:ascii="David" w:hAnsi="David"/>
          <w:b/>
          <w:bCs/>
          <w:noProof w:val="0"/>
          <w:color w:val="000000"/>
          <w:rtl/>
        </w:rPr>
        <w:t xml:space="preserve"> ל</w:t>
      </w:r>
      <w:hyperlink r:id="rId12" w:history="1">
        <w:r w:rsidR="00696E5D" w:rsidRPr="00696E5D">
          <w:rPr>
            <w:rFonts w:ascii="David" w:hAnsi="David"/>
            <w:b/>
            <w:bCs/>
            <w:noProof w:val="0"/>
            <w:color w:val="0000FF"/>
            <w:u w:val="single"/>
            <w:rtl/>
          </w:rPr>
          <w:t>פקודת הסמים המסוכנים</w:t>
        </w:r>
      </w:hyperlink>
      <w:r w:rsidRPr="00AE5F96">
        <w:rPr>
          <w:rFonts w:ascii="David" w:hAnsi="David"/>
          <w:b/>
          <w:bCs/>
          <w:noProof w:val="0"/>
          <w:color w:val="000000"/>
          <w:rtl/>
        </w:rPr>
        <w:t xml:space="preserve"> (נוסח חדש) תשל"ג-1973.</w:t>
      </w:r>
    </w:p>
    <w:p w14:paraId="3E60F037"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noProof w:val="0"/>
          <w:color w:val="000000"/>
          <w:rtl/>
        </w:rPr>
        <w:t>על פי המתואר בעובדות כתב האישום המתוקן, ביום 31.1.24 יצר הנאשם קשר טלפוני עם אחר (להלן: "הקונה") במטרה למכור לו סמים מסוכנים מסוג קוקאין. בהמשך לתיאום הטלפוֹני, נפגשו בהמשך אותו היום השניים בישוב חריש והנאשם מכר לקונה סם מסוכן מסוג קוקאין במשקל 1.6244 גרם נטו תמורת 450 ₪.</w:t>
      </w:r>
    </w:p>
    <w:p w14:paraId="27EC493F" w14:textId="77777777" w:rsidR="008D6B14" w:rsidRPr="00AE5F96" w:rsidRDefault="008D6B14" w:rsidP="008D6B14">
      <w:pPr>
        <w:tabs>
          <w:tab w:val="left" w:pos="720"/>
        </w:tabs>
        <w:spacing w:after="120" w:line="360" w:lineRule="auto"/>
        <w:jc w:val="both"/>
        <w:rPr>
          <w:rFonts w:ascii="David" w:hAnsi="David"/>
          <w:noProof w:val="0"/>
          <w:color w:val="000000"/>
          <w:rtl/>
        </w:rPr>
      </w:pPr>
    </w:p>
    <w:p w14:paraId="2EC2B281" w14:textId="77777777" w:rsidR="008D6B14" w:rsidRPr="00AE5F96" w:rsidRDefault="008D6B14" w:rsidP="008D6B14">
      <w:pPr>
        <w:tabs>
          <w:tab w:val="left" w:pos="720"/>
        </w:tabs>
        <w:spacing w:after="120" w:line="360" w:lineRule="auto"/>
        <w:ind w:left="-1"/>
        <w:jc w:val="both"/>
        <w:rPr>
          <w:rFonts w:ascii="David" w:hAnsi="David"/>
          <w:b/>
          <w:bCs/>
          <w:noProof w:val="0"/>
          <w:color w:val="000000"/>
          <w:u w:val="single"/>
          <w:rtl/>
        </w:rPr>
      </w:pPr>
      <w:bookmarkStart w:id="6" w:name="ABSTRACT_END"/>
      <w:bookmarkEnd w:id="6"/>
      <w:r w:rsidRPr="00AE5F96">
        <w:rPr>
          <w:rFonts w:ascii="David" w:hAnsi="David"/>
          <w:b/>
          <w:bCs/>
          <w:noProof w:val="0"/>
          <w:color w:val="000000"/>
          <w:u w:val="single"/>
          <w:rtl/>
        </w:rPr>
        <w:lastRenderedPageBreak/>
        <w:t>טיעוני הצדדים וראיות לעונש</w:t>
      </w:r>
    </w:p>
    <w:p w14:paraId="7E46D6AD" w14:textId="77777777" w:rsidR="008D6B14" w:rsidRPr="00AE5F96" w:rsidRDefault="008D6B14" w:rsidP="008D6B14">
      <w:pPr>
        <w:tabs>
          <w:tab w:val="left" w:pos="720"/>
        </w:tabs>
        <w:spacing w:after="120" w:line="360" w:lineRule="auto"/>
        <w:jc w:val="both"/>
        <w:rPr>
          <w:rFonts w:ascii="David" w:hAnsi="David"/>
          <w:noProof w:val="0"/>
          <w:color w:val="000000"/>
          <w:rtl/>
        </w:rPr>
      </w:pPr>
      <w:r w:rsidRPr="00AE5F96">
        <w:rPr>
          <w:rFonts w:ascii="David" w:hAnsi="David"/>
          <w:noProof w:val="0"/>
          <w:color w:val="000000"/>
          <w:rtl/>
        </w:rPr>
        <w:t>-הוגשו גיליון הרישום הפלילי וכן פרוטוקול דיון וגזר הדין בו הוטל על הנאשם מאסר מותנה בר הפעלה בענייננו.</w:t>
      </w:r>
    </w:p>
    <w:p w14:paraId="7EA6A68D" w14:textId="77777777" w:rsidR="008D6B14" w:rsidRPr="00AE5F96" w:rsidRDefault="008D6B14" w:rsidP="008D6B14">
      <w:pPr>
        <w:tabs>
          <w:tab w:val="left" w:pos="720"/>
        </w:tabs>
        <w:spacing w:after="120" w:line="360" w:lineRule="auto"/>
        <w:jc w:val="both"/>
        <w:rPr>
          <w:rFonts w:ascii="David" w:hAnsi="David"/>
          <w:b/>
          <w:bCs/>
          <w:noProof w:val="0"/>
          <w:color w:val="000000"/>
          <w:u w:val="single"/>
          <w:rtl/>
        </w:rPr>
      </w:pPr>
      <w:r w:rsidRPr="00AE5F96">
        <w:rPr>
          <w:rFonts w:ascii="David" w:hAnsi="David"/>
          <w:noProof w:val="0"/>
          <w:color w:val="000000"/>
          <w:rtl/>
        </w:rPr>
        <w:t>-בן דודו של הנאשם ביקש לספר כי מתעתד לשמש לו עוגן תעסוקתי בעבודות חיפוי בניין, לכשישתחרר.</w:t>
      </w:r>
    </w:p>
    <w:p w14:paraId="5A506B3A" w14:textId="77777777" w:rsidR="008D6B14" w:rsidRPr="00AE5F96" w:rsidRDefault="008D6B14" w:rsidP="008D6B14">
      <w:pPr>
        <w:tabs>
          <w:tab w:val="left" w:pos="720"/>
        </w:tabs>
        <w:spacing w:line="360" w:lineRule="auto"/>
        <w:jc w:val="both"/>
        <w:rPr>
          <w:rFonts w:ascii="David" w:hAnsi="David"/>
          <w:noProof w:val="0"/>
          <w:color w:val="000000"/>
          <w:rtl/>
        </w:rPr>
      </w:pPr>
      <w:r w:rsidRPr="00AE5F96">
        <w:rPr>
          <w:rFonts w:ascii="David" w:hAnsi="David"/>
          <w:b/>
          <w:bCs/>
          <w:noProof w:val="0"/>
          <w:color w:val="000000"/>
          <w:rtl/>
        </w:rPr>
        <w:t xml:space="preserve">המאשימה </w:t>
      </w:r>
      <w:r w:rsidRPr="00AE5F96">
        <w:rPr>
          <w:rFonts w:ascii="David" w:hAnsi="David"/>
          <w:noProof w:val="0"/>
          <w:color w:val="000000"/>
          <w:rtl/>
        </w:rPr>
        <w:t xml:space="preserve">עמדה על הערכים המוגנים שנפגעו ולמידת הפגיעה בהם אשר לשיטתה הנה ברף הבינוני. הודגש רוחב נזקי הסמים אשר פוגעים בציבור הרחב כמחוללי עבירות נוספות ומימון ארגוני פשיעה וטרור. נוכח סוג הסם-קוקאין והתכנון המקדים שנלווה בהכרח לביצועה של העבירה סבורה המאשימה  שמתחם הענישה נע בין 8 ל- 18 חודשי מאסר בפועל. </w:t>
      </w:r>
    </w:p>
    <w:p w14:paraId="5A2E8196" w14:textId="77777777" w:rsidR="008D6B14" w:rsidRPr="00AE5F96" w:rsidRDefault="008D6B14" w:rsidP="008D6B14">
      <w:pPr>
        <w:tabs>
          <w:tab w:val="left" w:pos="720"/>
        </w:tabs>
        <w:spacing w:line="360" w:lineRule="auto"/>
        <w:jc w:val="both"/>
        <w:rPr>
          <w:rFonts w:ascii="David" w:hAnsi="David"/>
          <w:noProof w:val="0"/>
          <w:color w:val="000000"/>
          <w:rtl/>
        </w:rPr>
      </w:pPr>
      <w:r w:rsidRPr="00AE5F96">
        <w:rPr>
          <w:rFonts w:ascii="David" w:hAnsi="David"/>
          <w:noProof w:val="0"/>
          <w:color w:val="000000"/>
          <w:rtl/>
        </w:rPr>
        <w:t xml:space="preserve">באשר לנסיבות שאינן קשורות בביצוע העבירה, לימדה כי מדובר בנאשם יליד 1990, בעל עבר פלילי לרבות סחר בסמים שאף ריצה מאסרים בפועל, כמו כן לחובתו מאסר על  תנאי בר הפעלה אותו ביקשה להפעיל במצטבר. לאור האמור ובהעדר אינדיקציה לחרוג מן המתחם ביקשה למקם את המקרה ברף הענישה הבינוני של המתחם לצד ענישה נלווית. </w:t>
      </w:r>
    </w:p>
    <w:p w14:paraId="452E3873" w14:textId="77777777" w:rsidR="008D6B14" w:rsidRPr="00AE5F96" w:rsidRDefault="008D6B14" w:rsidP="008D6B14">
      <w:pPr>
        <w:tabs>
          <w:tab w:val="left" w:pos="720"/>
        </w:tabs>
        <w:spacing w:line="360" w:lineRule="auto"/>
        <w:jc w:val="both"/>
        <w:rPr>
          <w:rFonts w:ascii="David" w:hAnsi="David"/>
          <w:noProof w:val="0"/>
          <w:color w:val="000000"/>
          <w:rtl/>
        </w:rPr>
      </w:pPr>
    </w:p>
    <w:p w14:paraId="19386F44" w14:textId="77777777" w:rsidR="008D6B14" w:rsidRPr="00AE5F96" w:rsidRDefault="008D6B14" w:rsidP="008D6B14">
      <w:pPr>
        <w:tabs>
          <w:tab w:val="left" w:pos="720"/>
        </w:tabs>
        <w:spacing w:line="360" w:lineRule="auto"/>
        <w:jc w:val="both"/>
        <w:rPr>
          <w:rFonts w:ascii="David" w:hAnsi="David"/>
          <w:b/>
          <w:bCs/>
          <w:noProof w:val="0"/>
          <w:color w:val="000000"/>
          <w:u w:val="single"/>
          <w:rtl/>
        </w:rPr>
      </w:pPr>
      <w:r w:rsidRPr="00AE5F96">
        <w:rPr>
          <w:rFonts w:ascii="David" w:hAnsi="David"/>
          <w:b/>
          <w:bCs/>
          <w:noProof w:val="0"/>
          <w:color w:val="000000"/>
          <w:rtl/>
        </w:rPr>
        <w:t xml:space="preserve">ב"כ הנאשם </w:t>
      </w:r>
      <w:r w:rsidRPr="00AE5F96">
        <w:rPr>
          <w:rFonts w:ascii="David" w:hAnsi="David"/>
          <w:noProof w:val="0"/>
          <w:color w:val="000000"/>
          <w:rtl/>
        </w:rPr>
        <w:t>הפנה לנסיבות תחילתו של תיק זה אז הוחשד הנאשם בפרשיה של הברחת סמים לשב"ס כשבמסגרת</w:t>
      </w:r>
      <w:r w:rsidRPr="00AE5F96">
        <w:rPr>
          <w:rFonts w:ascii="David" w:hAnsi="David"/>
          <w:b/>
          <w:bCs/>
          <w:noProof w:val="0"/>
          <w:color w:val="000000"/>
          <w:rtl/>
        </w:rPr>
        <w:t xml:space="preserve"> </w:t>
      </w:r>
      <w:r w:rsidRPr="00AE5F96">
        <w:rPr>
          <w:rFonts w:ascii="David" w:hAnsi="David"/>
          <w:noProof w:val="0"/>
          <w:color w:val="000000"/>
          <w:rtl/>
        </w:rPr>
        <w:t xml:space="preserve">תרגילי חקירה נעצרו גם בני משפחתו; לבסוף הוגש כתב אישום שונה בתכלית לקולה, וודאי לאחר תיקונו. הסנגור טען כי בשל כך שהיה עצור חודש ימים הסכים הנאשם למעצרו עד תום ההליכים, מצב שונה מזה בו היה נמצא אילו לכתחילה יוחס לו מה שהואשם בו לבסוף. ביקש להעניק משקל ללקיחת האחריות ולכך שהודה בהזדמנות הראשונה. לטענת ההגנה מדובר ב"אחוות נרקומנים" בין חברים, המהווה מעידה חד פעמית ללא רווח. </w:t>
      </w:r>
    </w:p>
    <w:p w14:paraId="2511553A" w14:textId="77777777" w:rsidR="008D6B14" w:rsidRPr="00AE5F96" w:rsidRDefault="008D6B14" w:rsidP="008D6B14">
      <w:pPr>
        <w:tabs>
          <w:tab w:val="left" w:pos="720"/>
        </w:tabs>
        <w:spacing w:line="360" w:lineRule="auto"/>
        <w:jc w:val="both"/>
        <w:rPr>
          <w:rFonts w:ascii="David" w:hAnsi="David"/>
          <w:noProof w:val="0"/>
          <w:color w:val="000000"/>
          <w:rtl/>
        </w:rPr>
      </w:pPr>
      <w:r w:rsidRPr="00AE5F96">
        <w:rPr>
          <w:rFonts w:ascii="David" w:hAnsi="David"/>
          <w:noProof w:val="0"/>
          <w:color w:val="000000"/>
          <w:rtl/>
        </w:rPr>
        <w:t xml:space="preserve">עוד הודגש כי לנאשם שתי בנות קטנות, פעוטות ממש,  והדבר מכביד על מצבו  של הנאשם במעצר ומהווה בסיס רצונו לשינוי ומפנה בתובנתו. </w:t>
      </w:r>
    </w:p>
    <w:p w14:paraId="24FF5D86" w14:textId="77777777" w:rsidR="008D6B14" w:rsidRPr="00AE5F96" w:rsidRDefault="008D6B14" w:rsidP="008D6B14">
      <w:pPr>
        <w:tabs>
          <w:tab w:val="left" w:pos="720"/>
        </w:tabs>
        <w:spacing w:line="360" w:lineRule="auto"/>
        <w:jc w:val="both"/>
        <w:rPr>
          <w:rFonts w:ascii="David" w:hAnsi="David"/>
          <w:noProof w:val="0"/>
          <w:color w:val="000000"/>
          <w:rtl/>
        </w:rPr>
      </w:pPr>
      <w:r w:rsidRPr="00AE5F96">
        <w:rPr>
          <w:rFonts w:ascii="David" w:hAnsi="David"/>
          <w:noProof w:val="0"/>
          <w:color w:val="000000"/>
          <w:rtl/>
        </w:rPr>
        <w:t>הסנגור חלק על המתחם שהציגה המאשימה אשר לשיטתו בהסתמך על פסיקה שהגיש, צריך להיות נמוך משמעותית.</w:t>
      </w:r>
    </w:p>
    <w:p w14:paraId="73B3B425" w14:textId="77777777" w:rsidR="008D6B14" w:rsidRPr="00AE5F96" w:rsidRDefault="008D6B14" w:rsidP="008D6B14">
      <w:pPr>
        <w:spacing w:line="360" w:lineRule="auto"/>
        <w:jc w:val="both"/>
        <w:rPr>
          <w:rFonts w:ascii="David" w:hAnsi="David"/>
          <w:noProof w:val="0"/>
          <w:rtl/>
        </w:rPr>
      </w:pPr>
    </w:p>
    <w:p w14:paraId="5012E0CF" w14:textId="77777777" w:rsidR="008D6B14" w:rsidRPr="00AE5F96" w:rsidRDefault="008D6B14" w:rsidP="008D6B14">
      <w:pPr>
        <w:tabs>
          <w:tab w:val="left" w:pos="720"/>
        </w:tabs>
        <w:spacing w:after="120" w:line="360" w:lineRule="auto"/>
        <w:jc w:val="both"/>
        <w:rPr>
          <w:rFonts w:ascii="David" w:hAnsi="David"/>
          <w:noProof w:val="0"/>
          <w:color w:val="000000"/>
          <w:rtl/>
        </w:rPr>
      </w:pPr>
      <w:r w:rsidRPr="00AE5F96">
        <w:rPr>
          <w:rFonts w:ascii="David" w:hAnsi="David"/>
          <w:b/>
          <w:bCs/>
          <w:noProof w:val="0"/>
          <w:color w:val="000000"/>
          <w:rtl/>
        </w:rPr>
        <w:t>הנאשם</w:t>
      </w:r>
      <w:r w:rsidRPr="00AE5F96">
        <w:rPr>
          <w:rFonts w:ascii="David" w:hAnsi="David"/>
          <w:noProof w:val="0"/>
          <w:color w:val="000000"/>
          <w:rtl/>
        </w:rPr>
        <w:t xml:space="preserve"> טען גם הוא שהמעצר סייע לו להבין את הלקח נוכח הריחוק משתי בנותיו הקטנות אותן הגדיר כסיבה לשינוי.</w:t>
      </w:r>
    </w:p>
    <w:p w14:paraId="7F47384B" w14:textId="77777777" w:rsidR="008D6B14" w:rsidRPr="00AE5F96" w:rsidRDefault="008D6B14" w:rsidP="008D6B14">
      <w:pPr>
        <w:spacing w:line="360" w:lineRule="auto"/>
        <w:jc w:val="both"/>
        <w:rPr>
          <w:rFonts w:ascii="David" w:hAnsi="David"/>
          <w:noProof w:val="0"/>
          <w:rtl/>
        </w:rPr>
      </w:pPr>
    </w:p>
    <w:p w14:paraId="6A477FF1" w14:textId="77777777" w:rsidR="008D6B14" w:rsidRPr="00AE5F96" w:rsidRDefault="008D6B14" w:rsidP="008D6B14">
      <w:pPr>
        <w:tabs>
          <w:tab w:val="left" w:pos="720"/>
        </w:tabs>
        <w:spacing w:after="120" w:line="360" w:lineRule="auto"/>
        <w:jc w:val="both"/>
        <w:rPr>
          <w:rFonts w:ascii="David" w:hAnsi="David"/>
          <w:b/>
          <w:bCs/>
          <w:noProof w:val="0"/>
          <w:color w:val="000000"/>
          <w:u w:val="single"/>
          <w:rtl/>
        </w:rPr>
      </w:pPr>
      <w:r w:rsidRPr="00AE5F96">
        <w:rPr>
          <w:rFonts w:ascii="David" w:hAnsi="David"/>
          <w:b/>
          <w:bCs/>
          <w:noProof w:val="0"/>
          <w:color w:val="000000"/>
          <w:u w:val="single"/>
          <w:rtl/>
        </w:rPr>
        <w:t xml:space="preserve">דיון והכרעה </w:t>
      </w:r>
    </w:p>
    <w:p w14:paraId="54043391" w14:textId="77777777" w:rsidR="008D6B14" w:rsidRPr="00AE5F96" w:rsidRDefault="008D6B14" w:rsidP="008D6B14">
      <w:pPr>
        <w:tabs>
          <w:tab w:val="left" w:pos="720"/>
        </w:tabs>
        <w:spacing w:after="120" w:line="360" w:lineRule="auto"/>
        <w:jc w:val="both"/>
        <w:rPr>
          <w:rFonts w:ascii="David" w:hAnsi="David"/>
          <w:b/>
          <w:bCs/>
          <w:noProof w:val="0"/>
          <w:color w:val="000000"/>
          <w:u w:val="single"/>
          <w:rtl/>
        </w:rPr>
      </w:pPr>
      <w:r w:rsidRPr="00AE5F96">
        <w:rPr>
          <w:rFonts w:ascii="David" w:hAnsi="David"/>
          <w:b/>
          <w:bCs/>
          <w:noProof w:val="0"/>
          <w:color w:val="000000"/>
          <w:u w:val="single"/>
          <w:rtl/>
        </w:rPr>
        <w:t>קביעת מתחם העונש ההולם</w:t>
      </w:r>
    </w:p>
    <w:p w14:paraId="403B148C" w14:textId="77777777" w:rsidR="008D6B14" w:rsidRPr="00AE5F96" w:rsidRDefault="008D6B14" w:rsidP="008D6B14">
      <w:pPr>
        <w:tabs>
          <w:tab w:val="left" w:pos="720"/>
        </w:tabs>
        <w:spacing w:after="120" w:line="360" w:lineRule="auto"/>
        <w:jc w:val="both"/>
        <w:rPr>
          <w:rFonts w:ascii="David" w:eastAsia="Calibri" w:hAnsi="David"/>
          <w:noProof w:val="0"/>
          <w:color w:val="000000"/>
        </w:rPr>
      </w:pPr>
      <w:r w:rsidRPr="00AE5F96">
        <w:rPr>
          <w:rFonts w:ascii="David" w:eastAsia="Calibri" w:hAnsi="David"/>
          <w:noProof w:val="0"/>
          <w:color w:val="000000"/>
          <w:rtl/>
        </w:rPr>
        <w:t xml:space="preserve">הערכים החברתיים שנפגעו כתוצאה ממעשיו של הנאשם, אשר סחר בסמים קשים, כאשר ידועה הזיקה ההדוקה, בין נגע הסמים, לבין התחוללותה של פשיעה, הינם ההגנה על שלום הציבור ובריאותו. </w:t>
      </w:r>
    </w:p>
    <w:p w14:paraId="359014A7" w14:textId="77777777" w:rsidR="008D6B14" w:rsidRPr="00AE5F96" w:rsidRDefault="008D6B14" w:rsidP="008D6B14">
      <w:pPr>
        <w:tabs>
          <w:tab w:val="left" w:pos="720"/>
        </w:tabs>
        <w:spacing w:after="120" w:line="360" w:lineRule="auto"/>
        <w:jc w:val="both"/>
        <w:rPr>
          <w:rFonts w:ascii="David" w:eastAsia="Calibri" w:hAnsi="David"/>
          <w:noProof w:val="0"/>
          <w:color w:val="000000"/>
          <w:rtl/>
        </w:rPr>
      </w:pPr>
      <w:r w:rsidRPr="00AE5F96">
        <w:rPr>
          <w:rFonts w:ascii="David" w:eastAsia="Calibri" w:hAnsi="David"/>
          <w:noProof w:val="0"/>
          <w:color w:val="000000"/>
          <w:rtl/>
        </w:rPr>
        <w:lastRenderedPageBreak/>
        <w:t>נוכח העובדה שמדובר בעסקה אחת אך של סם מסוג קוקאין ובמשקל של פי חמישה מן המוגדר ככמות לצריכה עצמית, הפגיעה הנה בינונית נמוכה.</w:t>
      </w:r>
    </w:p>
    <w:p w14:paraId="737523AE" w14:textId="77777777" w:rsidR="008D6B14" w:rsidRPr="00AE5F96" w:rsidRDefault="008D6B14" w:rsidP="008D6B14">
      <w:pPr>
        <w:tabs>
          <w:tab w:val="left" w:pos="720"/>
        </w:tabs>
        <w:spacing w:after="120" w:line="360" w:lineRule="auto"/>
        <w:jc w:val="both"/>
        <w:rPr>
          <w:rFonts w:ascii="David" w:hAnsi="David"/>
          <w:noProof w:val="0"/>
          <w:color w:val="000000"/>
          <w:rtl/>
        </w:rPr>
      </w:pPr>
      <w:r w:rsidRPr="00AE5F96">
        <w:rPr>
          <w:rFonts w:ascii="David" w:hAnsi="David"/>
          <w:noProof w:val="0"/>
          <w:color w:val="000000"/>
          <w:rtl/>
        </w:rPr>
        <w:t>במסגרת הנסיבות הקשורות בביצוע העבירה, יש לתת את הדעת לכך שהמעשים מלמדים על תכנון מראש כמפורט בכתב האישום, עת הנאשם היה זה שיצר את הקשר הטלפוני, תיאם וסיפק את הסם לא לפני  שהצטייד בו לצורך הסחר.</w:t>
      </w:r>
    </w:p>
    <w:p w14:paraId="6FE6C252" w14:textId="77777777" w:rsidR="008D6B14" w:rsidRPr="00AE5F96" w:rsidRDefault="008D6B14" w:rsidP="008D6B14">
      <w:pPr>
        <w:tabs>
          <w:tab w:val="left" w:pos="720"/>
        </w:tabs>
        <w:spacing w:after="120" w:line="360" w:lineRule="auto"/>
        <w:jc w:val="both"/>
        <w:rPr>
          <w:rFonts w:ascii="David" w:hAnsi="David"/>
          <w:noProof w:val="0"/>
          <w:color w:val="000000"/>
          <w:rtl/>
        </w:rPr>
      </w:pPr>
      <w:r w:rsidRPr="00AE5F96">
        <w:rPr>
          <w:rFonts w:ascii="David" w:hAnsi="David"/>
          <w:noProof w:val="0"/>
          <w:color w:val="000000"/>
          <w:rtl/>
        </w:rPr>
        <w:t xml:space="preserve">אין צורך להכביר מילים, אודות הנזק בהפצת סמים מסוכנים הגורר אחריו השלכות קשות על הציבור, על צרכני הסם, וידועה היטב הזיקה לעבירות רכוש ואלימות. </w:t>
      </w:r>
    </w:p>
    <w:p w14:paraId="02B9A43A" w14:textId="77777777" w:rsidR="008D6B14" w:rsidRPr="00AE5F96" w:rsidRDefault="008D6B14" w:rsidP="008D6B14">
      <w:pPr>
        <w:tabs>
          <w:tab w:val="left" w:pos="720"/>
        </w:tabs>
        <w:spacing w:after="120" w:line="360" w:lineRule="auto"/>
        <w:jc w:val="both"/>
        <w:rPr>
          <w:rFonts w:ascii="David" w:hAnsi="David"/>
          <w:noProof w:val="0"/>
          <w:color w:val="000000"/>
          <w:rtl/>
        </w:rPr>
      </w:pPr>
      <w:r w:rsidRPr="00AE5F96">
        <w:rPr>
          <w:rFonts w:ascii="David" w:hAnsi="David"/>
          <w:noProof w:val="0"/>
          <w:color w:val="000000"/>
          <w:rtl/>
        </w:rPr>
        <w:t xml:space="preserve">בחינת </w:t>
      </w:r>
      <w:r w:rsidRPr="00AE5F96">
        <w:rPr>
          <w:rFonts w:ascii="David" w:hAnsi="David"/>
          <w:b/>
          <w:bCs/>
          <w:noProof w:val="0"/>
          <w:color w:val="000000"/>
          <w:rtl/>
        </w:rPr>
        <w:t>מדיניות הענישה הנוהגת</w:t>
      </w:r>
      <w:r w:rsidRPr="00AE5F96">
        <w:rPr>
          <w:rFonts w:ascii="David" w:hAnsi="David"/>
          <w:noProof w:val="0"/>
          <w:color w:val="000000"/>
          <w:rtl/>
        </w:rPr>
        <w:t xml:space="preserve"> מעלה כי במקרים דומים הוטלו על נאשמים עונשי מאסר במנעד רחב כמפורט להלן:</w:t>
      </w:r>
    </w:p>
    <w:p w14:paraId="26DDEFDB"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b/>
          <w:bCs/>
          <w:noProof w:val="0"/>
          <w:color w:val="000000"/>
          <w:rtl/>
        </w:rPr>
        <w:t xml:space="preserve">רע"פ 53537/17 </w:t>
      </w:r>
      <w:hyperlink r:id="rId13" w:history="1">
        <w:r w:rsidR="00CE4A7A" w:rsidRPr="00CE4A7A">
          <w:rPr>
            <w:rFonts w:ascii="David" w:hAnsi="David"/>
            <w:b/>
            <w:bCs/>
            <w:noProof w:val="0"/>
            <w:color w:val="0000FF"/>
            <w:u w:val="single"/>
            <w:rtl/>
          </w:rPr>
          <w:t xml:space="preserve">טפרה </w:t>
        </w:r>
      </w:hyperlink>
      <w:r w:rsidRPr="00AE5F96">
        <w:rPr>
          <w:rFonts w:ascii="David" w:hAnsi="David"/>
          <w:b/>
          <w:bCs/>
          <w:noProof w:val="0"/>
          <w:color w:val="000000"/>
          <w:rtl/>
        </w:rPr>
        <w:t xml:space="preserve"> נ' מדינת ישראל</w:t>
      </w:r>
      <w:r w:rsidRPr="00AE5F96">
        <w:rPr>
          <w:rFonts w:ascii="David" w:hAnsi="David"/>
          <w:noProof w:val="0"/>
          <w:color w:val="000000"/>
          <w:rtl/>
        </w:rPr>
        <w:t xml:space="preserve"> - הנאשם הורשע בעבירות של תיווך וסחר בסם מסוכן. הנאשם תיווך סם מסוג קוקאין, במשקל 1.1592 גרם נטו, תמורת 1,500 ₪, מכר סם מסוג קוקאין במשקל 2.0174 גרם נטו, תמורת 2,500 ₪, בהמשך, תיווך בין שוטר לאחר, לצורך רכישת סם מסוג קוקאין קבע מתחם לעבירות הסחר שנע בין 6 ל-18 חודשים. בשים לב להליך השיקומי, הסתפק בית המשפט בחצי שנת מאסר בעבודות שירות, וענישה נלווית. בית המשפט המחוזי קיבל את ערעור המדינה, והעמיד את העונש על 7 חודשי מאסר בפועל. בקשת רשות ערעור נדחתה.</w:t>
      </w:r>
    </w:p>
    <w:p w14:paraId="2B477389" w14:textId="77777777" w:rsidR="008D6B14" w:rsidRPr="00AE5F96" w:rsidRDefault="00696E5D" w:rsidP="008D6B14">
      <w:pPr>
        <w:tabs>
          <w:tab w:val="left" w:pos="720"/>
        </w:tabs>
        <w:spacing w:after="120" w:line="360" w:lineRule="auto"/>
        <w:jc w:val="both"/>
        <w:rPr>
          <w:rFonts w:ascii="David" w:hAnsi="David"/>
          <w:noProof w:val="0"/>
          <w:color w:val="000000"/>
        </w:rPr>
      </w:pPr>
      <w:hyperlink r:id="rId14" w:history="1">
        <w:r w:rsidRPr="00696E5D">
          <w:rPr>
            <w:rFonts w:ascii="David" w:hAnsi="David"/>
            <w:b/>
            <w:bCs/>
            <w:noProof w:val="0"/>
            <w:color w:val="0000FF"/>
            <w:u w:val="single"/>
            <w:rtl/>
          </w:rPr>
          <w:t>רע"פ 65/15</w:t>
        </w:r>
      </w:hyperlink>
      <w:r w:rsidR="008D6B14" w:rsidRPr="00AE5F96">
        <w:rPr>
          <w:rFonts w:ascii="David" w:hAnsi="David"/>
          <w:b/>
          <w:bCs/>
          <w:noProof w:val="0"/>
          <w:color w:val="000000"/>
          <w:rtl/>
        </w:rPr>
        <w:t xml:space="preserve"> מסראוה נ' מדינת ישראל</w:t>
      </w:r>
      <w:r w:rsidR="008D6B14" w:rsidRPr="00AE5F96">
        <w:rPr>
          <w:rFonts w:ascii="David" w:hAnsi="David"/>
          <w:noProof w:val="0"/>
          <w:color w:val="000000"/>
          <w:rtl/>
        </w:rPr>
        <w:t xml:space="preserve">– הנאשם הורשע בעבירות של סחר בסמים מסוכנים, מכר לשוטר סמוי בשתי הזדמנויות קוקאין, בתמורה ל-200 ₪, נקבע מתחם של 6 עד 18 חודשים לכל אירוע. הנאשם עבר הליך גמילה מסמים, עונשו הועמד על 6 חודשי מאסר בעבודות שירות. ערעורים לבית המשפט המחוזי והעליון נדחו.  </w:t>
      </w:r>
    </w:p>
    <w:p w14:paraId="6F282A7B" w14:textId="77777777" w:rsidR="008D6B14" w:rsidRPr="00AE5F96" w:rsidRDefault="00696E5D" w:rsidP="008D6B14">
      <w:pPr>
        <w:tabs>
          <w:tab w:val="left" w:pos="720"/>
        </w:tabs>
        <w:spacing w:after="120" w:line="360" w:lineRule="auto"/>
        <w:jc w:val="both"/>
        <w:rPr>
          <w:rFonts w:ascii="David" w:hAnsi="David"/>
          <w:noProof w:val="0"/>
          <w:color w:val="000000"/>
          <w:rtl/>
        </w:rPr>
      </w:pPr>
      <w:hyperlink r:id="rId15" w:history="1">
        <w:r w:rsidRPr="00696E5D">
          <w:rPr>
            <w:rFonts w:ascii="David" w:hAnsi="David"/>
            <w:b/>
            <w:bCs/>
            <w:noProof w:val="0"/>
            <w:color w:val="0000FF"/>
            <w:u w:val="single"/>
            <w:rtl/>
          </w:rPr>
          <w:t>רע"פ 126/15</w:t>
        </w:r>
      </w:hyperlink>
      <w:r w:rsidR="008D6B14" w:rsidRPr="00AE5F96">
        <w:rPr>
          <w:rFonts w:ascii="David" w:hAnsi="David"/>
          <w:b/>
          <w:bCs/>
          <w:noProof w:val="0"/>
          <w:color w:val="000000"/>
          <w:rtl/>
        </w:rPr>
        <w:t xml:space="preserve"> טל חדיף נ' מדינת ישראל</w:t>
      </w:r>
      <w:r w:rsidR="008D6B14" w:rsidRPr="00AE5F96">
        <w:rPr>
          <w:rFonts w:ascii="David" w:hAnsi="David"/>
          <w:noProof w:val="0"/>
          <w:color w:val="000000"/>
          <w:rtl/>
        </w:rPr>
        <w:t xml:space="preserve">– הנאשם הורשע בעבירות של סחר בסם מסוכן, בכך שמכר לסוכן סמוי, סם מסוכן מסוג קוקאין ב-3 הזדמנויות שונות, במשקלים של  0.3901 גרם, במשקל של 0.8179 גרם, ובפעם השלישית, בתיווכו של חבר, מכר מנת סם במשקל של 2.5056 גרם נטו. בית משפט השלום קבע מתחם שנע בין 8 ל-18 חודשים לכל אירוע של מכירת סם, וגזר לו 16 חודשי מאסר בפועל, הפעיל מאסר מותנה במצטבר, כך שסך הכל הטיל עליו 20 חודשי מאסר בפועל לצד ענישה נלווית. בית המשפט המחוזי קבע שהמתחם שנקבע הנו מתחם מתון במיוחד. </w:t>
      </w:r>
    </w:p>
    <w:p w14:paraId="72F2971C"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noProof w:val="0"/>
          <w:color w:val="000000"/>
          <w:rtl/>
        </w:rPr>
        <w:t xml:space="preserve"> </w:t>
      </w:r>
      <w:hyperlink r:id="rId16" w:history="1">
        <w:r w:rsidR="00696E5D" w:rsidRPr="00696E5D">
          <w:rPr>
            <w:rFonts w:ascii="David" w:hAnsi="David"/>
            <w:b/>
            <w:bCs/>
            <w:noProof w:val="0"/>
            <w:color w:val="0000FF"/>
            <w:u w:val="single"/>
            <w:rtl/>
          </w:rPr>
          <w:t>רע"פ 8408/15</w:t>
        </w:r>
      </w:hyperlink>
      <w:r w:rsidRPr="00AE5F96">
        <w:rPr>
          <w:rFonts w:ascii="David" w:hAnsi="David"/>
          <w:b/>
          <w:bCs/>
          <w:noProof w:val="0"/>
          <w:color w:val="000000"/>
          <w:rtl/>
        </w:rPr>
        <w:t xml:space="preserve"> חביב נ' מדינת ישראל</w:t>
      </w:r>
      <w:r w:rsidRPr="00AE5F96">
        <w:rPr>
          <w:rFonts w:ascii="David" w:hAnsi="David"/>
          <w:noProof w:val="0"/>
          <w:color w:val="000000"/>
          <w:rtl/>
        </w:rPr>
        <w:t xml:space="preserve">  – הנאשם הורשע בעבירות של סחר בסמים מסוג קוקאין, תוך תכנון ותיאום טלפוני מוקדם והחזקת סם מסוכן, שלא לצריכה עצמית. הנאשם סחר בקוקאין במשקל 1.1 גרם נטו, תמורת 600 ₪, וכן סחר יחד עם אחר בסם מסוכן מסוג קוקאין במשקל של 5 גרם, והחזיק בדופן גלגל ימני של רכב, סם מסוג קוקאין, במשקל של 15 גרם, שלא לצריכה עצמית. בית משפט השלום קבע מתחם שנע בין 8 ל-18 חודשים לכל אחד משלושת האישומים. הנאשם עבר הליך שיקומי, ונגזרו לו 17 חודשי מאסר בפועל, לצד רכיבי ענישה נוספים. ערעורים לבית המשפט המחוזי ולעליון נדחו.</w:t>
      </w:r>
    </w:p>
    <w:p w14:paraId="5F9BF2B3" w14:textId="77777777" w:rsidR="008D6B14" w:rsidRPr="00AE5F96" w:rsidRDefault="00696E5D" w:rsidP="008D6B14">
      <w:pPr>
        <w:tabs>
          <w:tab w:val="left" w:pos="720"/>
        </w:tabs>
        <w:spacing w:after="120" w:line="360" w:lineRule="auto"/>
        <w:jc w:val="both"/>
        <w:rPr>
          <w:rFonts w:ascii="David" w:hAnsi="David"/>
          <w:noProof w:val="0"/>
          <w:color w:val="000000"/>
        </w:rPr>
      </w:pPr>
      <w:hyperlink r:id="rId17" w:history="1">
        <w:r w:rsidRPr="00696E5D">
          <w:rPr>
            <w:rFonts w:ascii="David" w:hAnsi="David"/>
            <w:b/>
            <w:bCs/>
            <w:noProof w:val="0"/>
            <w:color w:val="0000FF"/>
            <w:u w:val="single"/>
            <w:rtl/>
          </w:rPr>
          <w:t>עפ"ג (מרכז) 29484-12-19</w:t>
        </w:r>
      </w:hyperlink>
      <w:r w:rsidR="008D6B14" w:rsidRPr="00AE5F96">
        <w:rPr>
          <w:rFonts w:ascii="David" w:hAnsi="David"/>
          <w:b/>
          <w:bCs/>
          <w:noProof w:val="0"/>
          <w:color w:val="000000"/>
          <w:rtl/>
        </w:rPr>
        <w:t xml:space="preserve"> מדינת ישראל נ' פינקלשטיין</w:t>
      </w:r>
      <w:r w:rsidR="008D6B14" w:rsidRPr="00AE5F96">
        <w:rPr>
          <w:rFonts w:ascii="David" w:hAnsi="David"/>
          <w:noProof w:val="0"/>
          <w:color w:val="000000"/>
          <w:rtl/>
        </w:rPr>
        <w:t xml:space="preserve">  – הנאשם הורשע ב-2 עבירות של סחר בסם מסוכן מסוג קוקאין. במקרה אחד מכר 4.886 גרם נטו של קוקאין, ובמקרה השני 1 גרם נטו. בית המשפט קבע מתחם של 8 עד 18 חודשי מאסר לכל אירוע, וסטה מהמתחם משיקולי שיקום, והסתפק בהטלת של"צ.</w:t>
      </w:r>
    </w:p>
    <w:p w14:paraId="7CBA9BA9"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noProof w:val="0"/>
          <w:color w:val="000000"/>
          <w:rtl/>
        </w:rPr>
        <w:t xml:space="preserve">לאור כל האמור לעיל, אני קובעת כי </w:t>
      </w:r>
      <w:r w:rsidRPr="00AE5F96">
        <w:rPr>
          <w:rFonts w:ascii="David" w:hAnsi="David"/>
          <w:b/>
          <w:bCs/>
          <w:noProof w:val="0"/>
          <w:color w:val="000000"/>
          <w:rtl/>
        </w:rPr>
        <w:t>מתחם העונש ההולם</w:t>
      </w:r>
      <w:r w:rsidRPr="00AE5F96">
        <w:rPr>
          <w:rFonts w:ascii="David" w:hAnsi="David"/>
          <w:noProof w:val="0"/>
          <w:color w:val="000000"/>
          <w:rtl/>
        </w:rPr>
        <w:t xml:space="preserve"> בענייננו  הוא בין 7 ל-18 חודשי מאסר.  </w:t>
      </w:r>
    </w:p>
    <w:p w14:paraId="1DF28C0C" w14:textId="77777777" w:rsidR="008D6B14" w:rsidRPr="00AE5F96" w:rsidRDefault="008D6B14" w:rsidP="008D6B14">
      <w:pPr>
        <w:tabs>
          <w:tab w:val="left" w:pos="720"/>
        </w:tabs>
        <w:spacing w:after="120" w:line="360" w:lineRule="auto"/>
        <w:jc w:val="both"/>
        <w:rPr>
          <w:rFonts w:ascii="David" w:hAnsi="David"/>
          <w:b/>
          <w:bCs/>
          <w:noProof w:val="0"/>
          <w:color w:val="000000"/>
          <w:u w:val="single"/>
        </w:rPr>
      </w:pPr>
      <w:r w:rsidRPr="00AE5F96">
        <w:rPr>
          <w:rFonts w:ascii="David" w:hAnsi="David"/>
          <w:noProof w:val="0"/>
          <w:color w:val="000000"/>
          <w:rtl/>
        </w:rPr>
        <w:t xml:space="preserve">במקרה זה לא נטען כי קיימים שיקולים אשר מצדיקים חריגה מהמתחם, לחומרה או לקולה. </w:t>
      </w:r>
    </w:p>
    <w:p w14:paraId="7CF36054" w14:textId="77777777" w:rsidR="008D6B14" w:rsidRPr="00AE5F96" w:rsidRDefault="008D6B14" w:rsidP="008D6B14">
      <w:pPr>
        <w:tabs>
          <w:tab w:val="left" w:pos="720"/>
        </w:tabs>
        <w:spacing w:after="120" w:line="360" w:lineRule="auto"/>
        <w:jc w:val="both"/>
        <w:rPr>
          <w:rFonts w:ascii="David" w:hAnsi="David"/>
          <w:b/>
          <w:bCs/>
          <w:noProof w:val="0"/>
          <w:color w:val="000000"/>
          <w:u w:val="single"/>
          <w:rtl/>
        </w:rPr>
      </w:pPr>
    </w:p>
    <w:p w14:paraId="1FC36AA8" w14:textId="77777777" w:rsidR="008D6B14" w:rsidRPr="00AE5F96" w:rsidRDefault="008D6B14" w:rsidP="008D6B14">
      <w:pPr>
        <w:tabs>
          <w:tab w:val="left" w:pos="720"/>
        </w:tabs>
        <w:spacing w:after="120" w:line="360" w:lineRule="auto"/>
        <w:jc w:val="both"/>
        <w:rPr>
          <w:rFonts w:ascii="David" w:hAnsi="David"/>
          <w:b/>
          <w:bCs/>
          <w:noProof w:val="0"/>
          <w:color w:val="000000"/>
          <w:u w:val="single"/>
        </w:rPr>
      </w:pPr>
      <w:r w:rsidRPr="00AE5F96">
        <w:rPr>
          <w:rFonts w:ascii="David" w:hAnsi="David"/>
          <w:b/>
          <w:bCs/>
          <w:noProof w:val="0"/>
          <w:color w:val="000000"/>
          <w:u w:val="single"/>
          <w:rtl/>
        </w:rPr>
        <w:t>גזירת העונש המתאים לנאשם</w:t>
      </w:r>
    </w:p>
    <w:p w14:paraId="26DF777D"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noProof w:val="0"/>
          <w:color w:val="000000"/>
          <w:rtl/>
        </w:rPr>
        <w:t>אין ספק כי מאסרו של הנאשם יכביד על בנותיו והתפתחותן. דא עקא, אין לו לנאשם להלין אלא על עצמו. עיון בגזר הדין בו הוטל המאסר המותנה אותו מבקשים להפעיל כעת מלמד כי גם אז כשבתו היתה בת מספר חודשים ובזמן שאשתו בהריון נוסף, טען שהן ואבהותו מהוות נקודת שינוי ועבורן יימנע מלחזור לסורו. הנה כי כן, בחלוף שנה בלבד וכשהוא כבר אב לשתיים שב וביצע את אותה עבירה בדיוק. לכך צבר חומרה ועל כן דבריו לא יזכו היום לאמון או משקל ממשי. לא זו אף זו גם הזדמנות לריצוי העונש הקודם בעבודות שירות, לא השכיל הנאשם לנצל.</w:t>
      </w:r>
    </w:p>
    <w:p w14:paraId="65F7C2AF"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noProof w:val="0"/>
          <w:color w:val="000000"/>
          <w:rtl/>
        </w:rPr>
        <w:t>יחד עם זאת נתתי דעתי לקיומה של עסקה בודדת, להודאתו המידית וחסכון בזמן שיפוטי ולעובדה כי מלבד העבירה האחרונה, עברו הפלילי הקודם ישן באופן יחסי.</w:t>
      </w:r>
    </w:p>
    <w:p w14:paraId="6CF4B054" w14:textId="77777777" w:rsidR="008D6B14" w:rsidRPr="00AE5F96" w:rsidRDefault="008D6B14" w:rsidP="008D6B14">
      <w:pPr>
        <w:tabs>
          <w:tab w:val="left" w:pos="720"/>
        </w:tabs>
        <w:spacing w:after="120" w:line="360" w:lineRule="auto"/>
        <w:jc w:val="both"/>
        <w:rPr>
          <w:rFonts w:ascii="David" w:hAnsi="David"/>
          <w:noProof w:val="0"/>
          <w:color w:val="000000"/>
        </w:rPr>
      </w:pPr>
      <w:r w:rsidRPr="00AE5F96">
        <w:rPr>
          <w:rFonts w:ascii="David" w:hAnsi="David"/>
          <w:noProof w:val="0"/>
          <w:color w:val="000000"/>
          <w:rtl/>
        </w:rPr>
        <w:t>כמו כן הענקתי משקל לתקופת המעצר שבה שהה הנאשם כפי שפירט הסנגור, ובזמן מלחמה.</w:t>
      </w:r>
    </w:p>
    <w:p w14:paraId="021D70EB" w14:textId="77777777" w:rsidR="008D6B14" w:rsidRPr="00AE5F96" w:rsidRDefault="008D6B14" w:rsidP="008D6B14">
      <w:pPr>
        <w:tabs>
          <w:tab w:val="left" w:pos="720"/>
        </w:tabs>
        <w:spacing w:after="120" w:line="360" w:lineRule="auto"/>
        <w:jc w:val="both"/>
        <w:rPr>
          <w:rFonts w:ascii="David" w:hAnsi="David"/>
          <w:noProof w:val="0"/>
          <w:color w:val="000000"/>
          <w:rtl/>
        </w:rPr>
      </w:pPr>
    </w:p>
    <w:p w14:paraId="3E819826" w14:textId="77777777" w:rsidR="008D6B14" w:rsidRPr="00AE5F96" w:rsidRDefault="008D6B14" w:rsidP="008D6B14">
      <w:pPr>
        <w:tabs>
          <w:tab w:val="left" w:pos="720"/>
        </w:tabs>
        <w:spacing w:after="120" w:line="360" w:lineRule="auto"/>
        <w:jc w:val="both"/>
        <w:rPr>
          <w:rFonts w:ascii="David" w:hAnsi="David"/>
          <w:b/>
          <w:bCs/>
          <w:noProof w:val="0"/>
          <w:u w:val="single"/>
        </w:rPr>
      </w:pPr>
      <w:r w:rsidRPr="00AE5F96">
        <w:rPr>
          <w:rFonts w:ascii="David" w:hAnsi="David"/>
          <w:b/>
          <w:bCs/>
          <w:noProof w:val="0"/>
          <w:u w:val="single"/>
          <w:rtl/>
        </w:rPr>
        <w:t>סוף דבר</w:t>
      </w:r>
    </w:p>
    <w:p w14:paraId="0CB6CD2A" w14:textId="77777777" w:rsidR="008D6B14" w:rsidRPr="00AE5F96" w:rsidRDefault="008D6B14" w:rsidP="008D6B14">
      <w:pPr>
        <w:tabs>
          <w:tab w:val="left" w:pos="720"/>
        </w:tabs>
        <w:spacing w:after="120" w:line="360" w:lineRule="auto"/>
        <w:jc w:val="both"/>
        <w:rPr>
          <w:rFonts w:ascii="David" w:hAnsi="David"/>
          <w:noProof w:val="0"/>
          <w:color w:val="000000"/>
          <w:rtl/>
        </w:rPr>
      </w:pPr>
      <w:r w:rsidRPr="00AE5F96">
        <w:rPr>
          <w:rFonts w:ascii="David" w:hAnsi="David"/>
          <w:noProof w:val="0"/>
          <w:color w:val="000000"/>
          <w:rtl/>
        </w:rPr>
        <w:t xml:space="preserve">באיזון בין השיקולים השונים, אני גוזרת </w:t>
      </w:r>
      <w:r w:rsidRPr="00AE5F96">
        <w:rPr>
          <w:rFonts w:ascii="David" w:hAnsi="David"/>
          <w:b/>
          <w:bCs/>
          <w:noProof w:val="0"/>
          <w:color w:val="000000"/>
          <w:u w:val="single"/>
          <w:rtl/>
        </w:rPr>
        <w:t>על הנאשם את העונשים הבאים</w:t>
      </w:r>
      <w:r w:rsidRPr="00AE5F96">
        <w:rPr>
          <w:rFonts w:ascii="David" w:hAnsi="David"/>
          <w:noProof w:val="0"/>
          <w:color w:val="000000"/>
          <w:rtl/>
        </w:rPr>
        <w:t>:</w:t>
      </w:r>
    </w:p>
    <w:p w14:paraId="5BE98931" w14:textId="77777777" w:rsidR="008D6B14" w:rsidRPr="00AE5F96" w:rsidRDefault="008D6B14" w:rsidP="008D6B14">
      <w:pPr>
        <w:spacing w:line="360" w:lineRule="auto"/>
        <w:jc w:val="both"/>
        <w:rPr>
          <w:rFonts w:ascii="David" w:hAnsi="David"/>
          <w:noProof w:val="0"/>
        </w:rPr>
      </w:pPr>
      <w:r w:rsidRPr="00AE5F96">
        <w:rPr>
          <w:rFonts w:ascii="David" w:hAnsi="David"/>
          <w:noProof w:val="0"/>
          <w:rtl/>
        </w:rPr>
        <w:t>לאחר ששקלתי כל שהובא בפניי מצאתי לגזור על הנאשם את העונשים הבאים:</w:t>
      </w:r>
    </w:p>
    <w:p w14:paraId="2940FAD6" w14:textId="77777777" w:rsidR="008D6B14" w:rsidRPr="00AE5F96" w:rsidRDefault="008D6B14" w:rsidP="008D6B14">
      <w:pPr>
        <w:numPr>
          <w:ilvl w:val="0"/>
          <w:numId w:val="1"/>
        </w:numPr>
        <w:spacing w:before="120" w:after="120" w:line="360" w:lineRule="auto"/>
        <w:contextualSpacing/>
        <w:jc w:val="both"/>
        <w:rPr>
          <w:rFonts w:ascii="David" w:hAnsi="David"/>
          <w:noProof w:val="0"/>
        </w:rPr>
      </w:pPr>
      <w:r w:rsidRPr="00AE5F96">
        <w:rPr>
          <w:rFonts w:ascii="David" w:hAnsi="David"/>
          <w:noProof w:val="0"/>
          <w:rtl/>
        </w:rPr>
        <w:t>שבעה חודשי מאסר בניכוי ימי מעצרו.</w:t>
      </w:r>
    </w:p>
    <w:p w14:paraId="3CE3BC02" w14:textId="77777777" w:rsidR="008D6B14" w:rsidRPr="00AE5F96" w:rsidRDefault="008D6B14" w:rsidP="008D6B14">
      <w:pPr>
        <w:numPr>
          <w:ilvl w:val="0"/>
          <w:numId w:val="1"/>
        </w:numPr>
        <w:spacing w:before="120" w:after="120" w:line="360" w:lineRule="auto"/>
        <w:contextualSpacing/>
        <w:jc w:val="both"/>
        <w:rPr>
          <w:rFonts w:ascii="David" w:hAnsi="David"/>
          <w:noProof w:val="0"/>
          <w:rtl/>
        </w:rPr>
      </w:pPr>
      <w:r w:rsidRPr="00AE5F96">
        <w:rPr>
          <w:rFonts w:ascii="David" w:hAnsi="David"/>
          <w:noProof w:val="0"/>
          <w:rtl/>
        </w:rPr>
        <w:t>אני מורה על הפעלת המאסר המותנה בן ששת החודשים מ</w:t>
      </w:r>
      <w:hyperlink r:id="rId18" w:history="1">
        <w:r w:rsidR="00696E5D" w:rsidRPr="00696E5D">
          <w:rPr>
            <w:rFonts w:ascii="David" w:hAnsi="David"/>
            <w:noProof w:val="0"/>
            <w:color w:val="0000FF"/>
            <w:u w:val="single"/>
            <w:rtl/>
          </w:rPr>
          <w:t>ת"פ 5561-04-21</w:t>
        </w:r>
      </w:hyperlink>
      <w:r w:rsidRPr="00AE5F96">
        <w:rPr>
          <w:rFonts w:ascii="David" w:hAnsi="David"/>
          <w:noProof w:val="0"/>
          <w:rtl/>
        </w:rPr>
        <w:t xml:space="preserve"> כך ששלושה חודשים מתוכו ירוצו בחופף לעונש הנ"ל ויתרתו במצטבר.</w:t>
      </w:r>
    </w:p>
    <w:p w14:paraId="07B07185" w14:textId="77777777" w:rsidR="008D6B14" w:rsidRPr="00AE5F96" w:rsidRDefault="008D6B14" w:rsidP="008D6B14">
      <w:pPr>
        <w:spacing w:before="120" w:after="120" w:line="360" w:lineRule="auto"/>
        <w:ind w:left="720"/>
        <w:contextualSpacing/>
        <w:jc w:val="both"/>
        <w:rPr>
          <w:rFonts w:ascii="David" w:hAnsi="David"/>
          <w:noProof w:val="0"/>
          <w:u w:val="single"/>
          <w:rtl/>
        </w:rPr>
      </w:pPr>
      <w:r w:rsidRPr="00AE5F96">
        <w:rPr>
          <w:rFonts w:ascii="David" w:hAnsi="David"/>
          <w:noProof w:val="0"/>
          <w:u w:val="single"/>
          <w:rtl/>
        </w:rPr>
        <w:t>בסך הכל ירצה הנאשם 10 חודשי מאסר בפועל.</w:t>
      </w:r>
    </w:p>
    <w:p w14:paraId="16FFB829" w14:textId="77777777" w:rsidR="008D6B14" w:rsidRPr="00AE5F96" w:rsidRDefault="008D6B14" w:rsidP="008D6B14">
      <w:pPr>
        <w:numPr>
          <w:ilvl w:val="0"/>
          <w:numId w:val="1"/>
        </w:numPr>
        <w:spacing w:before="120" w:after="120" w:line="360" w:lineRule="auto"/>
        <w:contextualSpacing/>
        <w:jc w:val="both"/>
        <w:rPr>
          <w:rFonts w:ascii="David" w:hAnsi="David"/>
          <w:noProof w:val="0"/>
        </w:rPr>
      </w:pPr>
      <w:r w:rsidRPr="00AE5F96">
        <w:rPr>
          <w:rFonts w:ascii="David" w:hAnsi="David"/>
          <w:noProof w:val="0"/>
          <w:rtl/>
        </w:rPr>
        <w:t xml:space="preserve">מאסר על תנאי למשך 6 חודשים והתנאי הוא שהנאשם לא יעבור בתוך שלוש שנים מיום שחרורו כל עבירה מסוג פשע לפי </w:t>
      </w:r>
      <w:hyperlink r:id="rId19" w:history="1">
        <w:r w:rsidR="00696E5D" w:rsidRPr="00696E5D">
          <w:rPr>
            <w:rFonts w:ascii="David" w:hAnsi="David"/>
            <w:noProof w:val="0"/>
            <w:color w:val="0000FF"/>
            <w:u w:val="single"/>
            <w:rtl/>
          </w:rPr>
          <w:t>פקודת הסמים המסוכנים</w:t>
        </w:r>
      </w:hyperlink>
      <w:r w:rsidRPr="00AE5F96">
        <w:rPr>
          <w:rFonts w:ascii="David" w:hAnsi="David"/>
          <w:noProof w:val="0"/>
          <w:rtl/>
        </w:rPr>
        <w:t xml:space="preserve">. </w:t>
      </w:r>
    </w:p>
    <w:p w14:paraId="6B48C340" w14:textId="77777777" w:rsidR="008D6B14" w:rsidRPr="00AE5F96" w:rsidRDefault="008D6B14" w:rsidP="008D6B14">
      <w:pPr>
        <w:numPr>
          <w:ilvl w:val="0"/>
          <w:numId w:val="1"/>
        </w:numPr>
        <w:spacing w:before="120" w:after="120" w:line="360" w:lineRule="auto"/>
        <w:contextualSpacing/>
        <w:jc w:val="both"/>
        <w:rPr>
          <w:rFonts w:ascii="David" w:hAnsi="David"/>
          <w:noProof w:val="0"/>
        </w:rPr>
      </w:pPr>
      <w:r w:rsidRPr="00AE5F96">
        <w:rPr>
          <w:rFonts w:ascii="David" w:hAnsi="David"/>
          <w:noProof w:val="0"/>
          <w:rtl/>
        </w:rPr>
        <w:t xml:space="preserve">קנס בסך 3,000 ₪. הקנס ישולם ב-6 תשלומים שווים ורצופים מיום 1.9.24 ובכל 1 לחודש שלאחריו. </w:t>
      </w:r>
    </w:p>
    <w:p w14:paraId="61775D97" w14:textId="77777777" w:rsidR="008D6B14" w:rsidRPr="00AE5F96" w:rsidRDefault="00696E5D" w:rsidP="008D6B14">
      <w:pPr>
        <w:numPr>
          <w:ilvl w:val="0"/>
          <w:numId w:val="1"/>
        </w:numPr>
        <w:spacing w:before="120" w:after="120" w:line="360" w:lineRule="auto"/>
        <w:contextualSpacing/>
        <w:jc w:val="both"/>
        <w:rPr>
          <w:rFonts w:ascii="David" w:hAnsi="David"/>
          <w:noProof w:val="0"/>
        </w:rPr>
      </w:pPr>
      <w:r w:rsidRPr="00696E5D">
        <w:rPr>
          <w:rFonts w:ascii="David" w:hAnsi="David"/>
          <w:noProof w:val="0"/>
          <w:color w:val="FFFFFF"/>
          <w:sz w:val="2"/>
          <w:szCs w:val="2"/>
          <w:rtl/>
        </w:rPr>
        <w:t>5129371</w:t>
      </w:r>
      <w:r w:rsidR="008D6B14" w:rsidRPr="00AE5F96">
        <w:rPr>
          <w:rFonts w:ascii="David" w:hAnsi="David"/>
          <w:noProof w:val="0"/>
          <w:rtl/>
        </w:rPr>
        <w:t>הנאשם יתחייב היום כי היה ובתוך שלוש שנים מהיום יעבור עבירה מסוג פשע לפי פק' הסמים המסוכנים ישלם לטובת אוצר המדינה סך של 5,000 ₪.</w:t>
      </w:r>
    </w:p>
    <w:p w14:paraId="3B4E6710" w14:textId="77777777" w:rsidR="008D6B14" w:rsidRPr="00AE5F96" w:rsidRDefault="00696E5D" w:rsidP="008D6B14">
      <w:pPr>
        <w:spacing w:line="360" w:lineRule="auto"/>
        <w:ind w:left="720"/>
        <w:jc w:val="both"/>
        <w:rPr>
          <w:rFonts w:ascii="David" w:hAnsi="David"/>
          <w:noProof w:val="0"/>
          <w:u w:val="single"/>
          <w:rtl/>
        </w:rPr>
      </w:pPr>
      <w:r w:rsidRPr="00696E5D">
        <w:rPr>
          <w:rFonts w:ascii="David" w:hAnsi="David"/>
          <w:noProof w:val="0"/>
          <w:color w:val="FFFFFF"/>
          <w:sz w:val="2"/>
          <w:szCs w:val="2"/>
          <w:u w:val="single"/>
          <w:rtl/>
        </w:rPr>
        <w:t>54678313</w:t>
      </w:r>
      <w:r w:rsidR="008D6B14" w:rsidRPr="00AE5F96">
        <w:rPr>
          <w:rFonts w:ascii="David" w:hAnsi="David"/>
          <w:noProof w:val="0"/>
          <w:u w:val="single"/>
          <w:rtl/>
        </w:rPr>
        <w:t>זכות ערעור כחוק.</w:t>
      </w:r>
    </w:p>
    <w:p w14:paraId="49D4984B" w14:textId="77777777" w:rsidR="008D6B14" w:rsidRPr="00AE5F96" w:rsidRDefault="008D6B14" w:rsidP="008D6B14">
      <w:pPr>
        <w:spacing w:line="360" w:lineRule="auto"/>
        <w:jc w:val="both"/>
        <w:rPr>
          <w:rFonts w:ascii="David" w:hAnsi="David"/>
          <w:noProof w:val="0"/>
          <w:rtl/>
        </w:rPr>
      </w:pPr>
    </w:p>
    <w:p w14:paraId="7BE35A05" w14:textId="77777777" w:rsidR="008D6B14" w:rsidRPr="00AE5F96" w:rsidRDefault="00696E5D" w:rsidP="008D6B14">
      <w:pPr>
        <w:spacing w:line="360" w:lineRule="auto"/>
        <w:jc w:val="both"/>
        <w:rPr>
          <w:rFonts w:ascii="David" w:hAnsi="David"/>
          <w:noProof w:val="0"/>
          <w:rtl/>
        </w:rPr>
      </w:pPr>
      <w:bookmarkStart w:id="7" w:name="Nitan"/>
      <w:r>
        <w:rPr>
          <w:rFonts w:ascii="David" w:hAnsi="David"/>
          <w:noProof w:val="0"/>
          <w:rtl/>
        </w:rPr>
        <w:t xml:space="preserve">ניתנה היום, י"ח אייר תשפ"ד, 26 מאי 2024, בהעדר הצדדים. </w:t>
      </w:r>
      <w:bookmarkEnd w:id="7"/>
    </w:p>
    <w:p w14:paraId="5C017DC8" w14:textId="77777777" w:rsidR="008D6B14" w:rsidRPr="00AE5F96" w:rsidRDefault="008D6B14" w:rsidP="008D6B14">
      <w:pPr>
        <w:spacing w:line="360" w:lineRule="auto"/>
        <w:ind w:left="3600" w:firstLine="720"/>
        <w:jc w:val="center"/>
      </w:pPr>
    </w:p>
    <w:p w14:paraId="4043472F" w14:textId="77777777" w:rsidR="008D6B14" w:rsidRPr="00AE5F96" w:rsidRDefault="008D6B14" w:rsidP="008D6B14">
      <w:pPr>
        <w:spacing w:line="360" w:lineRule="auto"/>
        <w:ind w:left="3600" w:firstLine="720"/>
        <w:jc w:val="center"/>
        <w:rPr>
          <w:rFonts w:ascii="David" w:hAnsi="David"/>
          <w:noProof w:val="0"/>
          <w:rtl/>
        </w:rPr>
      </w:pPr>
    </w:p>
    <w:p w14:paraId="700EB4A2" w14:textId="77777777" w:rsidR="00A80123" w:rsidRPr="00696E5D" w:rsidRDefault="00A80123" w:rsidP="00696E5D">
      <w:pPr>
        <w:keepNext/>
        <w:rPr>
          <w:rFonts w:ascii="David" w:hAnsi="David" w:hint="cs"/>
          <w:color w:val="000000"/>
          <w:sz w:val="22"/>
          <w:szCs w:val="22"/>
          <w:rtl/>
        </w:rPr>
      </w:pPr>
    </w:p>
    <w:p w14:paraId="7F348D87" w14:textId="77777777" w:rsidR="00696E5D" w:rsidRPr="00696E5D" w:rsidRDefault="00696E5D" w:rsidP="00696E5D">
      <w:pPr>
        <w:keepNext/>
        <w:rPr>
          <w:rFonts w:ascii="David" w:hAnsi="David"/>
          <w:color w:val="000000"/>
          <w:sz w:val="22"/>
          <w:szCs w:val="22"/>
          <w:rtl/>
        </w:rPr>
      </w:pPr>
      <w:r w:rsidRPr="00696E5D">
        <w:rPr>
          <w:rFonts w:ascii="David" w:hAnsi="David"/>
          <w:color w:val="000000"/>
          <w:sz w:val="22"/>
          <w:szCs w:val="22"/>
          <w:rtl/>
        </w:rPr>
        <w:t>ליזי פרוינד 54678313</w:t>
      </w:r>
    </w:p>
    <w:p w14:paraId="1E267CCA" w14:textId="77777777" w:rsidR="00696E5D" w:rsidRDefault="00696E5D" w:rsidP="00696E5D">
      <w:r w:rsidRPr="00696E5D">
        <w:rPr>
          <w:color w:val="000000"/>
          <w:rtl/>
        </w:rPr>
        <w:t>נוסח מסמך זה כפוף לשינויי ניסוח ועריכה</w:t>
      </w:r>
    </w:p>
    <w:p w14:paraId="458E17E4" w14:textId="77777777" w:rsidR="00696E5D" w:rsidRDefault="00696E5D" w:rsidP="00696E5D">
      <w:pPr>
        <w:rPr>
          <w:rtl/>
        </w:rPr>
      </w:pPr>
    </w:p>
    <w:p w14:paraId="77375CBE" w14:textId="77777777" w:rsidR="00696E5D" w:rsidRDefault="00696E5D" w:rsidP="00696E5D">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1EDD9D7" w14:textId="77777777" w:rsidR="00696E5D" w:rsidRPr="00696E5D" w:rsidRDefault="00696E5D" w:rsidP="00696E5D">
      <w:pPr>
        <w:jc w:val="center"/>
        <w:rPr>
          <w:rFonts w:hint="cs"/>
          <w:color w:val="0000FF"/>
          <w:u w:val="single"/>
        </w:rPr>
      </w:pPr>
    </w:p>
    <w:sectPr w:rsidR="00696E5D" w:rsidRPr="00696E5D" w:rsidSect="00696E5D">
      <w:headerReference w:type="even" r:id="rId21"/>
      <w:headerReference w:type="default" r:id="rId22"/>
      <w:footerReference w:type="even" r:id="rId23"/>
      <w:footerReference w:type="default" r:id="rId2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3B657" w14:textId="77777777" w:rsidR="00AB6BBC" w:rsidRDefault="00AB6BBC" w:rsidP="00EA0088">
      <w:r>
        <w:separator/>
      </w:r>
    </w:p>
  </w:endnote>
  <w:endnote w:type="continuationSeparator" w:id="0">
    <w:p w14:paraId="0922198F" w14:textId="77777777" w:rsidR="00AB6BBC" w:rsidRDefault="00AB6BBC" w:rsidP="00EA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3F8EE" w14:textId="77777777" w:rsidR="00696E5D" w:rsidRDefault="00696E5D" w:rsidP="00696E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E41896B" w14:textId="77777777" w:rsidR="00696E5D" w:rsidRPr="00696E5D" w:rsidRDefault="00696E5D" w:rsidP="00696E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FE1E2" w14:textId="77777777" w:rsidR="00696E5D" w:rsidRDefault="00696E5D" w:rsidP="00696E5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D4E10">
      <w:rPr>
        <w:rStyle w:val="a8"/>
        <w:rFonts w:ascii="FrankRuehl" w:hAnsi="FrankRuehl" w:cs="FrankRuehl"/>
        <w:rtl/>
      </w:rPr>
      <w:t>1</w:t>
    </w:r>
    <w:r>
      <w:rPr>
        <w:rStyle w:val="a8"/>
        <w:rFonts w:ascii="FrankRuehl" w:hAnsi="FrankRuehl" w:cs="FrankRuehl"/>
        <w:rtl/>
      </w:rPr>
      <w:fldChar w:fldCharType="end"/>
    </w:r>
  </w:p>
  <w:p w14:paraId="1FE97E02" w14:textId="77777777" w:rsidR="00D70960" w:rsidRPr="00696E5D" w:rsidRDefault="00696E5D" w:rsidP="00696E5D">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16CDB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359E7" w14:textId="77777777" w:rsidR="00AB6BBC" w:rsidRDefault="00AB6BBC" w:rsidP="00EA0088">
      <w:r>
        <w:separator/>
      </w:r>
    </w:p>
  </w:footnote>
  <w:footnote w:type="continuationSeparator" w:id="0">
    <w:p w14:paraId="52D3392A" w14:textId="77777777" w:rsidR="00AB6BBC" w:rsidRDefault="00AB6BBC" w:rsidP="00EA0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512C" w14:textId="77777777" w:rsidR="00696E5D" w:rsidRPr="00696E5D" w:rsidRDefault="00696E5D" w:rsidP="00696E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1404-03-24</w:t>
    </w:r>
    <w:r>
      <w:rPr>
        <w:rFonts w:ascii="David" w:hAnsi="David"/>
        <w:color w:val="000000"/>
        <w:sz w:val="22"/>
        <w:szCs w:val="22"/>
        <w:rtl/>
      </w:rPr>
      <w:tab/>
      <w:t xml:space="preserve"> מדינת ישראל נ' מסלי יחיאלוב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60D1" w14:textId="77777777" w:rsidR="00696E5D" w:rsidRPr="00696E5D" w:rsidRDefault="00696E5D" w:rsidP="00696E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1404-03-24</w:t>
    </w:r>
    <w:r>
      <w:rPr>
        <w:rFonts w:ascii="David" w:hAnsi="David"/>
        <w:color w:val="000000"/>
        <w:sz w:val="22"/>
        <w:szCs w:val="22"/>
        <w:rtl/>
      </w:rPr>
      <w:tab/>
      <w:t xml:space="preserve"> מדינת ישראל נ' מסלי יחיאלוב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E8498E"/>
    <w:multiLevelType w:val="hybridMultilevel"/>
    <w:tmpl w:val="2ECE043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663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6B14"/>
    <w:rsid w:val="002E58B6"/>
    <w:rsid w:val="00336937"/>
    <w:rsid w:val="004D4E10"/>
    <w:rsid w:val="00696E5D"/>
    <w:rsid w:val="008D6B14"/>
    <w:rsid w:val="00984220"/>
    <w:rsid w:val="009A4E4C"/>
    <w:rsid w:val="00A80123"/>
    <w:rsid w:val="00A9229B"/>
    <w:rsid w:val="00AB6BBC"/>
    <w:rsid w:val="00CE4A7A"/>
    <w:rsid w:val="00D70960"/>
    <w:rsid w:val="00E72F56"/>
    <w:rsid w:val="00EA0088"/>
    <w:rsid w:val="00EB14B7"/>
    <w:rsid w:val="00FB3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81D3CC"/>
  <w15:chartTrackingRefBased/>
  <w15:docId w15:val="{82192F47-C8CC-4C36-AAE2-1D1E2ED5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6B1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6B14"/>
    <w:pPr>
      <w:tabs>
        <w:tab w:val="center" w:pos="4153"/>
        <w:tab w:val="right" w:pos="8306"/>
      </w:tabs>
    </w:pPr>
  </w:style>
  <w:style w:type="character" w:customStyle="1" w:styleId="a4">
    <w:name w:val="כותרת עליונה תו"/>
    <w:link w:val="a3"/>
    <w:rsid w:val="008D6B14"/>
    <w:rPr>
      <w:rFonts w:ascii="Times New Roman" w:eastAsia="Times New Roman" w:hAnsi="Times New Roman" w:cs="David"/>
      <w:noProof/>
      <w:sz w:val="24"/>
      <w:szCs w:val="24"/>
    </w:rPr>
  </w:style>
  <w:style w:type="paragraph" w:styleId="a5">
    <w:name w:val="footer"/>
    <w:basedOn w:val="a"/>
    <w:link w:val="a6"/>
    <w:rsid w:val="008D6B14"/>
    <w:pPr>
      <w:tabs>
        <w:tab w:val="center" w:pos="4153"/>
        <w:tab w:val="right" w:pos="8306"/>
      </w:tabs>
    </w:pPr>
  </w:style>
  <w:style w:type="character" w:customStyle="1" w:styleId="a6">
    <w:name w:val="כותרת תחתונה תו"/>
    <w:link w:val="a5"/>
    <w:rsid w:val="008D6B14"/>
    <w:rPr>
      <w:rFonts w:ascii="Times New Roman" w:eastAsia="Times New Roman" w:hAnsi="Times New Roman" w:cs="David"/>
      <w:noProof/>
      <w:sz w:val="24"/>
      <w:szCs w:val="24"/>
    </w:rPr>
  </w:style>
  <w:style w:type="table" w:styleId="a7">
    <w:name w:val="Table Grid"/>
    <w:basedOn w:val="a1"/>
    <w:rsid w:val="008D6B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6B14"/>
  </w:style>
  <w:style w:type="character" w:styleId="a9">
    <w:name w:val="line number"/>
    <w:rsid w:val="008D6B14"/>
  </w:style>
  <w:style w:type="character" w:styleId="Hyperlink">
    <w:name w:val="Hyperlink"/>
    <w:rsid w:val="00696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2797714" TargetMode="External"/><Relationship Id="rId18" Type="http://schemas.openxmlformats.org/officeDocument/2006/relationships/hyperlink" Target="http://www.nevo.co.il/case/2751482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26559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0787902"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8793360"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18784698"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7741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3211386</vt:i4>
      </vt:variant>
      <vt:variant>
        <vt:i4>33</vt:i4>
      </vt:variant>
      <vt:variant>
        <vt:i4>0</vt:i4>
      </vt:variant>
      <vt:variant>
        <vt:i4>5</vt:i4>
      </vt:variant>
      <vt:variant>
        <vt:lpwstr>http://www.nevo.co.il/case/27514829</vt:lpwstr>
      </vt:variant>
      <vt:variant>
        <vt:lpwstr/>
      </vt:variant>
      <vt:variant>
        <vt:i4>3932273</vt:i4>
      </vt:variant>
      <vt:variant>
        <vt:i4>30</vt:i4>
      </vt:variant>
      <vt:variant>
        <vt:i4>0</vt:i4>
      </vt:variant>
      <vt:variant>
        <vt:i4>5</vt:i4>
      </vt:variant>
      <vt:variant>
        <vt:lpwstr>http://www.nevo.co.il/case/26265593</vt:lpwstr>
      </vt:variant>
      <vt:variant>
        <vt:lpwstr/>
      </vt:variant>
      <vt:variant>
        <vt:i4>3276917</vt:i4>
      </vt:variant>
      <vt:variant>
        <vt:i4>27</vt:i4>
      </vt:variant>
      <vt:variant>
        <vt:i4>0</vt:i4>
      </vt:variant>
      <vt:variant>
        <vt:i4>5</vt:i4>
      </vt:variant>
      <vt:variant>
        <vt:lpwstr>http://www.nevo.co.il/case/20787902</vt:lpwstr>
      </vt:variant>
      <vt:variant>
        <vt:lpwstr/>
      </vt:variant>
      <vt:variant>
        <vt:i4>3342454</vt:i4>
      </vt:variant>
      <vt:variant>
        <vt:i4>24</vt:i4>
      </vt:variant>
      <vt:variant>
        <vt:i4>0</vt:i4>
      </vt:variant>
      <vt:variant>
        <vt:i4>5</vt:i4>
      </vt:variant>
      <vt:variant>
        <vt:lpwstr>http://www.nevo.co.il/case/18793360</vt:lpwstr>
      </vt:variant>
      <vt:variant>
        <vt:lpwstr/>
      </vt:variant>
      <vt:variant>
        <vt:i4>3866738</vt:i4>
      </vt:variant>
      <vt:variant>
        <vt:i4>21</vt:i4>
      </vt:variant>
      <vt:variant>
        <vt:i4>0</vt:i4>
      </vt:variant>
      <vt:variant>
        <vt:i4>5</vt:i4>
      </vt:variant>
      <vt:variant>
        <vt:lpwstr>http://www.nevo.co.il/case/18784698</vt:lpwstr>
      </vt:variant>
      <vt:variant>
        <vt:lpwstr/>
      </vt:variant>
      <vt:variant>
        <vt:i4>3342456</vt:i4>
      </vt:variant>
      <vt:variant>
        <vt:i4>18</vt:i4>
      </vt:variant>
      <vt:variant>
        <vt:i4>0</vt:i4>
      </vt:variant>
      <vt:variant>
        <vt:i4>5</vt:i4>
      </vt:variant>
      <vt:variant>
        <vt:lpwstr>http://www.nevo.co.il/case/22797714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1404</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מסלי יחיאלוב</vt:lpwstr>
  </property>
  <property fmtid="{D5CDD505-2E9C-101B-9397-08002B2CF9AE}" pid="10" name="JUDGE">
    <vt:lpwstr>ליזי פרוינד</vt:lpwstr>
  </property>
  <property fmtid="{D5CDD505-2E9C-101B-9397-08002B2CF9AE}" pid="11" name="CITY">
    <vt:lpwstr>חד'</vt:lpwstr>
  </property>
  <property fmtid="{D5CDD505-2E9C-101B-9397-08002B2CF9AE}" pid="12" name="DATE">
    <vt:lpwstr>20240526</vt:lpwstr>
  </property>
  <property fmtid="{D5CDD505-2E9C-101B-9397-08002B2CF9AE}" pid="13" name="TYPE_N_DATE">
    <vt:lpwstr>38020240526</vt:lpwstr>
  </property>
  <property fmtid="{D5CDD505-2E9C-101B-9397-08002B2CF9AE}" pid="14" name="WORDNUMPAGES">
    <vt:lpwstr>5</vt:lpwstr>
  </property>
  <property fmtid="{D5CDD505-2E9C-101B-9397-08002B2CF9AE}" pid="15" name="TYPE_ABS_DATE">
    <vt:lpwstr>380020240526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22797714;18784698;18793360;20787902;26265593;27514829</vt:lpwstr>
  </property>
  <property fmtid="{D5CDD505-2E9C-101B-9397-08002B2CF9AE}" pid="36" name="LAWLISTTMP1">
    <vt:lpwstr>4216/013;019a</vt:lpwstr>
  </property>
</Properties>
</file>