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F40C76" w:rsidRPr="00AC4982" w14:paraId="459CDB32" w14:textId="77777777" w:rsidTr="00414528">
        <w:trPr>
          <w:trHeight w:hRule="exact" w:val="418"/>
          <w:jc w:val="center"/>
        </w:trPr>
        <w:tc>
          <w:tcPr>
            <w:tcW w:w="8721" w:type="dxa"/>
            <w:gridSpan w:val="2"/>
          </w:tcPr>
          <w:p w14:paraId="08307248" w14:textId="77777777" w:rsidR="00F40C76" w:rsidRPr="00AC4982" w:rsidRDefault="00F40C76" w:rsidP="00B04332">
            <w:pPr>
              <w:pStyle w:val="a3"/>
              <w:jc w:val="center"/>
              <w:rPr>
                <w:rFonts w:ascii="Tahoma" w:hAnsi="Tahoma" w:cs="Tahoma"/>
                <w:color w:val="000080"/>
                <w:rtl/>
              </w:rPr>
            </w:pPr>
            <w:r w:rsidRPr="00AC4982">
              <w:rPr>
                <w:rFonts w:ascii="Tahoma" w:hAnsi="Tahoma" w:cs="Tahoma"/>
                <w:b/>
                <w:bCs/>
                <w:color w:val="000080"/>
                <w:rtl/>
              </w:rPr>
              <w:t>בית משפט השלום בקריות</w:t>
            </w:r>
          </w:p>
        </w:tc>
      </w:tr>
      <w:tr w:rsidR="00F40C76" w:rsidRPr="00AC4982" w14:paraId="3F93F0B4" w14:textId="77777777" w:rsidTr="00414528">
        <w:trPr>
          <w:trHeight w:val="337"/>
          <w:jc w:val="center"/>
        </w:trPr>
        <w:tc>
          <w:tcPr>
            <w:tcW w:w="5058" w:type="dxa"/>
          </w:tcPr>
          <w:p w14:paraId="2D91D8FE" w14:textId="77777777" w:rsidR="00F40C76" w:rsidRPr="00AC4982" w:rsidRDefault="00F40C76" w:rsidP="00B04332">
            <w:pPr>
              <w:rPr>
                <w:rFonts w:cs="FrankRuehl"/>
                <w:sz w:val="28"/>
                <w:szCs w:val="28"/>
                <w:rtl/>
              </w:rPr>
            </w:pPr>
            <w:r w:rsidRPr="00AC4982">
              <w:rPr>
                <w:rFonts w:cs="FrankRuehl"/>
                <w:sz w:val="28"/>
                <w:szCs w:val="28"/>
                <w:rtl/>
              </w:rPr>
              <w:t>ת"פ</w:t>
            </w:r>
            <w:r w:rsidRPr="00AC4982">
              <w:rPr>
                <w:rFonts w:cs="FrankRuehl" w:hint="cs"/>
                <w:sz w:val="28"/>
                <w:szCs w:val="28"/>
                <w:rtl/>
              </w:rPr>
              <w:t xml:space="preserve"> </w:t>
            </w:r>
            <w:r w:rsidRPr="00AC4982">
              <w:rPr>
                <w:rFonts w:cs="FrankRuehl"/>
                <w:sz w:val="28"/>
                <w:szCs w:val="28"/>
                <w:rtl/>
              </w:rPr>
              <w:t>62278-03-24</w:t>
            </w:r>
            <w:r w:rsidRPr="00AC4982">
              <w:rPr>
                <w:rFonts w:cs="FrankRuehl" w:hint="cs"/>
                <w:sz w:val="28"/>
                <w:szCs w:val="28"/>
                <w:rtl/>
              </w:rPr>
              <w:t xml:space="preserve"> </w:t>
            </w:r>
            <w:r w:rsidRPr="00AC4982">
              <w:rPr>
                <w:rFonts w:cs="FrankRuehl"/>
                <w:sz w:val="28"/>
                <w:szCs w:val="28"/>
                <w:rtl/>
              </w:rPr>
              <w:t>מדינת ישראל נ' נאטור(עציר)</w:t>
            </w:r>
          </w:p>
          <w:p w14:paraId="4F3E5B38" w14:textId="77777777" w:rsidR="00F40C76" w:rsidRPr="00AC4982" w:rsidRDefault="00F40C76" w:rsidP="00B04332">
            <w:pPr>
              <w:pStyle w:val="a3"/>
              <w:rPr>
                <w:rFonts w:cs="FrankRuehl"/>
                <w:sz w:val="28"/>
                <w:szCs w:val="28"/>
                <w:rtl/>
              </w:rPr>
            </w:pPr>
          </w:p>
        </w:tc>
        <w:tc>
          <w:tcPr>
            <w:tcW w:w="3663" w:type="dxa"/>
          </w:tcPr>
          <w:p w14:paraId="263E501B" w14:textId="77777777" w:rsidR="00F40C76" w:rsidRPr="00AC4982" w:rsidRDefault="00F40C76" w:rsidP="00B04332">
            <w:pPr>
              <w:pStyle w:val="a3"/>
              <w:jc w:val="right"/>
              <w:rPr>
                <w:rFonts w:cs="FrankRuehl"/>
                <w:sz w:val="28"/>
                <w:szCs w:val="28"/>
                <w:rtl/>
              </w:rPr>
            </w:pPr>
          </w:p>
        </w:tc>
      </w:tr>
    </w:tbl>
    <w:p w14:paraId="2985FB84" w14:textId="77777777" w:rsidR="00F40C76" w:rsidRPr="00AC4982" w:rsidRDefault="00F40C76" w:rsidP="00414528">
      <w:pPr>
        <w:pStyle w:val="a3"/>
        <w:rPr>
          <w:sz w:val="26"/>
          <w:szCs w:val="26"/>
          <w:rtl/>
        </w:rPr>
      </w:pPr>
      <w:r w:rsidRPr="00AC4982">
        <w:rPr>
          <w:rFonts w:hint="cs"/>
          <w:rtl/>
        </w:rPr>
        <w:t xml:space="preserve"> </w:t>
      </w:r>
    </w:p>
    <w:tbl>
      <w:tblPr>
        <w:bidiVisual/>
        <w:tblW w:w="93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5095"/>
        <w:gridCol w:w="3263"/>
      </w:tblGrid>
      <w:tr w:rsidR="00F40C76" w:rsidRPr="00AC4982" w14:paraId="723E1EDD" w14:textId="77777777" w:rsidTr="00F40C76">
        <w:trPr>
          <w:trHeight w:val="345"/>
          <w:jc w:val="center"/>
        </w:trPr>
        <w:tc>
          <w:tcPr>
            <w:tcW w:w="957" w:type="dxa"/>
            <w:tcBorders>
              <w:top w:val="nil"/>
              <w:left w:val="nil"/>
              <w:bottom w:val="nil"/>
              <w:right w:val="nil"/>
            </w:tcBorders>
            <w:shd w:val="clear" w:color="auto" w:fill="auto"/>
          </w:tcPr>
          <w:p w14:paraId="140EAD6E" w14:textId="77777777" w:rsidR="00F40C76" w:rsidRPr="00AC4982" w:rsidRDefault="00F40C76" w:rsidP="00F40C76">
            <w:pPr>
              <w:jc w:val="both"/>
              <w:rPr>
                <w:rFonts w:ascii="David" w:hAnsi="David"/>
                <w:b/>
                <w:bCs/>
              </w:rPr>
            </w:pPr>
            <w:r w:rsidRPr="00AC4982">
              <w:rPr>
                <w:rFonts w:ascii="David" w:hAnsi="David"/>
                <w:b/>
                <w:bCs/>
                <w:rtl/>
              </w:rPr>
              <w:t xml:space="preserve">בפני </w:t>
            </w:r>
          </w:p>
        </w:tc>
        <w:tc>
          <w:tcPr>
            <w:tcW w:w="8358" w:type="dxa"/>
            <w:gridSpan w:val="2"/>
            <w:tcBorders>
              <w:top w:val="nil"/>
              <w:left w:val="nil"/>
              <w:bottom w:val="nil"/>
              <w:right w:val="nil"/>
            </w:tcBorders>
            <w:shd w:val="clear" w:color="auto" w:fill="auto"/>
          </w:tcPr>
          <w:p w14:paraId="12200A76" w14:textId="77777777" w:rsidR="00F40C76" w:rsidRPr="00AC4982" w:rsidRDefault="00F40C76" w:rsidP="00B04332">
            <w:pPr>
              <w:rPr>
                <w:rFonts w:ascii="David" w:hAnsi="David"/>
                <w:b/>
                <w:bCs/>
              </w:rPr>
            </w:pPr>
            <w:r w:rsidRPr="00AC4982">
              <w:rPr>
                <w:rFonts w:ascii="Arial" w:hAnsi="Arial"/>
                <w:b/>
                <w:bCs/>
                <w:rtl/>
              </w:rPr>
              <w:t>כב' השופט יוסי טורס , סגן הנשיאה</w:t>
            </w:r>
          </w:p>
        </w:tc>
      </w:tr>
      <w:tr w:rsidR="00F40C76" w:rsidRPr="00AC4982" w14:paraId="48D6F919" w14:textId="77777777" w:rsidTr="00F40C76">
        <w:trPr>
          <w:trHeight w:val="345"/>
          <w:jc w:val="center"/>
        </w:trPr>
        <w:tc>
          <w:tcPr>
            <w:tcW w:w="957" w:type="dxa"/>
            <w:tcBorders>
              <w:top w:val="nil"/>
              <w:left w:val="nil"/>
              <w:bottom w:val="nil"/>
              <w:right w:val="nil"/>
            </w:tcBorders>
            <w:shd w:val="clear" w:color="auto" w:fill="auto"/>
          </w:tcPr>
          <w:p w14:paraId="543307DC" w14:textId="77777777" w:rsidR="00F40C76" w:rsidRPr="00AC4982" w:rsidRDefault="00F40C76" w:rsidP="00F40C76">
            <w:pPr>
              <w:jc w:val="both"/>
              <w:rPr>
                <w:rFonts w:ascii="David" w:hAnsi="David"/>
                <w:b/>
                <w:bCs/>
                <w:rtl/>
              </w:rPr>
            </w:pPr>
            <w:bookmarkStart w:id="0" w:name="LastJudge"/>
            <w:bookmarkEnd w:id="0"/>
          </w:p>
        </w:tc>
        <w:tc>
          <w:tcPr>
            <w:tcW w:w="8358" w:type="dxa"/>
            <w:gridSpan w:val="2"/>
            <w:tcBorders>
              <w:top w:val="nil"/>
              <w:left w:val="nil"/>
              <w:bottom w:val="nil"/>
              <w:right w:val="nil"/>
            </w:tcBorders>
            <w:shd w:val="clear" w:color="auto" w:fill="auto"/>
          </w:tcPr>
          <w:p w14:paraId="44C15B43" w14:textId="77777777" w:rsidR="00F40C76" w:rsidRPr="00AC4982" w:rsidRDefault="00F40C76" w:rsidP="00B04332">
            <w:pPr>
              <w:rPr>
                <w:rFonts w:ascii="Arial" w:hAnsi="Arial"/>
                <w:b/>
                <w:bCs/>
                <w:rtl/>
              </w:rPr>
            </w:pPr>
          </w:p>
        </w:tc>
      </w:tr>
      <w:tr w:rsidR="00F40C76" w:rsidRPr="00AC4982" w14:paraId="6C0ACF67" w14:textId="77777777" w:rsidTr="00F40C76">
        <w:trPr>
          <w:trHeight w:val="415"/>
          <w:jc w:val="center"/>
        </w:trPr>
        <w:tc>
          <w:tcPr>
            <w:tcW w:w="957" w:type="dxa"/>
            <w:tcBorders>
              <w:top w:val="nil"/>
              <w:left w:val="nil"/>
              <w:bottom w:val="nil"/>
              <w:right w:val="nil"/>
            </w:tcBorders>
            <w:shd w:val="clear" w:color="auto" w:fill="auto"/>
          </w:tcPr>
          <w:p w14:paraId="7A1F132A" w14:textId="77777777" w:rsidR="00F40C76" w:rsidRPr="00AC4982" w:rsidRDefault="00F40C76" w:rsidP="00F40C76">
            <w:pPr>
              <w:jc w:val="both"/>
              <w:rPr>
                <w:rFonts w:ascii="David" w:hAnsi="David"/>
                <w:b/>
                <w:bCs/>
              </w:rPr>
            </w:pPr>
            <w:bookmarkStart w:id="1" w:name="FirstAppellant"/>
            <w:r w:rsidRPr="00AC4982">
              <w:rPr>
                <w:rFonts w:ascii="David" w:hAnsi="David"/>
                <w:b/>
                <w:bCs/>
                <w:rtl/>
              </w:rPr>
              <w:t>בעניין:</w:t>
            </w:r>
          </w:p>
        </w:tc>
        <w:tc>
          <w:tcPr>
            <w:tcW w:w="5095" w:type="dxa"/>
            <w:tcBorders>
              <w:top w:val="nil"/>
              <w:left w:val="nil"/>
              <w:bottom w:val="nil"/>
              <w:right w:val="nil"/>
            </w:tcBorders>
            <w:shd w:val="clear" w:color="auto" w:fill="auto"/>
          </w:tcPr>
          <w:p w14:paraId="152F1F5B" w14:textId="77777777" w:rsidR="00F40C76" w:rsidRPr="00AC4982" w:rsidRDefault="00F40C76" w:rsidP="00B04332">
            <w:pPr>
              <w:rPr>
                <w:rFonts w:ascii="David" w:hAnsi="David"/>
                <w:b/>
                <w:bCs/>
              </w:rPr>
            </w:pPr>
            <w:r w:rsidRPr="00AC4982">
              <w:rPr>
                <w:rFonts w:ascii="David" w:hAnsi="David"/>
                <w:b/>
                <w:bCs/>
                <w:rtl/>
              </w:rPr>
              <w:t>מדינת ישראל</w:t>
            </w:r>
          </w:p>
        </w:tc>
        <w:tc>
          <w:tcPr>
            <w:tcW w:w="3263" w:type="dxa"/>
            <w:tcBorders>
              <w:top w:val="nil"/>
              <w:left w:val="nil"/>
              <w:bottom w:val="nil"/>
              <w:right w:val="nil"/>
            </w:tcBorders>
            <w:shd w:val="clear" w:color="auto" w:fill="auto"/>
          </w:tcPr>
          <w:p w14:paraId="4BD2AB84" w14:textId="77777777" w:rsidR="00F40C76" w:rsidRPr="00AC4982" w:rsidRDefault="00F40C76" w:rsidP="00F40C76">
            <w:pPr>
              <w:jc w:val="both"/>
              <w:rPr>
                <w:rFonts w:ascii="David" w:hAnsi="David"/>
                <w:b/>
                <w:bCs/>
              </w:rPr>
            </w:pPr>
            <w:r w:rsidRPr="00AC4982">
              <w:rPr>
                <w:rFonts w:ascii="David" w:hAnsi="David"/>
                <w:b/>
                <w:bCs/>
                <w:rtl/>
              </w:rPr>
              <w:t>המאשימה</w:t>
            </w:r>
          </w:p>
        </w:tc>
      </w:tr>
      <w:bookmarkEnd w:id="1"/>
      <w:tr w:rsidR="00F40C76" w:rsidRPr="00AC4982" w14:paraId="47768F0D" w14:textId="77777777" w:rsidTr="00F40C76">
        <w:trPr>
          <w:trHeight w:val="415"/>
          <w:jc w:val="center"/>
        </w:trPr>
        <w:tc>
          <w:tcPr>
            <w:tcW w:w="957" w:type="dxa"/>
            <w:tcBorders>
              <w:top w:val="nil"/>
              <w:left w:val="nil"/>
              <w:bottom w:val="nil"/>
              <w:right w:val="nil"/>
            </w:tcBorders>
            <w:shd w:val="clear" w:color="auto" w:fill="auto"/>
          </w:tcPr>
          <w:p w14:paraId="75C38432" w14:textId="77777777" w:rsidR="00F40C76" w:rsidRPr="00AC4982" w:rsidRDefault="00F40C76" w:rsidP="00F40C76">
            <w:pPr>
              <w:jc w:val="both"/>
              <w:rPr>
                <w:rFonts w:ascii="David" w:hAnsi="David"/>
                <w:b/>
                <w:bCs/>
                <w:rtl/>
              </w:rPr>
            </w:pPr>
          </w:p>
        </w:tc>
        <w:tc>
          <w:tcPr>
            <w:tcW w:w="8358" w:type="dxa"/>
            <w:gridSpan w:val="2"/>
            <w:tcBorders>
              <w:top w:val="nil"/>
              <w:left w:val="nil"/>
              <w:bottom w:val="nil"/>
              <w:right w:val="nil"/>
            </w:tcBorders>
            <w:shd w:val="clear" w:color="auto" w:fill="auto"/>
          </w:tcPr>
          <w:p w14:paraId="68B37403" w14:textId="77777777" w:rsidR="00F40C76" w:rsidRPr="00AC4982" w:rsidRDefault="00F40C76" w:rsidP="00B04332">
            <w:pPr>
              <w:rPr>
                <w:rFonts w:ascii="David" w:hAnsi="David"/>
                <w:b/>
                <w:bCs/>
              </w:rPr>
            </w:pPr>
            <w:r w:rsidRPr="00AC4982">
              <w:rPr>
                <w:rFonts w:ascii="David" w:hAnsi="David" w:hint="cs"/>
                <w:b/>
                <w:bCs/>
                <w:rtl/>
              </w:rPr>
              <w:t xml:space="preserve">                                                   </w:t>
            </w:r>
            <w:r w:rsidRPr="00AC4982">
              <w:rPr>
                <w:rFonts w:ascii="David" w:hAnsi="David"/>
                <w:b/>
                <w:bCs/>
                <w:rtl/>
              </w:rPr>
              <w:t>נגד</w:t>
            </w:r>
          </w:p>
        </w:tc>
      </w:tr>
      <w:tr w:rsidR="00F40C76" w:rsidRPr="00AC4982" w14:paraId="61501978" w14:textId="77777777" w:rsidTr="00F40C76">
        <w:trPr>
          <w:trHeight w:val="415"/>
          <w:jc w:val="center"/>
        </w:trPr>
        <w:tc>
          <w:tcPr>
            <w:tcW w:w="957" w:type="dxa"/>
            <w:tcBorders>
              <w:top w:val="nil"/>
              <w:left w:val="nil"/>
              <w:bottom w:val="nil"/>
              <w:right w:val="nil"/>
            </w:tcBorders>
            <w:shd w:val="clear" w:color="auto" w:fill="auto"/>
          </w:tcPr>
          <w:p w14:paraId="2A5AB825" w14:textId="77777777" w:rsidR="00F40C76" w:rsidRPr="00AC4982" w:rsidRDefault="00F40C76" w:rsidP="00B04332">
            <w:pPr>
              <w:rPr>
                <w:rFonts w:ascii="David" w:hAnsi="David"/>
                <w:b/>
                <w:bCs/>
                <w:rtl/>
              </w:rPr>
            </w:pPr>
          </w:p>
        </w:tc>
        <w:tc>
          <w:tcPr>
            <w:tcW w:w="5095" w:type="dxa"/>
            <w:tcBorders>
              <w:top w:val="nil"/>
              <w:left w:val="nil"/>
              <w:bottom w:val="nil"/>
              <w:right w:val="nil"/>
            </w:tcBorders>
            <w:shd w:val="clear" w:color="auto" w:fill="auto"/>
          </w:tcPr>
          <w:p w14:paraId="755735C9" w14:textId="77777777" w:rsidR="00F40C76" w:rsidRPr="00AC4982" w:rsidRDefault="00F40C76" w:rsidP="00B04332">
            <w:pPr>
              <w:rPr>
                <w:rFonts w:ascii="David" w:hAnsi="David"/>
                <w:b/>
                <w:bCs/>
                <w:rtl/>
              </w:rPr>
            </w:pPr>
            <w:r w:rsidRPr="00AC4982">
              <w:rPr>
                <w:rFonts w:ascii="David" w:hAnsi="David"/>
                <w:b/>
                <w:bCs/>
                <w:rtl/>
              </w:rPr>
              <w:br/>
              <w:t xml:space="preserve">האני נאטור </w:t>
            </w:r>
          </w:p>
        </w:tc>
        <w:tc>
          <w:tcPr>
            <w:tcW w:w="3263" w:type="dxa"/>
            <w:tcBorders>
              <w:top w:val="nil"/>
              <w:left w:val="nil"/>
              <w:bottom w:val="nil"/>
              <w:right w:val="nil"/>
            </w:tcBorders>
            <w:shd w:val="clear" w:color="auto" w:fill="auto"/>
          </w:tcPr>
          <w:p w14:paraId="2DB751C3" w14:textId="77777777" w:rsidR="00F40C76" w:rsidRPr="00AC4982" w:rsidRDefault="00F40C76" w:rsidP="00B04332">
            <w:pPr>
              <w:rPr>
                <w:rFonts w:ascii="David" w:hAnsi="David"/>
                <w:b/>
                <w:bCs/>
                <w:rtl/>
              </w:rPr>
            </w:pPr>
          </w:p>
          <w:p w14:paraId="6CC8757C" w14:textId="77777777" w:rsidR="00F40C76" w:rsidRPr="00AC4982" w:rsidRDefault="00F40C76" w:rsidP="00B04332">
            <w:pPr>
              <w:rPr>
                <w:rFonts w:ascii="David" w:hAnsi="David"/>
                <w:b/>
                <w:bCs/>
              </w:rPr>
            </w:pPr>
            <w:r w:rsidRPr="00AC4982">
              <w:rPr>
                <w:rFonts w:ascii="David" w:hAnsi="David"/>
                <w:b/>
                <w:bCs/>
                <w:rtl/>
              </w:rPr>
              <w:t>הנאש</w:t>
            </w:r>
            <w:r w:rsidRPr="00AC4982">
              <w:rPr>
                <w:rFonts w:ascii="David" w:hAnsi="David" w:hint="cs"/>
                <w:b/>
                <w:bCs/>
                <w:rtl/>
              </w:rPr>
              <w:t>ם</w:t>
            </w:r>
          </w:p>
        </w:tc>
      </w:tr>
    </w:tbl>
    <w:p w14:paraId="58EE0182" w14:textId="77777777" w:rsidR="00F40C76" w:rsidRPr="00AC4982" w:rsidRDefault="00F40C76" w:rsidP="00F40C76">
      <w:pPr>
        <w:rPr>
          <w:sz w:val="26"/>
          <w:szCs w:val="26"/>
        </w:rPr>
      </w:pPr>
    </w:p>
    <w:p w14:paraId="3DBCCE2A" w14:textId="77777777" w:rsidR="00AC4982" w:rsidRPr="00AC4982" w:rsidRDefault="00AC4982" w:rsidP="00AC4982">
      <w:pPr>
        <w:spacing w:before="120" w:after="120" w:line="240" w:lineRule="exact"/>
        <w:ind w:left="283" w:hanging="283"/>
        <w:jc w:val="both"/>
        <w:rPr>
          <w:rFonts w:ascii="FrankRuehl" w:hAnsi="FrankRuehl" w:cs="FrankRuehl"/>
          <w:rtl/>
        </w:rPr>
      </w:pPr>
    </w:p>
    <w:p w14:paraId="0F3DF75B" w14:textId="77777777" w:rsidR="00AC4982" w:rsidRPr="00AC4982" w:rsidRDefault="00AC4982" w:rsidP="00AC4982">
      <w:pPr>
        <w:rPr>
          <w:rFonts w:ascii="David" w:hAnsi="David"/>
          <w:rtl/>
        </w:rPr>
      </w:pPr>
    </w:p>
    <w:p w14:paraId="57470638" w14:textId="77777777" w:rsidR="00414528" w:rsidRPr="00414528" w:rsidRDefault="00414528" w:rsidP="00414528">
      <w:pPr>
        <w:spacing w:before="120" w:after="120" w:line="240" w:lineRule="exact"/>
        <w:ind w:left="283" w:hanging="283"/>
        <w:jc w:val="both"/>
        <w:rPr>
          <w:rFonts w:ascii="FrankRuehl" w:hAnsi="FrankRuehl" w:cs="FrankRuehl"/>
          <w:rtl/>
        </w:rPr>
      </w:pPr>
    </w:p>
    <w:p w14:paraId="5AC679F8" w14:textId="77777777" w:rsidR="00FB43D5" w:rsidRPr="00FB43D5" w:rsidRDefault="00FB43D5" w:rsidP="00FB43D5">
      <w:pPr>
        <w:spacing w:before="120" w:after="120" w:line="240" w:lineRule="exact"/>
        <w:ind w:left="283" w:hanging="283"/>
        <w:jc w:val="both"/>
        <w:rPr>
          <w:rFonts w:ascii="FrankRuehl" w:hAnsi="FrankRuehl" w:cs="FrankRuehl"/>
          <w:rtl/>
        </w:rPr>
      </w:pPr>
    </w:p>
    <w:p w14:paraId="0B4200F4" w14:textId="77777777" w:rsidR="00C66055" w:rsidRDefault="00C66055" w:rsidP="00C66055">
      <w:pPr>
        <w:rPr>
          <w:rFonts w:ascii="David" w:hAnsi="David"/>
          <w:rtl/>
        </w:rPr>
      </w:pPr>
      <w:bookmarkStart w:id="2" w:name="LawTable"/>
      <w:bookmarkEnd w:id="2"/>
    </w:p>
    <w:p w14:paraId="7E2B4CA8" w14:textId="77777777" w:rsidR="00C66055" w:rsidRPr="00C66055" w:rsidRDefault="00C66055" w:rsidP="00C66055">
      <w:pPr>
        <w:spacing w:before="120" w:after="120" w:line="240" w:lineRule="exact"/>
        <w:ind w:left="283" w:hanging="283"/>
        <w:jc w:val="both"/>
        <w:rPr>
          <w:rFonts w:ascii="FrankRuehl" w:hAnsi="FrankRuehl" w:cs="FrankRuehl"/>
          <w:rtl/>
        </w:rPr>
      </w:pPr>
    </w:p>
    <w:p w14:paraId="5E28B5D3" w14:textId="77777777" w:rsidR="00C66055" w:rsidRPr="00C66055" w:rsidRDefault="00C66055" w:rsidP="00C66055">
      <w:pPr>
        <w:spacing w:before="120" w:after="120" w:line="240" w:lineRule="exact"/>
        <w:ind w:left="283" w:hanging="283"/>
        <w:jc w:val="both"/>
        <w:rPr>
          <w:rFonts w:ascii="FrankRuehl" w:hAnsi="FrankRuehl" w:cs="FrankRuehl"/>
          <w:rtl/>
        </w:rPr>
      </w:pPr>
    </w:p>
    <w:p w14:paraId="5AD455F6" w14:textId="77777777" w:rsidR="00C66055" w:rsidRPr="00C66055" w:rsidRDefault="00C66055" w:rsidP="00C66055">
      <w:pPr>
        <w:spacing w:before="120" w:after="120" w:line="240" w:lineRule="exact"/>
        <w:ind w:left="283" w:hanging="283"/>
        <w:jc w:val="both"/>
        <w:rPr>
          <w:rFonts w:ascii="FrankRuehl" w:hAnsi="FrankRuehl" w:cs="FrankRuehl"/>
          <w:rtl/>
        </w:rPr>
      </w:pPr>
      <w:r w:rsidRPr="00C66055">
        <w:rPr>
          <w:rFonts w:ascii="FrankRuehl" w:hAnsi="FrankRuehl" w:cs="FrankRuehl"/>
          <w:rtl/>
        </w:rPr>
        <w:t xml:space="preserve">חקיקה שאוזכרה: </w:t>
      </w:r>
    </w:p>
    <w:p w14:paraId="1EF2B74E" w14:textId="77777777" w:rsidR="00C66055" w:rsidRPr="00C66055" w:rsidRDefault="00C66055" w:rsidP="00C66055">
      <w:pPr>
        <w:spacing w:before="120" w:after="120" w:line="240" w:lineRule="exact"/>
        <w:ind w:left="283" w:hanging="283"/>
        <w:jc w:val="both"/>
        <w:rPr>
          <w:rFonts w:ascii="FrankRuehl" w:hAnsi="FrankRuehl" w:cs="FrankRuehl"/>
          <w:rtl/>
        </w:rPr>
      </w:pPr>
      <w:hyperlink r:id="rId7" w:history="1">
        <w:r w:rsidRPr="00C66055">
          <w:rPr>
            <w:rFonts w:ascii="FrankRuehl" w:hAnsi="FrankRuehl" w:cs="FrankRuehl"/>
            <w:color w:val="0000FF"/>
            <w:rtl/>
          </w:rPr>
          <w:t>חוק העונשין, תשל"ז-1977</w:t>
        </w:r>
      </w:hyperlink>
      <w:r w:rsidRPr="00C66055">
        <w:rPr>
          <w:rFonts w:ascii="FrankRuehl" w:hAnsi="FrankRuehl" w:cs="FrankRuehl"/>
          <w:rtl/>
        </w:rPr>
        <w:t xml:space="preserve">: סע'  </w:t>
      </w:r>
      <w:hyperlink r:id="rId8" w:history="1">
        <w:r w:rsidRPr="00C66055">
          <w:rPr>
            <w:rFonts w:ascii="FrankRuehl" w:hAnsi="FrankRuehl" w:cs="FrankRuehl"/>
            <w:color w:val="0000FF"/>
            <w:rtl/>
          </w:rPr>
          <w:t>334</w:t>
        </w:r>
      </w:hyperlink>
      <w:r w:rsidRPr="00C66055">
        <w:rPr>
          <w:rFonts w:ascii="FrankRuehl" w:hAnsi="FrankRuehl" w:cs="FrankRuehl"/>
          <w:rtl/>
        </w:rPr>
        <w:t xml:space="preserve">, </w:t>
      </w:r>
      <w:hyperlink r:id="rId9" w:history="1">
        <w:r w:rsidRPr="00C66055">
          <w:rPr>
            <w:rFonts w:ascii="FrankRuehl" w:hAnsi="FrankRuehl" w:cs="FrankRuehl"/>
            <w:color w:val="0000FF"/>
            <w:rtl/>
          </w:rPr>
          <w:t>335(א)(1)</w:t>
        </w:r>
      </w:hyperlink>
    </w:p>
    <w:p w14:paraId="606EE541" w14:textId="77777777" w:rsidR="00C66055" w:rsidRPr="00C66055" w:rsidRDefault="00C66055" w:rsidP="00C66055">
      <w:pPr>
        <w:spacing w:before="120" w:after="120" w:line="240" w:lineRule="exact"/>
        <w:ind w:left="283" w:hanging="283"/>
        <w:jc w:val="both"/>
        <w:rPr>
          <w:rFonts w:ascii="FrankRuehl" w:hAnsi="FrankRuehl" w:cs="FrankRuehl"/>
          <w:rtl/>
        </w:rPr>
      </w:pPr>
      <w:hyperlink r:id="rId10" w:history="1">
        <w:r w:rsidRPr="00C66055">
          <w:rPr>
            <w:rFonts w:ascii="FrankRuehl" w:hAnsi="FrankRuehl" w:cs="FrankRuehl"/>
            <w:color w:val="0000FF"/>
            <w:rtl/>
          </w:rPr>
          <w:t>פקודת הסמים המסוכנים [נוסח חדש], תשל"ג-1973</w:t>
        </w:r>
      </w:hyperlink>
      <w:r w:rsidRPr="00C66055">
        <w:rPr>
          <w:rFonts w:ascii="FrankRuehl" w:hAnsi="FrankRuehl" w:cs="FrankRuehl"/>
          <w:rtl/>
        </w:rPr>
        <w:t xml:space="preserve">: סע'  </w:t>
      </w:r>
      <w:hyperlink r:id="rId11" w:history="1">
        <w:r w:rsidRPr="00C66055">
          <w:rPr>
            <w:rFonts w:ascii="FrankRuehl" w:hAnsi="FrankRuehl" w:cs="FrankRuehl"/>
            <w:color w:val="0000FF"/>
            <w:rtl/>
          </w:rPr>
          <w:t>7.א.</w:t>
        </w:r>
      </w:hyperlink>
      <w:r w:rsidRPr="00C66055">
        <w:rPr>
          <w:rFonts w:ascii="FrankRuehl" w:hAnsi="FrankRuehl" w:cs="FrankRuehl"/>
          <w:rtl/>
        </w:rPr>
        <w:t xml:space="preserve">, </w:t>
      </w:r>
      <w:hyperlink r:id="rId12" w:history="1">
        <w:r w:rsidRPr="00C66055">
          <w:rPr>
            <w:rFonts w:ascii="FrankRuehl" w:hAnsi="FrankRuehl" w:cs="FrankRuehl"/>
            <w:color w:val="0000FF"/>
            <w:rtl/>
          </w:rPr>
          <w:t>7.ג</w:t>
        </w:r>
      </w:hyperlink>
    </w:p>
    <w:p w14:paraId="195DD81D" w14:textId="77777777" w:rsidR="00C66055" w:rsidRPr="00C66055" w:rsidRDefault="00C66055" w:rsidP="00C66055">
      <w:pPr>
        <w:rPr>
          <w:rFonts w:ascii="David" w:hAnsi="David"/>
          <w:rtl/>
        </w:rPr>
      </w:pPr>
      <w:bookmarkStart w:id="3" w:name="LawTable_End"/>
      <w:bookmarkEnd w:id="3"/>
    </w:p>
    <w:p w14:paraId="4038A0C9" w14:textId="77777777" w:rsidR="00414528" w:rsidRPr="00FB43D5" w:rsidRDefault="00414528" w:rsidP="00FB43D5">
      <w:pPr>
        <w:rPr>
          <w:rFonts w:ascii="David" w:hAnsi="David"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40C76" w14:paraId="235B7586" w14:textId="77777777" w:rsidTr="00F40C76">
        <w:trPr>
          <w:trHeight w:val="355"/>
          <w:jc w:val="center"/>
        </w:trPr>
        <w:tc>
          <w:tcPr>
            <w:tcW w:w="8820" w:type="dxa"/>
            <w:tcBorders>
              <w:top w:val="nil"/>
              <w:left w:val="nil"/>
              <w:bottom w:val="nil"/>
              <w:right w:val="nil"/>
            </w:tcBorders>
            <w:shd w:val="clear" w:color="auto" w:fill="auto"/>
          </w:tcPr>
          <w:p w14:paraId="577D0719" w14:textId="77777777" w:rsidR="00AC4982" w:rsidRPr="00AC4982" w:rsidRDefault="00AC4982" w:rsidP="00AC4982">
            <w:pPr>
              <w:jc w:val="center"/>
              <w:rPr>
                <w:rFonts w:ascii="David" w:hAnsi="David"/>
                <w:b/>
                <w:bCs/>
                <w:sz w:val="32"/>
                <w:szCs w:val="32"/>
                <w:u w:val="single"/>
                <w:rtl/>
              </w:rPr>
            </w:pPr>
            <w:bookmarkStart w:id="4" w:name="PsakDin" w:colFirst="0" w:colLast="0"/>
            <w:r w:rsidRPr="00AC4982">
              <w:rPr>
                <w:rFonts w:ascii="David" w:hAnsi="David"/>
                <w:b/>
                <w:bCs/>
                <w:sz w:val="32"/>
                <w:szCs w:val="32"/>
                <w:u w:val="single"/>
                <w:rtl/>
              </w:rPr>
              <w:t>גזר דין</w:t>
            </w:r>
          </w:p>
          <w:p w14:paraId="7286403E" w14:textId="77777777" w:rsidR="00F40C76" w:rsidRPr="00AC4982" w:rsidRDefault="00F40C76" w:rsidP="00AC4982">
            <w:pPr>
              <w:jc w:val="center"/>
              <w:rPr>
                <w:rFonts w:ascii="David" w:hAnsi="David"/>
                <w:bCs/>
                <w:sz w:val="32"/>
                <w:szCs w:val="32"/>
                <w:u w:val="single"/>
                <w:rtl/>
              </w:rPr>
            </w:pPr>
          </w:p>
        </w:tc>
      </w:tr>
      <w:bookmarkEnd w:id="4"/>
    </w:tbl>
    <w:p w14:paraId="06B857D8" w14:textId="77777777" w:rsidR="00F40C76" w:rsidRPr="00833D82" w:rsidRDefault="00F40C76" w:rsidP="00F40C76">
      <w:pPr>
        <w:rPr>
          <w:rFonts w:ascii="David" w:hAnsi="David"/>
          <w:rtl/>
        </w:rPr>
      </w:pPr>
    </w:p>
    <w:p w14:paraId="690EBBDA" w14:textId="77777777" w:rsidR="00F40C76" w:rsidRDefault="00F40C76" w:rsidP="00F40C76">
      <w:pPr>
        <w:spacing w:line="360" w:lineRule="auto"/>
        <w:jc w:val="both"/>
        <w:rPr>
          <w:rFonts w:ascii="David" w:hAnsi="David"/>
          <w:rtl/>
        </w:rPr>
      </w:pPr>
      <w:r>
        <w:rPr>
          <w:rFonts w:ascii="David" w:hAnsi="David" w:hint="cs"/>
          <w:b/>
          <w:bCs/>
          <w:u w:val="single"/>
          <w:rtl/>
        </w:rPr>
        <w:t>כתב האישום</w:t>
      </w:r>
    </w:p>
    <w:p w14:paraId="754997D9" w14:textId="77777777" w:rsidR="00F40C76" w:rsidRDefault="00F40C76" w:rsidP="00F40C76">
      <w:pPr>
        <w:jc w:val="both"/>
        <w:rPr>
          <w:rFonts w:ascii="David" w:hAnsi="David"/>
          <w:rtl/>
        </w:rPr>
      </w:pPr>
    </w:p>
    <w:p w14:paraId="23535120" w14:textId="77777777" w:rsidR="00F40C76" w:rsidRDefault="00F40C76" w:rsidP="00F40C76">
      <w:pPr>
        <w:pStyle w:val="a9"/>
        <w:numPr>
          <w:ilvl w:val="0"/>
          <w:numId w:val="1"/>
        </w:numPr>
        <w:spacing w:line="360" w:lineRule="auto"/>
        <w:jc w:val="both"/>
        <w:rPr>
          <w:rFonts w:ascii="David" w:hAnsi="David"/>
        </w:rPr>
      </w:pPr>
      <w:bookmarkStart w:id="5" w:name="ABSTRACT_START"/>
      <w:bookmarkEnd w:id="5"/>
      <w:r>
        <w:rPr>
          <w:rFonts w:ascii="David" w:hAnsi="David" w:hint="cs"/>
          <w:rtl/>
        </w:rPr>
        <w:t xml:space="preserve">הנאשם הורשע במסגרת הסדר טיעון בעבירות שעניינן פציעה כשהעבריין מזוין, לפי </w:t>
      </w:r>
      <w:hyperlink r:id="rId13" w:history="1">
        <w:r w:rsidR="00414528" w:rsidRPr="00414528">
          <w:rPr>
            <w:rStyle w:val="Hyperlink"/>
            <w:rFonts w:ascii="David" w:hAnsi="David" w:hint="eastAsia"/>
            <w:rtl/>
          </w:rPr>
          <w:t>סעיף</w:t>
        </w:r>
        <w:r w:rsidR="00414528" w:rsidRPr="00414528">
          <w:rPr>
            <w:rStyle w:val="Hyperlink"/>
            <w:rFonts w:ascii="David" w:hAnsi="David"/>
            <w:rtl/>
          </w:rPr>
          <w:t xml:space="preserve"> 335(א)(1)</w:t>
        </w:r>
      </w:hyperlink>
      <w:r>
        <w:rPr>
          <w:rFonts w:ascii="David" w:hAnsi="David" w:hint="cs"/>
          <w:rtl/>
        </w:rPr>
        <w:t xml:space="preserve"> + סעיף </w:t>
      </w:r>
      <w:hyperlink r:id="rId14" w:history="1">
        <w:r w:rsidR="00414528" w:rsidRPr="00414528">
          <w:rPr>
            <w:rStyle w:val="Hyperlink"/>
            <w:rFonts w:ascii="David" w:hAnsi="David"/>
            <w:rtl/>
          </w:rPr>
          <w:t>334</w:t>
        </w:r>
      </w:hyperlink>
      <w:r>
        <w:rPr>
          <w:rFonts w:ascii="David" w:hAnsi="David" w:hint="cs"/>
          <w:rtl/>
        </w:rPr>
        <w:t xml:space="preserve"> ל</w:t>
      </w:r>
      <w:hyperlink r:id="rId15" w:history="1">
        <w:r w:rsidR="00AC4982" w:rsidRPr="00AC4982">
          <w:rPr>
            <w:rFonts w:ascii="David" w:hAnsi="David"/>
            <w:color w:val="0000FF"/>
            <w:u w:val="single"/>
            <w:rtl/>
          </w:rPr>
          <w:t>חוק העונשין</w:t>
        </w:r>
      </w:hyperlink>
      <w:r>
        <w:rPr>
          <w:rFonts w:ascii="David" w:hAnsi="David" w:hint="cs"/>
          <w:rtl/>
        </w:rPr>
        <w:t xml:space="preserve">, תשל"ז- 1977 (להלן </w:t>
      </w:r>
      <w:r>
        <w:rPr>
          <w:rFonts w:ascii="David" w:hAnsi="David"/>
          <w:rtl/>
        </w:rPr>
        <w:t>–</w:t>
      </w:r>
      <w:r>
        <w:rPr>
          <w:rFonts w:ascii="David" w:hAnsi="David" w:hint="cs"/>
          <w:rtl/>
        </w:rPr>
        <w:t xml:space="preserve"> </w:t>
      </w:r>
      <w:r w:rsidRPr="002702A8">
        <w:rPr>
          <w:rFonts w:ascii="Miriam" w:hAnsi="Miriam" w:cs="Miriam"/>
          <w:rtl/>
        </w:rPr>
        <w:t>חוק העונשין</w:t>
      </w:r>
      <w:r>
        <w:rPr>
          <w:rFonts w:ascii="David" w:hAnsi="David" w:hint="cs"/>
          <w:rtl/>
        </w:rPr>
        <w:t xml:space="preserve">) והחזקת סמים שלא לשימוש עצמי בלבד, לפי </w:t>
      </w:r>
      <w:hyperlink r:id="rId16" w:history="1">
        <w:r w:rsidR="00414528" w:rsidRPr="00414528">
          <w:rPr>
            <w:rStyle w:val="Hyperlink"/>
            <w:rFonts w:ascii="David" w:hAnsi="David" w:hint="eastAsia"/>
            <w:rtl/>
          </w:rPr>
          <w:t>סעיף</w:t>
        </w:r>
        <w:r w:rsidR="00414528" w:rsidRPr="00414528">
          <w:rPr>
            <w:rStyle w:val="Hyperlink"/>
            <w:rFonts w:ascii="David" w:hAnsi="David"/>
            <w:rtl/>
          </w:rPr>
          <w:t xml:space="preserve"> 7(א)+7(ג)</w:t>
        </w:r>
      </w:hyperlink>
      <w:r>
        <w:rPr>
          <w:rFonts w:ascii="David" w:hAnsi="David" w:hint="cs"/>
          <w:rtl/>
        </w:rPr>
        <w:t xml:space="preserve"> רישא ל</w:t>
      </w:r>
      <w:hyperlink r:id="rId17" w:history="1">
        <w:r w:rsidR="00AC4982" w:rsidRPr="00AC4982">
          <w:rPr>
            <w:rFonts w:ascii="David" w:hAnsi="David"/>
            <w:color w:val="0000FF"/>
            <w:u w:val="single"/>
            <w:rtl/>
          </w:rPr>
          <w:t>פקודת הסמים המסוכנים</w:t>
        </w:r>
      </w:hyperlink>
      <w:r>
        <w:rPr>
          <w:rFonts w:ascii="David" w:hAnsi="David" w:hint="cs"/>
          <w:rtl/>
        </w:rPr>
        <w:t xml:space="preserve"> [נוסח חדש], תשל"ג- 1973 (להלן </w:t>
      </w:r>
      <w:r>
        <w:rPr>
          <w:rFonts w:ascii="David" w:hAnsi="David"/>
          <w:rtl/>
        </w:rPr>
        <w:t>–</w:t>
      </w:r>
      <w:r>
        <w:rPr>
          <w:rFonts w:ascii="David" w:hAnsi="David" w:hint="cs"/>
          <w:rtl/>
        </w:rPr>
        <w:t xml:space="preserve"> </w:t>
      </w:r>
      <w:r w:rsidRPr="002702A8">
        <w:rPr>
          <w:rFonts w:ascii="Miriam" w:hAnsi="Miriam" w:cs="Miriam"/>
          <w:rtl/>
        </w:rPr>
        <w:t>פקודת הסמים</w:t>
      </w:r>
      <w:r>
        <w:rPr>
          <w:rFonts w:ascii="David" w:hAnsi="David" w:hint="cs"/>
          <w:rtl/>
        </w:rPr>
        <w:t xml:space="preserve">). </w:t>
      </w:r>
    </w:p>
    <w:p w14:paraId="4E5C04AD" w14:textId="77777777" w:rsidR="00F40C76" w:rsidRDefault="00F40C76" w:rsidP="00F40C76">
      <w:pPr>
        <w:pStyle w:val="a9"/>
        <w:spacing w:line="360" w:lineRule="auto"/>
        <w:ind w:left="0"/>
        <w:jc w:val="both"/>
        <w:rPr>
          <w:rFonts w:ascii="David" w:hAnsi="David"/>
        </w:rPr>
      </w:pPr>
      <w:bookmarkStart w:id="6" w:name="ABSTRACT_END"/>
      <w:bookmarkEnd w:id="6"/>
    </w:p>
    <w:p w14:paraId="3B2C48B3" w14:textId="77777777" w:rsidR="00F40C76" w:rsidRDefault="00F40C76" w:rsidP="00F40C76">
      <w:pPr>
        <w:pStyle w:val="a9"/>
        <w:spacing w:line="360" w:lineRule="auto"/>
        <w:ind w:left="0" w:firstLine="720"/>
        <w:jc w:val="both"/>
        <w:rPr>
          <w:rFonts w:ascii="David" w:hAnsi="David"/>
        </w:rPr>
      </w:pPr>
      <w:r>
        <w:rPr>
          <w:rFonts w:ascii="David" w:hAnsi="David" w:hint="cs"/>
          <w:rtl/>
        </w:rPr>
        <w:t xml:space="preserve">על פי עובדות כתב האישום המתוקן, במועד הרלוונטי לכתב האישום הייתה היכרות חברית בין הנאשם לבין האחים וופא, טיימור וטאמר (להלן </w:t>
      </w:r>
      <w:r>
        <w:rPr>
          <w:rFonts w:ascii="David" w:hAnsi="David"/>
          <w:rtl/>
        </w:rPr>
        <w:t>–</w:t>
      </w:r>
      <w:r>
        <w:rPr>
          <w:rFonts w:ascii="David" w:hAnsi="David" w:hint="cs"/>
          <w:rtl/>
        </w:rPr>
        <w:t xml:space="preserve"> </w:t>
      </w:r>
      <w:r w:rsidRPr="00684C3E">
        <w:rPr>
          <w:rFonts w:ascii="Miriam" w:hAnsi="Miriam" w:cs="Miriam"/>
          <w:rtl/>
        </w:rPr>
        <w:t>המתלוננים</w:t>
      </w:r>
      <w:r>
        <w:rPr>
          <w:rFonts w:ascii="David" w:hAnsi="David" w:hint="cs"/>
          <w:rtl/>
        </w:rPr>
        <w:t xml:space="preserve">). ביחס למתלונן וופא (להלן </w:t>
      </w:r>
      <w:r>
        <w:rPr>
          <w:rFonts w:ascii="David" w:hAnsi="David"/>
          <w:rtl/>
        </w:rPr>
        <w:t>–</w:t>
      </w:r>
      <w:r>
        <w:rPr>
          <w:rFonts w:ascii="David" w:hAnsi="David" w:hint="cs"/>
          <w:rtl/>
        </w:rPr>
        <w:t xml:space="preserve"> </w:t>
      </w:r>
      <w:r w:rsidRPr="00D152F1">
        <w:rPr>
          <w:rFonts w:ascii="Miriam" w:hAnsi="Miriam" w:cs="Miriam"/>
          <w:rtl/>
        </w:rPr>
        <w:t>וופא</w:t>
      </w:r>
      <w:r>
        <w:rPr>
          <w:rFonts w:ascii="David" w:hAnsi="David" w:hint="cs"/>
          <w:rtl/>
        </w:rPr>
        <w:t xml:space="preserve">) צוין בכתב האישום שקיימת בין השניים גם היכרות על בסיס פיננסי-עסקי וכן שקיים סכסוך כספי בנוגע לחוב של הנאשם לוופא. ביום 10.3.23 בסמוך לשעה 00:38 הגיעו המתלוננים לדירה בה </w:t>
      </w:r>
      <w:r>
        <w:rPr>
          <w:rFonts w:ascii="David" w:hAnsi="David" w:hint="cs"/>
          <w:rtl/>
        </w:rPr>
        <w:lastRenderedPageBreak/>
        <w:t xml:space="preserve">התגורר הנאשם עם אישה בשם א"ב (להלן </w:t>
      </w:r>
      <w:r>
        <w:rPr>
          <w:rFonts w:ascii="David" w:hAnsi="David"/>
          <w:rtl/>
        </w:rPr>
        <w:t>–</w:t>
      </w:r>
      <w:r>
        <w:rPr>
          <w:rFonts w:ascii="David" w:hAnsi="David" w:hint="cs"/>
          <w:rtl/>
        </w:rPr>
        <w:t xml:space="preserve"> </w:t>
      </w:r>
      <w:r w:rsidRPr="00D152F1">
        <w:rPr>
          <w:rFonts w:ascii="Miriam" w:hAnsi="Miriam" w:cs="Miriam"/>
          <w:rtl/>
        </w:rPr>
        <w:t>א"ב</w:t>
      </w:r>
      <w:r>
        <w:rPr>
          <w:rFonts w:ascii="David" w:hAnsi="David" w:hint="cs"/>
          <w:rtl/>
        </w:rPr>
        <w:t xml:space="preserve">) וזאת על מנת לשוחח עמו על החוב וליישבו. המתלוננים דפקו על דלת ביתו של הנאשם, א"ב פתחה את הדלת ועזבה מיד את המקום. עם כניסת המתלוננים לדירה נטל הנאשם סכין, החל להשתולל, התקרב לטיימור, דקר אותו בבטנו ופצע אותו. טאמר וטיימור הדפו את הנאשם מפניהם והוא בתגובה דקר את טאמר בפניו באמצעות הסכין. בשלב זה עזבו המתלוננים את המקום. </w:t>
      </w:r>
    </w:p>
    <w:p w14:paraId="2CEDCB6D" w14:textId="77777777" w:rsidR="00F40C76" w:rsidRDefault="00F40C76" w:rsidP="00F40C76">
      <w:pPr>
        <w:pStyle w:val="a9"/>
        <w:ind w:left="0"/>
        <w:jc w:val="both"/>
        <w:rPr>
          <w:rFonts w:ascii="David" w:hAnsi="David"/>
        </w:rPr>
      </w:pPr>
    </w:p>
    <w:p w14:paraId="39A1EA9E" w14:textId="77777777" w:rsidR="00F40C76" w:rsidRDefault="00F40C76" w:rsidP="00F40C76">
      <w:pPr>
        <w:pStyle w:val="a9"/>
        <w:spacing w:line="360" w:lineRule="auto"/>
        <w:ind w:left="0" w:firstLine="720"/>
        <w:jc w:val="both"/>
        <w:rPr>
          <w:rFonts w:ascii="David" w:hAnsi="David"/>
        </w:rPr>
      </w:pPr>
      <w:r>
        <w:rPr>
          <w:rFonts w:ascii="David" w:hAnsi="David" w:hint="cs"/>
          <w:rtl/>
        </w:rPr>
        <w:t xml:space="preserve">כתוצאה ממעשי הנאשם נגרם לטיימור חתך בבטן תחתונה שהצריך סגירת החתך בסיכות ואשפוז להשגחה למשך היום. למתלונן טארק נגרם חתך בלחי השמאלית. כתב האישום המתוקן מתאר עוד כי הנאשם החזיק בדירה סם מסוג קוקאין במשקל של 1.4695 גרם נטו שלא לצריכה עצמית. </w:t>
      </w:r>
    </w:p>
    <w:p w14:paraId="13B276F5" w14:textId="77777777" w:rsidR="00F40C76" w:rsidRPr="002E3E34" w:rsidRDefault="00F40C76" w:rsidP="00F40C76">
      <w:pPr>
        <w:pStyle w:val="a9"/>
        <w:ind w:left="0"/>
        <w:jc w:val="both"/>
        <w:rPr>
          <w:rFonts w:ascii="David" w:hAnsi="David"/>
        </w:rPr>
      </w:pPr>
    </w:p>
    <w:p w14:paraId="408A5A63" w14:textId="77777777" w:rsidR="00F40C76" w:rsidRDefault="00F40C76" w:rsidP="00F40C76">
      <w:pPr>
        <w:pStyle w:val="a9"/>
        <w:numPr>
          <w:ilvl w:val="0"/>
          <w:numId w:val="1"/>
        </w:numPr>
        <w:spacing w:line="360" w:lineRule="auto"/>
        <w:jc w:val="both"/>
        <w:rPr>
          <w:rFonts w:ascii="David" w:hAnsi="David"/>
        </w:rPr>
      </w:pPr>
      <w:r>
        <w:rPr>
          <w:rFonts w:ascii="David" w:hAnsi="David" w:hint="cs"/>
          <w:rtl/>
        </w:rPr>
        <w:t xml:space="preserve">להשלמת התמונה אציין שהסדר הטיעון שבין הצדדים כלל הסכמה לפיה המאשימה תעתור למתחם ענישה הנע בין 13-24 חודשי מאסר ותעתור לעונש מאסר בפועל למשך 15 חודשים וענישה נלווית. ההגנה מצדה תוכל לטעון באופן חופשי. </w:t>
      </w:r>
    </w:p>
    <w:p w14:paraId="16BA6973" w14:textId="77777777" w:rsidR="00F40C76" w:rsidRDefault="00F40C76" w:rsidP="00F40C76">
      <w:pPr>
        <w:pStyle w:val="a9"/>
        <w:spacing w:line="360" w:lineRule="auto"/>
        <w:ind w:left="0"/>
        <w:jc w:val="both"/>
        <w:rPr>
          <w:rFonts w:ascii="David" w:hAnsi="David"/>
          <w:b/>
          <w:bCs/>
          <w:u w:val="single"/>
          <w:rtl/>
        </w:rPr>
      </w:pPr>
    </w:p>
    <w:p w14:paraId="086C2052" w14:textId="77777777" w:rsidR="00F40C76" w:rsidRPr="00E816EA" w:rsidRDefault="00F40C76" w:rsidP="00F40C76">
      <w:pPr>
        <w:pStyle w:val="a9"/>
        <w:spacing w:line="360" w:lineRule="auto"/>
        <w:ind w:left="0"/>
        <w:jc w:val="both"/>
        <w:rPr>
          <w:rFonts w:ascii="David" w:hAnsi="David"/>
        </w:rPr>
      </w:pPr>
      <w:r>
        <w:rPr>
          <w:rFonts w:ascii="David" w:hAnsi="David" w:hint="cs"/>
          <w:b/>
          <w:bCs/>
          <w:u w:val="single"/>
          <w:rtl/>
        </w:rPr>
        <w:t>טיעוני הצדדים לעונש והראיות</w:t>
      </w:r>
    </w:p>
    <w:p w14:paraId="37209E77" w14:textId="77777777" w:rsidR="00F40C76" w:rsidRPr="00E816EA" w:rsidRDefault="00F40C76" w:rsidP="00F40C76">
      <w:pPr>
        <w:pStyle w:val="a9"/>
        <w:rPr>
          <w:rFonts w:ascii="David" w:hAnsi="David"/>
          <w:rtl/>
        </w:rPr>
      </w:pPr>
    </w:p>
    <w:p w14:paraId="796C094D" w14:textId="77777777" w:rsidR="00F40C76" w:rsidRDefault="00F40C76" w:rsidP="00F40C76">
      <w:pPr>
        <w:pStyle w:val="a9"/>
        <w:numPr>
          <w:ilvl w:val="0"/>
          <w:numId w:val="1"/>
        </w:numPr>
        <w:spacing w:line="360" w:lineRule="auto"/>
        <w:jc w:val="both"/>
        <w:rPr>
          <w:rFonts w:ascii="David" w:hAnsi="David"/>
        </w:rPr>
      </w:pPr>
      <w:r>
        <w:rPr>
          <w:rFonts w:ascii="David" w:hAnsi="David" w:hint="cs"/>
          <w:rtl/>
        </w:rPr>
        <w:t xml:space="preserve">ב"כ המאשימה הגיש טיעון כתוב והוסיף טיעונים על פה. כן הוגשו מסמכים רפואיים ותמונות. בטיעוני המאשימה הודגשו הערכים המוגנים שנפגעו וכן חומרת המעשים ובהתאם להסדר הטיעון נטען למתחם ענישה הנע בין 13-24 חודשי מאסר בפועל ולענישה של 15 חודשי מאסר בצירוף ענישה נלוות. </w:t>
      </w:r>
    </w:p>
    <w:p w14:paraId="40ADD984" w14:textId="77777777" w:rsidR="00F40C76" w:rsidRPr="004A19C8" w:rsidRDefault="00F40C76" w:rsidP="00F40C76">
      <w:pPr>
        <w:pStyle w:val="a9"/>
        <w:ind w:left="0"/>
        <w:jc w:val="both"/>
        <w:rPr>
          <w:rFonts w:ascii="David" w:hAnsi="David"/>
        </w:rPr>
      </w:pPr>
    </w:p>
    <w:p w14:paraId="687E713F" w14:textId="77777777" w:rsidR="00F40C76" w:rsidRDefault="00F40C76" w:rsidP="00F40C76">
      <w:pPr>
        <w:pStyle w:val="a9"/>
        <w:numPr>
          <w:ilvl w:val="0"/>
          <w:numId w:val="1"/>
        </w:numPr>
        <w:spacing w:line="360" w:lineRule="auto"/>
        <w:jc w:val="both"/>
        <w:rPr>
          <w:rFonts w:ascii="David" w:hAnsi="David"/>
        </w:rPr>
      </w:pPr>
      <w:r>
        <w:rPr>
          <w:rFonts w:ascii="David" w:hAnsi="David" w:hint="cs"/>
          <w:rtl/>
        </w:rPr>
        <w:t xml:space="preserve">ב"כ הנאשם טען כי נסיבות המקרה מצויות ברף חומרה נמוך לאור העובדה שהנאשם שהה בביתו, לא תכנון את האירוע ולא חפץ בו. לאור כך טען הסנגור שמתחם הענישה מתחיל ממאסר שניתן לשאת בעבודות שירות ואלמלא מעצרו של הנאשם זה היה אף העונש ההולם את המעשה. עוד הדגיש הסנגור כי הנאשם הודה במעשיו וחסך בזמן שיפוטי וכי בין הצדדים נערכה סולחה וכי </w:t>
      </w:r>
      <w:r w:rsidRPr="005250BB">
        <w:rPr>
          <w:rFonts w:ascii="Miriam" w:hAnsi="Miriam" w:cs="Miriam"/>
          <w:rtl/>
        </w:rPr>
        <w:t>"למתלוננים אין עניין נוסף עם הנאשם"</w:t>
      </w:r>
      <w:r>
        <w:rPr>
          <w:rFonts w:ascii="David" w:hAnsi="David" w:hint="cs"/>
          <w:rtl/>
        </w:rPr>
        <w:t xml:space="preserve">. לאור כל זאת עתר הסנגור להסתפק בעונש מאסר למשך עשרה חודשים בפועל. </w:t>
      </w:r>
    </w:p>
    <w:p w14:paraId="55CB64FD" w14:textId="77777777" w:rsidR="00F40C76" w:rsidRPr="009C1730" w:rsidRDefault="00F40C76" w:rsidP="00F40C76">
      <w:pPr>
        <w:pStyle w:val="a9"/>
        <w:rPr>
          <w:rFonts w:ascii="David" w:hAnsi="David"/>
          <w:rtl/>
        </w:rPr>
      </w:pPr>
    </w:p>
    <w:p w14:paraId="76EE1559" w14:textId="77777777" w:rsidR="00F40C76" w:rsidRDefault="00F40C76" w:rsidP="00F40C76">
      <w:pPr>
        <w:pStyle w:val="a9"/>
        <w:numPr>
          <w:ilvl w:val="0"/>
          <w:numId w:val="1"/>
        </w:numPr>
        <w:spacing w:line="360" w:lineRule="auto"/>
        <w:jc w:val="both"/>
        <w:rPr>
          <w:rFonts w:ascii="David" w:hAnsi="David"/>
          <w:b/>
          <w:bCs/>
          <w:u w:val="single"/>
        </w:rPr>
      </w:pPr>
      <w:r>
        <w:rPr>
          <w:rFonts w:ascii="David" w:hAnsi="David" w:hint="cs"/>
          <w:rtl/>
        </w:rPr>
        <w:t xml:space="preserve">הנאשם בדברו האחרון התנצל על מעשיו, ציין כי לא הייתה לו כוונה לפגוע באיש וכי נערכה סולחה בין הצדדים. </w:t>
      </w:r>
    </w:p>
    <w:p w14:paraId="26B5F690" w14:textId="77777777" w:rsidR="00F40C76" w:rsidRPr="005250BB" w:rsidRDefault="00F40C76" w:rsidP="00F40C76">
      <w:pPr>
        <w:pStyle w:val="a9"/>
        <w:rPr>
          <w:rFonts w:ascii="David" w:hAnsi="David"/>
          <w:b/>
          <w:bCs/>
          <w:u w:val="single"/>
          <w:rtl/>
        </w:rPr>
      </w:pPr>
    </w:p>
    <w:p w14:paraId="2DC0B646" w14:textId="77777777" w:rsidR="00F40C76" w:rsidRDefault="00F40C76" w:rsidP="00F40C76">
      <w:pPr>
        <w:pStyle w:val="a9"/>
        <w:spacing w:line="360" w:lineRule="auto"/>
        <w:ind w:left="0"/>
        <w:jc w:val="both"/>
        <w:rPr>
          <w:rFonts w:ascii="David" w:hAnsi="David"/>
          <w:b/>
          <w:bCs/>
          <w:u w:val="single"/>
          <w:rtl/>
        </w:rPr>
      </w:pPr>
      <w:r>
        <w:rPr>
          <w:rFonts w:ascii="David" w:hAnsi="David" w:hint="cs"/>
          <w:b/>
          <w:bCs/>
          <w:u w:val="single"/>
          <w:rtl/>
        </w:rPr>
        <w:t>דיון והכרעה</w:t>
      </w:r>
    </w:p>
    <w:p w14:paraId="551D6B9A" w14:textId="77777777" w:rsidR="00F40C76" w:rsidRPr="009C1730" w:rsidRDefault="00F40C76" w:rsidP="00F40C76">
      <w:pPr>
        <w:pStyle w:val="a9"/>
        <w:spacing w:line="360" w:lineRule="auto"/>
        <w:ind w:left="0"/>
        <w:jc w:val="both"/>
        <w:rPr>
          <w:rFonts w:ascii="David" w:hAnsi="David"/>
        </w:rPr>
      </w:pPr>
      <w:r>
        <w:rPr>
          <w:rFonts w:ascii="David" w:hAnsi="David" w:hint="cs"/>
          <w:b/>
          <w:bCs/>
          <w:u w:val="single"/>
          <w:rtl/>
        </w:rPr>
        <w:t>קביעת מתחם הענישה</w:t>
      </w:r>
    </w:p>
    <w:p w14:paraId="64B5DA6B" w14:textId="77777777" w:rsidR="00F40C76" w:rsidRPr="009C1730" w:rsidRDefault="00F40C76" w:rsidP="00F40C76">
      <w:pPr>
        <w:pStyle w:val="a9"/>
        <w:rPr>
          <w:rFonts w:ascii="David" w:hAnsi="David"/>
          <w:rtl/>
        </w:rPr>
      </w:pPr>
    </w:p>
    <w:p w14:paraId="2F893528" w14:textId="77777777" w:rsidR="00F40C76" w:rsidRDefault="00F40C76" w:rsidP="00F40C76">
      <w:pPr>
        <w:pStyle w:val="a9"/>
        <w:numPr>
          <w:ilvl w:val="0"/>
          <w:numId w:val="1"/>
        </w:numPr>
        <w:spacing w:line="360" w:lineRule="auto"/>
        <w:jc w:val="both"/>
        <w:rPr>
          <w:rFonts w:ascii="David" w:hAnsi="David"/>
        </w:rPr>
      </w:pPr>
      <w:r>
        <w:rPr>
          <w:rFonts w:ascii="David" w:hAnsi="David" w:hint="cs"/>
          <w:rtl/>
        </w:rPr>
        <w:t xml:space="preserve">דומה שאין שיחלוק כי מדובר באירוע אלים ומסוכן שסופו בנזק גוף לא קל שנגרם לשני מתלוננים שונים ואשר במזל לא הסתיים בפציעות חמורות יותר. שני הצדדים עתרו לקביעת מתחם </w:t>
      </w:r>
      <w:r>
        <w:rPr>
          <w:rFonts w:ascii="David" w:hAnsi="David" w:hint="cs"/>
          <w:rtl/>
        </w:rPr>
        <w:lastRenderedPageBreak/>
        <w:t xml:space="preserve">ענישה אחד לעבירת האלימות וכן לעבירת הסמים ועל רקע נסיבות העניין הכוללות אני מקבל עתירה זו בהתאם למבחן הקשר ההדוק. </w:t>
      </w:r>
    </w:p>
    <w:p w14:paraId="3DC903CB" w14:textId="77777777" w:rsidR="00F40C76" w:rsidRDefault="00F40C76" w:rsidP="00F40C76">
      <w:pPr>
        <w:pStyle w:val="a9"/>
        <w:ind w:left="0"/>
        <w:jc w:val="both"/>
        <w:rPr>
          <w:rFonts w:ascii="David" w:hAnsi="David"/>
        </w:rPr>
      </w:pPr>
    </w:p>
    <w:p w14:paraId="63A3486D" w14:textId="77777777" w:rsidR="00F40C76" w:rsidRDefault="00F40C76" w:rsidP="00F40C76">
      <w:pPr>
        <w:pStyle w:val="a9"/>
        <w:numPr>
          <w:ilvl w:val="0"/>
          <w:numId w:val="1"/>
        </w:numPr>
        <w:spacing w:line="360" w:lineRule="auto"/>
        <w:jc w:val="both"/>
        <w:rPr>
          <w:rFonts w:ascii="David" w:hAnsi="David"/>
        </w:rPr>
      </w:pPr>
      <w:r>
        <w:rPr>
          <w:rFonts w:ascii="David" w:hAnsi="David"/>
          <w:color w:val="000000"/>
          <w:rtl/>
        </w:rPr>
        <w:t>הערכים המוגנים שנפגעו בשל מעשי הנאשם ברורים. מדובר בפגיעה בשלום גופ</w:t>
      </w:r>
      <w:r>
        <w:rPr>
          <w:rFonts w:ascii="David" w:hAnsi="David" w:hint="cs"/>
          <w:color w:val="000000"/>
          <w:rtl/>
        </w:rPr>
        <w:t>ם</w:t>
      </w:r>
      <w:r>
        <w:rPr>
          <w:rFonts w:ascii="David" w:hAnsi="David"/>
          <w:color w:val="000000"/>
          <w:rtl/>
        </w:rPr>
        <w:t>, ב</w:t>
      </w:r>
      <w:r>
        <w:rPr>
          <w:rFonts w:ascii="David" w:hAnsi="David" w:hint="cs"/>
          <w:color w:val="000000"/>
          <w:rtl/>
        </w:rPr>
        <w:t>י</w:t>
      </w:r>
      <w:r>
        <w:rPr>
          <w:rFonts w:ascii="David" w:hAnsi="David"/>
          <w:color w:val="000000"/>
          <w:rtl/>
        </w:rPr>
        <w:t>טחונ</w:t>
      </w:r>
      <w:r>
        <w:rPr>
          <w:rFonts w:ascii="David" w:hAnsi="David" w:hint="cs"/>
          <w:color w:val="000000"/>
          <w:rtl/>
        </w:rPr>
        <w:t>ם</w:t>
      </w:r>
      <w:r>
        <w:rPr>
          <w:rFonts w:ascii="David" w:hAnsi="David"/>
          <w:color w:val="000000"/>
          <w:rtl/>
        </w:rPr>
        <w:t xml:space="preserve"> ושלוות נפש</w:t>
      </w:r>
      <w:r>
        <w:rPr>
          <w:rFonts w:ascii="David" w:hAnsi="David" w:hint="cs"/>
          <w:color w:val="000000"/>
          <w:rtl/>
        </w:rPr>
        <w:t>ם</w:t>
      </w:r>
      <w:r>
        <w:rPr>
          <w:rFonts w:ascii="David" w:hAnsi="David"/>
          <w:color w:val="000000"/>
          <w:rtl/>
        </w:rPr>
        <w:t xml:space="preserve"> של המתלונ</w:t>
      </w:r>
      <w:r>
        <w:rPr>
          <w:rFonts w:ascii="David" w:hAnsi="David" w:hint="cs"/>
          <w:color w:val="000000"/>
          <w:rtl/>
        </w:rPr>
        <w:t xml:space="preserve">נים. </w:t>
      </w:r>
      <w:r>
        <w:rPr>
          <w:rFonts w:ascii="David" w:hAnsi="David"/>
          <w:color w:val="000000"/>
          <w:rtl/>
        </w:rPr>
        <w:t xml:space="preserve">הפגיעה בערכים </w:t>
      </w:r>
      <w:r>
        <w:rPr>
          <w:rFonts w:ascii="David" w:hAnsi="David" w:hint="cs"/>
          <w:color w:val="000000"/>
          <w:rtl/>
        </w:rPr>
        <w:t xml:space="preserve">אלו </w:t>
      </w:r>
      <w:r>
        <w:rPr>
          <w:rFonts w:ascii="David" w:hAnsi="David"/>
          <w:color w:val="000000"/>
          <w:rtl/>
        </w:rPr>
        <w:t>במקרה זה גבוהה לאור השימוש ב</w:t>
      </w:r>
      <w:r>
        <w:rPr>
          <w:rFonts w:ascii="David" w:hAnsi="David" w:hint="cs"/>
          <w:color w:val="000000"/>
          <w:rtl/>
        </w:rPr>
        <w:t>נשק קר בדמות סכין</w:t>
      </w:r>
      <w:r>
        <w:rPr>
          <w:rFonts w:ascii="David" w:hAnsi="David"/>
          <w:color w:val="000000"/>
          <w:rtl/>
        </w:rPr>
        <w:t>, חומרת הפציע</w:t>
      </w:r>
      <w:r>
        <w:rPr>
          <w:rFonts w:ascii="David" w:hAnsi="David" w:hint="cs"/>
          <w:color w:val="000000"/>
          <w:rtl/>
        </w:rPr>
        <w:t>ות</w:t>
      </w:r>
      <w:r>
        <w:rPr>
          <w:rFonts w:ascii="David" w:hAnsi="David"/>
          <w:color w:val="000000"/>
          <w:rtl/>
        </w:rPr>
        <w:t xml:space="preserve"> ופוטנציאל הנזק</w:t>
      </w:r>
      <w:r>
        <w:rPr>
          <w:rFonts w:ascii="David" w:hAnsi="David"/>
          <w:color w:val="000000"/>
        </w:rPr>
        <w:t>.</w:t>
      </w:r>
      <w:r>
        <w:rPr>
          <w:rFonts w:ascii="David" w:hAnsi="David" w:hint="cs"/>
          <w:rtl/>
        </w:rPr>
        <w:t xml:space="preserve"> לכך יש להוסיף כי הנאשם החזיק בסם קשה מסוג קוקאין שלא לשימוש עצמי בלבד ובכך פגע </w:t>
      </w:r>
      <w:r>
        <w:rPr>
          <w:rFonts w:ascii="David" w:hAnsi="David"/>
          <w:color w:val="222222"/>
          <w:rtl/>
        </w:rPr>
        <w:t xml:space="preserve">בערכים המוגנים שעניינם בטחון הציבור ושלומו. הסכנות הטמונות בהחזקת סמים מסוכנים </w:t>
      </w:r>
      <w:r>
        <w:rPr>
          <w:rFonts w:ascii="David" w:hAnsi="David" w:hint="cs"/>
          <w:color w:val="222222"/>
          <w:rtl/>
        </w:rPr>
        <w:t>כגון</w:t>
      </w:r>
      <w:r>
        <w:rPr>
          <w:rFonts w:ascii="David" w:hAnsi="David"/>
          <w:color w:val="222222"/>
          <w:rtl/>
        </w:rPr>
        <w:t xml:space="preserve"> קוקאין</w:t>
      </w:r>
      <w:r>
        <w:rPr>
          <w:rFonts w:ascii="David" w:hAnsi="David" w:hint="cs"/>
          <w:color w:val="222222"/>
          <w:rtl/>
        </w:rPr>
        <w:t xml:space="preserve">, שלא לשימוש עצמי בלבד, ידועות ואין צורך להכביר מילים על הנזקים העקיפים והישירים שעלולים להיגרם לחברה ולפרט מעבירות הסמים. </w:t>
      </w:r>
    </w:p>
    <w:p w14:paraId="0A1E7AF5" w14:textId="77777777" w:rsidR="00F40C76" w:rsidRDefault="00F40C76" w:rsidP="00F40C76">
      <w:pPr>
        <w:pStyle w:val="a9"/>
        <w:ind w:left="0"/>
        <w:jc w:val="both"/>
        <w:rPr>
          <w:rFonts w:ascii="David" w:hAnsi="David"/>
        </w:rPr>
      </w:pPr>
    </w:p>
    <w:p w14:paraId="4E5FB80F" w14:textId="77777777" w:rsidR="00F40C76" w:rsidRDefault="00F40C76" w:rsidP="00F40C76">
      <w:pPr>
        <w:pStyle w:val="a9"/>
        <w:numPr>
          <w:ilvl w:val="0"/>
          <w:numId w:val="1"/>
        </w:numPr>
        <w:spacing w:line="360" w:lineRule="auto"/>
        <w:jc w:val="both"/>
        <w:rPr>
          <w:rFonts w:ascii="David" w:hAnsi="David"/>
        </w:rPr>
      </w:pPr>
      <w:r>
        <w:rPr>
          <w:rFonts w:ascii="David" w:hAnsi="David"/>
          <w:color w:val="000000"/>
          <w:rtl/>
        </w:rPr>
        <w:t>כאן המקום להתעכב על נסיבות האירוע</w:t>
      </w:r>
      <w:r>
        <w:rPr>
          <w:rFonts w:ascii="David" w:hAnsi="David"/>
          <w:color w:val="000000"/>
        </w:rPr>
        <w:t>.</w:t>
      </w:r>
      <w:r>
        <w:rPr>
          <w:rFonts w:ascii="David" w:hAnsi="David" w:hint="cs"/>
          <w:rtl/>
        </w:rPr>
        <w:t xml:space="preserve"> על פי עובדות כתב האישום הנאשמים הגיעו לבית הנאשם בשעת לילה מאוחרת </w:t>
      </w:r>
      <w:r w:rsidRPr="00035BC2">
        <w:rPr>
          <w:rFonts w:ascii="Miriam" w:hAnsi="Miriam" w:cs="Miriam"/>
          <w:rtl/>
        </w:rPr>
        <w:t>"לשוחח...אודות הסכסוך הכספי וליישבו"</w:t>
      </w:r>
      <w:r>
        <w:rPr>
          <w:rFonts w:ascii="David" w:hAnsi="David" w:hint="cs"/>
          <w:rtl/>
        </w:rPr>
        <w:t xml:space="preserve">.  אכן, הגעת שלושה אנשים לאחר חצות לביתו של אדם "לשוחח" על אודות חוב כספי שהוא חייב להם, עשויה להתפרש כמאיימת ואולם זולת נתון זה, שאין להתעלם ממנו, כתב האישום אינו מציין פעולה כלשהי שביצע מי מהמתלוננים אשר הנאשם יכול היה לפרש כאיום או כסכנה כלשהי. עם זאת, כתב האישום מציין שא"ב עזבה את הדירה מיד עם כניסת המתלוננים </w:t>
      </w:r>
      <w:r>
        <w:rPr>
          <w:rFonts w:ascii="David" w:hAnsi="David"/>
          <w:rtl/>
        </w:rPr>
        <w:t>–</w:t>
      </w:r>
      <w:r>
        <w:rPr>
          <w:rFonts w:ascii="David" w:hAnsi="David" w:hint="cs"/>
          <w:rtl/>
        </w:rPr>
        <w:t xml:space="preserve"> התנהגות שניתן להבינה כזיהוי סכנה מצדה. מנגד, לא ניתן להבין מכתב האישום מה גרם לנאשם לנהוג כפי שנהג ואפשר שקיים "חור" מסוים באופן הצגת הדברים. כך או כך, בהיעדר כל עובדה בכתב האישום שיש בה ללמד על כוחניות כלשהי בהתנהגות המתלוננים (זולת עצם ההגעה בשעת לילה מאוחרת לבית הנאשם על רקע החוב) אין אלא לפרש את האירוע כהתנהגות אלימה מצדו של הנאשם ללא כל התגרות ממשית מטעם מי מהמתלוננים. כאמור, הנאשם עשה שימוש בסכין </w:t>
      </w:r>
      <w:r>
        <w:rPr>
          <w:rFonts w:ascii="David" w:hAnsi="David"/>
          <w:rtl/>
        </w:rPr>
        <w:t>–</w:t>
      </w:r>
      <w:r>
        <w:rPr>
          <w:rFonts w:ascii="David" w:hAnsi="David" w:hint="cs"/>
          <w:rtl/>
        </w:rPr>
        <w:t xml:space="preserve"> כ</w:t>
      </w:r>
      <w:r w:rsidRPr="009D5808">
        <w:rPr>
          <w:rFonts w:ascii="David" w:hAnsi="David"/>
          <w:rtl/>
        </w:rPr>
        <w:t>לי נשק שעלול לגרום לפגיעה קשה בגו</w:t>
      </w:r>
      <w:r>
        <w:rPr>
          <w:rFonts w:ascii="David" w:hAnsi="David"/>
          <w:rtl/>
        </w:rPr>
        <w:t>פו של אדם – והוא כיוון את הפגיע</w:t>
      </w:r>
      <w:r>
        <w:rPr>
          <w:rFonts w:ascii="David" w:hAnsi="David" w:hint="cs"/>
          <w:rtl/>
        </w:rPr>
        <w:t>ות</w:t>
      </w:r>
      <w:r w:rsidRPr="009D5808">
        <w:rPr>
          <w:rFonts w:ascii="David" w:hAnsi="David"/>
          <w:rtl/>
        </w:rPr>
        <w:t xml:space="preserve"> לאיבר</w:t>
      </w:r>
      <w:r>
        <w:rPr>
          <w:rFonts w:ascii="David" w:hAnsi="David" w:hint="cs"/>
          <w:rtl/>
        </w:rPr>
        <w:t>ים</w:t>
      </w:r>
      <w:r w:rsidRPr="009D5808">
        <w:rPr>
          <w:rFonts w:ascii="David" w:hAnsi="David"/>
          <w:rtl/>
        </w:rPr>
        <w:t xml:space="preserve"> רגיש</w:t>
      </w:r>
      <w:r>
        <w:rPr>
          <w:rFonts w:ascii="David" w:hAnsi="David" w:hint="cs"/>
          <w:rtl/>
        </w:rPr>
        <w:t>ים</w:t>
      </w:r>
      <w:r w:rsidRPr="009D5808">
        <w:rPr>
          <w:rFonts w:ascii="David" w:hAnsi="David"/>
          <w:rtl/>
        </w:rPr>
        <w:t xml:space="preserve"> </w:t>
      </w:r>
      <w:r>
        <w:rPr>
          <w:rFonts w:ascii="David" w:hAnsi="David" w:hint="cs"/>
          <w:rtl/>
        </w:rPr>
        <w:t>(בטן ופנים) ויש בכך משום נסיבה מחמירה. ביחס לנזק שנגרם למתלוננים אזי לאור המסמך הרפואי שהוגש (ע/3) החתך שנגרם למתלונן טיימור לא כלל דימום פעיל ולא חדר לבטן. החתך נסגר בסיכות והמתלונן שוחרר עוד באותו היום. המסקנה היא שהנזק שנגרם לו היה קל יחסית, אם כי פוטנציאל הנזק היה כאמור ממשי. הוא הדין ביחס למתלונן טאמר שנפגע בפניו. המאשימה לא הגישה מסמך רפואי בעניינו והתמונה מתארת פצע שטחי וקטן. לא נטען שנותרה צלקת ומשכך המסקנה היא שאף בעניינו הנזק שנגרם היה קל יחסית אך פוטנציאל הנזק היה ממשי. ביחס לעבירת הסמים אזי מדובר בהחזקה שלא לצריכה עצמית בלבד ומכאן חומרת המעשה. הסם המדובר הוא קוקאין - היינו סם מסוכן, אם כי הכמות אינה גדולה יחסית.</w:t>
      </w:r>
    </w:p>
    <w:p w14:paraId="4924F3FC" w14:textId="77777777" w:rsidR="00F40C76" w:rsidRPr="006A0131" w:rsidRDefault="00F40C76" w:rsidP="00F40C76">
      <w:pPr>
        <w:pStyle w:val="a9"/>
        <w:rPr>
          <w:rFonts w:ascii="David" w:hAnsi="David"/>
          <w:rtl/>
        </w:rPr>
      </w:pPr>
    </w:p>
    <w:p w14:paraId="29B0F0E7" w14:textId="77777777" w:rsidR="00F40C76" w:rsidRDefault="00F40C76" w:rsidP="00F40C76">
      <w:pPr>
        <w:pStyle w:val="a9"/>
        <w:numPr>
          <w:ilvl w:val="0"/>
          <w:numId w:val="1"/>
        </w:numPr>
        <w:spacing w:line="360" w:lineRule="auto"/>
        <w:jc w:val="both"/>
        <w:rPr>
          <w:rFonts w:ascii="David" w:hAnsi="David"/>
        </w:rPr>
      </w:pPr>
      <w:r w:rsidRPr="00E14F25">
        <w:rPr>
          <w:rFonts w:ascii="David" w:hAnsi="David"/>
          <w:rtl/>
        </w:rPr>
        <w:t>לא אחת נקבע כי על בית המשפט לתרום תרומתו בביעו</w:t>
      </w:r>
      <w:r>
        <w:rPr>
          <w:rFonts w:ascii="David" w:hAnsi="David"/>
          <w:rtl/>
        </w:rPr>
        <w:t>ר נגע האלימות הפושה בחברתנו. רא</w:t>
      </w:r>
      <w:r>
        <w:rPr>
          <w:rFonts w:ascii="David" w:hAnsi="David" w:hint="cs"/>
          <w:rtl/>
        </w:rPr>
        <w:t>ו למשל</w:t>
      </w:r>
      <w:r w:rsidRPr="00E14F25">
        <w:rPr>
          <w:rFonts w:ascii="David" w:hAnsi="David"/>
          <w:rtl/>
        </w:rPr>
        <w:t>:</w:t>
      </w:r>
    </w:p>
    <w:p w14:paraId="0416860B" w14:textId="77777777" w:rsidR="00F40C76" w:rsidRDefault="00F40C76" w:rsidP="00F40C76">
      <w:pPr>
        <w:pStyle w:val="a9"/>
        <w:ind w:left="1134" w:right="1134"/>
        <w:jc w:val="both"/>
        <w:rPr>
          <w:rFonts w:ascii="David" w:hAnsi="David"/>
          <w:rtl/>
        </w:rPr>
      </w:pPr>
      <w:r>
        <w:rPr>
          <w:rFonts w:ascii="David" w:hAnsi="David" w:hint="cs"/>
          <w:rtl/>
        </w:rPr>
        <w:t>"</w:t>
      </w:r>
      <w:r w:rsidRPr="00E14F25">
        <w:rPr>
          <w:rFonts w:ascii="Miriam" w:hAnsi="Miriam" w:cs="Miriam"/>
          <w:rtl/>
        </w:rPr>
        <w:t>אירועי האישום...הם ביטוי לתופעה הפסולה שזכתה בפסיקתנו לכינוי 'תת-תרבות הסכין' שבמסגרתה צעירים עושים שימוש בכלי משחית במסגרת תגרות אלימות ולשם פתרון סכסוכים...תופעה זו דורשת הוקעה ועליה לגרור בצידה ענישה מחמירה שתשקף הן את העונש ההולם למידת הפגיעה בפועל בנפגעי העבירה, הן את פוטנציאל הנזק של המעשים שעלולים להסתיים בתוצאה קטלנית ותרתיע מפני ביצוע מעשים דומים</w:t>
      </w:r>
      <w:r>
        <w:rPr>
          <w:rFonts w:ascii="David" w:hAnsi="David" w:hint="cs"/>
          <w:rtl/>
        </w:rPr>
        <w:t>"</w:t>
      </w:r>
      <w:r w:rsidRPr="00E14F25">
        <w:rPr>
          <w:rFonts w:ascii="David" w:hAnsi="David"/>
          <w:rtl/>
        </w:rPr>
        <w:t xml:space="preserve"> (ע"פ </w:t>
      </w:r>
      <w:hyperlink r:id="rId18" w:history="1">
        <w:r w:rsidR="00FB43D5" w:rsidRPr="00FB43D5">
          <w:rPr>
            <w:rFonts w:ascii="David" w:hAnsi="David"/>
            <w:color w:val="0000FF"/>
            <w:u w:val="single"/>
            <w:rtl/>
          </w:rPr>
          <w:t xml:space="preserve">121/16 </w:t>
        </w:r>
      </w:hyperlink>
      <w:r w:rsidRPr="00E14F25">
        <w:rPr>
          <w:rFonts w:ascii="David" w:hAnsi="David"/>
          <w:rtl/>
        </w:rPr>
        <w:t xml:space="preserve"> </w:t>
      </w:r>
      <w:r w:rsidRPr="00E14F25">
        <w:rPr>
          <w:rFonts w:ascii="David" w:hAnsi="David"/>
          <w:b/>
          <w:bCs/>
          <w:rtl/>
        </w:rPr>
        <w:t>מדינת ישראל נ' פלוני</w:t>
      </w:r>
      <w:r w:rsidRPr="00E14F25">
        <w:rPr>
          <w:rFonts w:ascii="David" w:hAnsi="David"/>
          <w:rtl/>
        </w:rPr>
        <w:t xml:space="preserve"> (11.2.2016))</w:t>
      </w:r>
      <w:r>
        <w:rPr>
          <w:rFonts w:ascii="David" w:hAnsi="David" w:hint="cs"/>
          <w:rtl/>
        </w:rPr>
        <w:t>.</w:t>
      </w:r>
    </w:p>
    <w:p w14:paraId="6F210958" w14:textId="77777777" w:rsidR="00F40C76" w:rsidRDefault="00F40C76" w:rsidP="00F40C76">
      <w:pPr>
        <w:pStyle w:val="a9"/>
        <w:ind w:left="1134" w:right="1134"/>
        <w:jc w:val="both"/>
        <w:rPr>
          <w:rFonts w:ascii="David" w:hAnsi="David"/>
          <w:rtl/>
        </w:rPr>
      </w:pPr>
    </w:p>
    <w:p w14:paraId="61705B65" w14:textId="77777777" w:rsidR="00F40C76" w:rsidRDefault="00F40C76" w:rsidP="00F40C76">
      <w:pPr>
        <w:ind w:right="1134"/>
        <w:jc w:val="both"/>
        <w:rPr>
          <w:rFonts w:ascii="David" w:hAnsi="David"/>
          <w:rtl/>
        </w:rPr>
      </w:pPr>
    </w:p>
    <w:p w14:paraId="2E6F1738" w14:textId="77777777" w:rsidR="00F40C76" w:rsidRDefault="00F40C76" w:rsidP="00F40C76">
      <w:pPr>
        <w:pStyle w:val="a9"/>
        <w:numPr>
          <w:ilvl w:val="0"/>
          <w:numId w:val="1"/>
        </w:numPr>
        <w:spacing w:line="360" w:lineRule="auto"/>
        <w:jc w:val="both"/>
        <w:rPr>
          <w:rFonts w:ascii="David" w:hAnsi="David"/>
        </w:rPr>
      </w:pPr>
      <w:r w:rsidRPr="00C750CE">
        <w:rPr>
          <w:rFonts w:ascii="David" w:hAnsi="David"/>
          <w:rtl/>
        </w:rPr>
        <w:t>לצורך בחינת מדיניות הענישה הנוהגת במקרים דומים ניתן להפנות לפסקי הדין הבאים</w:t>
      </w:r>
      <w:r>
        <w:rPr>
          <w:rFonts w:ascii="David" w:hAnsi="David" w:hint="cs"/>
          <w:rtl/>
        </w:rPr>
        <w:t>, בשינויים המחויבים</w:t>
      </w:r>
      <w:r w:rsidRPr="00C750CE">
        <w:rPr>
          <w:rFonts w:ascii="David" w:hAnsi="David"/>
          <w:rtl/>
        </w:rPr>
        <w:t>:</w:t>
      </w:r>
      <w:r>
        <w:rPr>
          <w:rFonts w:ascii="David" w:hAnsi="David" w:hint="cs"/>
          <w:rtl/>
        </w:rPr>
        <w:t xml:space="preserve"> </w:t>
      </w:r>
      <w:hyperlink r:id="rId19" w:history="1">
        <w:r w:rsidR="00AC4982" w:rsidRPr="00AC4982">
          <w:rPr>
            <w:rFonts w:ascii="David" w:hAnsi="David"/>
            <w:color w:val="0000FF"/>
            <w:u w:val="single"/>
            <w:rtl/>
          </w:rPr>
          <w:t>רע"פ 3682/22</w:t>
        </w:r>
      </w:hyperlink>
      <w:r w:rsidRPr="00C750CE">
        <w:rPr>
          <w:rFonts w:ascii="David" w:hAnsi="David"/>
          <w:rtl/>
        </w:rPr>
        <w:t xml:space="preserve"> ‏</w:t>
      </w:r>
      <w:r w:rsidRPr="00C750CE">
        <w:rPr>
          <w:rFonts w:ascii="David" w:hAnsi="David"/>
          <w:b/>
          <w:bCs/>
          <w:rtl/>
        </w:rPr>
        <w:t>אסף גולן נ' מדינת ישראל</w:t>
      </w:r>
      <w:r w:rsidRPr="00C750CE">
        <w:rPr>
          <w:rFonts w:ascii="David" w:hAnsi="David"/>
          <w:rtl/>
        </w:rPr>
        <w:t xml:space="preserve"> (2.6.2022), בו נידון עניינו של נאשם שהורשע בעבירות פציעה בנסיבות מחמירות (תוך שימוש בנשק קר) ואיומים ונידון לתשעה חודשי מאסר לריצוי בעבודות שירות ועונשים נלווים. במקרה זה הכה הנאשם במתלונן באגרופים, הצמיד אולר לאוזנו ואיים להרגו. למתלונן נגרמו חתך שטחי בקרקפת ושריטות מאחורי אוזנו השמאלית. בית המשפט העליון דחה בקשת רשות ערעור שהגיש הנאשם וציין כי </w:t>
      </w:r>
      <w:r w:rsidRPr="001446B5">
        <w:rPr>
          <w:rFonts w:ascii="Miriam" w:hAnsi="Miriam" w:cs="Miriam"/>
          <w:rtl/>
        </w:rPr>
        <w:t>"העונש אשר בית משפט השלום גזר על המבקש הולם את חומרת מעשיו, מתחשב כראוי במכלול נסיבות ביצוע העבירה ונסיבותיו האישיות – ואף מקל במידת מה עמו"</w:t>
      </w:r>
      <w:r>
        <w:rPr>
          <w:rFonts w:ascii="David" w:hAnsi="David" w:hint="cs"/>
          <w:rtl/>
        </w:rPr>
        <w:t xml:space="preserve">; </w:t>
      </w:r>
      <w:hyperlink r:id="rId20" w:history="1">
        <w:r w:rsidR="00AC4982" w:rsidRPr="00AC4982">
          <w:rPr>
            <w:rFonts w:ascii="David" w:hAnsi="David"/>
            <w:color w:val="0000FF"/>
            <w:u w:val="single"/>
            <w:rtl/>
          </w:rPr>
          <w:t>ע"פ 8505/21</w:t>
        </w:r>
      </w:hyperlink>
      <w:r w:rsidRPr="00C750CE">
        <w:rPr>
          <w:rFonts w:ascii="David" w:hAnsi="David"/>
          <w:rtl/>
        </w:rPr>
        <w:t xml:space="preserve"> </w:t>
      </w:r>
      <w:r w:rsidRPr="00C750CE">
        <w:rPr>
          <w:rFonts w:ascii="David" w:hAnsi="David"/>
          <w:b/>
          <w:bCs/>
          <w:rtl/>
        </w:rPr>
        <w:t>ששקוב נ' מדינת ישראל</w:t>
      </w:r>
      <w:r w:rsidRPr="00C750CE">
        <w:rPr>
          <w:rFonts w:ascii="David" w:hAnsi="David"/>
          <w:rtl/>
        </w:rPr>
        <w:t xml:space="preserve"> (8.6.2022), בו נדחה ערעור נאשם שהורשע בעבירה של חבלה חמורה בנסיבות מחמירות לאחר שתקף את המתלונן באמצעות אלה. למתלונן נגרמו המטומות ושבר ברגלו ונקבע מתחם ענישה הנע בין 50-32 חודשי מאסר. על הנאשם,</w:t>
      </w:r>
      <w:r>
        <w:rPr>
          <w:rFonts w:ascii="David" w:hAnsi="David" w:hint="cs"/>
          <w:rtl/>
        </w:rPr>
        <w:t xml:space="preserve"> </w:t>
      </w:r>
      <w:r w:rsidRPr="00C750CE">
        <w:rPr>
          <w:rFonts w:ascii="David" w:hAnsi="David"/>
          <w:rtl/>
        </w:rPr>
        <w:t>נעדר עבר פלילי ששולב בטיפול הוטלו 32 חודשי מאסר בפועל</w:t>
      </w:r>
      <w:r>
        <w:rPr>
          <w:rFonts w:ascii="David" w:hAnsi="David" w:hint="cs"/>
          <w:rtl/>
        </w:rPr>
        <w:t xml:space="preserve">; </w:t>
      </w:r>
      <w:hyperlink r:id="rId21" w:history="1">
        <w:r w:rsidR="00AC4982" w:rsidRPr="00AC4982">
          <w:rPr>
            <w:rFonts w:ascii="David" w:hAnsi="David"/>
            <w:color w:val="0000FF"/>
            <w:u w:val="single"/>
            <w:rtl/>
          </w:rPr>
          <w:t>רע"פ 6817/22</w:t>
        </w:r>
      </w:hyperlink>
      <w:r w:rsidRPr="00335E0A">
        <w:rPr>
          <w:rFonts w:ascii="David" w:hAnsi="David"/>
          <w:rtl/>
        </w:rPr>
        <w:t xml:space="preserve"> </w:t>
      </w:r>
      <w:r w:rsidRPr="00335E0A">
        <w:rPr>
          <w:rFonts w:ascii="David" w:hAnsi="David"/>
          <w:b/>
          <w:bCs/>
          <w:rtl/>
        </w:rPr>
        <w:t>אשר פריג' נ' מדינת ישראל</w:t>
      </w:r>
      <w:r w:rsidRPr="00335E0A">
        <w:rPr>
          <w:rFonts w:ascii="David" w:hAnsi="David"/>
          <w:rtl/>
        </w:rPr>
        <w:t xml:space="preserve"> (18.10.2022), בו נידון עניינו של נאשם שהורשע בעבירות החזקת סכין ופציעה כשהעבריין מזויין ונידון ל-12 חודשי מאסר בפועל ועונשים נלווים. במקרה זה, בשל סכסוך, דקר הנאשם את המתלונן בכף ידו השמאלית וגרם לו לחבלות וחתכים שהצריכו תפירה. נקבע כי מתחם הענישה נע בין 10 ל-24 חודשי מאסר בפועל ובית המשפט העליון ציין כי </w:t>
      </w:r>
      <w:r w:rsidRPr="001446B5">
        <w:rPr>
          <w:rFonts w:ascii="Miriam" w:hAnsi="Miriam" w:cs="Miriam"/>
          <w:rtl/>
        </w:rPr>
        <w:t>"מעשים אלו דורשים ענישה הולמת ומרתיעה המבהירה כי סכסוכים אינם באים לפתרונם בדרך של אלימות. סופה של התנהלות אלימה שכזו, בגין עניין של מה בכך, ראוי שיהא עונש משמעותי של מאסר בפועל"</w:t>
      </w:r>
      <w:r>
        <w:rPr>
          <w:rFonts w:ascii="David" w:hAnsi="David" w:hint="cs"/>
          <w:rtl/>
        </w:rPr>
        <w:t xml:space="preserve">; </w:t>
      </w:r>
      <w:hyperlink r:id="rId22" w:history="1">
        <w:r w:rsidR="00AC4982" w:rsidRPr="00AC4982">
          <w:rPr>
            <w:rFonts w:ascii="David" w:hAnsi="David"/>
            <w:color w:val="0000FF"/>
            <w:u w:val="single"/>
            <w:rtl/>
          </w:rPr>
          <w:t>עפ"ג 5778-03-22</w:t>
        </w:r>
      </w:hyperlink>
      <w:r w:rsidRPr="00D2572C">
        <w:rPr>
          <w:rFonts w:ascii="David" w:hAnsi="David"/>
          <w:rtl/>
        </w:rPr>
        <w:t xml:space="preserve"> </w:t>
      </w:r>
      <w:r w:rsidRPr="00D2572C">
        <w:rPr>
          <w:rFonts w:ascii="David" w:hAnsi="David"/>
          <w:b/>
          <w:bCs/>
          <w:rtl/>
        </w:rPr>
        <w:t>אנור חסאן נ' מדינת ישראל</w:t>
      </w:r>
      <w:r w:rsidRPr="00D2572C">
        <w:rPr>
          <w:rFonts w:ascii="David" w:hAnsi="David"/>
          <w:rtl/>
        </w:rPr>
        <w:t xml:space="preserve"> (16.6.2022), בו נידון נאשם ל-12 חודשי מאסר בפועל בשל כך שחתך בסכין את רגלו של המתלונן; </w:t>
      </w:r>
      <w:hyperlink r:id="rId23" w:history="1">
        <w:r w:rsidR="00AC4982" w:rsidRPr="00AC4982">
          <w:rPr>
            <w:rFonts w:ascii="David" w:hAnsi="David"/>
            <w:color w:val="0000FF"/>
            <w:u w:val="single"/>
            <w:rtl/>
          </w:rPr>
          <w:t>עפ"ג 29072-05-22</w:t>
        </w:r>
      </w:hyperlink>
      <w:r w:rsidRPr="00D2572C">
        <w:rPr>
          <w:rFonts w:ascii="David" w:hAnsi="David"/>
          <w:rtl/>
        </w:rPr>
        <w:t>‏ ‏</w:t>
      </w:r>
      <w:r w:rsidRPr="00D2572C">
        <w:rPr>
          <w:rFonts w:ascii="David" w:hAnsi="David"/>
          <w:b/>
          <w:bCs/>
          <w:rtl/>
        </w:rPr>
        <w:t>מדינת ישראל נ' שמעון אזולאי</w:t>
      </w:r>
      <w:r w:rsidRPr="00D2572C">
        <w:rPr>
          <w:rFonts w:ascii="David" w:hAnsi="David"/>
          <w:rtl/>
        </w:rPr>
        <w:t xml:space="preserve"> (30.11.2022), בו נידון נאשם לעונש מאסר בן 18 חודשים (וכן הפעלת מאסר מותנה) בשל כך שדקר את המתלונן בשל סכסוך נהגים.</w:t>
      </w:r>
    </w:p>
    <w:p w14:paraId="76DA9DE6" w14:textId="77777777" w:rsidR="00F40C76" w:rsidRDefault="00F40C76" w:rsidP="00F40C76">
      <w:pPr>
        <w:pStyle w:val="a9"/>
        <w:ind w:left="0"/>
        <w:jc w:val="both"/>
        <w:rPr>
          <w:rFonts w:ascii="David" w:hAnsi="David"/>
        </w:rPr>
      </w:pPr>
    </w:p>
    <w:p w14:paraId="3BE88999" w14:textId="77777777" w:rsidR="00F40C76" w:rsidRDefault="00F40C76" w:rsidP="00F40C76">
      <w:pPr>
        <w:pStyle w:val="a9"/>
        <w:spacing w:line="360" w:lineRule="auto"/>
        <w:ind w:left="0" w:firstLine="720"/>
        <w:jc w:val="both"/>
        <w:rPr>
          <w:rFonts w:ascii="David" w:hAnsi="David"/>
          <w:rtl/>
        </w:rPr>
      </w:pPr>
      <w:r>
        <w:rPr>
          <w:rFonts w:ascii="David" w:hAnsi="David" w:hint="cs"/>
          <w:rtl/>
        </w:rPr>
        <w:t>ביחס לעבירת החזקת קוקאין שלא לשימוש עצמי אפנה, בשינויים המחויבים, ל</w:t>
      </w:r>
      <w:hyperlink r:id="rId24" w:history="1">
        <w:r w:rsidR="00AC4982" w:rsidRPr="00AC4982">
          <w:rPr>
            <w:rFonts w:ascii="David" w:hAnsi="David"/>
            <w:color w:val="0000FF"/>
            <w:u w:val="single"/>
            <w:rtl/>
          </w:rPr>
          <w:t>רע"פ 1473-18</w:t>
        </w:r>
      </w:hyperlink>
      <w:r w:rsidRPr="002E790B">
        <w:rPr>
          <w:rFonts w:ascii="David" w:hAnsi="David"/>
          <w:rtl/>
        </w:rPr>
        <w:t xml:space="preserve"> </w:t>
      </w:r>
      <w:r w:rsidRPr="00E75F99">
        <w:rPr>
          <w:rFonts w:ascii="David" w:hAnsi="David"/>
          <w:b/>
          <w:bCs/>
          <w:rtl/>
        </w:rPr>
        <w:t>שמואל אוחיון נ' מדינת ישראל</w:t>
      </w:r>
      <w:r>
        <w:rPr>
          <w:rFonts w:ascii="David" w:hAnsi="David" w:hint="cs"/>
          <w:rtl/>
        </w:rPr>
        <w:t xml:space="preserve"> (22.4.2018), בו קבעה ערכאת הערעור מתחם ענישה הנע בין 6-12 חודשי מאסר בפועל בגין החזקת 4 יחידות קוקאין במשקל כולל של 1.6888 ויחידת קוקאין במשקל 0.4185 ועונשו של הנאשם הוחמר מענישה צופה פני עתיד לחודשיים מאסר לריצוי בעבודות שירות. בקשת רשות ערעור שהגיש הנאשם נדחתה; </w:t>
      </w:r>
      <w:hyperlink r:id="rId25" w:history="1">
        <w:r w:rsidR="00AC4982" w:rsidRPr="00AC4982">
          <w:rPr>
            <w:rFonts w:ascii="David" w:hAnsi="David"/>
            <w:color w:val="0000FF"/>
            <w:u w:val="single"/>
            <w:rtl/>
          </w:rPr>
          <w:t>ת"פ 59017-02-21</w:t>
        </w:r>
      </w:hyperlink>
      <w:r w:rsidRPr="00E75F99">
        <w:rPr>
          <w:rFonts w:ascii="David" w:hAnsi="David"/>
          <w:rtl/>
        </w:rPr>
        <w:t xml:space="preserve"> </w:t>
      </w:r>
      <w:r w:rsidRPr="005A3ACA">
        <w:rPr>
          <w:rFonts w:ascii="David" w:hAnsi="David"/>
          <w:b/>
          <w:bCs/>
          <w:rtl/>
        </w:rPr>
        <w:t>מדינת ישראל נ' אלירן מויאל</w:t>
      </w:r>
      <w:r>
        <w:rPr>
          <w:rFonts w:ascii="David" w:hAnsi="David" w:hint="cs"/>
          <w:rtl/>
        </w:rPr>
        <w:t xml:space="preserve"> (12.9.2022), בו נקבע מתחם ענישה הנע בין 3 חודשי מאסר לריצוי בעבודות שירות לבין 9 חודשי מאסר בפועל בגין החזקת קוקאין במשקל 1.2 גרם; </w:t>
      </w:r>
      <w:hyperlink r:id="rId26" w:history="1">
        <w:r w:rsidR="00AC4982" w:rsidRPr="00AC4982">
          <w:rPr>
            <w:rFonts w:ascii="David" w:hAnsi="David"/>
            <w:color w:val="0000FF"/>
            <w:u w:val="single"/>
            <w:rtl/>
          </w:rPr>
          <w:t>ת"פ 39391-05-23</w:t>
        </w:r>
      </w:hyperlink>
      <w:r w:rsidRPr="00E22042">
        <w:rPr>
          <w:rFonts w:ascii="David" w:hAnsi="David"/>
          <w:rtl/>
        </w:rPr>
        <w:t xml:space="preserve"> </w:t>
      </w:r>
      <w:r w:rsidRPr="00BE1568">
        <w:rPr>
          <w:rFonts w:ascii="David" w:hAnsi="David"/>
          <w:b/>
          <w:bCs/>
          <w:rtl/>
        </w:rPr>
        <w:t>מדינת ישראל נ' זאהי אלאעסם</w:t>
      </w:r>
      <w:r>
        <w:rPr>
          <w:rFonts w:ascii="David" w:hAnsi="David" w:hint="cs"/>
          <w:rtl/>
        </w:rPr>
        <w:t xml:space="preserve"> (13.6.2024), בו נקבע מתחם ענישה הנע בין 7-16 חודשי מאסר בפועל בגין החזקת 1.216 גרם קוקאין מחולק ל-8 יחידות ובית המשפט סטה לקולה ממתחם הענישה והסתפק בענישה שיקומית. </w:t>
      </w:r>
    </w:p>
    <w:p w14:paraId="62F394F6" w14:textId="77777777" w:rsidR="00F40C76" w:rsidRPr="00323EBB" w:rsidRDefault="00F40C76" w:rsidP="00F40C76">
      <w:pPr>
        <w:jc w:val="both"/>
        <w:rPr>
          <w:rFonts w:ascii="David" w:hAnsi="David"/>
        </w:rPr>
      </w:pPr>
    </w:p>
    <w:p w14:paraId="35A68E2A" w14:textId="77777777" w:rsidR="00F40C76" w:rsidRPr="00376F8E" w:rsidRDefault="00F40C76" w:rsidP="00F40C76">
      <w:pPr>
        <w:pStyle w:val="a9"/>
        <w:numPr>
          <w:ilvl w:val="0"/>
          <w:numId w:val="1"/>
        </w:numPr>
        <w:spacing w:line="360" w:lineRule="auto"/>
        <w:jc w:val="both"/>
        <w:rPr>
          <w:rFonts w:ascii="David" w:hAnsi="David"/>
          <w:rtl/>
        </w:rPr>
      </w:pPr>
      <w:r w:rsidRPr="00376F8E">
        <w:rPr>
          <w:rFonts w:ascii="David" w:hAnsi="David"/>
          <w:rtl/>
        </w:rPr>
        <w:t xml:space="preserve">סיכומו של דבר, בשים לב לכל האמור לעיל, אני סבור שמתחם הענישה </w:t>
      </w:r>
      <w:r>
        <w:rPr>
          <w:rFonts w:ascii="David" w:hAnsi="David" w:hint="cs"/>
          <w:rtl/>
        </w:rPr>
        <w:t xml:space="preserve">ההולם את העבירות מושא עניינו נע בין 12-24 חודשי מאסר </w:t>
      </w:r>
      <w:r w:rsidRPr="00376F8E">
        <w:rPr>
          <w:rFonts w:ascii="David" w:hAnsi="David" w:hint="cs"/>
          <w:rtl/>
        </w:rPr>
        <w:t>בצירוף ענישה נלווית</w:t>
      </w:r>
      <w:r>
        <w:rPr>
          <w:rFonts w:ascii="David" w:hAnsi="David" w:hint="cs"/>
          <w:rtl/>
        </w:rPr>
        <w:t>.</w:t>
      </w:r>
    </w:p>
    <w:p w14:paraId="51A8B135" w14:textId="77777777" w:rsidR="00F40C76" w:rsidRDefault="00F40C76" w:rsidP="00F40C76">
      <w:pPr>
        <w:shd w:val="clear" w:color="auto" w:fill="FFFFFF"/>
        <w:spacing w:line="360" w:lineRule="atLeast"/>
        <w:jc w:val="both"/>
        <w:rPr>
          <w:rFonts w:cs="Times New Roman"/>
          <w:color w:val="222222"/>
          <w:rtl/>
        </w:rPr>
      </w:pPr>
      <w:r>
        <w:rPr>
          <w:rFonts w:ascii="David" w:hAnsi="David"/>
          <w:b/>
          <w:bCs/>
          <w:color w:val="000000"/>
          <w:u w:val="single"/>
          <w:rtl/>
        </w:rPr>
        <w:t>קביעת עונשו של הנאשם</w:t>
      </w:r>
    </w:p>
    <w:p w14:paraId="4FA310D3" w14:textId="77777777" w:rsidR="00F40C76" w:rsidRDefault="00F40C76" w:rsidP="00F40C76">
      <w:pPr>
        <w:shd w:val="clear" w:color="auto" w:fill="FFFFFF"/>
        <w:spacing w:line="360" w:lineRule="atLeast"/>
        <w:jc w:val="both"/>
        <w:rPr>
          <w:rFonts w:cs="Times New Roman"/>
          <w:color w:val="222222"/>
        </w:rPr>
      </w:pPr>
    </w:p>
    <w:p w14:paraId="3DC94EF0" w14:textId="77777777" w:rsidR="00F40C76" w:rsidRDefault="00F40C76" w:rsidP="00F40C76">
      <w:pPr>
        <w:pStyle w:val="a9"/>
        <w:numPr>
          <w:ilvl w:val="0"/>
          <w:numId w:val="1"/>
        </w:numPr>
        <w:spacing w:line="360" w:lineRule="auto"/>
        <w:jc w:val="both"/>
        <w:rPr>
          <w:rFonts w:ascii="David" w:hAnsi="David"/>
        </w:rPr>
      </w:pPr>
      <w:r w:rsidRPr="00343A03">
        <w:rPr>
          <w:rFonts w:ascii="David" w:hAnsi="David"/>
          <w:rtl/>
        </w:rPr>
        <w:t xml:space="preserve">לא הייתה מחלוקת בין הצדדים כי העונש אמור להיגזר בגדרי מתחם הענישה. לא נטען דבר בעניין סיכויי שיקומו של הנאשם המצדיקים חריגה לקולה ממתחם הענישה. בכל מקרה, לא התבקש תסקיר ולא הובאו בפני כל נתונים מהם ניתן להסיק מסקנה בדבר סיכויי שיקום. </w:t>
      </w:r>
    </w:p>
    <w:p w14:paraId="6EE61052" w14:textId="77777777" w:rsidR="00F40C76" w:rsidRPr="00FA0329" w:rsidRDefault="00F40C76" w:rsidP="00F40C76">
      <w:pPr>
        <w:pStyle w:val="a9"/>
        <w:ind w:left="0"/>
        <w:jc w:val="both"/>
        <w:rPr>
          <w:rFonts w:ascii="David" w:hAnsi="David"/>
        </w:rPr>
      </w:pPr>
    </w:p>
    <w:p w14:paraId="0B0D1067" w14:textId="77777777" w:rsidR="00F40C76" w:rsidRPr="003336B4" w:rsidRDefault="00F40C76" w:rsidP="00F40C76">
      <w:pPr>
        <w:pStyle w:val="a9"/>
        <w:numPr>
          <w:ilvl w:val="0"/>
          <w:numId w:val="1"/>
        </w:numPr>
        <w:spacing w:line="360" w:lineRule="auto"/>
        <w:jc w:val="both"/>
        <w:rPr>
          <w:rFonts w:ascii="David" w:hAnsi="David"/>
        </w:rPr>
      </w:pPr>
      <w:r>
        <w:rPr>
          <w:rFonts w:ascii="David" w:hAnsi="David"/>
          <w:color w:val="222222"/>
          <w:rtl/>
        </w:rPr>
        <w:t xml:space="preserve">לצורך קביעת עונשו של הנאשם הבאתי בחשבון את גילו (כבן </w:t>
      </w:r>
      <w:r>
        <w:rPr>
          <w:rFonts w:ascii="David" w:hAnsi="David" w:hint="cs"/>
          <w:color w:val="222222"/>
          <w:rtl/>
        </w:rPr>
        <w:t>31</w:t>
      </w:r>
      <w:r>
        <w:rPr>
          <w:rFonts w:ascii="David" w:hAnsi="David"/>
          <w:color w:val="222222"/>
          <w:rtl/>
        </w:rPr>
        <w:t>) ואת הודאתו בביצוע העבירות שחסכה בזמן שיפוטי וראיתי בה כהבעת חרטה והבנת הפסול</w:t>
      </w:r>
      <w:r>
        <w:rPr>
          <w:rFonts w:ascii="David" w:hAnsi="David" w:hint="cs"/>
          <w:color w:val="222222"/>
          <w:rtl/>
        </w:rPr>
        <w:t xml:space="preserve"> שבמעשיו</w:t>
      </w:r>
      <w:r>
        <w:rPr>
          <w:rFonts w:ascii="David" w:hAnsi="David"/>
          <w:color w:val="222222"/>
          <w:rtl/>
        </w:rPr>
        <w:t xml:space="preserve">. </w:t>
      </w:r>
      <w:r>
        <w:rPr>
          <w:rFonts w:ascii="David" w:hAnsi="David" w:hint="cs"/>
          <w:color w:val="222222"/>
          <w:rtl/>
        </w:rPr>
        <w:t xml:space="preserve">בהינתן נסיבות העניין (החריגות מעט) יש בכך משום נסיבה של ממש לקולה. </w:t>
      </w:r>
      <w:r>
        <w:rPr>
          <w:rFonts w:ascii="David" w:hAnsi="David"/>
          <w:color w:val="222222"/>
          <w:rtl/>
        </w:rPr>
        <w:t>כן הבאתי בחשבון את התקופה בה הנאשם עצור, כאשר תנאי המעצר לא אחת קשים ממאסר, ובמיוחד בימים אלו</w:t>
      </w:r>
      <w:r>
        <w:rPr>
          <w:rFonts w:ascii="David" w:hAnsi="David" w:hint="cs"/>
          <w:color w:val="222222"/>
          <w:rtl/>
        </w:rPr>
        <w:t xml:space="preserve"> בהם קיימת מצוקת כליאה</w:t>
      </w:r>
      <w:r>
        <w:rPr>
          <w:rFonts w:ascii="David" w:hAnsi="David"/>
          <w:color w:val="222222"/>
          <w:rtl/>
        </w:rPr>
        <w:t xml:space="preserve">. מנגד, הבאתי בחשבון את עברו הפלילי </w:t>
      </w:r>
      <w:r>
        <w:rPr>
          <w:rFonts w:ascii="David" w:hAnsi="David" w:hint="cs"/>
          <w:color w:val="222222"/>
          <w:rtl/>
        </w:rPr>
        <w:t xml:space="preserve">הכולל הרשעות בעבירות רכוש רבות (חלקן מבית משפט לנוער) בגינן אף ריצה עונש מאסר בפועל בשנת 2017. </w:t>
      </w:r>
      <w:r w:rsidRPr="00410F96">
        <w:rPr>
          <w:rFonts w:ascii="David" w:hAnsi="David"/>
          <w:color w:val="222222"/>
          <w:rtl/>
        </w:rPr>
        <w:t xml:space="preserve">בצד דברים אלו אציין כי </w:t>
      </w:r>
      <w:r>
        <w:rPr>
          <w:rFonts w:ascii="David" w:hAnsi="David" w:hint="cs"/>
          <w:color w:val="222222"/>
          <w:rtl/>
        </w:rPr>
        <w:t xml:space="preserve">זו הרשעתו הראשונה בעבירת אלימות </w:t>
      </w:r>
      <w:r w:rsidRPr="00410F96">
        <w:rPr>
          <w:rFonts w:ascii="David" w:hAnsi="David"/>
          <w:color w:val="222222"/>
          <w:rtl/>
        </w:rPr>
        <w:t>ואפשר אפוא שהתנהגות זו אינה מאפיינת</w:t>
      </w:r>
      <w:r>
        <w:rPr>
          <w:rFonts w:ascii="David" w:hAnsi="David" w:hint="cs"/>
          <w:color w:val="222222"/>
          <w:rtl/>
        </w:rPr>
        <w:t xml:space="preserve"> אותו והיא תולדה של הנסיבות המיוחדות שפורטו לעיל</w:t>
      </w:r>
      <w:r w:rsidRPr="00410F96">
        <w:rPr>
          <w:rFonts w:ascii="David" w:hAnsi="David"/>
          <w:color w:val="222222"/>
          <w:rtl/>
        </w:rPr>
        <w:t>.</w:t>
      </w:r>
      <w:r>
        <w:rPr>
          <w:rFonts w:ascii="David" w:hAnsi="David" w:hint="cs"/>
          <w:color w:val="222222"/>
          <w:rtl/>
        </w:rPr>
        <w:t xml:space="preserve"> </w:t>
      </w:r>
      <w:r>
        <w:rPr>
          <w:rFonts w:ascii="David" w:hAnsi="David" w:hint="cs"/>
          <w:rtl/>
        </w:rPr>
        <w:t>כן הבאתי בחשבון את הטענה לסולחה בין הצדדים.</w:t>
      </w:r>
    </w:p>
    <w:p w14:paraId="0F3B0794" w14:textId="77777777" w:rsidR="00F40C76" w:rsidRPr="0047519E" w:rsidRDefault="00F40C76" w:rsidP="00F40C76">
      <w:pPr>
        <w:pStyle w:val="a9"/>
        <w:rPr>
          <w:rFonts w:ascii="David" w:hAnsi="David"/>
          <w:color w:val="222222"/>
          <w:rtl/>
        </w:rPr>
      </w:pPr>
    </w:p>
    <w:p w14:paraId="669E692B" w14:textId="77777777" w:rsidR="00F40C76" w:rsidRDefault="00F40C76" w:rsidP="00F40C76">
      <w:pPr>
        <w:pStyle w:val="a9"/>
        <w:numPr>
          <w:ilvl w:val="0"/>
          <w:numId w:val="1"/>
        </w:numPr>
        <w:spacing w:line="360" w:lineRule="auto"/>
        <w:jc w:val="both"/>
        <w:rPr>
          <w:rFonts w:ascii="David" w:hAnsi="David"/>
        </w:rPr>
      </w:pPr>
      <w:r>
        <w:rPr>
          <w:rFonts w:ascii="David" w:hAnsi="David" w:hint="cs"/>
          <w:color w:val="222222"/>
          <w:rtl/>
        </w:rPr>
        <w:t>לסיכום. המעשים שביצע הנאשם חמורים ומסוכנים ו</w:t>
      </w:r>
      <w:r w:rsidRPr="00425161">
        <w:rPr>
          <w:rFonts w:ascii="David" w:hAnsi="David"/>
          <w:color w:val="222222"/>
          <w:rtl/>
        </w:rPr>
        <w:t>העונש א</w:t>
      </w:r>
      <w:r>
        <w:rPr>
          <w:rFonts w:ascii="David" w:hAnsi="David" w:hint="cs"/>
          <w:color w:val="222222"/>
          <w:rtl/>
        </w:rPr>
        <w:t>ו</w:t>
      </w:r>
      <w:r w:rsidRPr="00425161">
        <w:rPr>
          <w:rFonts w:ascii="David" w:hAnsi="David"/>
          <w:color w:val="222222"/>
          <w:rtl/>
        </w:rPr>
        <w:t>תו יש לגזור הוא מאסר בפועל ואף ההגנה לא ביקשה אחרת. עם זאת, על רקע הגיל הצעיר</w:t>
      </w:r>
      <w:r>
        <w:rPr>
          <w:rFonts w:ascii="David" w:hAnsi="David" w:hint="cs"/>
          <w:color w:val="222222"/>
          <w:rtl/>
        </w:rPr>
        <w:t xml:space="preserve"> יחסית</w:t>
      </w:r>
      <w:r w:rsidRPr="00425161">
        <w:rPr>
          <w:rFonts w:ascii="David" w:hAnsi="David"/>
          <w:color w:val="222222"/>
          <w:rtl/>
        </w:rPr>
        <w:t xml:space="preserve"> </w:t>
      </w:r>
      <w:r>
        <w:rPr>
          <w:rFonts w:ascii="David" w:hAnsi="David" w:hint="cs"/>
          <w:color w:val="222222"/>
          <w:rtl/>
        </w:rPr>
        <w:t xml:space="preserve">והעבר שאינו כולל עבירות אלימות, ראיתי שלא להכביד עם הנאשם יתר על המידה ולקבוע את העונש בתחתית המתחם וזאת בין היתר גם על רקע הסדר הטיעון וגבולות עתירת המאשימה </w:t>
      </w:r>
      <w:r w:rsidRPr="00425161">
        <w:rPr>
          <w:rFonts w:ascii="David" w:hAnsi="David"/>
          <w:color w:val="222222"/>
          <w:rtl/>
        </w:rPr>
        <w:t xml:space="preserve">(ראו בהשוואה: </w:t>
      </w:r>
      <w:hyperlink r:id="rId27" w:history="1">
        <w:r w:rsidR="00AC4982" w:rsidRPr="00AC4982">
          <w:rPr>
            <w:rFonts w:ascii="David" w:hAnsi="David"/>
            <w:color w:val="0000FF"/>
            <w:u w:val="single"/>
            <w:rtl/>
          </w:rPr>
          <w:t>ע"פ 652/23</w:t>
        </w:r>
      </w:hyperlink>
      <w:r w:rsidRPr="00425161">
        <w:rPr>
          <w:rFonts w:ascii="David" w:hAnsi="David"/>
          <w:color w:val="222222"/>
          <w:rtl/>
        </w:rPr>
        <w:t xml:space="preserve"> </w:t>
      </w:r>
      <w:r w:rsidRPr="00425161">
        <w:rPr>
          <w:rFonts w:ascii="David" w:hAnsi="David"/>
          <w:b/>
          <w:bCs/>
          <w:color w:val="222222"/>
          <w:rtl/>
        </w:rPr>
        <w:t>עבאס מחאג'נה נ' מדינת ישראל</w:t>
      </w:r>
      <w:r w:rsidRPr="00425161">
        <w:rPr>
          <w:rFonts w:ascii="David" w:hAnsi="David"/>
          <w:color w:val="222222"/>
          <w:rtl/>
        </w:rPr>
        <w:t xml:space="preserve"> (24.4.2023); </w:t>
      </w:r>
      <w:hyperlink r:id="rId28" w:history="1">
        <w:r w:rsidR="00AC4982" w:rsidRPr="00AC4982">
          <w:rPr>
            <w:rFonts w:ascii="David" w:hAnsi="David"/>
            <w:color w:val="0000FF"/>
            <w:u w:val="single"/>
            <w:rtl/>
          </w:rPr>
          <w:t>ע"פ 280/23</w:t>
        </w:r>
      </w:hyperlink>
      <w:r w:rsidRPr="00425161">
        <w:rPr>
          <w:rFonts w:ascii="David" w:hAnsi="David"/>
          <w:color w:val="222222"/>
          <w:rtl/>
        </w:rPr>
        <w:t xml:space="preserve"> </w:t>
      </w:r>
      <w:r w:rsidRPr="00425161">
        <w:rPr>
          <w:rFonts w:ascii="David" w:hAnsi="David"/>
          <w:b/>
          <w:bCs/>
          <w:color w:val="222222"/>
          <w:rtl/>
        </w:rPr>
        <w:t xml:space="preserve">מדינת ישראל נ' </w:t>
      </w:r>
      <w:r w:rsidRPr="00425161">
        <w:rPr>
          <w:rFonts w:ascii="David" w:hAnsi="David"/>
          <w:b/>
          <w:bCs/>
          <w:color w:val="222222"/>
        </w:rPr>
        <w:t>Ibrahim Yahia Alnour Abker</w:t>
      </w:r>
      <w:r w:rsidRPr="00425161">
        <w:rPr>
          <w:rFonts w:ascii="David" w:hAnsi="David"/>
          <w:b/>
          <w:bCs/>
          <w:color w:val="222222"/>
          <w:rtl/>
        </w:rPr>
        <w:t xml:space="preserve"> </w:t>
      </w:r>
      <w:r w:rsidRPr="00425161">
        <w:rPr>
          <w:rFonts w:ascii="David" w:hAnsi="David"/>
          <w:color w:val="222222"/>
          <w:rtl/>
        </w:rPr>
        <w:t>(18.5.2023), פסקה 9).</w:t>
      </w:r>
    </w:p>
    <w:p w14:paraId="66357D7F" w14:textId="77777777" w:rsidR="00F40C76" w:rsidRPr="001E14FB" w:rsidRDefault="00F40C76" w:rsidP="00F40C76">
      <w:pPr>
        <w:pStyle w:val="a9"/>
        <w:rPr>
          <w:rFonts w:ascii="David" w:hAnsi="David"/>
          <w:rtl/>
        </w:rPr>
      </w:pPr>
    </w:p>
    <w:p w14:paraId="2D1C5A0A" w14:textId="77777777" w:rsidR="00F40C76" w:rsidRPr="00425161" w:rsidRDefault="00F40C76" w:rsidP="00F40C76">
      <w:pPr>
        <w:pStyle w:val="a9"/>
        <w:numPr>
          <w:ilvl w:val="0"/>
          <w:numId w:val="1"/>
        </w:numPr>
        <w:spacing w:line="360" w:lineRule="auto"/>
        <w:jc w:val="both"/>
        <w:rPr>
          <w:rFonts w:ascii="David" w:hAnsi="David"/>
        </w:rPr>
      </w:pPr>
      <w:r w:rsidRPr="00425161">
        <w:rPr>
          <w:rFonts w:ascii="David" w:hAnsi="David"/>
          <w:rtl/>
        </w:rPr>
        <w:t>סיכומו של דבר, לאחר שבחנתי את מכלול השיקולים, הן לקולה והן לחומרה, אני מטיל על הנאשם את העונשים הבאים:</w:t>
      </w:r>
    </w:p>
    <w:p w14:paraId="33B6F080" w14:textId="77777777" w:rsidR="00F40C76" w:rsidRDefault="00F40C76" w:rsidP="00F40C76">
      <w:pPr>
        <w:pStyle w:val="a9"/>
        <w:ind w:left="0"/>
        <w:jc w:val="both"/>
        <w:rPr>
          <w:rFonts w:ascii="David" w:hAnsi="David"/>
          <w:rtl/>
        </w:rPr>
      </w:pPr>
    </w:p>
    <w:p w14:paraId="0C352131" w14:textId="77777777" w:rsidR="00F40C76" w:rsidRDefault="00F40C76" w:rsidP="00F40C76">
      <w:pPr>
        <w:pStyle w:val="a9"/>
        <w:numPr>
          <w:ilvl w:val="0"/>
          <w:numId w:val="2"/>
        </w:numPr>
        <w:spacing w:line="360" w:lineRule="auto"/>
        <w:jc w:val="both"/>
        <w:rPr>
          <w:rFonts w:ascii="David" w:hAnsi="David"/>
        </w:rPr>
      </w:pPr>
      <w:r>
        <w:rPr>
          <w:rFonts w:ascii="David" w:hAnsi="David" w:hint="cs"/>
          <w:rtl/>
        </w:rPr>
        <w:t xml:space="preserve">12 חודשי מאסר בפועל, החל מיום מעצרו - 10.3.24. </w:t>
      </w:r>
    </w:p>
    <w:p w14:paraId="6D46FB3D" w14:textId="77777777" w:rsidR="00F40C76" w:rsidRDefault="00F40C76" w:rsidP="00F40C76">
      <w:pPr>
        <w:pStyle w:val="a9"/>
        <w:numPr>
          <w:ilvl w:val="0"/>
          <w:numId w:val="2"/>
        </w:numPr>
        <w:spacing w:line="360" w:lineRule="auto"/>
        <w:jc w:val="both"/>
        <w:rPr>
          <w:rFonts w:ascii="David" w:hAnsi="David"/>
        </w:rPr>
      </w:pPr>
      <w:r w:rsidRPr="00425161">
        <w:rPr>
          <w:rFonts w:ascii="David" w:hAnsi="David"/>
          <w:rtl/>
        </w:rPr>
        <w:t xml:space="preserve">מאסר על תנאי למשך </w:t>
      </w:r>
      <w:r>
        <w:rPr>
          <w:rFonts w:ascii="David" w:hAnsi="David" w:hint="cs"/>
          <w:rtl/>
        </w:rPr>
        <w:t>4</w:t>
      </w:r>
      <w:r w:rsidRPr="00425161">
        <w:rPr>
          <w:rFonts w:ascii="David" w:hAnsi="David"/>
          <w:rtl/>
        </w:rPr>
        <w:t xml:space="preserve"> חודשים והתנאי הוא שהנאשם לא יעבור בתוך שנתיים כל עבירת אלימות פיזית כלפי </w:t>
      </w:r>
      <w:r>
        <w:rPr>
          <w:rFonts w:ascii="David" w:hAnsi="David" w:hint="cs"/>
          <w:rtl/>
        </w:rPr>
        <w:t xml:space="preserve">גופו של </w:t>
      </w:r>
      <w:r w:rsidRPr="00425161">
        <w:rPr>
          <w:rFonts w:ascii="David" w:hAnsi="David"/>
          <w:rtl/>
        </w:rPr>
        <w:t>אדם.</w:t>
      </w:r>
    </w:p>
    <w:p w14:paraId="572133F7" w14:textId="77777777" w:rsidR="00F40C76" w:rsidRPr="00425161" w:rsidRDefault="00F40C76" w:rsidP="00F40C76">
      <w:pPr>
        <w:pStyle w:val="a9"/>
        <w:numPr>
          <w:ilvl w:val="0"/>
          <w:numId w:val="2"/>
        </w:numPr>
        <w:spacing w:line="360" w:lineRule="auto"/>
        <w:jc w:val="both"/>
        <w:rPr>
          <w:rFonts w:ascii="David" w:hAnsi="David"/>
          <w:rtl/>
        </w:rPr>
      </w:pPr>
      <w:r w:rsidRPr="00425161">
        <w:rPr>
          <w:rFonts w:ascii="David" w:hAnsi="David"/>
          <w:rtl/>
        </w:rPr>
        <w:t>מאסר על תנאי למשך שלושה חודשים והתנאי הוא שלא יעבור בתוך שנתיים כל עבירה על פקודת הסמים שהיא פשע.</w:t>
      </w:r>
    </w:p>
    <w:p w14:paraId="2FD37EA5" w14:textId="77777777" w:rsidR="00F40C76" w:rsidRPr="00A22086" w:rsidRDefault="00F40C76" w:rsidP="00F40C76">
      <w:pPr>
        <w:pStyle w:val="a9"/>
        <w:numPr>
          <w:ilvl w:val="0"/>
          <w:numId w:val="2"/>
        </w:numPr>
        <w:spacing w:line="360" w:lineRule="auto"/>
        <w:jc w:val="both"/>
        <w:rPr>
          <w:rFonts w:ascii="David" w:hAnsi="David"/>
          <w:rtl/>
        </w:rPr>
      </w:pPr>
      <w:r>
        <w:rPr>
          <w:rFonts w:ascii="David" w:hAnsi="David" w:hint="cs"/>
          <w:rtl/>
        </w:rPr>
        <w:t xml:space="preserve">פיצוי למתלוננים, ע"ת מס' 7 ו-8 בסך 5,000 ₪ </w:t>
      </w:r>
      <w:r w:rsidRPr="0085548B">
        <w:rPr>
          <w:rFonts w:ascii="David" w:hAnsi="David" w:hint="cs"/>
          <w:u w:val="single"/>
          <w:rtl/>
        </w:rPr>
        <w:t>לכל אחד.</w:t>
      </w:r>
      <w:r>
        <w:rPr>
          <w:rFonts w:ascii="David" w:hAnsi="David" w:hint="cs"/>
          <w:rtl/>
        </w:rPr>
        <w:t xml:space="preserve"> </w:t>
      </w:r>
      <w:r w:rsidRPr="00A22086">
        <w:rPr>
          <w:rFonts w:ascii="David" w:hAnsi="David"/>
          <w:rtl/>
        </w:rPr>
        <w:t xml:space="preserve">הפיצוי ישולם </w:t>
      </w:r>
      <w:r>
        <w:rPr>
          <w:rFonts w:ascii="David" w:hAnsi="David" w:hint="cs"/>
          <w:rtl/>
        </w:rPr>
        <w:t>בעשרה</w:t>
      </w:r>
      <w:r w:rsidRPr="00A22086">
        <w:rPr>
          <w:rFonts w:ascii="David" w:hAnsi="David"/>
          <w:rtl/>
        </w:rPr>
        <w:t xml:space="preserve"> תשלומים שווים ורצופים החל מיום </w:t>
      </w:r>
      <w:r>
        <w:rPr>
          <w:rFonts w:ascii="David" w:hAnsi="David" w:hint="cs"/>
          <w:rtl/>
        </w:rPr>
        <w:t>1</w:t>
      </w:r>
      <w:r w:rsidRPr="00A22086">
        <w:rPr>
          <w:rFonts w:ascii="David" w:hAnsi="David"/>
          <w:rtl/>
        </w:rPr>
        <w:t>.</w:t>
      </w:r>
      <w:r>
        <w:rPr>
          <w:rFonts w:ascii="David" w:hAnsi="David" w:hint="cs"/>
          <w:rtl/>
        </w:rPr>
        <w:t>1</w:t>
      </w:r>
      <w:r w:rsidRPr="00A22086">
        <w:rPr>
          <w:rFonts w:ascii="David" w:hAnsi="David"/>
          <w:rtl/>
        </w:rPr>
        <w:t>.</w:t>
      </w:r>
      <w:r>
        <w:rPr>
          <w:rFonts w:ascii="David" w:hAnsi="David" w:hint="cs"/>
          <w:rtl/>
        </w:rPr>
        <w:t>25</w:t>
      </w:r>
      <w:r w:rsidRPr="00A22086">
        <w:rPr>
          <w:rFonts w:ascii="David" w:hAnsi="David"/>
          <w:rtl/>
        </w:rPr>
        <w:t xml:space="preserve"> ובכל 1 לחודש שלאחר מכן. מובהר ש</w:t>
      </w:r>
      <w:r>
        <w:rPr>
          <w:rFonts w:ascii="David" w:hAnsi="David"/>
          <w:rtl/>
        </w:rPr>
        <w:t>אין בסכום זה למצות את מלוא נזקי</w:t>
      </w:r>
      <w:r>
        <w:rPr>
          <w:rFonts w:ascii="David" w:hAnsi="David" w:hint="cs"/>
          <w:rtl/>
        </w:rPr>
        <w:t>הם</w:t>
      </w:r>
      <w:r>
        <w:rPr>
          <w:rFonts w:ascii="David" w:hAnsi="David"/>
          <w:rtl/>
        </w:rPr>
        <w:t xml:space="preserve"> של המתלונ</w:t>
      </w:r>
      <w:r>
        <w:rPr>
          <w:rFonts w:ascii="David" w:hAnsi="David" w:hint="cs"/>
          <w:rtl/>
        </w:rPr>
        <w:t>נים</w:t>
      </w:r>
      <w:r>
        <w:rPr>
          <w:rFonts w:ascii="David" w:hAnsi="David"/>
          <w:rtl/>
        </w:rPr>
        <w:t xml:space="preserve"> וה</w:t>
      </w:r>
      <w:r>
        <w:rPr>
          <w:rFonts w:ascii="David" w:hAnsi="David" w:hint="cs"/>
          <w:rtl/>
        </w:rPr>
        <w:t>ם</w:t>
      </w:r>
      <w:r w:rsidRPr="00A22086">
        <w:rPr>
          <w:rFonts w:ascii="David" w:hAnsi="David"/>
          <w:rtl/>
        </w:rPr>
        <w:t xml:space="preserve"> רשאי</w:t>
      </w:r>
      <w:r>
        <w:rPr>
          <w:rFonts w:ascii="David" w:hAnsi="David" w:hint="cs"/>
          <w:rtl/>
        </w:rPr>
        <w:t>ם</w:t>
      </w:r>
      <w:r w:rsidRPr="00A22086">
        <w:rPr>
          <w:rFonts w:ascii="David" w:hAnsi="David"/>
          <w:rtl/>
        </w:rPr>
        <w:t xml:space="preserve"> כמובן להגיש תביעה אזרחית.</w:t>
      </w:r>
      <w:r>
        <w:rPr>
          <w:rFonts w:ascii="David" w:hAnsi="David" w:hint="cs"/>
          <w:rtl/>
        </w:rPr>
        <w:t xml:space="preserve"> </w:t>
      </w:r>
      <w:r w:rsidRPr="00A22086">
        <w:rPr>
          <w:rFonts w:ascii="David" w:hAnsi="David"/>
          <w:rtl/>
        </w:rPr>
        <w:t>המאשימה תמציא בתוך</w:t>
      </w:r>
      <w:r>
        <w:rPr>
          <w:rFonts w:ascii="David" w:hAnsi="David"/>
          <w:rtl/>
        </w:rPr>
        <w:t xml:space="preserve"> 30 יום למזכירות את פרטי המתלונ</w:t>
      </w:r>
      <w:r>
        <w:rPr>
          <w:rFonts w:ascii="David" w:hAnsi="David" w:hint="cs"/>
          <w:rtl/>
        </w:rPr>
        <w:t>נים</w:t>
      </w:r>
      <w:r>
        <w:rPr>
          <w:rFonts w:ascii="David" w:hAnsi="David"/>
          <w:rtl/>
        </w:rPr>
        <w:t xml:space="preserve"> ותביא לידיעת</w:t>
      </w:r>
      <w:r>
        <w:rPr>
          <w:rFonts w:ascii="David" w:hAnsi="David" w:hint="cs"/>
          <w:rtl/>
        </w:rPr>
        <w:t>ם</w:t>
      </w:r>
      <w:r w:rsidRPr="00A22086">
        <w:rPr>
          <w:rFonts w:ascii="David" w:hAnsi="David"/>
          <w:rtl/>
        </w:rPr>
        <w:t xml:space="preserve"> את תוכנו של גזר הדין.</w:t>
      </w:r>
    </w:p>
    <w:p w14:paraId="5FAE59B4" w14:textId="77777777" w:rsidR="00F40C76" w:rsidRDefault="00F40C76" w:rsidP="00F40C76">
      <w:pPr>
        <w:spacing w:line="360" w:lineRule="auto"/>
        <w:jc w:val="both"/>
        <w:rPr>
          <w:rFonts w:ascii="David" w:hAnsi="David"/>
          <w:highlight w:val="yellow"/>
          <w:rtl/>
        </w:rPr>
      </w:pPr>
    </w:p>
    <w:p w14:paraId="3EB43F75" w14:textId="77777777" w:rsidR="00F40C76" w:rsidRDefault="00F40C76" w:rsidP="00F40C76">
      <w:pPr>
        <w:spacing w:line="360" w:lineRule="auto"/>
        <w:jc w:val="both"/>
        <w:rPr>
          <w:rFonts w:ascii="David" w:hAnsi="David"/>
          <w:rtl/>
        </w:rPr>
      </w:pPr>
      <w:r w:rsidRPr="00803031">
        <w:rPr>
          <w:rFonts w:ascii="David" w:hAnsi="David" w:hint="cs"/>
          <w:rtl/>
        </w:rPr>
        <w:t xml:space="preserve">מוצגים </w:t>
      </w:r>
      <w:r w:rsidRPr="00803031">
        <w:rPr>
          <w:rFonts w:ascii="David" w:hAnsi="David"/>
          <w:rtl/>
        </w:rPr>
        <w:t>–</w:t>
      </w:r>
      <w:r w:rsidRPr="00803031">
        <w:rPr>
          <w:rFonts w:ascii="David" w:hAnsi="David" w:hint="cs"/>
          <w:rtl/>
        </w:rPr>
        <w:t xml:space="preserve"> סכין, </w:t>
      </w:r>
      <w:r>
        <w:rPr>
          <w:rFonts w:ascii="David" w:hAnsi="David" w:hint="cs"/>
          <w:rtl/>
        </w:rPr>
        <w:t>נדן, ידית, ו</w:t>
      </w:r>
      <w:r w:rsidRPr="00803031">
        <w:rPr>
          <w:rFonts w:ascii="David" w:hAnsi="David" w:hint="cs"/>
          <w:rtl/>
        </w:rPr>
        <w:t>סמים להשמיד</w:t>
      </w:r>
      <w:r>
        <w:rPr>
          <w:rFonts w:ascii="David" w:hAnsi="David" w:hint="cs"/>
          <w:rtl/>
        </w:rPr>
        <w:t>.</w:t>
      </w:r>
    </w:p>
    <w:p w14:paraId="23F34904" w14:textId="77777777" w:rsidR="00F40C76" w:rsidRDefault="00AC4982" w:rsidP="00F40C76">
      <w:pPr>
        <w:shd w:val="clear" w:color="auto" w:fill="FFFFFF"/>
        <w:spacing w:line="293" w:lineRule="atLeast"/>
        <w:jc w:val="both"/>
        <w:rPr>
          <w:rFonts w:ascii="David" w:hAnsi="David"/>
          <w:b/>
          <w:bCs/>
          <w:color w:val="222222"/>
          <w:u w:val="single"/>
        </w:rPr>
      </w:pPr>
      <w:r w:rsidRPr="00AC4982">
        <w:rPr>
          <w:rFonts w:ascii="David" w:hAnsi="David"/>
          <w:b/>
          <w:bCs/>
          <w:color w:val="FFFFFF"/>
          <w:sz w:val="2"/>
          <w:szCs w:val="2"/>
          <w:u w:val="single"/>
          <w:rtl/>
        </w:rPr>
        <w:t>5129371</w:t>
      </w:r>
      <w:r w:rsidR="00F40C76">
        <w:rPr>
          <w:rFonts w:ascii="David" w:hAnsi="David"/>
          <w:b/>
          <w:bCs/>
          <w:color w:val="222222"/>
          <w:u w:val="single"/>
          <w:rtl/>
        </w:rPr>
        <w:t xml:space="preserve">הודעה זכות ערעור לבית המשפט המחוזי בתוך 45 ימים. </w:t>
      </w:r>
    </w:p>
    <w:p w14:paraId="4744EC4E" w14:textId="77777777" w:rsidR="00F40C76" w:rsidRPr="00AC4982" w:rsidRDefault="00AC4982" w:rsidP="00F40C76">
      <w:pPr>
        <w:spacing w:line="360" w:lineRule="auto"/>
        <w:jc w:val="both"/>
        <w:rPr>
          <w:rFonts w:ascii="David" w:hAnsi="David"/>
          <w:color w:val="FFFFFF"/>
          <w:sz w:val="2"/>
          <w:szCs w:val="2"/>
          <w:rtl/>
        </w:rPr>
      </w:pPr>
      <w:r w:rsidRPr="00AC4982">
        <w:rPr>
          <w:rFonts w:ascii="David" w:hAnsi="David"/>
          <w:color w:val="FFFFFF"/>
          <w:sz w:val="2"/>
          <w:szCs w:val="2"/>
          <w:rtl/>
        </w:rPr>
        <w:t>54678313</w:t>
      </w:r>
    </w:p>
    <w:p w14:paraId="3A2A3B9C" w14:textId="77777777" w:rsidR="00F40C76" w:rsidRPr="00833D82" w:rsidRDefault="00F40C76" w:rsidP="00F40C76">
      <w:pPr>
        <w:rPr>
          <w:rFonts w:ascii="David" w:hAnsi="David"/>
          <w:rtl/>
        </w:rPr>
      </w:pPr>
    </w:p>
    <w:p w14:paraId="013DB042" w14:textId="77777777" w:rsidR="00F40C76" w:rsidRPr="00833D82" w:rsidRDefault="00AC4982" w:rsidP="00F40C76">
      <w:pPr>
        <w:rPr>
          <w:rFonts w:ascii="David" w:hAnsi="David"/>
          <w:rtl/>
        </w:rPr>
      </w:pPr>
      <w:bookmarkStart w:id="7" w:name="Nitan"/>
      <w:r>
        <w:rPr>
          <w:rFonts w:ascii="David" w:hAnsi="David"/>
          <w:rtl/>
        </w:rPr>
        <w:t xml:space="preserve">ניתן היום,  ו' אלול תשפ"ד, 09 ספטמבר 2024, במעמד הצדדים. </w:t>
      </w:r>
      <w:bookmarkEnd w:id="7"/>
    </w:p>
    <w:p w14:paraId="369F8CA0" w14:textId="77777777" w:rsidR="00F40C76" w:rsidRPr="00833D82" w:rsidRDefault="00F40C76" w:rsidP="00AC4982">
      <w:pPr>
        <w:jc w:val="center"/>
      </w:pPr>
      <w:r w:rsidRPr="00833D82">
        <w:rPr>
          <w:rFonts w:ascii="David" w:hAnsi="David"/>
          <w:rtl/>
        </w:rPr>
        <w:t xml:space="preserve">   </w:t>
      </w:r>
      <w:r w:rsidRPr="00833D82">
        <w:rPr>
          <w:rFonts w:ascii="David" w:hAnsi="David"/>
          <w:rtl/>
        </w:rPr>
        <w:tab/>
      </w:r>
      <w:r w:rsidRPr="00833D82">
        <w:rPr>
          <w:rFonts w:ascii="David" w:hAnsi="David"/>
          <w:rtl/>
        </w:rPr>
        <w:tab/>
      </w:r>
      <w:r w:rsidRPr="00833D82">
        <w:rPr>
          <w:rFonts w:ascii="David" w:hAnsi="David"/>
          <w:rtl/>
        </w:rPr>
        <w:tab/>
      </w:r>
      <w:r w:rsidRPr="00833D82">
        <w:rPr>
          <w:rFonts w:ascii="David" w:hAnsi="David"/>
          <w:rtl/>
        </w:rPr>
        <w:tab/>
      </w:r>
      <w:r w:rsidRPr="00833D82">
        <w:rPr>
          <w:rFonts w:ascii="David" w:hAnsi="David"/>
          <w:rtl/>
        </w:rPr>
        <w:tab/>
      </w:r>
    </w:p>
    <w:p w14:paraId="21E295E4" w14:textId="77777777" w:rsidR="00F40C76" w:rsidRPr="00833D82" w:rsidRDefault="00F40C76" w:rsidP="00F40C76">
      <w:pPr>
        <w:jc w:val="center"/>
        <w:rPr>
          <w:rFonts w:ascii="David" w:hAnsi="David"/>
          <w:rtl/>
        </w:rPr>
      </w:pPr>
    </w:p>
    <w:p w14:paraId="0C9D20E0" w14:textId="77777777" w:rsidR="00E43482" w:rsidRPr="00AC4982" w:rsidRDefault="00E43482" w:rsidP="00AC4982">
      <w:pPr>
        <w:keepNext/>
        <w:rPr>
          <w:rFonts w:ascii="David" w:hAnsi="David"/>
          <w:color w:val="000000"/>
          <w:sz w:val="22"/>
          <w:szCs w:val="22"/>
          <w:rtl/>
        </w:rPr>
      </w:pPr>
    </w:p>
    <w:p w14:paraId="0302EB13" w14:textId="77777777" w:rsidR="00AC4982" w:rsidRPr="00AC4982" w:rsidRDefault="00AC4982" w:rsidP="00AC4982">
      <w:pPr>
        <w:keepNext/>
        <w:rPr>
          <w:rFonts w:ascii="David" w:hAnsi="David"/>
          <w:color w:val="000000"/>
          <w:sz w:val="22"/>
          <w:szCs w:val="22"/>
          <w:rtl/>
        </w:rPr>
      </w:pPr>
      <w:r w:rsidRPr="00AC4982">
        <w:rPr>
          <w:rFonts w:ascii="David" w:hAnsi="David"/>
          <w:color w:val="000000"/>
          <w:sz w:val="22"/>
          <w:szCs w:val="22"/>
          <w:rtl/>
        </w:rPr>
        <w:t>יוסי טורס 54678313</w:t>
      </w:r>
    </w:p>
    <w:p w14:paraId="2200E623" w14:textId="77777777" w:rsidR="00AC4982" w:rsidRDefault="00AC4982" w:rsidP="00AC4982">
      <w:r w:rsidRPr="00AC4982">
        <w:rPr>
          <w:color w:val="000000"/>
          <w:rtl/>
        </w:rPr>
        <w:t>נוסח מסמך זה כפוף לשינויי ניסוח ועריכה</w:t>
      </w:r>
    </w:p>
    <w:p w14:paraId="178982F8" w14:textId="77777777" w:rsidR="00AC4982" w:rsidRDefault="00AC4982" w:rsidP="00AC4982">
      <w:pPr>
        <w:rPr>
          <w:rtl/>
        </w:rPr>
      </w:pPr>
    </w:p>
    <w:p w14:paraId="11721BB2" w14:textId="77777777" w:rsidR="00AC4982" w:rsidRDefault="00AC4982" w:rsidP="00AC4982">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619D2699" w14:textId="77777777" w:rsidR="00AC4982" w:rsidRPr="00AC4982" w:rsidRDefault="00AC4982" w:rsidP="00AC4982">
      <w:pPr>
        <w:jc w:val="center"/>
        <w:rPr>
          <w:color w:val="0000FF"/>
          <w:u w:val="single"/>
        </w:rPr>
      </w:pPr>
    </w:p>
    <w:sectPr w:rsidR="00AC4982" w:rsidRPr="00AC4982" w:rsidSect="00AC4982">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F05127" w14:textId="77777777" w:rsidR="003D23E8" w:rsidRDefault="003D23E8" w:rsidP="00896291">
      <w:r>
        <w:separator/>
      </w:r>
    </w:p>
  </w:endnote>
  <w:endnote w:type="continuationSeparator" w:id="0">
    <w:p w14:paraId="57D1751C" w14:textId="77777777" w:rsidR="003D23E8" w:rsidRDefault="003D23E8" w:rsidP="00896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B38244" w14:textId="77777777" w:rsidR="00AC4982" w:rsidRDefault="00AC4982" w:rsidP="00AC498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E993B79" w14:textId="77777777" w:rsidR="00B04332" w:rsidRPr="00AC4982" w:rsidRDefault="00AC4982" w:rsidP="00AC498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2F052" w14:textId="77777777" w:rsidR="00AC4982" w:rsidRDefault="00AC4982" w:rsidP="00AC498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7352C">
      <w:rPr>
        <w:rFonts w:ascii="FrankRuehl" w:hAnsi="FrankRuehl" w:cs="FrankRuehl"/>
        <w:noProof/>
        <w:rtl/>
      </w:rPr>
      <w:t>1</w:t>
    </w:r>
    <w:r>
      <w:rPr>
        <w:rFonts w:ascii="FrankRuehl" w:hAnsi="FrankRuehl" w:cs="FrankRuehl"/>
        <w:rtl/>
      </w:rPr>
      <w:fldChar w:fldCharType="end"/>
    </w:r>
  </w:p>
  <w:p w14:paraId="303A21A7" w14:textId="77777777" w:rsidR="00B04332" w:rsidRPr="00AC4982" w:rsidRDefault="00AC4982" w:rsidP="00AC498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A84AE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8CFC9B" w14:textId="77777777" w:rsidR="003D23E8" w:rsidRDefault="003D23E8" w:rsidP="00896291">
      <w:r>
        <w:separator/>
      </w:r>
    </w:p>
  </w:footnote>
  <w:footnote w:type="continuationSeparator" w:id="0">
    <w:p w14:paraId="727F5F05" w14:textId="77777777" w:rsidR="003D23E8" w:rsidRDefault="003D23E8" w:rsidP="008962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5D29E7" w14:textId="77777777" w:rsidR="00AC4982" w:rsidRPr="00AC4982" w:rsidRDefault="00AC4982" w:rsidP="00AC498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62278-03-24</w:t>
    </w:r>
    <w:r>
      <w:rPr>
        <w:rFonts w:ascii="David" w:hAnsi="David"/>
        <w:color w:val="000000"/>
        <w:sz w:val="22"/>
        <w:szCs w:val="22"/>
        <w:rtl/>
      </w:rPr>
      <w:tab/>
      <w:t xml:space="preserve"> מדינת ישראל נ' האני נאטור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AF5F7" w14:textId="77777777" w:rsidR="00AC4982" w:rsidRPr="00AC4982" w:rsidRDefault="00AC4982" w:rsidP="00AC498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62278-03-24</w:t>
    </w:r>
    <w:r>
      <w:rPr>
        <w:rFonts w:ascii="David" w:hAnsi="David"/>
        <w:color w:val="000000"/>
        <w:sz w:val="22"/>
        <w:szCs w:val="22"/>
        <w:rtl/>
      </w:rPr>
      <w:tab/>
      <w:t xml:space="preserve"> מדינת ישראל נ' האני נאטור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883E40"/>
    <w:multiLevelType w:val="hybridMultilevel"/>
    <w:tmpl w:val="5CC0B7AA"/>
    <w:lvl w:ilvl="0" w:tplc="9E964F76">
      <w:start w:val="1"/>
      <w:numFmt w:val="decimal"/>
      <w:lvlText w:val="%1."/>
      <w:lvlJc w:val="left"/>
      <w:pPr>
        <w:tabs>
          <w:tab w:val="num" w:pos="567"/>
        </w:tabs>
        <w:ind w:left="0" w:firstLine="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B820FC"/>
    <w:multiLevelType w:val="hybridMultilevel"/>
    <w:tmpl w:val="3DBA8004"/>
    <w:lvl w:ilvl="0" w:tplc="F1E6C7B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2630993">
    <w:abstractNumId w:val="0"/>
  </w:num>
  <w:num w:numId="2" w16cid:durableId="816578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40C76"/>
    <w:rsid w:val="002949D1"/>
    <w:rsid w:val="003D23E8"/>
    <w:rsid w:val="00414528"/>
    <w:rsid w:val="0077352C"/>
    <w:rsid w:val="00861B90"/>
    <w:rsid w:val="00896291"/>
    <w:rsid w:val="009A4E4C"/>
    <w:rsid w:val="009B4461"/>
    <w:rsid w:val="00AC4982"/>
    <w:rsid w:val="00AF1C50"/>
    <w:rsid w:val="00B04332"/>
    <w:rsid w:val="00C15618"/>
    <w:rsid w:val="00C66055"/>
    <w:rsid w:val="00E43482"/>
    <w:rsid w:val="00F40C76"/>
    <w:rsid w:val="00FB43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EC62A54"/>
  <w15:chartTrackingRefBased/>
  <w15:docId w15:val="{F485E292-824E-464A-BFA4-27410E3F1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40C7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40C76"/>
    <w:pPr>
      <w:tabs>
        <w:tab w:val="center" w:pos="4153"/>
        <w:tab w:val="right" w:pos="8306"/>
      </w:tabs>
    </w:pPr>
  </w:style>
  <w:style w:type="character" w:customStyle="1" w:styleId="a4">
    <w:name w:val="כותרת עליונה תו"/>
    <w:link w:val="a3"/>
    <w:rsid w:val="00F40C76"/>
    <w:rPr>
      <w:rFonts w:ascii="Times New Roman" w:eastAsia="Times New Roman" w:hAnsi="Times New Roman" w:cs="David"/>
      <w:sz w:val="24"/>
      <w:szCs w:val="24"/>
    </w:rPr>
  </w:style>
  <w:style w:type="paragraph" w:styleId="a5">
    <w:name w:val="footer"/>
    <w:basedOn w:val="a"/>
    <w:link w:val="a6"/>
    <w:rsid w:val="00F40C76"/>
    <w:pPr>
      <w:tabs>
        <w:tab w:val="center" w:pos="4153"/>
        <w:tab w:val="right" w:pos="8306"/>
      </w:tabs>
    </w:pPr>
  </w:style>
  <w:style w:type="character" w:customStyle="1" w:styleId="a6">
    <w:name w:val="כותרת תחתונה תו"/>
    <w:link w:val="a5"/>
    <w:rsid w:val="00F40C76"/>
    <w:rPr>
      <w:rFonts w:ascii="Times New Roman" w:eastAsia="Times New Roman" w:hAnsi="Times New Roman" w:cs="David"/>
      <w:sz w:val="24"/>
      <w:szCs w:val="24"/>
    </w:rPr>
  </w:style>
  <w:style w:type="table" w:styleId="a7">
    <w:name w:val="Table Grid"/>
    <w:basedOn w:val="a1"/>
    <w:rsid w:val="00F40C7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40C76"/>
  </w:style>
  <w:style w:type="paragraph" w:styleId="a9">
    <w:name w:val="List Paragraph"/>
    <w:basedOn w:val="a"/>
    <w:qFormat/>
    <w:rsid w:val="00F40C76"/>
    <w:pPr>
      <w:ind w:left="720"/>
      <w:contextualSpacing/>
    </w:pPr>
  </w:style>
  <w:style w:type="character" w:styleId="Hyperlink">
    <w:name w:val="Hyperlink"/>
    <w:rsid w:val="00AC49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35.a.1" TargetMode="External"/><Relationship Id="rId18" Type="http://schemas.openxmlformats.org/officeDocument/2006/relationships/hyperlink" Target="http://www.nevo.co.il/case/20942142" TargetMode="External"/><Relationship Id="rId26" Type="http://schemas.openxmlformats.org/officeDocument/2006/relationships/hyperlink" Target="http://www.nevo.co.il/case/29662475" TargetMode="External"/><Relationship Id="rId3" Type="http://schemas.openxmlformats.org/officeDocument/2006/relationships/settings" Target="settings.xml"/><Relationship Id="rId21" Type="http://schemas.openxmlformats.org/officeDocument/2006/relationships/hyperlink" Target="http://www.nevo.co.il/case/29089955" TargetMode="External"/><Relationship Id="rId34" Type="http://schemas.openxmlformats.org/officeDocument/2006/relationships/fontTable" Target="fontTable.xml"/><Relationship Id="rId7" Type="http://schemas.openxmlformats.org/officeDocument/2006/relationships/hyperlink" Target="http://www.nevo.co.il/law/70301" TargetMode="External"/><Relationship Id="rId12" Type="http://schemas.openxmlformats.org/officeDocument/2006/relationships/hyperlink" Target="http://www.nevo.co.il/law/4216/7.c"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7435100"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4216/7.a.;7.c" TargetMode="External"/><Relationship Id="rId20" Type="http://schemas.openxmlformats.org/officeDocument/2006/relationships/hyperlink" Target="http://www.nevo.co.il/case/28167823"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 TargetMode="External"/><Relationship Id="rId24" Type="http://schemas.openxmlformats.org/officeDocument/2006/relationships/hyperlink" Target="http://www.nevo.co.il/case/23750765"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8604139" TargetMode="External"/><Relationship Id="rId28" Type="http://schemas.openxmlformats.org/officeDocument/2006/relationships/hyperlink" Target="http://www.nevo.co.il/case/29290757" TargetMode="External"/><Relationship Id="rId10" Type="http://schemas.openxmlformats.org/officeDocument/2006/relationships/hyperlink" Target="http://www.nevo.co.il/law/4216" TargetMode="External"/><Relationship Id="rId19" Type="http://schemas.openxmlformats.org/officeDocument/2006/relationships/hyperlink" Target="http://www.nevo.co.il/case/28653496"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335.a.1" TargetMode="External"/><Relationship Id="rId14" Type="http://schemas.openxmlformats.org/officeDocument/2006/relationships/hyperlink" Target="http://www.nevo.co.il/law/70301/334" TargetMode="External"/><Relationship Id="rId22" Type="http://schemas.openxmlformats.org/officeDocument/2006/relationships/hyperlink" Target="http://www.nevo.co.il/case/28369315" TargetMode="External"/><Relationship Id="rId27" Type="http://schemas.openxmlformats.org/officeDocument/2006/relationships/hyperlink" Target="http://www.nevo.co.il/case/29334329"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70301/33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1938</Words>
  <Characters>9692</Characters>
  <Application>Microsoft Office Word</Application>
  <DocSecurity>0</DocSecurity>
  <Lines>80</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11607</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3473523</vt:i4>
      </vt:variant>
      <vt:variant>
        <vt:i4>63</vt:i4>
      </vt:variant>
      <vt:variant>
        <vt:i4>0</vt:i4>
      </vt:variant>
      <vt:variant>
        <vt:i4>5</vt:i4>
      </vt:variant>
      <vt:variant>
        <vt:lpwstr>http://www.nevo.co.il/case/29290757</vt:lpwstr>
      </vt:variant>
      <vt:variant>
        <vt:lpwstr/>
      </vt:variant>
      <vt:variant>
        <vt:i4>3604605</vt:i4>
      </vt:variant>
      <vt:variant>
        <vt:i4>60</vt:i4>
      </vt:variant>
      <vt:variant>
        <vt:i4>0</vt:i4>
      </vt:variant>
      <vt:variant>
        <vt:i4>5</vt:i4>
      </vt:variant>
      <vt:variant>
        <vt:lpwstr>http://www.nevo.co.il/case/29334329</vt:lpwstr>
      </vt:variant>
      <vt:variant>
        <vt:lpwstr/>
      </vt:variant>
      <vt:variant>
        <vt:i4>3211391</vt:i4>
      </vt:variant>
      <vt:variant>
        <vt:i4>57</vt:i4>
      </vt:variant>
      <vt:variant>
        <vt:i4>0</vt:i4>
      </vt:variant>
      <vt:variant>
        <vt:i4>5</vt:i4>
      </vt:variant>
      <vt:variant>
        <vt:lpwstr>http://www.nevo.co.il/case/29662475</vt:lpwstr>
      </vt:variant>
      <vt:variant>
        <vt:lpwstr/>
      </vt:variant>
      <vt:variant>
        <vt:i4>3342449</vt:i4>
      </vt:variant>
      <vt:variant>
        <vt:i4>54</vt:i4>
      </vt:variant>
      <vt:variant>
        <vt:i4>0</vt:i4>
      </vt:variant>
      <vt:variant>
        <vt:i4>5</vt:i4>
      </vt:variant>
      <vt:variant>
        <vt:lpwstr>http://www.nevo.co.il/case/27435100</vt:lpwstr>
      </vt:variant>
      <vt:variant>
        <vt:lpwstr/>
      </vt:variant>
      <vt:variant>
        <vt:i4>3342453</vt:i4>
      </vt:variant>
      <vt:variant>
        <vt:i4>51</vt:i4>
      </vt:variant>
      <vt:variant>
        <vt:i4>0</vt:i4>
      </vt:variant>
      <vt:variant>
        <vt:i4>5</vt:i4>
      </vt:variant>
      <vt:variant>
        <vt:lpwstr>http://www.nevo.co.il/case/23750765</vt:lpwstr>
      </vt:variant>
      <vt:variant>
        <vt:lpwstr/>
      </vt:variant>
      <vt:variant>
        <vt:i4>3342461</vt:i4>
      </vt:variant>
      <vt:variant>
        <vt:i4>48</vt:i4>
      </vt:variant>
      <vt:variant>
        <vt:i4>0</vt:i4>
      </vt:variant>
      <vt:variant>
        <vt:i4>5</vt:i4>
      </vt:variant>
      <vt:variant>
        <vt:lpwstr>http://www.nevo.co.il/case/28604139</vt:lpwstr>
      </vt:variant>
      <vt:variant>
        <vt:lpwstr/>
      </vt:variant>
      <vt:variant>
        <vt:i4>3735673</vt:i4>
      </vt:variant>
      <vt:variant>
        <vt:i4>45</vt:i4>
      </vt:variant>
      <vt:variant>
        <vt:i4>0</vt:i4>
      </vt:variant>
      <vt:variant>
        <vt:i4>5</vt:i4>
      </vt:variant>
      <vt:variant>
        <vt:lpwstr>http://www.nevo.co.il/case/28369315</vt:lpwstr>
      </vt:variant>
      <vt:variant>
        <vt:lpwstr/>
      </vt:variant>
      <vt:variant>
        <vt:i4>4063356</vt:i4>
      </vt:variant>
      <vt:variant>
        <vt:i4>42</vt:i4>
      </vt:variant>
      <vt:variant>
        <vt:i4>0</vt:i4>
      </vt:variant>
      <vt:variant>
        <vt:i4>5</vt:i4>
      </vt:variant>
      <vt:variant>
        <vt:lpwstr>http://www.nevo.co.il/case/29089955</vt:lpwstr>
      </vt:variant>
      <vt:variant>
        <vt:lpwstr/>
      </vt:variant>
      <vt:variant>
        <vt:i4>3539058</vt:i4>
      </vt:variant>
      <vt:variant>
        <vt:i4>39</vt:i4>
      </vt:variant>
      <vt:variant>
        <vt:i4>0</vt:i4>
      </vt:variant>
      <vt:variant>
        <vt:i4>5</vt:i4>
      </vt:variant>
      <vt:variant>
        <vt:lpwstr>http://www.nevo.co.il/case/28167823</vt:lpwstr>
      </vt:variant>
      <vt:variant>
        <vt:lpwstr/>
      </vt:variant>
      <vt:variant>
        <vt:i4>4063357</vt:i4>
      </vt:variant>
      <vt:variant>
        <vt:i4>36</vt:i4>
      </vt:variant>
      <vt:variant>
        <vt:i4>0</vt:i4>
      </vt:variant>
      <vt:variant>
        <vt:i4>5</vt:i4>
      </vt:variant>
      <vt:variant>
        <vt:lpwstr>http://www.nevo.co.il/case/28653496</vt:lpwstr>
      </vt:variant>
      <vt:variant>
        <vt:lpwstr/>
      </vt:variant>
      <vt:variant>
        <vt:i4>3997809</vt:i4>
      </vt:variant>
      <vt:variant>
        <vt:i4>33</vt:i4>
      </vt:variant>
      <vt:variant>
        <vt:i4>0</vt:i4>
      </vt:variant>
      <vt:variant>
        <vt:i4>5</vt:i4>
      </vt:variant>
      <vt:variant>
        <vt:lpwstr>http://www.nevo.co.il/case/20942142</vt:lpwstr>
      </vt:variant>
      <vt:variant>
        <vt:lpwstr/>
      </vt:variant>
      <vt:variant>
        <vt:i4>8257637</vt:i4>
      </vt:variant>
      <vt:variant>
        <vt:i4>30</vt:i4>
      </vt:variant>
      <vt:variant>
        <vt:i4>0</vt:i4>
      </vt:variant>
      <vt:variant>
        <vt:i4>5</vt:i4>
      </vt:variant>
      <vt:variant>
        <vt:lpwstr>http://www.nevo.co.il/law/4216</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7995492</vt:i4>
      </vt:variant>
      <vt:variant>
        <vt:i4>24</vt:i4>
      </vt:variant>
      <vt:variant>
        <vt:i4>0</vt:i4>
      </vt:variant>
      <vt:variant>
        <vt:i4>5</vt:i4>
      </vt:variant>
      <vt:variant>
        <vt:lpwstr>http://www.nevo.co.il/law/70301</vt:lpwstr>
      </vt:variant>
      <vt:variant>
        <vt:lpwstr/>
      </vt:variant>
      <vt:variant>
        <vt:i4>6684774</vt:i4>
      </vt:variant>
      <vt:variant>
        <vt:i4>21</vt:i4>
      </vt:variant>
      <vt:variant>
        <vt:i4>0</vt:i4>
      </vt:variant>
      <vt:variant>
        <vt:i4>5</vt:i4>
      </vt:variant>
      <vt:variant>
        <vt:lpwstr>http://www.nevo.co.il/law/70301/334</vt:lpwstr>
      </vt:variant>
      <vt:variant>
        <vt:lpwstr/>
      </vt:variant>
      <vt:variant>
        <vt:i4>6684722</vt:i4>
      </vt:variant>
      <vt:variant>
        <vt:i4>18</vt:i4>
      </vt:variant>
      <vt:variant>
        <vt:i4>0</vt:i4>
      </vt:variant>
      <vt:variant>
        <vt:i4>5</vt:i4>
      </vt:variant>
      <vt:variant>
        <vt:lpwstr>http://www.nevo.co.il/law/70301/335.a.1</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8257637</vt:i4>
      </vt:variant>
      <vt:variant>
        <vt:i4>9</vt:i4>
      </vt:variant>
      <vt:variant>
        <vt:i4>0</vt:i4>
      </vt:variant>
      <vt:variant>
        <vt:i4>5</vt:i4>
      </vt:variant>
      <vt:variant>
        <vt:lpwstr>http://www.nevo.co.il/law/4216</vt:lpwstr>
      </vt:variant>
      <vt:variant>
        <vt:lpwstr/>
      </vt:variant>
      <vt:variant>
        <vt:i4>6684722</vt:i4>
      </vt:variant>
      <vt:variant>
        <vt:i4>6</vt:i4>
      </vt:variant>
      <vt:variant>
        <vt:i4>0</vt:i4>
      </vt:variant>
      <vt:variant>
        <vt:i4>5</vt:i4>
      </vt:variant>
      <vt:variant>
        <vt:lpwstr>http://www.nevo.co.il/law/70301/335.a.1</vt:lpwstr>
      </vt:variant>
      <vt:variant>
        <vt:lpwstr/>
      </vt:variant>
      <vt:variant>
        <vt:i4>6684774</vt:i4>
      </vt:variant>
      <vt:variant>
        <vt:i4>3</vt:i4>
      </vt:variant>
      <vt:variant>
        <vt:i4>0</vt:i4>
      </vt:variant>
      <vt:variant>
        <vt:i4>5</vt:i4>
      </vt:variant>
      <vt:variant>
        <vt:lpwstr>http://www.nevo.co.il/law/70301/334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2025-04-23T01:56:00Z</dcterms:created>
  <dcterms:modified xsi:type="dcterms:W3CDTF">2025-04-23T01:56:00Z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62278</vt:lpwstr>
  </property>
  <property fmtid="{D5CDD505-2E9C-101B-9397-08002B2CF9AE}" pid="6" name="NEWPARTB">
    <vt:lpwstr>03</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האני נאטור</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20240909</vt:lpwstr>
  </property>
  <property fmtid="{D5CDD505-2E9C-101B-9397-08002B2CF9AE}" pid="13" name="TYPE_N_DATE">
    <vt:lpwstr>38020240909</vt:lpwstr>
  </property>
  <property fmtid="{D5CDD505-2E9C-101B-9397-08002B2CF9AE}" pid="14" name="WORDNUMPAGES">
    <vt:lpwstr>6</vt:lpwstr>
  </property>
  <property fmtid="{D5CDD505-2E9C-101B-9397-08002B2CF9AE}" pid="15" name="TYPE_ABS_DATE">
    <vt:lpwstr>380020240909</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20942142;28653496;28167823;29089955;28369315;28604139;23750765;27435100;29662475;29334329;29290757</vt:lpwstr>
  </property>
  <property fmtid="{D5CDD505-2E9C-101B-9397-08002B2CF9AE}" pid="36" name="LAWLISTTMP1">
    <vt:lpwstr>70301/335.a.1;334</vt:lpwstr>
  </property>
  <property fmtid="{D5CDD505-2E9C-101B-9397-08002B2CF9AE}" pid="37" name="LAWLISTTMP2">
    <vt:lpwstr>4216/007.a;007.c</vt:lpwstr>
  </property>
</Properties>
</file>