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E27F4" w:rsidRPr="009F49A1" w14:paraId="2BF60B26" w14:textId="77777777" w:rsidTr="00935F81">
        <w:trPr>
          <w:trHeight w:hRule="exact" w:val="418"/>
          <w:jc w:val="center"/>
        </w:trPr>
        <w:tc>
          <w:tcPr>
            <w:tcW w:w="8721" w:type="dxa"/>
            <w:gridSpan w:val="2"/>
          </w:tcPr>
          <w:p w14:paraId="31733647" w14:textId="77777777" w:rsidR="000E27F4" w:rsidRPr="009F49A1" w:rsidRDefault="000E27F4" w:rsidP="00A11D33">
            <w:pPr>
              <w:pStyle w:val="a3"/>
              <w:jc w:val="center"/>
              <w:rPr>
                <w:rFonts w:ascii="Tahoma" w:hAnsi="Tahoma" w:cs="Tahoma"/>
                <w:color w:val="000080"/>
                <w:rtl/>
              </w:rPr>
            </w:pPr>
            <w:r w:rsidRPr="009F49A1">
              <w:rPr>
                <w:rFonts w:ascii="Tahoma" w:hAnsi="Tahoma" w:cs="Tahoma"/>
                <w:b/>
                <w:bCs/>
                <w:color w:val="000080"/>
                <w:rtl/>
              </w:rPr>
              <w:t>בית משפט השלום בקריות</w:t>
            </w:r>
          </w:p>
        </w:tc>
      </w:tr>
      <w:tr w:rsidR="000E27F4" w:rsidRPr="009F49A1" w14:paraId="4C65F6C7" w14:textId="77777777" w:rsidTr="00935F81">
        <w:trPr>
          <w:trHeight w:val="337"/>
          <w:jc w:val="center"/>
        </w:trPr>
        <w:tc>
          <w:tcPr>
            <w:tcW w:w="5055" w:type="dxa"/>
          </w:tcPr>
          <w:p w14:paraId="191683FA" w14:textId="77777777" w:rsidR="000E27F4" w:rsidRPr="009F49A1" w:rsidRDefault="000E27F4" w:rsidP="00A11D33">
            <w:pPr>
              <w:rPr>
                <w:rFonts w:cs="FrankRuehl"/>
                <w:sz w:val="28"/>
                <w:szCs w:val="28"/>
                <w:rtl/>
              </w:rPr>
            </w:pPr>
            <w:r w:rsidRPr="009F49A1">
              <w:rPr>
                <w:rFonts w:cs="FrankRuehl"/>
                <w:sz w:val="28"/>
                <w:szCs w:val="28"/>
                <w:rtl/>
              </w:rPr>
              <w:t>ת"פ</w:t>
            </w:r>
            <w:r w:rsidRPr="009F49A1">
              <w:rPr>
                <w:rFonts w:cs="FrankRuehl" w:hint="cs"/>
                <w:sz w:val="28"/>
                <w:szCs w:val="28"/>
                <w:rtl/>
              </w:rPr>
              <w:t xml:space="preserve"> </w:t>
            </w:r>
            <w:r w:rsidRPr="009F49A1">
              <w:rPr>
                <w:rFonts w:cs="FrankRuehl"/>
                <w:sz w:val="28"/>
                <w:szCs w:val="28"/>
                <w:rtl/>
              </w:rPr>
              <w:t>49387-04-24</w:t>
            </w:r>
            <w:r w:rsidRPr="009F49A1">
              <w:rPr>
                <w:rFonts w:cs="FrankRuehl" w:hint="cs"/>
                <w:sz w:val="28"/>
                <w:szCs w:val="28"/>
                <w:rtl/>
              </w:rPr>
              <w:t xml:space="preserve"> </w:t>
            </w:r>
            <w:r w:rsidRPr="009F49A1">
              <w:rPr>
                <w:rFonts w:cs="FrankRuehl"/>
                <w:sz w:val="28"/>
                <w:szCs w:val="28"/>
                <w:rtl/>
              </w:rPr>
              <w:t>מדינת ישראל נ' בוסקילה</w:t>
            </w:r>
          </w:p>
          <w:p w14:paraId="0FD1D920" w14:textId="77777777" w:rsidR="000E27F4" w:rsidRPr="009F49A1" w:rsidRDefault="000E27F4" w:rsidP="00A11D33">
            <w:pPr>
              <w:pStyle w:val="a3"/>
              <w:rPr>
                <w:rFonts w:cs="FrankRuehl"/>
                <w:sz w:val="28"/>
                <w:szCs w:val="28"/>
                <w:rtl/>
              </w:rPr>
            </w:pPr>
          </w:p>
        </w:tc>
        <w:tc>
          <w:tcPr>
            <w:tcW w:w="3666" w:type="dxa"/>
          </w:tcPr>
          <w:p w14:paraId="00836929" w14:textId="77777777" w:rsidR="000E27F4" w:rsidRPr="009F49A1" w:rsidRDefault="000E27F4" w:rsidP="00A11D33">
            <w:pPr>
              <w:pStyle w:val="a3"/>
              <w:jc w:val="right"/>
              <w:rPr>
                <w:rFonts w:cs="FrankRuehl"/>
                <w:sz w:val="28"/>
                <w:szCs w:val="28"/>
                <w:rtl/>
              </w:rPr>
            </w:pPr>
          </w:p>
        </w:tc>
      </w:tr>
    </w:tbl>
    <w:p w14:paraId="7EB90290" w14:textId="77777777" w:rsidR="000E27F4" w:rsidRPr="009F49A1" w:rsidRDefault="000E27F4" w:rsidP="000E27F4">
      <w:pPr>
        <w:pStyle w:val="a3"/>
        <w:rPr>
          <w:rtl/>
        </w:rPr>
      </w:pPr>
      <w:r w:rsidRPr="009F49A1">
        <w:rPr>
          <w:rFonts w:hint="cs"/>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0E27F4" w:rsidRPr="009F49A1" w14:paraId="6CBA62CC" w14:textId="77777777" w:rsidTr="000E27F4">
        <w:trPr>
          <w:trHeight w:val="345"/>
          <w:jc w:val="center"/>
        </w:trPr>
        <w:tc>
          <w:tcPr>
            <w:tcW w:w="957" w:type="dxa"/>
            <w:tcBorders>
              <w:top w:val="nil"/>
              <w:left w:val="nil"/>
              <w:bottom w:val="nil"/>
              <w:right w:val="nil"/>
            </w:tcBorders>
            <w:shd w:val="clear" w:color="auto" w:fill="auto"/>
          </w:tcPr>
          <w:p w14:paraId="1AA4448D" w14:textId="77777777" w:rsidR="000E27F4" w:rsidRPr="009F49A1" w:rsidRDefault="000E27F4" w:rsidP="000E27F4">
            <w:pPr>
              <w:jc w:val="both"/>
              <w:rPr>
                <w:rFonts w:ascii="David" w:hAnsi="David"/>
                <w:b/>
                <w:bCs/>
              </w:rPr>
            </w:pPr>
            <w:r w:rsidRPr="009F49A1">
              <w:rPr>
                <w:rFonts w:ascii="David" w:hAnsi="David"/>
                <w:b/>
                <w:bCs/>
                <w:rtl/>
              </w:rPr>
              <w:t xml:space="preserve">בפני </w:t>
            </w:r>
          </w:p>
        </w:tc>
        <w:tc>
          <w:tcPr>
            <w:tcW w:w="8358" w:type="dxa"/>
            <w:gridSpan w:val="2"/>
            <w:tcBorders>
              <w:top w:val="nil"/>
              <w:left w:val="nil"/>
              <w:bottom w:val="nil"/>
              <w:right w:val="nil"/>
            </w:tcBorders>
            <w:shd w:val="clear" w:color="auto" w:fill="auto"/>
          </w:tcPr>
          <w:p w14:paraId="2AE6A0FA" w14:textId="77777777" w:rsidR="000E27F4" w:rsidRPr="009F49A1" w:rsidRDefault="000E27F4" w:rsidP="00A11D33">
            <w:pPr>
              <w:rPr>
                <w:rFonts w:ascii="David" w:hAnsi="David"/>
                <w:b/>
                <w:bCs/>
              </w:rPr>
            </w:pPr>
            <w:r w:rsidRPr="009F49A1">
              <w:rPr>
                <w:rFonts w:ascii="Arial" w:hAnsi="Arial"/>
                <w:b/>
                <w:bCs/>
                <w:rtl/>
              </w:rPr>
              <w:t>כב' השופט יוסי טורס , סגן הנשיאה</w:t>
            </w:r>
          </w:p>
        </w:tc>
      </w:tr>
      <w:tr w:rsidR="000E27F4" w:rsidRPr="009F49A1" w14:paraId="02FD6144" w14:textId="77777777" w:rsidTr="000E27F4">
        <w:trPr>
          <w:trHeight w:val="345"/>
          <w:jc w:val="center"/>
        </w:trPr>
        <w:tc>
          <w:tcPr>
            <w:tcW w:w="957" w:type="dxa"/>
            <w:tcBorders>
              <w:top w:val="nil"/>
              <w:left w:val="nil"/>
              <w:bottom w:val="nil"/>
              <w:right w:val="nil"/>
            </w:tcBorders>
            <w:shd w:val="clear" w:color="auto" w:fill="auto"/>
          </w:tcPr>
          <w:p w14:paraId="456D0CFE" w14:textId="77777777" w:rsidR="000E27F4" w:rsidRPr="009F49A1" w:rsidRDefault="000E27F4" w:rsidP="000E27F4">
            <w:pPr>
              <w:jc w:val="both"/>
              <w:rPr>
                <w:rFonts w:ascii="David" w:hAnsi="David"/>
                <w:b/>
                <w:bCs/>
                <w:rtl/>
              </w:rPr>
            </w:pPr>
            <w:bookmarkStart w:id="0" w:name="LastJudge"/>
            <w:bookmarkEnd w:id="0"/>
          </w:p>
        </w:tc>
        <w:tc>
          <w:tcPr>
            <w:tcW w:w="8358" w:type="dxa"/>
            <w:gridSpan w:val="2"/>
            <w:tcBorders>
              <w:top w:val="nil"/>
              <w:left w:val="nil"/>
              <w:bottom w:val="nil"/>
              <w:right w:val="nil"/>
            </w:tcBorders>
            <w:shd w:val="clear" w:color="auto" w:fill="auto"/>
          </w:tcPr>
          <w:p w14:paraId="039840DF" w14:textId="77777777" w:rsidR="000E27F4" w:rsidRPr="009F49A1" w:rsidRDefault="000E27F4" w:rsidP="00A11D33">
            <w:pPr>
              <w:rPr>
                <w:rFonts w:ascii="Arial" w:hAnsi="Arial"/>
                <w:b/>
                <w:bCs/>
                <w:rtl/>
              </w:rPr>
            </w:pPr>
          </w:p>
        </w:tc>
      </w:tr>
      <w:tr w:rsidR="000E27F4" w:rsidRPr="009F49A1" w14:paraId="410456B3" w14:textId="77777777" w:rsidTr="000E27F4">
        <w:trPr>
          <w:trHeight w:val="415"/>
          <w:jc w:val="center"/>
        </w:trPr>
        <w:tc>
          <w:tcPr>
            <w:tcW w:w="957" w:type="dxa"/>
            <w:tcBorders>
              <w:top w:val="nil"/>
              <w:left w:val="nil"/>
              <w:bottom w:val="nil"/>
              <w:right w:val="nil"/>
            </w:tcBorders>
            <w:shd w:val="clear" w:color="auto" w:fill="auto"/>
          </w:tcPr>
          <w:p w14:paraId="4D890E4C" w14:textId="77777777" w:rsidR="000E27F4" w:rsidRPr="009F49A1" w:rsidRDefault="000E27F4" w:rsidP="000E27F4">
            <w:pPr>
              <w:jc w:val="both"/>
              <w:rPr>
                <w:rFonts w:ascii="David" w:hAnsi="David"/>
                <w:b/>
                <w:bCs/>
              </w:rPr>
            </w:pPr>
            <w:bookmarkStart w:id="1" w:name="FirstAppellant"/>
            <w:r w:rsidRPr="009F49A1">
              <w:rPr>
                <w:rFonts w:ascii="David" w:hAnsi="David"/>
                <w:b/>
                <w:bCs/>
                <w:rtl/>
              </w:rPr>
              <w:t>בעניין:</w:t>
            </w:r>
          </w:p>
        </w:tc>
        <w:tc>
          <w:tcPr>
            <w:tcW w:w="5095" w:type="dxa"/>
            <w:tcBorders>
              <w:top w:val="nil"/>
              <w:left w:val="nil"/>
              <w:bottom w:val="nil"/>
              <w:right w:val="nil"/>
            </w:tcBorders>
            <w:shd w:val="clear" w:color="auto" w:fill="auto"/>
          </w:tcPr>
          <w:p w14:paraId="1DF653FA" w14:textId="77777777" w:rsidR="000E27F4" w:rsidRPr="009F49A1" w:rsidRDefault="000E27F4" w:rsidP="00A11D33">
            <w:pPr>
              <w:rPr>
                <w:rFonts w:ascii="David" w:hAnsi="David"/>
                <w:b/>
                <w:bCs/>
              </w:rPr>
            </w:pPr>
            <w:r w:rsidRPr="009F49A1">
              <w:rPr>
                <w:rFonts w:ascii="David" w:hAnsi="David"/>
                <w:b/>
                <w:bCs/>
                <w:rtl/>
              </w:rPr>
              <w:t>מדינת ישראל</w:t>
            </w:r>
          </w:p>
        </w:tc>
        <w:tc>
          <w:tcPr>
            <w:tcW w:w="3263" w:type="dxa"/>
            <w:tcBorders>
              <w:top w:val="nil"/>
              <w:left w:val="nil"/>
              <w:bottom w:val="nil"/>
              <w:right w:val="nil"/>
            </w:tcBorders>
            <w:shd w:val="clear" w:color="auto" w:fill="auto"/>
          </w:tcPr>
          <w:p w14:paraId="0E006A8D" w14:textId="77777777" w:rsidR="000E27F4" w:rsidRPr="009F49A1" w:rsidRDefault="000E27F4" w:rsidP="000E27F4">
            <w:pPr>
              <w:jc w:val="both"/>
              <w:rPr>
                <w:rFonts w:ascii="David" w:hAnsi="David"/>
                <w:b/>
                <w:bCs/>
              </w:rPr>
            </w:pPr>
            <w:r w:rsidRPr="009F49A1">
              <w:rPr>
                <w:rFonts w:ascii="David" w:hAnsi="David"/>
                <w:b/>
                <w:bCs/>
                <w:rtl/>
              </w:rPr>
              <w:t>המאשימה</w:t>
            </w:r>
          </w:p>
        </w:tc>
      </w:tr>
      <w:bookmarkEnd w:id="1"/>
      <w:tr w:rsidR="000E27F4" w:rsidRPr="009F49A1" w14:paraId="5887C518" w14:textId="77777777" w:rsidTr="000E27F4">
        <w:trPr>
          <w:trHeight w:val="415"/>
          <w:jc w:val="center"/>
        </w:trPr>
        <w:tc>
          <w:tcPr>
            <w:tcW w:w="957" w:type="dxa"/>
            <w:tcBorders>
              <w:top w:val="nil"/>
              <w:left w:val="nil"/>
              <w:bottom w:val="nil"/>
              <w:right w:val="nil"/>
            </w:tcBorders>
            <w:shd w:val="clear" w:color="auto" w:fill="auto"/>
          </w:tcPr>
          <w:p w14:paraId="5E7EE2B3" w14:textId="77777777" w:rsidR="000E27F4" w:rsidRPr="009F49A1" w:rsidRDefault="000E27F4" w:rsidP="000E27F4">
            <w:pPr>
              <w:jc w:val="both"/>
              <w:rPr>
                <w:rFonts w:ascii="David" w:hAnsi="David"/>
                <w:b/>
                <w:bCs/>
                <w:rtl/>
              </w:rPr>
            </w:pPr>
          </w:p>
        </w:tc>
        <w:tc>
          <w:tcPr>
            <w:tcW w:w="8358" w:type="dxa"/>
            <w:gridSpan w:val="2"/>
            <w:tcBorders>
              <w:top w:val="nil"/>
              <w:left w:val="nil"/>
              <w:bottom w:val="nil"/>
              <w:right w:val="nil"/>
            </w:tcBorders>
            <w:shd w:val="clear" w:color="auto" w:fill="auto"/>
          </w:tcPr>
          <w:p w14:paraId="44CBC66B" w14:textId="77777777" w:rsidR="000E27F4" w:rsidRPr="009F49A1" w:rsidRDefault="000E27F4" w:rsidP="00A11D33">
            <w:pPr>
              <w:rPr>
                <w:rFonts w:ascii="David" w:hAnsi="David"/>
                <w:b/>
                <w:bCs/>
              </w:rPr>
            </w:pPr>
            <w:r w:rsidRPr="009F49A1">
              <w:rPr>
                <w:rFonts w:ascii="David" w:hAnsi="David" w:hint="cs"/>
                <w:b/>
                <w:bCs/>
                <w:rtl/>
              </w:rPr>
              <w:t xml:space="preserve">                                                   </w:t>
            </w:r>
            <w:r w:rsidRPr="009F49A1">
              <w:rPr>
                <w:rFonts w:ascii="David" w:hAnsi="David"/>
                <w:b/>
                <w:bCs/>
                <w:rtl/>
              </w:rPr>
              <w:t>נגד</w:t>
            </w:r>
          </w:p>
        </w:tc>
      </w:tr>
      <w:tr w:rsidR="000E27F4" w:rsidRPr="009F49A1" w14:paraId="28B426C8" w14:textId="77777777" w:rsidTr="000E27F4">
        <w:trPr>
          <w:trHeight w:val="415"/>
          <w:jc w:val="center"/>
        </w:trPr>
        <w:tc>
          <w:tcPr>
            <w:tcW w:w="957" w:type="dxa"/>
            <w:tcBorders>
              <w:top w:val="nil"/>
              <w:left w:val="nil"/>
              <w:bottom w:val="nil"/>
              <w:right w:val="nil"/>
            </w:tcBorders>
            <w:shd w:val="clear" w:color="auto" w:fill="auto"/>
          </w:tcPr>
          <w:p w14:paraId="6BA11BD5" w14:textId="77777777" w:rsidR="000E27F4" w:rsidRPr="009F49A1" w:rsidRDefault="000E27F4" w:rsidP="00A11D33">
            <w:pPr>
              <w:rPr>
                <w:rFonts w:ascii="David" w:hAnsi="David"/>
                <w:b/>
                <w:bCs/>
                <w:rtl/>
              </w:rPr>
            </w:pPr>
          </w:p>
        </w:tc>
        <w:tc>
          <w:tcPr>
            <w:tcW w:w="5095" w:type="dxa"/>
            <w:tcBorders>
              <w:top w:val="nil"/>
              <w:left w:val="nil"/>
              <w:bottom w:val="nil"/>
              <w:right w:val="nil"/>
            </w:tcBorders>
            <w:shd w:val="clear" w:color="auto" w:fill="auto"/>
          </w:tcPr>
          <w:p w14:paraId="1EB5ACB9" w14:textId="77777777" w:rsidR="000E27F4" w:rsidRPr="009F49A1" w:rsidRDefault="000E27F4" w:rsidP="00A11D33">
            <w:pPr>
              <w:rPr>
                <w:rFonts w:ascii="David" w:hAnsi="David"/>
                <w:b/>
                <w:bCs/>
                <w:rtl/>
              </w:rPr>
            </w:pPr>
            <w:r w:rsidRPr="009F49A1">
              <w:rPr>
                <w:rFonts w:ascii="David" w:hAnsi="David"/>
                <w:b/>
                <w:bCs/>
                <w:rtl/>
              </w:rPr>
              <w:br/>
              <w:t>אושרי בוסקילה</w:t>
            </w:r>
          </w:p>
        </w:tc>
        <w:tc>
          <w:tcPr>
            <w:tcW w:w="3263" w:type="dxa"/>
            <w:tcBorders>
              <w:top w:val="nil"/>
              <w:left w:val="nil"/>
              <w:bottom w:val="nil"/>
              <w:right w:val="nil"/>
            </w:tcBorders>
            <w:shd w:val="clear" w:color="auto" w:fill="auto"/>
          </w:tcPr>
          <w:p w14:paraId="3AAFEFE0" w14:textId="77777777" w:rsidR="000E27F4" w:rsidRPr="009F49A1" w:rsidRDefault="000E27F4" w:rsidP="00A11D33">
            <w:pPr>
              <w:rPr>
                <w:rFonts w:ascii="David" w:hAnsi="David"/>
                <w:b/>
                <w:bCs/>
                <w:rtl/>
              </w:rPr>
            </w:pPr>
          </w:p>
          <w:p w14:paraId="0A9246D6" w14:textId="77777777" w:rsidR="000E27F4" w:rsidRPr="009F49A1" w:rsidRDefault="000E27F4" w:rsidP="00A11D33">
            <w:pPr>
              <w:rPr>
                <w:rFonts w:ascii="David" w:hAnsi="David"/>
                <w:b/>
                <w:bCs/>
              </w:rPr>
            </w:pPr>
            <w:r w:rsidRPr="009F49A1">
              <w:rPr>
                <w:rFonts w:ascii="David" w:hAnsi="David"/>
                <w:b/>
                <w:bCs/>
                <w:rtl/>
              </w:rPr>
              <w:t>הנאש</w:t>
            </w:r>
            <w:r w:rsidRPr="009F49A1">
              <w:rPr>
                <w:rFonts w:ascii="David" w:hAnsi="David" w:hint="cs"/>
                <w:b/>
                <w:bCs/>
                <w:rtl/>
              </w:rPr>
              <w:t>ם</w:t>
            </w:r>
          </w:p>
        </w:tc>
      </w:tr>
    </w:tbl>
    <w:p w14:paraId="2240927C" w14:textId="77777777" w:rsidR="000E27F4" w:rsidRPr="009F49A1" w:rsidRDefault="000E27F4" w:rsidP="000E27F4">
      <w:pPr>
        <w:rPr>
          <w:sz w:val="26"/>
          <w:szCs w:val="26"/>
        </w:rPr>
      </w:pPr>
    </w:p>
    <w:p w14:paraId="224071FF" w14:textId="77777777" w:rsidR="009F49A1" w:rsidRPr="009F49A1" w:rsidRDefault="009F49A1" w:rsidP="009F49A1">
      <w:pPr>
        <w:spacing w:before="120" w:after="120" w:line="240" w:lineRule="exact"/>
        <w:ind w:left="283" w:hanging="283"/>
        <w:jc w:val="both"/>
        <w:rPr>
          <w:rFonts w:ascii="FrankRuehl" w:hAnsi="FrankRuehl" w:cs="FrankRuehl"/>
          <w:rtl/>
        </w:rPr>
      </w:pPr>
    </w:p>
    <w:p w14:paraId="1D61FA09" w14:textId="77777777" w:rsidR="009F49A1" w:rsidRPr="009F49A1" w:rsidRDefault="009F49A1" w:rsidP="009F49A1">
      <w:pPr>
        <w:rPr>
          <w:rFonts w:ascii="David" w:hAnsi="David"/>
          <w:sz w:val="26"/>
          <w:szCs w:val="26"/>
          <w:rtl/>
        </w:rPr>
      </w:pPr>
    </w:p>
    <w:p w14:paraId="52C2002A" w14:textId="77777777" w:rsidR="00935F81" w:rsidRPr="00935F81" w:rsidRDefault="00935F81" w:rsidP="00935F81">
      <w:pPr>
        <w:spacing w:before="120" w:after="120" w:line="240" w:lineRule="exact"/>
        <w:ind w:left="283" w:hanging="283"/>
        <w:jc w:val="both"/>
        <w:rPr>
          <w:rFonts w:ascii="FrankRuehl" w:hAnsi="FrankRuehl" w:cs="FrankRuehl"/>
          <w:rtl/>
        </w:rPr>
      </w:pPr>
    </w:p>
    <w:p w14:paraId="778D1D60" w14:textId="77777777" w:rsidR="0035267B" w:rsidRPr="0035267B" w:rsidRDefault="0035267B" w:rsidP="0035267B">
      <w:pPr>
        <w:spacing w:before="120" w:after="120" w:line="240" w:lineRule="exact"/>
        <w:ind w:left="283" w:hanging="283"/>
        <w:jc w:val="both"/>
        <w:rPr>
          <w:rFonts w:ascii="FrankRuehl" w:hAnsi="FrankRuehl" w:cs="FrankRuehl"/>
          <w:rtl/>
        </w:rPr>
      </w:pPr>
    </w:p>
    <w:p w14:paraId="7BACEF12" w14:textId="77777777" w:rsidR="00840021" w:rsidRDefault="00840021" w:rsidP="00840021">
      <w:pPr>
        <w:rPr>
          <w:rFonts w:ascii="David" w:hAnsi="David"/>
          <w:sz w:val="26"/>
          <w:szCs w:val="26"/>
          <w:rtl/>
        </w:rPr>
      </w:pPr>
      <w:bookmarkStart w:id="2" w:name="LawTable"/>
      <w:bookmarkEnd w:id="2"/>
    </w:p>
    <w:p w14:paraId="345C87D7" w14:textId="77777777" w:rsidR="00840021" w:rsidRPr="00840021" w:rsidRDefault="00840021" w:rsidP="00840021">
      <w:pPr>
        <w:spacing w:before="120" w:after="120" w:line="240" w:lineRule="exact"/>
        <w:ind w:left="283" w:hanging="283"/>
        <w:jc w:val="both"/>
        <w:rPr>
          <w:rFonts w:ascii="FrankRuehl" w:hAnsi="FrankRuehl" w:cs="FrankRuehl"/>
          <w:rtl/>
        </w:rPr>
      </w:pPr>
    </w:p>
    <w:p w14:paraId="5CD41826" w14:textId="77777777" w:rsidR="00840021" w:rsidRPr="00840021" w:rsidRDefault="00840021" w:rsidP="00840021">
      <w:pPr>
        <w:spacing w:before="120" w:after="120" w:line="240" w:lineRule="exact"/>
        <w:ind w:left="283" w:hanging="283"/>
        <w:jc w:val="both"/>
        <w:rPr>
          <w:rFonts w:ascii="FrankRuehl" w:hAnsi="FrankRuehl" w:cs="FrankRuehl"/>
          <w:rtl/>
        </w:rPr>
      </w:pPr>
    </w:p>
    <w:p w14:paraId="4FAF49DD" w14:textId="77777777" w:rsidR="00840021" w:rsidRPr="00840021" w:rsidRDefault="00840021" w:rsidP="00840021">
      <w:pPr>
        <w:spacing w:before="120" w:after="120" w:line="240" w:lineRule="exact"/>
        <w:ind w:left="283" w:hanging="283"/>
        <w:jc w:val="both"/>
        <w:rPr>
          <w:rFonts w:ascii="FrankRuehl" w:hAnsi="FrankRuehl" w:cs="FrankRuehl"/>
          <w:rtl/>
        </w:rPr>
      </w:pPr>
      <w:r w:rsidRPr="00840021">
        <w:rPr>
          <w:rFonts w:ascii="FrankRuehl" w:hAnsi="FrankRuehl" w:cs="FrankRuehl"/>
          <w:rtl/>
        </w:rPr>
        <w:t xml:space="preserve">חקיקה שאוזכרה: </w:t>
      </w:r>
    </w:p>
    <w:p w14:paraId="12B177E2" w14:textId="77777777" w:rsidR="00840021" w:rsidRPr="00840021" w:rsidRDefault="00840021" w:rsidP="00840021">
      <w:pPr>
        <w:spacing w:before="120" w:after="120" w:line="240" w:lineRule="exact"/>
        <w:ind w:left="283" w:hanging="283"/>
        <w:jc w:val="both"/>
        <w:rPr>
          <w:rFonts w:ascii="FrankRuehl" w:hAnsi="FrankRuehl" w:cs="FrankRuehl"/>
          <w:rtl/>
        </w:rPr>
      </w:pPr>
      <w:hyperlink r:id="rId7" w:history="1">
        <w:r w:rsidRPr="00840021">
          <w:rPr>
            <w:rFonts w:ascii="FrankRuehl" w:hAnsi="FrankRuehl" w:cs="FrankRuehl"/>
            <w:color w:val="0000FF"/>
            <w:rtl/>
          </w:rPr>
          <w:t>פקודת הסמים המסוכנים [נוסח חדש], תשל"ג-1973</w:t>
        </w:r>
      </w:hyperlink>
      <w:r w:rsidRPr="00840021">
        <w:rPr>
          <w:rFonts w:ascii="FrankRuehl" w:hAnsi="FrankRuehl" w:cs="FrankRuehl"/>
          <w:rtl/>
        </w:rPr>
        <w:t xml:space="preserve">: סע'  </w:t>
      </w:r>
      <w:hyperlink r:id="rId8" w:history="1">
        <w:r w:rsidRPr="00840021">
          <w:rPr>
            <w:rFonts w:ascii="FrankRuehl" w:hAnsi="FrankRuehl" w:cs="FrankRuehl"/>
            <w:color w:val="0000FF"/>
            <w:rtl/>
          </w:rPr>
          <w:t>6</w:t>
        </w:r>
      </w:hyperlink>
      <w:r w:rsidRPr="00840021">
        <w:rPr>
          <w:rFonts w:ascii="FrankRuehl" w:hAnsi="FrankRuehl" w:cs="FrankRuehl"/>
          <w:rtl/>
        </w:rPr>
        <w:t xml:space="preserve">, </w:t>
      </w:r>
      <w:hyperlink r:id="rId9" w:history="1">
        <w:r w:rsidRPr="00840021">
          <w:rPr>
            <w:rFonts w:ascii="FrankRuehl" w:hAnsi="FrankRuehl" w:cs="FrankRuehl"/>
            <w:color w:val="0000FF"/>
            <w:rtl/>
          </w:rPr>
          <w:t>10</w:t>
        </w:r>
      </w:hyperlink>
    </w:p>
    <w:p w14:paraId="3D50CF5A" w14:textId="77777777" w:rsidR="00840021" w:rsidRPr="00840021" w:rsidRDefault="00840021" w:rsidP="00840021">
      <w:pPr>
        <w:rPr>
          <w:rFonts w:ascii="David" w:hAnsi="David"/>
          <w:sz w:val="26"/>
          <w:szCs w:val="26"/>
          <w:rtl/>
        </w:rPr>
      </w:pPr>
      <w:bookmarkStart w:id="3" w:name="LawTable_End"/>
      <w:bookmarkEnd w:id="3"/>
    </w:p>
    <w:p w14:paraId="602F76A7" w14:textId="77777777" w:rsidR="00935F81" w:rsidRPr="0035267B" w:rsidRDefault="00935F81" w:rsidP="0035267B">
      <w:pPr>
        <w:rPr>
          <w:rFonts w:ascii="David" w:hAnsi="David"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27F4" w14:paraId="635A002D" w14:textId="77777777" w:rsidTr="000E27F4">
        <w:trPr>
          <w:trHeight w:val="355"/>
          <w:jc w:val="center"/>
        </w:trPr>
        <w:tc>
          <w:tcPr>
            <w:tcW w:w="8820" w:type="dxa"/>
            <w:tcBorders>
              <w:top w:val="nil"/>
              <w:left w:val="nil"/>
              <w:bottom w:val="nil"/>
              <w:right w:val="nil"/>
            </w:tcBorders>
            <w:shd w:val="clear" w:color="auto" w:fill="auto"/>
          </w:tcPr>
          <w:p w14:paraId="17E7BF09" w14:textId="77777777" w:rsidR="009F49A1" w:rsidRPr="009F49A1" w:rsidRDefault="009F49A1" w:rsidP="009F49A1">
            <w:pPr>
              <w:jc w:val="center"/>
              <w:rPr>
                <w:rFonts w:ascii="David" w:hAnsi="David"/>
                <w:b/>
                <w:bCs/>
                <w:sz w:val="32"/>
                <w:szCs w:val="32"/>
                <w:u w:val="single"/>
                <w:rtl/>
              </w:rPr>
            </w:pPr>
            <w:bookmarkStart w:id="4" w:name="PsakDin" w:colFirst="0" w:colLast="0"/>
            <w:r w:rsidRPr="009F49A1">
              <w:rPr>
                <w:rFonts w:ascii="David" w:hAnsi="David"/>
                <w:b/>
                <w:bCs/>
                <w:sz w:val="32"/>
                <w:szCs w:val="32"/>
                <w:u w:val="single"/>
                <w:rtl/>
              </w:rPr>
              <w:t>גזר דין</w:t>
            </w:r>
          </w:p>
          <w:p w14:paraId="309871FF" w14:textId="77777777" w:rsidR="000E27F4" w:rsidRPr="009F49A1" w:rsidRDefault="000E27F4" w:rsidP="009F49A1">
            <w:pPr>
              <w:jc w:val="center"/>
              <w:rPr>
                <w:rFonts w:ascii="David" w:hAnsi="David"/>
                <w:bCs/>
                <w:sz w:val="32"/>
                <w:szCs w:val="32"/>
                <w:u w:val="single"/>
                <w:rtl/>
              </w:rPr>
            </w:pPr>
          </w:p>
        </w:tc>
      </w:tr>
      <w:bookmarkEnd w:id="4"/>
    </w:tbl>
    <w:p w14:paraId="0EC5B590" w14:textId="77777777" w:rsidR="000E27F4" w:rsidRPr="002B7D23" w:rsidRDefault="000E27F4" w:rsidP="000E27F4">
      <w:pPr>
        <w:rPr>
          <w:rFonts w:ascii="David" w:hAnsi="David"/>
          <w:sz w:val="26"/>
          <w:szCs w:val="26"/>
          <w:rtl/>
        </w:rPr>
      </w:pPr>
    </w:p>
    <w:p w14:paraId="51D3086A" w14:textId="77777777" w:rsidR="000E27F4" w:rsidRDefault="000E27F4" w:rsidP="000E27F4">
      <w:pPr>
        <w:spacing w:line="360" w:lineRule="auto"/>
        <w:jc w:val="both"/>
        <w:rPr>
          <w:rFonts w:ascii="David" w:hAnsi="David"/>
          <w:rtl/>
        </w:rPr>
      </w:pPr>
      <w:r>
        <w:rPr>
          <w:rFonts w:ascii="David" w:hAnsi="David" w:hint="cs"/>
          <w:b/>
          <w:bCs/>
          <w:u w:val="single"/>
          <w:rtl/>
        </w:rPr>
        <w:t xml:space="preserve">כתב האישום </w:t>
      </w:r>
    </w:p>
    <w:p w14:paraId="27F69FB4" w14:textId="77777777" w:rsidR="000E27F4" w:rsidRDefault="000E27F4" w:rsidP="000E27F4">
      <w:pPr>
        <w:spacing w:line="360" w:lineRule="auto"/>
        <w:jc w:val="both"/>
        <w:rPr>
          <w:rFonts w:ascii="David" w:hAnsi="David"/>
          <w:rtl/>
        </w:rPr>
      </w:pPr>
    </w:p>
    <w:p w14:paraId="3B598406" w14:textId="77777777" w:rsidR="000E27F4" w:rsidRDefault="000E27F4" w:rsidP="000E27F4">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על פי הודאתו בעבירת גידול, ייצור והכנת סמים מסוכנים, לפי </w:t>
      </w:r>
      <w:hyperlink r:id="rId10" w:history="1">
        <w:r w:rsidR="00935F81" w:rsidRPr="00935F81">
          <w:rPr>
            <w:rStyle w:val="Hyperlink"/>
            <w:rFonts w:ascii="David" w:hAnsi="David" w:hint="eastAsia"/>
            <w:rtl/>
          </w:rPr>
          <w:t>סעיף</w:t>
        </w:r>
        <w:r w:rsidR="00935F81" w:rsidRPr="00935F81">
          <w:rPr>
            <w:rStyle w:val="Hyperlink"/>
            <w:rFonts w:ascii="David" w:hAnsi="David"/>
            <w:rtl/>
          </w:rPr>
          <w:t xml:space="preserve"> 6</w:t>
        </w:r>
      </w:hyperlink>
      <w:r>
        <w:rPr>
          <w:rFonts w:ascii="David" w:hAnsi="David" w:hint="cs"/>
          <w:rtl/>
        </w:rPr>
        <w:t xml:space="preserve"> ל</w:t>
      </w:r>
      <w:hyperlink r:id="rId11" w:history="1">
        <w:r w:rsidR="009F49A1" w:rsidRPr="009F49A1">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7F5266">
        <w:rPr>
          <w:rFonts w:ascii="Miriam" w:hAnsi="Miriam" w:cs="Miriam"/>
          <w:rtl/>
        </w:rPr>
        <w:t>פקודת הסמים המסוכנים</w:t>
      </w:r>
      <w:r>
        <w:rPr>
          <w:rFonts w:ascii="David" w:hAnsi="David" w:hint="cs"/>
          <w:rtl/>
        </w:rPr>
        <w:t xml:space="preserve">) והחזקת כלים להכנת סם שלא לצריכה עצמית, לפי </w:t>
      </w:r>
      <w:hyperlink r:id="rId12" w:history="1">
        <w:r w:rsidR="00935F81" w:rsidRPr="00935F81">
          <w:rPr>
            <w:rStyle w:val="Hyperlink"/>
            <w:rFonts w:ascii="David" w:hAnsi="David" w:hint="eastAsia"/>
            <w:rtl/>
          </w:rPr>
          <w:t>סעיף</w:t>
        </w:r>
        <w:r w:rsidR="00935F81" w:rsidRPr="00935F81">
          <w:rPr>
            <w:rStyle w:val="Hyperlink"/>
            <w:rFonts w:ascii="David" w:hAnsi="David"/>
            <w:rtl/>
          </w:rPr>
          <w:t xml:space="preserve"> 10</w:t>
        </w:r>
      </w:hyperlink>
      <w:r>
        <w:rPr>
          <w:rFonts w:ascii="David" w:hAnsi="David" w:hint="cs"/>
          <w:rtl/>
        </w:rPr>
        <w:t xml:space="preserve"> רישא לפקודת הסמים המסוכנים. על פי עובדות כתב האישום, בין המועדים 20.5.23 </w:t>
      </w:r>
      <w:r>
        <w:rPr>
          <w:rFonts w:ascii="David" w:hAnsi="David"/>
          <w:rtl/>
        </w:rPr>
        <w:t>–</w:t>
      </w:r>
      <w:r>
        <w:rPr>
          <w:rFonts w:ascii="David" w:hAnsi="David" w:hint="cs"/>
          <w:rtl/>
        </w:rPr>
        <w:t xml:space="preserve"> 15.4.24 שכר הנאשם דירה אותה ייעד לגידול סם מסוכן מסוג קנבוס. הנאשם צייד את הדירה בכלים ששימשו אותו לגידול הסם ובהם: 3 מזגנים, 10 מנורות לד, 10 שנאים ואדניות וגידל בדירה 163 שתילי קנבוס במשקל 13.58 ק"ג נטו כפי שנמצא ביום 15.4.24. </w:t>
      </w:r>
    </w:p>
    <w:p w14:paraId="742AA687" w14:textId="77777777" w:rsidR="000E27F4" w:rsidRPr="00C81367" w:rsidRDefault="000E27F4" w:rsidP="000E27F4">
      <w:pPr>
        <w:pStyle w:val="a9"/>
        <w:ind w:left="0"/>
        <w:jc w:val="both"/>
        <w:rPr>
          <w:rFonts w:ascii="David" w:hAnsi="David"/>
          <w:rtl/>
        </w:rPr>
      </w:pPr>
      <w:bookmarkStart w:id="6" w:name="ABSTRACT_END"/>
      <w:bookmarkEnd w:id="6"/>
    </w:p>
    <w:p w14:paraId="23438CC5" w14:textId="77777777" w:rsidR="000E27F4" w:rsidRDefault="000E27F4" w:rsidP="000E27F4">
      <w:pPr>
        <w:pStyle w:val="a9"/>
        <w:spacing w:line="360" w:lineRule="auto"/>
        <w:ind w:left="0"/>
        <w:jc w:val="both"/>
        <w:rPr>
          <w:rFonts w:ascii="David" w:hAnsi="David"/>
          <w:b/>
          <w:bCs/>
          <w:u w:val="single"/>
          <w:rtl/>
        </w:rPr>
      </w:pPr>
      <w:r>
        <w:rPr>
          <w:rFonts w:ascii="David" w:hAnsi="David" w:hint="cs"/>
          <w:b/>
          <w:bCs/>
          <w:u w:val="single"/>
          <w:rtl/>
        </w:rPr>
        <w:t xml:space="preserve">טיעוני הצדדים לעונש והראיות </w:t>
      </w:r>
    </w:p>
    <w:p w14:paraId="717C21A1" w14:textId="77777777" w:rsidR="000E27F4" w:rsidRPr="00B91A86" w:rsidRDefault="000E27F4" w:rsidP="000E27F4">
      <w:pPr>
        <w:pStyle w:val="a9"/>
        <w:ind w:left="0"/>
        <w:jc w:val="both"/>
        <w:rPr>
          <w:rFonts w:ascii="David" w:hAnsi="David"/>
          <w:b/>
          <w:bCs/>
          <w:u w:val="single"/>
        </w:rPr>
      </w:pPr>
    </w:p>
    <w:p w14:paraId="422302F1" w14:textId="77777777" w:rsidR="000E27F4" w:rsidRDefault="000E27F4" w:rsidP="000E27F4">
      <w:pPr>
        <w:pStyle w:val="a9"/>
        <w:numPr>
          <w:ilvl w:val="0"/>
          <w:numId w:val="1"/>
        </w:numPr>
        <w:spacing w:line="360" w:lineRule="auto"/>
        <w:jc w:val="both"/>
        <w:rPr>
          <w:rFonts w:ascii="David" w:hAnsi="David"/>
        </w:rPr>
      </w:pPr>
      <w:r>
        <w:rPr>
          <w:rFonts w:ascii="David" w:hAnsi="David" w:hint="cs"/>
          <w:rtl/>
        </w:rPr>
        <w:t xml:space="preserve">ב"כ המאשימה הגיש טיעון כתוב והשלים טיעון על פה. הודגשו הערכים המוגנים שנפגעו, חומרת המעשים ומדיניות הענישה ונטען כי מתחם הענישה נע בין 10-24 חודשי מאסר בפועל. ברמה </w:t>
      </w:r>
      <w:r>
        <w:rPr>
          <w:rFonts w:ascii="David" w:hAnsi="David" w:hint="cs"/>
          <w:rtl/>
        </w:rPr>
        <w:lastRenderedPageBreak/>
        <w:t xml:space="preserve">האופרטיבית עתרה המשימה לעונש מאסר למשך 14 חודשים, לצד ענישה נלווית וחילוט הכלים ששימשו לביצוע העבירות. </w:t>
      </w:r>
    </w:p>
    <w:p w14:paraId="5434AF4A" w14:textId="77777777" w:rsidR="000E27F4" w:rsidRDefault="000E27F4" w:rsidP="000E27F4">
      <w:pPr>
        <w:pStyle w:val="a9"/>
        <w:ind w:left="0"/>
        <w:jc w:val="both"/>
        <w:rPr>
          <w:rFonts w:ascii="David" w:hAnsi="David"/>
        </w:rPr>
      </w:pPr>
    </w:p>
    <w:p w14:paraId="04359EA0" w14:textId="77777777" w:rsidR="000E27F4" w:rsidRDefault="000E27F4" w:rsidP="000E27F4">
      <w:pPr>
        <w:pStyle w:val="a9"/>
        <w:numPr>
          <w:ilvl w:val="0"/>
          <w:numId w:val="1"/>
        </w:numPr>
        <w:spacing w:line="360" w:lineRule="auto"/>
        <w:jc w:val="both"/>
        <w:rPr>
          <w:rFonts w:ascii="David" w:hAnsi="David"/>
        </w:rPr>
      </w:pPr>
      <w:r>
        <w:rPr>
          <w:rFonts w:ascii="David" w:hAnsi="David" w:hint="cs"/>
          <w:rtl/>
        </w:rPr>
        <w:t xml:space="preserve">ב"כ הנאשם עתר לקביעת מתחם ענישה הנע בין 3 חודשי מאסר לריצוי בעבודות שירות ועד 9 חודשים והוצגה פסיקה. נטען כי מדובר בנאשם שזו הסתבכותו הראשונה בעבירות מסוג זה, הוא הודה בהזדמנות הראשונה ומצוי בהליך חדלות פירעון. לאור כך עתר הסנגור להסתפק בעונש של מספר חודשי מאסר בעבודות שירות וכן להימנע מפסילת רישיון. </w:t>
      </w:r>
    </w:p>
    <w:p w14:paraId="18131374" w14:textId="77777777" w:rsidR="000E27F4" w:rsidRPr="00CD143E" w:rsidRDefault="000E27F4" w:rsidP="000E27F4">
      <w:pPr>
        <w:pStyle w:val="a9"/>
        <w:rPr>
          <w:rFonts w:ascii="David" w:hAnsi="David"/>
          <w:rtl/>
        </w:rPr>
      </w:pPr>
    </w:p>
    <w:p w14:paraId="2EDE0CE1" w14:textId="77777777" w:rsidR="000E27F4" w:rsidRDefault="000E27F4" w:rsidP="000E27F4">
      <w:pPr>
        <w:pStyle w:val="a9"/>
        <w:numPr>
          <w:ilvl w:val="0"/>
          <w:numId w:val="1"/>
        </w:numPr>
        <w:spacing w:line="360" w:lineRule="auto"/>
        <w:jc w:val="both"/>
        <w:rPr>
          <w:rFonts w:ascii="David" w:hAnsi="David"/>
        </w:rPr>
      </w:pPr>
      <w:r>
        <w:rPr>
          <w:rFonts w:ascii="David" w:hAnsi="David" w:hint="cs"/>
          <w:rtl/>
        </w:rPr>
        <w:t xml:space="preserve">הנאשם בדברו האחרון הצטער על מעשיו, ציין כי ערך ניסיונות לקבל רישיון לקנאביס רפואי שלא צלחו וכי הוא סובל מכאבי גב ונוטל תרופות. </w:t>
      </w:r>
    </w:p>
    <w:p w14:paraId="17A0CF02" w14:textId="77777777" w:rsidR="000E27F4" w:rsidRPr="00CD143E" w:rsidRDefault="000E27F4" w:rsidP="000E27F4">
      <w:pPr>
        <w:pStyle w:val="a9"/>
        <w:rPr>
          <w:rFonts w:ascii="David" w:hAnsi="David"/>
          <w:rtl/>
        </w:rPr>
      </w:pPr>
    </w:p>
    <w:p w14:paraId="0F324D35" w14:textId="77777777" w:rsidR="000E27F4" w:rsidRDefault="000E27F4" w:rsidP="000E27F4">
      <w:pPr>
        <w:pStyle w:val="a9"/>
        <w:spacing w:line="360" w:lineRule="auto"/>
        <w:ind w:left="0"/>
        <w:jc w:val="both"/>
        <w:rPr>
          <w:rFonts w:ascii="David" w:hAnsi="David"/>
          <w:b/>
          <w:bCs/>
          <w:u w:val="single"/>
          <w:rtl/>
        </w:rPr>
      </w:pPr>
    </w:p>
    <w:p w14:paraId="17C896B0" w14:textId="77777777" w:rsidR="000E27F4" w:rsidRDefault="000E27F4" w:rsidP="000E27F4">
      <w:pPr>
        <w:pStyle w:val="a9"/>
        <w:spacing w:line="360" w:lineRule="auto"/>
        <w:ind w:left="0"/>
        <w:jc w:val="both"/>
        <w:rPr>
          <w:rFonts w:ascii="David" w:hAnsi="David"/>
          <w:b/>
          <w:bCs/>
          <w:u w:val="single"/>
          <w:rtl/>
        </w:rPr>
      </w:pPr>
    </w:p>
    <w:p w14:paraId="0549ACC4" w14:textId="77777777" w:rsidR="000E27F4" w:rsidRDefault="000E27F4" w:rsidP="000E27F4">
      <w:pPr>
        <w:pStyle w:val="a9"/>
        <w:spacing w:line="360" w:lineRule="auto"/>
        <w:ind w:left="0"/>
        <w:jc w:val="both"/>
        <w:rPr>
          <w:rFonts w:ascii="David" w:hAnsi="David"/>
          <w:b/>
          <w:bCs/>
          <w:u w:val="single"/>
          <w:rtl/>
        </w:rPr>
      </w:pPr>
      <w:r>
        <w:rPr>
          <w:rFonts w:ascii="David" w:hAnsi="David" w:hint="cs"/>
          <w:b/>
          <w:bCs/>
          <w:u w:val="single"/>
          <w:rtl/>
        </w:rPr>
        <w:t>דיון והכרעה</w:t>
      </w:r>
    </w:p>
    <w:p w14:paraId="767591F9" w14:textId="77777777" w:rsidR="000E27F4" w:rsidRPr="00412745" w:rsidRDefault="000E27F4" w:rsidP="000E27F4">
      <w:pPr>
        <w:pStyle w:val="a9"/>
        <w:spacing w:line="360" w:lineRule="auto"/>
        <w:ind w:left="0"/>
        <w:jc w:val="both"/>
        <w:rPr>
          <w:rFonts w:ascii="David" w:hAnsi="David"/>
          <w:b/>
          <w:bCs/>
          <w:u w:val="single"/>
        </w:rPr>
      </w:pPr>
      <w:r>
        <w:rPr>
          <w:rFonts w:ascii="David" w:hAnsi="David" w:hint="cs"/>
          <w:b/>
          <w:bCs/>
          <w:u w:val="single"/>
          <w:rtl/>
        </w:rPr>
        <w:t>קביעת מתחם הענישה</w:t>
      </w:r>
    </w:p>
    <w:p w14:paraId="176DF532" w14:textId="77777777" w:rsidR="000E27F4" w:rsidRPr="00412745" w:rsidRDefault="000E27F4" w:rsidP="000E27F4">
      <w:pPr>
        <w:pStyle w:val="a9"/>
        <w:rPr>
          <w:rFonts w:ascii="David" w:hAnsi="David"/>
          <w:rtl/>
        </w:rPr>
      </w:pPr>
    </w:p>
    <w:p w14:paraId="70643CD4" w14:textId="77777777" w:rsidR="000E27F4" w:rsidRDefault="000E27F4" w:rsidP="000E27F4">
      <w:pPr>
        <w:pStyle w:val="a9"/>
        <w:numPr>
          <w:ilvl w:val="0"/>
          <w:numId w:val="1"/>
        </w:numPr>
        <w:spacing w:line="360" w:lineRule="auto"/>
        <w:jc w:val="both"/>
        <w:rPr>
          <w:rFonts w:ascii="David" w:hAnsi="David"/>
        </w:rPr>
      </w:pPr>
      <w:r>
        <w:rPr>
          <w:rFonts w:ascii="David" w:hAnsi="David"/>
          <w:rtl/>
        </w:rPr>
        <w:t xml:space="preserve">במעשיו פגע הנאשם בערכים של בטחון הציבור ושלומו. הסכנות הטמונות </w:t>
      </w:r>
      <w:r>
        <w:rPr>
          <w:rFonts w:ascii="David" w:hAnsi="David" w:hint="cs"/>
          <w:rtl/>
        </w:rPr>
        <w:t>ב</w:t>
      </w:r>
      <w:r>
        <w:rPr>
          <w:rFonts w:ascii="David" w:hAnsi="David"/>
          <w:rtl/>
        </w:rPr>
        <w:t>גידול</w:t>
      </w:r>
      <w:r>
        <w:rPr>
          <w:rFonts w:ascii="David" w:hAnsi="David" w:hint="cs"/>
          <w:rtl/>
        </w:rPr>
        <w:t xml:space="preserve"> סם</w:t>
      </w:r>
      <w:r>
        <w:rPr>
          <w:rFonts w:ascii="David" w:hAnsi="David"/>
          <w:rtl/>
        </w:rPr>
        <w:t xml:space="preserve"> ידועות ופעם אחר פעם נפסק שיש לראות בחומרה את עבירות הסמים אשר הפכו מכת מדינה וכי תוצאותיהן הישירות והעקיפות הרות אסון לשלומה של החברה, לבריאותה ולביטחונה. במקרה זה לאור </w:t>
      </w:r>
      <w:r>
        <w:rPr>
          <w:rFonts w:ascii="David" w:hAnsi="David" w:hint="cs"/>
          <w:rtl/>
        </w:rPr>
        <w:t xml:space="preserve">מספר השתילים, </w:t>
      </w:r>
      <w:r>
        <w:rPr>
          <w:rFonts w:ascii="David" w:hAnsi="David"/>
          <w:rtl/>
        </w:rPr>
        <w:t>משקל הסם ויתר הנסיבות שיפורטו בהמשך, מידת הפגיעה בערכים</w:t>
      </w:r>
      <w:r>
        <w:rPr>
          <w:rFonts w:ascii="David" w:hAnsi="David" w:hint="cs"/>
          <w:rtl/>
        </w:rPr>
        <w:t xml:space="preserve"> אינה מבוטלת</w:t>
      </w:r>
      <w:r>
        <w:rPr>
          <w:rFonts w:ascii="David" w:hAnsi="David"/>
          <w:rtl/>
        </w:rPr>
        <w:t>.</w:t>
      </w:r>
      <w:r>
        <w:rPr>
          <w:rFonts w:ascii="David" w:hAnsi="David" w:hint="cs"/>
          <w:rtl/>
        </w:rPr>
        <w:t xml:space="preserve"> </w:t>
      </w:r>
    </w:p>
    <w:p w14:paraId="507E7DA9" w14:textId="77777777" w:rsidR="000E27F4" w:rsidRPr="00CD143E" w:rsidRDefault="000E27F4" w:rsidP="000E27F4">
      <w:pPr>
        <w:pStyle w:val="a9"/>
        <w:spacing w:line="360" w:lineRule="auto"/>
        <w:ind w:left="0"/>
        <w:jc w:val="both"/>
        <w:rPr>
          <w:rFonts w:ascii="David" w:hAnsi="David"/>
        </w:rPr>
      </w:pPr>
    </w:p>
    <w:p w14:paraId="1FA7A4EC" w14:textId="77777777" w:rsidR="000E27F4" w:rsidRDefault="000E27F4" w:rsidP="000E27F4">
      <w:pPr>
        <w:pStyle w:val="a9"/>
        <w:numPr>
          <w:ilvl w:val="0"/>
          <w:numId w:val="1"/>
        </w:numPr>
        <w:spacing w:line="360" w:lineRule="auto"/>
        <w:jc w:val="both"/>
        <w:rPr>
          <w:rFonts w:ascii="David" w:hAnsi="David"/>
        </w:rPr>
      </w:pPr>
      <w:r w:rsidRPr="00CD143E">
        <w:rPr>
          <w:rFonts w:ascii="David" w:hAnsi="David"/>
          <w:rtl/>
        </w:rPr>
        <w:t>ביחס לנסיבות ביצ</w:t>
      </w:r>
      <w:r w:rsidRPr="00CD143E">
        <w:rPr>
          <w:rFonts w:ascii="David" w:hAnsi="David" w:hint="cs"/>
          <w:rtl/>
        </w:rPr>
        <w:t>ו</w:t>
      </w:r>
      <w:r w:rsidRPr="00CD143E">
        <w:rPr>
          <w:rFonts w:ascii="David" w:hAnsi="David"/>
          <w:rtl/>
        </w:rPr>
        <w:t>ע העביר</w:t>
      </w:r>
      <w:r w:rsidRPr="00CD143E">
        <w:rPr>
          <w:rFonts w:ascii="David" w:hAnsi="David" w:hint="cs"/>
          <w:rtl/>
        </w:rPr>
        <w:t>ות</w:t>
      </w:r>
      <w:r w:rsidRPr="00CD143E">
        <w:rPr>
          <w:rFonts w:ascii="David" w:hAnsi="David"/>
          <w:rtl/>
        </w:rPr>
        <w:t xml:space="preserve"> אציין </w:t>
      </w:r>
      <w:r w:rsidRPr="00CD143E">
        <w:rPr>
          <w:rFonts w:ascii="David" w:hAnsi="David" w:hint="cs"/>
          <w:rtl/>
        </w:rPr>
        <w:t>ש</w:t>
      </w:r>
      <w:r w:rsidRPr="00CD143E">
        <w:rPr>
          <w:rFonts w:ascii="David" w:hAnsi="David"/>
          <w:rtl/>
        </w:rPr>
        <w:t>גידול סמים מחייב תכנון מוקדם, לימוד, רכישת ציוד, היערכות והתמדה</w:t>
      </w:r>
      <w:r w:rsidRPr="00CD143E">
        <w:rPr>
          <w:rFonts w:ascii="David" w:hAnsi="David" w:hint="cs"/>
          <w:rtl/>
        </w:rPr>
        <w:t xml:space="preserve"> וכן השקעה כספית לא מבוטלת</w:t>
      </w:r>
      <w:r w:rsidRPr="00CD143E">
        <w:rPr>
          <w:rFonts w:ascii="David" w:hAnsi="David"/>
          <w:rtl/>
        </w:rPr>
        <w:t>.</w:t>
      </w:r>
      <w:r w:rsidRPr="00CD143E">
        <w:rPr>
          <w:rFonts w:ascii="David" w:hAnsi="David" w:hint="cs"/>
          <w:rtl/>
        </w:rPr>
        <w:t xml:space="preserve"> במקרה זה שכר הנאשם דירה אותה ייעד לצורך גידול סמים, הקים עמדות בחדרי הדירה וצייד את המקום בכלים בהיקף נרחב יחסית. ביחס לכמות הסם</w:t>
      </w:r>
      <w:r>
        <w:rPr>
          <w:rFonts w:ascii="David" w:hAnsi="David" w:hint="cs"/>
          <w:rtl/>
        </w:rPr>
        <w:t>, אזי</w:t>
      </w:r>
      <w:r w:rsidRPr="00CD143E">
        <w:rPr>
          <w:rFonts w:ascii="David" w:hAnsi="David" w:hint="cs"/>
          <w:rtl/>
        </w:rPr>
        <w:t xml:space="preserve"> מדובר בכמות לא מבוטלת של שתילים </w:t>
      </w:r>
      <w:r w:rsidRPr="00CD143E">
        <w:rPr>
          <w:rFonts w:ascii="David" w:hAnsi="David"/>
          <w:rtl/>
        </w:rPr>
        <w:t>–</w:t>
      </w:r>
      <w:r w:rsidRPr="00CD143E">
        <w:rPr>
          <w:rFonts w:ascii="David" w:hAnsi="David" w:hint="cs"/>
          <w:rtl/>
        </w:rPr>
        <w:t xml:space="preserve"> 163 במספר, ששקלו במעמד התפיסה למעלה מ-13 ק"ג. </w:t>
      </w:r>
      <w:r w:rsidRPr="00CD143E">
        <w:rPr>
          <w:rFonts w:ascii="David" w:hAnsi="David"/>
          <w:rtl/>
        </w:rPr>
        <w:t>נסיבות אלו מלמדות על חומרה ממשית</w:t>
      </w:r>
      <w:r w:rsidRPr="00CD143E">
        <w:rPr>
          <w:rFonts w:ascii="David" w:hAnsi="David" w:hint="cs"/>
          <w:rtl/>
        </w:rPr>
        <w:t>;</w:t>
      </w:r>
      <w:r w:rsidRPr="00CD143E">
        <w:rPr>
          <w:rFonts w:ascii="David" w:hAnsi="David"/>
          <w:rtl/>
        </w:rPr>
        <w:t xml:space="preserve"> </w:t>
      </w:r>
      <w:r>
        <w:rPr>
          <w:rFonts w:ascii="David" w:hAnsi="David" w:hint="cs"/>
          <w:rtl/>
        </w:rPr>
        <w:t xml:space="preserve">הן </w:t>
      </w:r>
      <w:r w:rsidRPr="00CD143E">
        <w:rPr>
          <w:rFonts w:ascii="David" w:hAnsi="David"/>
          <w:rtl/>
        </w:rPr>
        <w:t>מעידות על עיסוק והתמקצעות בסמים</w:t>
      </w:r>
      <w:r w:rsidRPr="00CD143E">
        <w:rPr>
          <w:rFonts w:ascii="David" w:hAnsi="David" w:hint="cs"/>
          <w:rtl/>
        </w:rPr>
        <w:t>;</w:t>
      </w:r>
      <w:r w:rsidRPr="00CD143E">
        <w:rPr>
          <w:rFonts w:ascii="David" w:hAnsi="David"/>
          <w:rtl/>
        </w:rPr>
        <w:t xml:space="preserve"> ו</w:t>
      </w:r>
      <w:r>
        <w:rPr>
          <w:rFonts w:ascii="David" w:hAnsi="David" w:hint="cs"/>
          <w:rtl/>
        </w:rPr>
        <w:t xml:space="preserve">הן </w:t>
      </w:r>
      <w:r w:rsidRPr="00CD143E">
        <w:rPr>
          <w:rFonts w:ascii="David" w:hAnsi="David"/>
          <w:rtl/>
        </w:rPr>
        <w:t>מתיישבות היטב עם ציפייה לרווח.</w:t>
      </w:r>
      <w:r w:rsidRPr="00CD143E">
        <w:rPr>
          <w:rFonts w:ascii="David" w:hAnsi="David" w:hint="cs"/>
          <w:rtl/>
        </w:rPr>
        <w:t xml:space="preserve"> </w:t>
      </w:r>
      <w:r w:rsidRPr="00CD143E">
        <w:rPr>
          <w:rFonts w:ascii="David" w:hAnsi="David"/>
          <w:rtl/>
        </w:rPr>
        <w:t>ביחס לסיבה בגינה בוצע</w:t>
      </w:r>
      <w:r w:rsidRPr="00CD143E">
        <w:rPr>
          <w:rFonts w:ascii="David" w:hAnsi="David" w:hint="cs"/>
          <w:rtl/>
        </w:rPr>
        <w:t>ו</w:t>
      </w:r>
      <w:r w:rsidRPr="00CD143E">
        <w:rPr>
          <w:rFonts w:ascii="David" w:hAnsi="David"/>
          <w:rtl/>
        </w:rPr>
        <w:t xml:space="preserve"> העביר</w:t>
      </w:r>
      <w:r w:rsidRPr="00CD143E">
        <w:rPr>
          <w:rFonts w:ascii="David" w:hAnsi="David" w:hint="cs"/>
          <w:rtl/>
        </w:rPr>
        <w:t>ות</w:t>
      </w:r>
      <w:r w:rsidRPr="00CD143E">
        <w:rPr>
          <w:rFonts w:ascii="David" w:hAnsi="David"/>
          <w:rtl/>
        </w:rPr>
        <w:t xml:space="preserve"> אציין </w:t>
      </w:r>
      <w:r w:rsidRPr="00CD143E">
        <w:rPr>
          <w:rFonts w:ascii="David" w:hAnsi="David" w:hint="cs"/>
          <w:rtl/>
        </w:rPr>
        <w:t>שהסנגור</w:t>
      </w:r>
      <w:r w:rsidRPr="00CD143E">
        <w:rPr>
          <w:rFonts w:ascii="David" w:hAnsi="David"/>
          <w:rtl/>
        </w:rPr>
        <w:t xml:space="preserve"> </w:t>
      </w:r>
      <w:r w:rsidRPr="00CD143E">
        <w:rPr>
          <w:rFonts w:ascii="David" w:hAnsi="David" w:hint="cs"/>
          <w:rtl/>
        </w:rPr>
        <w:t>טען</w:t>
      </w:r>
      <w:r w:rsidRPr="00CD143E">
        <w:rPr>
          <w:rFonts w:ascii="David" w:hAnsi="David"/>
          <w:rtl/>
        </w:rPr>
        <w:t xml:space="preserve"> שהגידול בוצע למטרת שימוש עצמי, </w:t>
      </w:r>
      <w:r w:rsidRPr="00CD143E">
        <w:rPr>
          <w:rFonts w:ascii="David" w:hAnsi="David" w:hint="cs"/>
          <w:rtl/>
        </w:rPr>
        <w:t xml:space="preserve">וכך גם טען הנאשם, אך אין בידי לקבל טענה זו. לאור הודאת הנאשם בכתב האישום </w:t>
      </w:r>
      <w:r>
        <w:rPr>
          <w:rFonts w:ascii="David" w:hAnsi="David" w:hint="cs"/>
          <w:rtl/>
        </w:rPr>
        <w:t xml:space="preserve">בו לא נכללו עובדות אלו, </w:t>
      </w:r>
      <w:r w:rsidRPr="00CD143E">
        <w:rPr>
          <w:rFonts w:ascii="David" w:hAnsi="David"/>
          <w:color w:val="000000"/>
          <w:rtl/>
        </w:rPr>
        <w:t xml:space="preserve">לא ראיתי לקבוע ממצאים </w:t>
      </w:r>
      <w:r w:rsidRPr="00CD143E">
        <w:rPr>
          <w:rFonts w:ascii="David" w:hAnsi="David" w:hint="cs"/>
          <w:color w:val="000000"/>
          <w:rtl/>
        </w:rPr>
        <w:t>מקלים על בסיס טיעון שלא הוכח, לא כל שכן לאור כמות הסמים</w:t>
      </w:r>
      <w:r>
        <w:rPr>
          <w:rFonts w:ascii="David" w:hAnsi="David" w:hint="cs"/>
          <w:color w:val="000000"/>
          <w:rtl/>
        </w:rPr>
        <w:t>,</w:t>
      </w:r>
      <w:r w:rsidRPr="00CD143E">
        <w:rPr>
          <w:rFonts w:ascii="David" w:hAnsi="David" w:hint="cs"/>
          <w:color w:val="000000"/>
          <w:rtl/>
        </w:rPr>
        <w:t xml:space="preserve"> שאינה מתיישבת עם טענה זו. יתרה מזו, הנאשם הורשע </w:t>
      </w:r>
      <w:r>
        <w:rPr>
          <w:rFonts w:ascii="David" w:hAnsi="David" w:hint="cs"/>
          <w:color w:val="000000"/>
          <w:rtl/>
        </w:rPr>
        <w:t xml:space="preserve">גם </w:t>
      </w:r>
      <w:r w:rsidRPr="00CD143E">
        <w:rPr>
          <w:rFonts w:ascii="David" w:hAnsi="David" w:hint="cs"/>
          <w:color w:val="000000"/>
          <w:rtl/>
        </w:rPr>
        <w:t>בעבירת החזקת</w:t>
      </w:r>
      <w:r>
        <w:rPr>
          <w:rFonts w:ascii="David" w:hAnsi="David" w:hint="cs"/>
          <w:color w:val="000000"/>
          <w:rtl/>
        </w:rPr>
        <w:t xml:space="preserve"> </w:t>
      </w:r>
      <w:r w:rsidRPr="00CD143E">
        <w:rPr>
          <w:rFonts w:ascii="David" w:hAnsi="David" w:hint="cs"/>
          <w:color w:val="000000"/>
          <w:rtl/>
        </w:rPr>
        <w:t>כלים</w:t>
      </w:r>
      <w:r>
        <w:rPr>
          <w:rFonts w:ascii="David" w:hAnsi="David" w:hint="cs"/>
          <w:color w:val="000000"/>
          <w:rtl/>
        </w:rPr>
        <w:t xml:space="preserve"> ששימשו לגידול הסמים וזאת </w:t>
      </w:r>
      <w:r w:rsidRPr="00651327">
        <w:rPr>
          <w:rFonts w:ascii="David" w:hAnsi="David" w:hint="cs"/>
          <w:color w:val="000000"/>
          <w:u w:val="single"/>
          <w:rtl/>
        </w:rPr>
        <w:t>שלא</w:t>
      </w:r>
      <w:r w:rsidRPr="00CD143E">
        <w:rPr>
          <w:rFonts w:ascii="David" w:hAnsi="David" w:hint="cs"/>
          <w:color w:val="000000"/>
          <w:rtl/>
        </w:rPr>
        <w:t xml:space="preserve"> לצריכה עצמית וטיעונו אפוא </w:t>
      </w:r>
      <w:r>
        <w:rPr>
          <w:rFonts w:ascii="David" w:hAnsi="David" w:hint="cs"/>
          <w:color w:val="000000"/>
          <w:rtl/>
        </w:rPr>
        <w:t xml:space="preserve">אף </w:t>
      </w:r>
      <w:r w:rsidRPr="00CD143E">
        <w:rPr>
          <w:rFonts w:ascii="David" w:hAnsi="David" w:hint="cs"/>
          <w:color w:val="000000"/>
          <w:rtl/>
        </w:rPr>
        <w:t xml:space="preserve">סותר את האמור בכתב האישום. </w:t>
      </w:r>
    </w:p>
    <w:p w14:paraId="7D6EB41E" w14:textId="77777777" w:rsidR="000E27F4" w:rsidRPr="00651327" w:rsidRDefault="000E27F4" w:rsidP="000E27F4">
      <w:pPr>
        <w:pStyle w:val="a9"/>
        <w:rPr>
          <w:rFonts w:ascii="David" w:hAnsi="David"/>
          <w:rtl/>
        </w:rPr>
      </w:pPr>
    </w:p>
    <w:p w14:paraId="1B00E08E" w14:textId="77777777" w:rsidR="000E27F4" w:rsidRPr="000D672C" w:rsidRDefault="000E27F4" w:rsidP="000E27F4">
      <w:pPr>
        <w:pStyle w:val="a9"/>
        <w:numPr>
          <w:ilvl w:val="0"/>
          <w:numId w:val="1"/>
        </w:numPr>
        <w:spacing w:line="360" w:lineRule="auto"/>
        <w:jc w:val="both"/>
        <w:rPr>
          <w:rFonts w:ascii="David" w:hAnsi="David"/>
          <w:b/>
          <w:bCs/>
        </w:rPr>
      </w:pPr>
      <w:r w:rsidRPr="00973F9D">
        <w:rPr>
          <w:rFonts w:ascii="David" w:hAnsi="David"/>
          <w:rtl/>
        </w:rPr>
        <w:t xml:space="preserve">הענישה המוטלת בעבירות מסוג זה משתנה ממקרה למקרה והיא תלויה בין היתר בכמות הסם (מספר השתילים והמשקל) ובנסיבותיו של הנאשם (עבר פלילי, שיקום, תסקיר חיובי וכיוצב'). </w:t>
      </w:r>
      <w:r w:rsidRPr="00973F9D">
        <w:rPr>
          <w:rFonts w:ascii="David" w:hAnsi="David"/>
          <w:rtl/>
        </w:rPr>
        <w:lastRenderedPageBreak/>
        <w:t>עם זאת נקבע לא אחת כי יש להחמיר עם אלו שמגדלים סמים. ראו למשל</w:t>
      </w:r>
      <w:r>
        <w:rPr>
          <w:rFonts w:ascii="David" w:hAnsi="David" w:hint="cs"/>
          <w:rtl/>
        </w:rPr>
        <w:t xml:space="preserve"> </w:t>
      </w:r>
      <w:hyperlink r:id="rId13" w:history="1">
        <w:r w:rsidR="009F49A1" w:rsidRPr="009F49A1">
          <w:rPr>
            <w:rFonts w:ascii="David" w:hAnsi="David"/>
            <w:color w:val="0000FF"/>
            <w:u w:val="single"/>
            <w:rtl/>
          </w:rPr>
          <w:t>רע"פ 2917/23</w:t>
        </w:r>
      </w:hyperlink>
      <w:r w:rsidRPr="000D672C">
        <w:rPr>
          <w:rFonts w:ascii="David" w:hAnsi="David"/>
          <w:b/>
          <w:bCs/>
          <w:rtl/>
        </w:rPr>
        <w:t xml:space="preserve"> אבי וזאנה נ' מדינת ישראל</w:t>
      </w:r>
      <w:r>
        <w:rPr>
          <w:rFonts w:ascii="David" w:hAnsi="David" w:hint="cs"/>
          <w:rtl/>
        </w:rPr>
        <w:t xml:space="preserve"> (24.5.2023):</w:t>
      </w:r>
    </w:p>
    <w:p w14:paraId="0BB37298" w14:textId="77777777" w:rsidR="000E27F4" w:rsidRPr="000D672C" w:rsidRDefault="000E27F4" w:rsidP="000E27F4">
      <w:pPr>
        <w:pStyle w:val="a9"/>
        <w:rPr>
          <w:rFonts w:ascii="David" w:hAnsi="David"/>
          <w:rtl/>
        </w:rPr>
      </w:pPr>
    </w:p>
    <w:p w14:paraId="7E3FDDDF" w14:textId="77777777" w:rsidR="000E27F4" w:rsidRDefault="000E27F4" w:rsidP="000E27F4">
      <w:pPr>
        <w:pStyle w:val="a9"/>
        <w:ind w:left="1134" w:right="1134"/>
        <w:jc w:val="both"/>
        <w:rPr>
          <w:rFonts w:ascii="David" w:hAnsi="David"/>
        </w:rPr>
      </w:pPr>
      <w:r>
        <w:rPr>
          <w:rFonts w:ascii="David" w:hAnsi="David" w:hint="cs"/>
          <w:rtl/>
        </w:rPr>
        <w:t>"</w:t>
      </w:r>
      <w:r w:rsidRPr="000D672C">
        <w:rPr>
          <w:rFonts w:ascii="Miriam" w:hAnsi="Miriam" w:cs="Miriam"/>
          <w:rtl/>
        </w:rPr>
        <w:t>בית משפט זה הדגיש לא אחת את החומרה הרבה הטמונה בעבירות סמים מסוכנים, הפוגעות בצורה ישירה בצרכני הסמים ויוצרות סכנה עקיפה לציבור בכללותו. עוד הובהר, כי על מנת לגדוע את שרשרת הפצת הסם כבר מראשיתה, יש צורך במדיניות ענישה מחמירה אשר יהיה בה כדי להרתיע עבריינים פוטנציאליים מביצוע עבירות של ייצור, הכנה והפקה של סמים מסוכנים</w:t>
      </w:r>
      <w:r>
        <w:rPr>
          <w:rFonts w:ascii="David" w:hAnsi="David" w:hint="cs"/>
          <w:rtl/>
        </w:rPr>
        <w:t>"</w:t>
      </w:r>
    </w:p>
    <w:p w14:paraId="732FBE1A" w14:textId="77777777" w:rsidR="000E27F4" w:rsidRDefault="000E27F4" w:rsidP="000E27F4">
      <w:pPr>
        <w:pStyle w:val="a9"/>
        <w:spacing w:line="360" w:lineRule="auto"/>
        <w:ind w:left="0"/>
        <w:jc w:val="both"/>
        <w:rPr>
          <w:rFonts w:ascii="David" w:hAnsi="David"/>
          <w:rtl/>
        </w:rPr>
      </w:pPr>
    </w:p>
    <w:p w14:paraId="099CE2A9" w14:textId="77777777" w:rsidR="000E27F4" w:rsidRPr="00973F9D" w:rsidRDefault="000E27F4" w:rsidP="000E27F4">
      <w:pPr>
        <w:pStyle w:val="a9"/>
        <w:spacing w:line="360" w:lineRule="auto"/>
        <w:ind w:left="0"/>
        <w:jc w:val="both"/>
        <w:rPr>
          <w:rFonts w:ascii="David" w:hAnsi="David"/>
          <w:rtl/>
        </w:rPr>
      </w:pPr>
      <w:r>
        <w:rPr>
          <w:rFonts w:ascii="David" w:hAnsi="David"/>
          <w:rtl/>
        </w:rPr>
        <w:tab/>
      </w:r>
      <w:r>
        <w:rPr>
          <w:rFonts w:ascii="David" w:hAnsi="David" w:hint="cs"/>
          <w:rtl/>
        </w:rPr>
        <w:t xml:space="preserve">וראו גם: </w:t>
      </w:r>
      <w:hyperlink r:id="rId14" w:history="1">
        <w:r w:rsidR="009F49A1" w:rsidRPr="009F49A1">
          <w:rPr>
            <w:rFonts w:ascii="David" w:hAnsi="David"/>
            <w:color w:val="0000FF"/>
            <w:u w:val="single"/>
            <w:rtl/>
          </w:rPr>
          <w:t>ע"פ 4387/20</w:t>
        </w:r>
      </w:hyperlink>
      <w:r w:rsidRPr="00973F9D">
        <w:rPr>
          <w:rFonts w:ascii="David" w:hAnsi="David"/>
          <w:rtl/>
        </w:rPr>
        <w:t xml:space="preserve"> </w:t>
      </w:r>
      <w:r w:rsidRPr="00973F9D">
        <w:rPr>
          <w:rFonts w:ascii="David" w:hAnsi="David"/>
          <w:b/>
          <w:bCs/>
          <w:rtl/>
        </w:rPr>
        <w:t>מדינת ישראל נ' טל דרור</w:t>
      </w:r>
      <w:r w:rsidRPr="00973F9D">
        <w:rPr>
          <w:rFonts w:ascii="David" w:hAnsi="David"/>
          <w:rtl/>
        </w:rPr>
        <w:t xml:space="preserve"> (8.2.2021):</w:t>
      </w:r>
    </w:p>
    <w:p w14:paraId="62B02092" w14:textId="77777777" w:rsidR="000E27F4" w:rsidRDefault="000E27F4" w:rsidP="000E27F4">
      <w:pPr>
        <w:pStyle w:val="a9"/>
        <w:spacing w:line="360" w:lineRule="auto"/>
        <w:ind w:left="0"/>
        <w:jc w:val="both"/>
        <w:rPr>
          <w:rFonts w:ascii="David" w:hAnsi="David"/>
          <w:rtl/>
        </w:rPr>
      </w:pPr>
    </w:p>
    <w:p w14:paraId="19DE5D34" w14:textId="77777777" w:rsidR="000E27F4" w:rsidRDefault="000E27F4" w:rsidP="000E27F4">
      <w:pPr>
        <w:pStyle w:val="a9"/>
        <w:ind w:left="1134" w:right="1134"/>
        <w:jc w:val="both"/>
        <w:rPr>
          <w:rFonts w:ascii="David" w:hAnsi="David"/>
          <w:rtl/>
        </w:rPr>
      </w:pPr>
      <w:r w:rsidRPr="00973F9D">
        <w:rPr>
          <w:rFonts w:ascii="David" w:hAnsi="David"/>
          <w:rtl/>
        </w:rPr>
        <w:t>"</w:t>
      </w:r>
      <w:r w:rsidRPr="00973F9D">
        <w:rPr>
          <w:rFonts w:ascii="Miriam" w:hAnsi="Miriam" w:cs="Miriam"/>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r w:rsidRPr="00973F9D">
        <w:rPr>
          <w:rFonts w:ascii="David" w:hAnsi="David"/>
          <w:rtl/>
        </w:rPr>
        <w:t xml:space="preserve">" </w:t>
      </w:r>
    </w:p>
    <w:p w14:paraId="02AA5768" w14:textId="77777777" w:rsidR="000E27F4" w:rsidRDefault="000E27F4" w:rsidP="000E27F4">
      <w:pPr>
        <w:pStyle w:val="a9"/>
        <w:ind w:left="1134" w:right="1134"/>
        <w:jc w:val="both"/>
        <w:rPr>
          <w:rFonts w:ascii="David" w:hAnsi="David"/>
          <w:rtl/>
        </w:rPr>
      </w:pPr>
    </w:p>
    <w:p w14:paraId="5BE7D725" w14:textId="77777777" w:rsidR="000E27F4" w:rsidRPr="00973F9D" w:rsidRDefault="000E27F4" w:rsidP="000E27F4">
      <w:pPr>
        <w:pStyle w:val="a9"/>
        <w:ind w:left="1134" w:right="1134"/>
        <w:jc w:val="both"/>
        <w:rPr>
          <w:rFonts w:ascii="David" w:hAnsi="David"/>
          <w:rtl/>
        </w:rPr>
      </w:pPr>
      <w:r w:rsidRPr="00973F9D">
        <w:rPr>
          <w:rFonts w:ascii="David" w:hAnsi="David"/>
          <w:rtl/>
        </w:rPr>
        <w:t xml:space="preserve">ראו גם </w:t>
      </w:r>
      <w:hyperlink r:id="rId15" w:history="1">
        <w:r w:rsidR="009F49A1" w:rsidRPr="009F49A1">
          <w:rPr>
            <w:rFonts w:ascii="David" w:hAnsi="David"/>
            <w:color w:val="0000FF"/>
            <w:u w:val="single"/>
            <w:rtl/>
          </w:rPr>
          <w:t>רע"פ 3287/21</w:t>
        </w:r>
      </w:hyperlink>
      <w:r w:rsidRPr="00973F9D">
        <w:rPr>
          <w:rFonts w:ascii="David" w:hAnsi="David"/>
          <w:rtl/>
        </w:rPr>
        <w:t xml:space="preserve"> </w:t>
      </w:r>
      <w:r w:rsidRPr="00973F9D">
        <w:rPr>
          <w:rFonts w:ascii="David" w:hAnsi="David"/>
          <w:b/>
          <w:bCs/>
          <w:rtl/>
        </w:rPr>
        <w:t>זארע עתמין נ' מדינת ישראל</w:t>
      </w:r>
      <w:r w:rsidRPr="00973F9D">
        <w:rPr>
          <w:rFonts w:ascii="David" w:hAnsi="David"/>
          <w:rtl/>
        </w:rPr>
        <w:t xml:space="preserve"> (15.2.2021); </w:t>
      </w:r>
      <w:hyperlink r:id="rId16" w:history="1">
        <w:r w:rsidR="009F49A1" w:rsidRPr="009F49A1">
          <w:rPr>
            <w:rFonts w:ascii="David" w:hAnsi="David"/>
            <w:color w:val="0000FF"/>
            <w:u w:val="single"/>
            <w:rtl/>
          </w:rPr>
          <w:t>ע"פ 8048/19</w:t>
        </w:r>
      </w:hyperlink>
      <w:r w:rsidRPr="00973F9D">
        <w:rPr>
          <w:rFonts w:ascii="David" w:hAnsi="David"/>
          <w:rtl/>
        </w:rPr>
        <w:t xml:space="preserve"> </w:t>
      </w:r>
      <w:r w:rsidRPr="00973F9D">
        <w:rPr>
          <w:rFonts w:ascii="David" w:hAnsi="David"/>
          <w:b/>
          <w:bCs/>
          <w:rtl/>
        </w:rPr>
        <w:t xml:space="preserve">פיצ'חדזה נ' מדינת ישראל </w:t>
      </w:r>
      <w:r w:rsidRPr="00973F9D">
        <w:rPr>
          <w:rFonts w:ascii="David" w:hAnsi="David"/>
          <w:rtl/>
        </w:rPr>
        <w:t>(4.6.2020).</w:t>
      </w:r>
    </w:p>
    <w:p w14:paraId="68358048" w14:textId="77777777" w:rsidR="000E27F4" w:rsidRDefault="000E27F4" w:rsidP="000E27F4">
      <w:pPr>
        <w:spacing w:line="360" w:lineRule="auto"/>
        <w:jc w:val="both"/>
        <w:rPr>
          <w:rFonts w:ascii="David" w:hAnsi="David"/>
          <w:rtl/>
        </w:rPr>
      </w:pPr>
    </w:p>
    <w:p w14:paraId="678732D4" w14:textId="77777777" w:rsidR="000E27F4" w:rsidRDefault="000E27F4" w:rsidP="000E27F4">
      <w:pPr>
        <w:pStyle w:val="a9"/>
        <w:numPr>
          <w:ilvl w:val="0"/>
          <w:numId w:val="1"/>
        </w:numPr>
        <w:spacing w:line="360" w:lineRule="auto"/>
        <w:jc w:val="both"/>
        <w:rPr>
          <w:rFonts w:ascii="David" w:hAnsi="David"/>
        </w:rPr>
      </w:pPr>
      <w:r w:rsidRPr="00973F9D">
        <w:rPr>
          <w:rFonts w:ascii="David" w:hAnsi="David"/>
          <w:rtl/>
        </w:rPr>
        <w:t xml:space="preserve">לצורך בחינת מדיניות הענישה הנוהגת ניתן להפנות לפסקי הדין הבאים, בשינויים המחויבים: </w:t>
      </w:r>
      <w:hyperlink r:id="rId17" w:history="1">
        <w:r w:rsidR="009F49A1" w:rsidRPr="009F49A1">
          <w:rPr>
            <w:rFonts w:ascii="David" w:hAnsi="David"/>
            <w:color w:val="0000FF"/>
            <w:u w:val="single"/>
            <w:rtl/>
          </w:rPr>
          <w:t>רע"פ 7166-23</w:t>
        </w:r>
      </w:hyperlink>
      <w:r w:rsidRPr="00DC301A">
        <w:rPr>
          <w:rFonts w:ascii="David" w:hAnsi="David"/>
          <w:rtl/>
        </w:rPr>
        <w:t xml:space="preserve"> </w:t>
      </w:r>
      <w:r w:rsidRPr="00DC301A">
        <w:rPr>
          <w:rFonts w:ascii="David" w:hAnsi="David"/>
          <w:b/>
          <w:bCs/>
          <w:rtl/>
        </w:rPr>
        <w:t>עופר אמסלם נ' מדינת ישראל</w:t>
      </w:r>
      <w:r>
        <w:rPr>
          <w:rFonts w:ascii="David" w:hAnsi="David" w:hint="cs"/>
          <w:rtl/>
        </w:rPr>
        <w:t xml:space="preserve"> (28.9.2023), בו נידון עניינו של נאשם שהורשע בשני כתבי אישום בעבירות גידול סמים, החזקת סמים והחזקת כלים בכך שבשני מועדים נתפס מגדל במעבדות סמים שהקים 98-99 שתילי קנבוס. בית משפט השלום קבע מתחם ענישה לכל כתב האישום הנע בין 10-36 חודשי מאסר בפועל והנאשם נידון לתשעה חודשי מאסר לריצוי בעבודות שירות. ערעור המדינה התקבל ועונשו הוחמר ל-10 חודשי מאסר ובקשת רשות ערעור שהגיש נדחתה; </w:t>
      </w:r>
      <w:hyperlink r:id="rId18" w:history="1">
        <w:r w:rsidR="009F49A1" w:rsidRPr="009F49A1">
          <w:rPr>
            <w:rFonts w:ascii="David" w:hAnsi="David"/>
            <w:color w:val="0000FF"/>
            <w:u w:val="single"/>
            <w:rtl/>
          </w:rPr>
          <w:t>רע"פ 2917/23</w:t>
        </w:r>
      </w:hyperlink>
      <w:r w:rsidRPr="000D672C">
        <w:rPr>
          <w:rFonts w:ascii="David" w:hAnsi="David"/>
          <w:b/>
          <w:bCs/>
          <w:rtl/>
        </w:rPr>
        <w:t xml:space="preserve"> אבי וזאנה נ' מדינת ישראל</w:t>
      </w:r>
      <w:r>
        <w:rPr>
          <w:rFonts w:ascii="David" w:hAnsi="David" w:hint="cs"/>
          <w:rtl/>
        </w:rPr>
        <w:t xml:space="preserve"> (24.5.2023), בו הוחמר עונשו של נאשם שגידל 369 שתילים במשקל של למעלה מ-48 ק"ג ממאסר לריצוי בעבודות שירות ל-16 חודשי מאסר בפועל; </w:t>
      </w:r>
      <w:hyperlink r:id="rId19" w:history="1">
        <w:r w:rsidR="009F49A1" w:rsidRPr="009F49A1">
          <w:rPr>
            <w:rFonts w:ascii="David" w:hAnsi="David"/>
            <w:color w:val="0000FF"/>
            <w:u w:val="single"/>
            <w:rtl/>
          </w:rPr>
          <w:t>רע"פ 1530-23</w:t>
        </w:r>
      </w:hyperlink>
      <w:r w:rsidRPr="006B48D5">
        <w:rPr>
          <w:rFonts w:ascii="David" w:hAnsi="David"/>
          <w:rtl/>
        </w:rPr>
        <w:t xml:space="preserve"> </w:t>
      </w:r>
      <w:r w:rsidRPr="006B48D5">
        <w:rPr>
          <w:rFonts w:ascii="David" w:hAnsi="David"/>
          <w:b/>
          <w:bCs/>
          <w:rtl/>
        </w:rPr>
        <w:t>הדר בן אביב רגב נ' מדינת ישראל</w:t>
      </w:r>
      <w:r>
        <w:rPr>
          <w:rFonts w:ascii="David" w:hAnsi="David" w:hint="cs"/>
          <w:rtl/>
        </w:rPr>
        <w:t xml:space="preserve"> (15.3.2023), בו נידון עניינו של נאשם שגידל (בסיועם של אחרים) 289 שתילי קנבוס במשקל כולל של 41 ק"ג במעבדה ובה כלים רבים. הנאשם נידון ל-14 חודשי מאסר בפועל. בית המשפט העליון ציין כי "</w:t>
      </w:r>
      <w:r w:rsidRPr="009B0F3C">
        <w:rPr>
          <w:rFonts w:ascii="Miriam" w:hAnsi="Miriam" w:cs="Miriam"/>
          <w:rtl/>
        </w:rPr>
        <w:t>עונש זה אינו בגדר סטייה מהותית ממדיניות הענישה הנוהגת בנסיבות דומות, שכן הוא מיישם באופן הולם את כללי רכיבי הענישה הקבועים בדין</w:t>
      </w:r>
      <w:r>
        <w:rPr>
          <w:rFonts w:ascii="David" w:hAnsi="David" w:hint="cs"/>
          <w:rtl/>
        </w:rPr>
        <w:t xml:space="preserve">"; </w:t>
      </w:r>
      <w:hyperlink r:id="rId20" w:history="1">
        <w:r w:rsidR="009F49A1" w:rsidRPr="009F49A1">
          <w:rPr>
            <w:rFonts w:ascii="David" w:hAnsi="David"/>
            <w:color w:val="0000FF"/>
            <w:u w:val="single"/>
            <w:rtl/>
          </w:rPr>
          <w:t>רע"פ 2277/21</w:t>
        </w:r>
      </w:hyperlink>
      <w:r w:rsidRPr="00973F9D">
        <w:rPr>
          <w:rFonts w:ascii="David" w:hAnsi="David"/>
          <w:rtl/>
        </w:rPr>
        <w:t xml:space="preserve"> </w:t>
      </w:r>
      <w:r w:rsidRPr="000D672C">
        <w:rPr>
          <w:rFonts w:ascii="David" w:hAnsi="David"/>
          <w:b/>
          <w:bCs/>
          <w:rtl/>
        </w:rPr>
        <w:t>אברהם יוחננוב נ' מדינת ישראל</w:t>
      </w:r>
      <w:r w:rsidRPr="00973F9D">
        <w:rPr>
          <w:rFonts w:ascii="David" w:hAnsi="David"/>
          <w:rtl/>
        </w:rPr>
        <w:t xml:space="preserve"> (8.4.2021), בו נידון עניינו של נאשם שהורשע בעבירות גידול סמים והחזקת סמים שלא לצריכה עצמית במשקל קילוגרם אחד (לא צוינו מספר השתילים) ונגזרו עליו שישה חודשי מאסר לריצוי בדרך של עבודות שירות ועונשים נלווים; </w:t>
      </w:r>
      <w:hyperlink r:id="rId21" w:history="1">
        <w:r w:rsidR="009F49A1" w:rsidRPr="009F49A1">
          <w:rPr>
            <w:rFonts w:ascii="David" w:hAnsi="David"/>
            <w:color w:val="0000FF"/>
            <w:u w:val="single"/>
            <w:rtl/>
          </w:rPr>
          <w:t>רע"פ 513/21</w:t>
        </w:r>
      </w:hyperlink>
      <w:r w:rsidRPr="00973F9D">
        <w:rPr>
          <w:rFonts w:ascii="David" w:hAnsi="David"/>
          <w:rtl/>
        </w:rPr>
        <w:t xml:space="preserve"> </w:t>
      </w:r>
      <w:r w:rsidRPr="000D672C">
        <w:rPr>
          <w:rFonts w:ascii="David" w:hAnsi="David"/>
          <w:b/>
          <w:bCs/>
          <w:rtl/>
        </w:rPr>
        <w:t>עידן יהושע נ' מדינת ישראל</w:t>
      </w:r>
      <w:r w:rsidRPr="00973F9D">
        <w:rPr>
          <w:rFonts w:ascii="David" w:hAnsi="David"/>
          <w:rtl/>
        </w:rPr>
        <w:t xml:space="preserve"> (4.3.2021), בו נידון נאשם שגידל 60 שתילים במשקל כולל של 10 ק"ג והחזיק כלים המשמשים להכנת סם מסוכן, לעשרה חודשי מאסר בפועל וזאת למרות הליך שיקומי שעבר; </w:t>
      </w:r>
      <w:hyperlink r:id="rId22" w:history="1">
        <w:r w:rsidR="009F49A1" w:rsidRPr="009F49A1">
          <w:rPr>
            <w:rFonts w:ascii="David" w:hAnsi="David"/>
            <w:color w:val="0000FF"/>
            <w:u w:val="single"/>
            <w:rtl/>
          </w:rPr>
          <w:t>רע"פ 2151/21</w:t>
        </w:r>
      </w:hyperlink>
      <w:r w:rsidRPr="00973F9D">
        <w:rPr>
          <w:rFonts w:ascii="David" w:hAnsi="David"/>
          <w:rtl/>
        </w:rPr>
        <w:t xml:space="preserve"> </w:t>
      </w:r>
      <w:r w:rsidRPr="000D672C">
        <w:rPr>
          <w:rFonts w:ascii="David" w:hAnsi="David"/>
          <w:b/>
          <w:bCs/>
          <w:rtl/>
        </w:rPr>
        <w:t>שחף דהן נ' מדינת ישראל</w:t>
      </w:r>
      <w:r w:rsidRPr="00973F9D">
        <w:rPr>
          <w:rFonts w:ascii="David" w:hAnsi="David"/>
          <w:rtl/>
        </w:rPr>
        <w:t xml:space="preserve"> (7.4.2021), בו נידון נאשם ל-18 חודשי מאסר בגין גידול 100 שתילי קנבוס במשקל כולל של 23 ק"ג. עברו של הנאשם היה נקי אך התסקיר בעניינו היה שלילי; </w:t>
      </w:r>
      <w:hyperlink r:id="rId23" w:history="1">
        <w:r w:rsidR="009F49A1" w:rsidRPr="009F49A1">
          <w:rPr>
            <w:rFonts w:ascii="David" w:hAnsi="David"/>
            <w:color w:val="0000FF"/>
            <w:u w:val="single"/>
            <w:rtl/>
          </w:rPr>
          <w:t>רע"פ 7009/20</w:t>
        </w:r>
      </w:hyperlink>
      <w:r w:rsidRPr="00973F9D">
        <w:rPr>
          <w:rFonts w:ascii="David" w:hAnsi="David"/>
          <w:rtl/>
        </w:rPr>
        <w:t xml:space="preserve"> ‏</w:t>
      </w:r>
      <w:r w:rsidRPr="000D672C">
        <w:rPr>
          <w:rFonts w:ascii="David" w:hAnsi="David"/>
          <w:b/>
          <w:bCs/>
          <w:rtl/>
        </w:rPr>
        <w:t>בוריס ישראילוב נ' מדינת ישראל</w:t>
      </w:r>
      <w:r w:rsidRPr="00973F9D">
        <w:rPr>
          <w:rFonts w:ascii="David" w:hAnsi="David"/>
          <w:rtl/>
        </w:rPr>
        <w:t xml:space="preserve"> (6.12.2020), בו נידון נאשם שגידל 22 ק"ג קנבוס (לא צוינו מספר השתילים) ל-13 חודשי מאסר בפועל, חרף המלצה חיובית של שירות המבחן</w:t>
      </w:r>
      <w:r>
        <w:rPr>
          <w:rFonts w:ascii="David" w:hAnsi="David" w:hint="cs"/>
          <w:rtl/>
        </w:rPr>
        <w:t xml:space="preserve">; </w:t>
      </w:r>
      <w:hyperlink r:id="rId24" w:history="1">
        <w:r w:rsidR="009F49A1" w:rsidRPr="009F49A1">
          <w:rPr>
            <w:rFonts w:ascii="David" w:hAnsi="David"/>
            <w:color w:val="0000FF"/>
            <w:u w:val="single"/>
            <w:rtl/>
          </w:rPr>
          <w:t>עפ"ג 54910-04-21</w:t>
        </w:r>
      </w:hyperlink>
      <w:r w:rsidRPr="00940450">
        <w:rPr>
          <w:rFonts w:ascii="David" w:hAnsi="David"/>
          <w:rtl/>
        </w:rPr>
        <w:t xml:space="preserve"> </w:t>
      </w:r>
      <w:r w:rsidRPr="00940450">
        <w:rPr>
          <w:rFonts w:ascii="David" w:hAnsi="David"/>
          <w:b/>
          <w:bCs/>
          <w:rtl/>
        </w:rPr>
        <w:t>מדינת ישראל נ' בן עזרי</w:t>
      </w:r>
      <w:r w:rsidRPr="00940450">
        <w:rPr>
          <w:rFonts w:ascii="David" w:hAnsi="David"/>
          <w:rtl/>
        </w:rPr>
        <w:t xml:space="preserve"> (19.7.2021), בו נידון נאשם שגידל 100 שתילי קנבוס במשקל של כ-17 ק"ג לתשעה חודשי מאסר בעבודות שירות ועונשים נלווים.</w:t>
      </w:r>
    </w:p>
    <w:p w14:paraId="48B5E5B4" w14:textId="77777777" w:rsidR="000E27F4" w:rsidRDefault="000E27F4" w:rsidP="000E27F4">
      <w:pPr>
        <w:pStyle w:val="a9"/>
        <w:ind w:left="0"/>
        <w:jc w:val="both"/>
        <w:rPr>
          <w:rFonts w:ascii="David" w:hAnsi="David"/>
        </w:rPr>
      </w:pPr>
    </w:p>
    <w:p w14:paraId="0539F972" w14:textId="77777777" w:rsidR="000E27F4" w:rsidRDefault="000E27F4" w:rsidP="000E27F4">
      <w:pPr>
        <w:pStyle w:val="a9"/>
        <w:numPr>
          <w:ilvl w:val="0"/>
          <w:numId w:val="1"/>
        </w:numPr>
        <w:spacing w:line="360" w:lineRule="auto"/>
        <w:jc w:val="both"/>
        <w:rPr>
          <w:rFonts w:ascii="David" w:hAnsi="David"/>
        </w:rPr>
      </w:pPr>
      <w:r>
        <w:rPr>
          <w:rtl/>
        </w:rPr>
        <w:t>לאור כל זאת, אני בדעה כי מתחם הענישה ההולם את העביר</w:t>
      </w:r>
      <w:r>
        <w:rPr>
          <w:rFonts w:hint="cs"/>
          <w:rtl/>
        </w:rPr>
        <w:t>ות</w:t>
      </w:r>
      <w:r>
        <w:rPr>
          <w:rtl/>
        </w:rPr>
        <w:t xml:space="preserve"> מושא ענייננו, בנסיבות ביצוע</w:t>
      </w:r>
      <w:r>
        <w:rPr>
          <w:rFonts w:hint="cs"/>
          <w:rtl/>
        </w:rPr>
        <w:t>ן</w:t>
      </w:r>
      <w:r>
        <w:rPr>
          <w:rtl/>
        </w:rPr>
        <w:t xml:space="preserve">, נע בין </w:t>
      </w:r>
      <w:r>
        <w:rPr>
          <w:rFonts w:hint="cs"/>
          <w:rtl/>
        </w:rPr>
        <w:t>8 חודשי מאסר בפועל</w:t>
      </w:r>
      <w:r>
        <w:rPr>
          <w:rtl/>
        </w:rPr>
        <w:t xml:space="preserve"> ועד </w:t>
      </w:r>
      <w:r>
        <w:rPr>
          <w:rFonts w:hint="cs"/>
          <w:rtl/>
        </w:rPr>
        <w:t>24</w:t>
      </w:r>
      <w:r>
        <w:rPr>
          <w:rtl/>
        </w:rPr>
        <w:t xml:space="preserve"> חודשי מאסר בפועל.</w:t>
      </w:r>
    </w:p>
    <w:p w14:paraId="1C232FBB" w14:textId="77777777" w:rsidR="000E27F4" w:rsidRDefault="000E27F4" w:rsidP="000E27F4">
      <w:pPr>
        <w:pStyle w:val="a9"/>
        <w:spacing w:line="360" w:lineRule="auto"/>
        <w:ind w:left="0"/>
        <w:jc w:val="both"/>
        <w:rPr>
          <w:rFonts w:ascii="David" w:hAnsi="David"/>
          <w:rtl/>
        </w:rPr>
      </w:pPr>
    </w:p>
    <w:p w14:paraId="0CEADDF2" w14:textId="77777777" w:rsidR="000E27F4" w:rsidRDefault="000E27F4" w:rsidP="000E27F4">
      <w:pPr>
        <w:pStyle w:val="a9"/>
        <w:spacing w:line="360" w:lineRule="auto"/>
        <w:ind w:left="0"/>
        <w:jc w:val="both"/>
        <w:rPr>
          <w:rFonts w:ascii="David" w:hAnsi="David"/>
          <w:rtl/>
        </w:rPr>
      </w:pPr>
    </w:p>
    <w:p w14:paraId="29514B8E" w14:textId="77777777" w:rsidR="000E27F4" w:rsidRDefault="000E27F4" w:rsidP="000E27F4">
      <w:pPr>
        <w:pStyle w:val="a9"/>
        <w:spacing w:line="360" w:lineRule="auto"/>
        <w:ind w:left="0"/>
        <w:jc w:val="both"/>
        <w:rPr>
          <w:rFonts w:ascii="David" w:hAnsi="David"/>
          <w:rtl/>
        </w:rPr>
      </w:pPr>
    </w:p>
    <w:p w14:paraId="2ECC5ABB" w14:textId="77777777" w:rsidR="000E27F4" w:rsidRDefault="000E27F4" w:rsidP="000E27F4">
      <w:pPr>
        <w:spacing w:line="360" w:lineRule="auto"/>
        <w:jc w:val="both"/>
        <w:rPr>
          <w:b/>
          <w:bCs/>
          <w:u w:val="single"/>
        </w:rPr>
      </w:pPr>
      <w:r>
        <w:rPr>
          <w:b/>
          <w:bCs/>
          <w:u w:val="single"/>
          <w:rtl/>
        </w:rPr>
        <w:t>קביעת עונשו של הנאשם</w:t>
      </w:r>
    </w:p>
    <w:p w14:paraId="70C19118" w14:textId="77777777" w:rsidR="000E27F4" w:rsidRDefault="000E27F4" w:rsidP="000E27F4">
      <w:pPr>
        <w:spacing w:line="360" w:lineRule="auto"/>
        <w:jc w:val="both"/>
        <w:rPr>
          <w:rFonts w:ascii="David" w:hAnsi="David"/>
          <w:rtl/>
        </w:rPr>
      </w:pPr>
    </w:p>
    <w:p w14:paraId="4CE84BC4" w14:textId="77777777" w:rsidR="000E27F4" w:rsidRDefault="000E27F4" w:rsidP="000E27F4">
      <w:pPr>
        <w:pStyle w:val="a9"/>
        <w:numPr>
          <w:ilvl w:val="0"/>
          <w:numId w:val="1"/>
        </w:numPr>
        <w:spacing w:line="360" w:lineRule="auto"/>
        <w:jc w:val="both"/>
        <w:rPr>
          <w:rFonts w:ascii="David" w:hAnsi="David"/>
        </w:rPr>
      </w:pPr>
      <w:r>
        <w:rPr>
          <w:rFonts w:ascii="David" w:hAnsi="David"/>
          <w:color w:val="000000"/>
          <w:rtl/>
        </w:rPr>
        <w:t>לא הייתה מחלוקת בין הצדדים כי העונש אמור להיגזר בגדרי מתחם הענישה. לא התבקש תסקיר ולא נטען דבר בעניין סיכויי שיקומו של הנאשם</w:t>
      </w:r>
      <w:r>
        <w:rPr>
          <w:rFonts w:ascii="David" w:hAnsi="David"/>
          <w:color w:val="000000"/>
        </w:rPr>
        <w:t>.</w:t>
      </w:r>
    </w:p>
    <w:p w14:paraId="06AF7666" w14:textId="77777777" w:rsidR="000E27F4" w:rsidRDefault="000E27F4" w:rsidP="000E27F4">
      <w:pPr>
        <w:pStyle w:val="a9"/>
        <w:spacing w:line="360" w:lineRule="auto"/>
        <w:ind w:left="0"/>
        <w:jc w:val="both"/>
        <w:rPr>
          <w:rFonts w:ascii="David" w:hAnsi="David"/>
        </w:rPr>
      </w:pPr>
    </w:p>
    <w:p w14:paraId="145DD284" w14:textId="77777777" w:rsidR="000E27F4" w:rsidRDefault="000E27F4" w:rsidP="000E27F4">
      <w:pPr>
        <w:pStyle w:val="a9"/>
        <w:numPr>
          <w:ilvl w:val="0"/>
          <w:numId w:val="1"/>
        </w:numPr>
        <w:spacing w:line="360" w:lineRule="auto"/>
        <w:jc w:val="both"/>
        <w:rPr>
          <w:rFonts w:ascii="David" w:hAnsi="David"/>
        </w:rPr>
      </w:pPr>
      <w:r>
        <w:rPr>
          <w:rFonts w:ascii="David" w:hAnsi="David"/>
          <w:color w:val="000000"/>
          <w:rtl/>
        </w:rPr>
        <w:t>לצורך קביעת עונשו של הנאשם הבאתי בחשבון את הודאתו בהזדמנות הראשונה אשר ביטאה הפנמת הפסול וחרטה. הבאתי עוד בחשבון את גילו הצעיר יחסית</w:t>
      </w:r>
      <w:r>
        <w:rPr>
          <w:rFonts w:ascii="David" w:hAnsi="David" w:hint="cs"/>
          <w:rtl/>
        </w:rPr>
        <w:t xml:space="preserve"> ואת העובדה כי זו הסתבכותו הראשונה בעבירות סמים. מנגד, הנאשם מסיים זה עתה לרצות עונש מאסר (בן חודש) בעבודת שירות בגין עבירות מיסים ובעברו אף עבירת היעדר מהשירות בגינה נשא עונש מאסר ממשי. על רקע זה, </w:t>
      </w:r>
      <w:r w:rsidRPr="00B03155">
        <w:rPr>
          <w:rFonts w:ascii="David" w:hAnsi="David"/>
          <w:rtl/>
        </w:rPr>
        <w:t xml:space="preserve">שקלתי את עתירת המאשימה לעונש מאסר בכליאה </w:t>
      </w:r>
      <w:r>
        <w:rPr>
          <w:rFonts w:ascii="David" w:hAnsi="David" w:hint="cs"/>
          <w:rtl/>
        </w:rPr>
        <w:t>ולאחר התלבטות החלטתי שלא להחמיר הפעם עם הנאשם, ולהסתפק בענישה שניתן לשאת בעבודות שירות. העבירה בה חטא הנאשם חמורה וראויה לתגובה עונשית הולמת. עם זאת, הנאשם לא ריצה עונש מאסר בכליאה בעבר (למעט צבאי) וככל שניתן יש להימנע מכך אף כעת וזאת על מנת להימנע מ</w:t>
      </w:r>
      <w:r>
        <w:rPr>
          <w:rFonts w:ascii="David" w:hAnsi="David"/>
          <w:color w:val="000000"/>
          <w:rtl/>
        </w:rPr>
        <w:t>ההשפעות השליליות הרבות הנלוות לעונש בכליאה ביחס למי שזה מאסרו הראשון</w:t>
      </w:r>
      <w:r>
        <w:rPr>
          <w:rFonts w:ascii="David" w:hAnsi="David" w:hint="cs"/>
          <w:color w:val="000000"/>
          <w:rtl/>
        </w:rPr>
        <w:t xml:space="preserve"> במסגרת שאינה צבאית</w:t>
      </w:r>
      <w:r>
        <w:rPr>
          <w:rFonts w:ascii="David" w:hAnsi="David"/>
          <w:color w:val="000000"/>
          <w:rtl/>
        </w:rPr>
        <w:t xml:space="preserve"> (ראו בנושא דו"ח הועדה הציבורית לבחינת מדיניות הענישה והטיפול בעבריינים, 2015 (המכונה "דו"ח ועדת דורנר"); </w:t>
      </w:r>
      <w:hyperlink r:id="rId25" w:history="1">
        <w:r w:rsidR="009F49A1" w:rsidRPr="009F49A1">
          <w:rPr>
            <w:rFonts w:ascii="David" w:hAnsi="David"/>
            <w:color w:val="0000FF"/>
            <w:u w:val="single"/>
            <w:rtl/>
          </w:rPr>
          <w:t>רע"פ 356/14</w:t>
        </w:r>
      </w:hyperlink>
      <w:r>
        <w:rPr>
          <w:rFonts w:ascii="David" w:hAnsi="David"/>
          <w:color w:val="000000"/>
          <w:rtl/>
        </w:rPr>
        <w:t xml:space="preserve"> </w:t>
      </w:r>
      <w:r>
        <w:rPr>
          <w:rFonts w:ascii="David" w:hAnsi="David"/>
          <w:b/>
          <w:bCs/>
          <w:color w:val="000000"/>
          <w:rtl/>
        </w:rPr>
        <w:t>קפרוב נ' מדינת ישראל</w:t>
      </w:r>
      <w:r>
        <w:rPr>
          <w:rFonts w:ascii="David" w:hAnsi="David"/>
          <w:color w:val="000000"/>
          <w:rtl/>
        </w:rPr>
        <w:t xml:space="preserve"> (3.10.2017); פסקה 33; </w:t>
      </w:r>
      <w:hyperlink r:id="rId26" w:history="1">
        <w:r w:rsidR="009F49A1" w:rsidRPr="009F49A1">
          <w:rPr>
            <w:rFonts w:ascii="David" w:hAnsi="David"/>
            <w:color w:val="0000FF"/>
            <w:u w:val="single"/>
            <w:rtl/>
          </w:rPr>
          <w:t>ע"פ 4318-10-11</w:t>
        </w:r>
      </w:hyperlink>
      <w:r>
        <w:rPr>
          <w:rFonts w:ascii="David" w:hAnsi="David"/>
          <w:color w:val="000000"/>
          <w:rtl/>
        </w:rPr>
        <w:t xml:space="preserve"> </w:t>
      </w:r>
      <w:r>
        <w:rPr>
          <w:rFonts w:ascii="David" w:hAnsi="David"/>
          <w:b/>
          <w:bCs/>
          <w:color w:val="000000"/>
          <w:rtl/>
        </w:rPr>
        <w:t>מדינת ישראל נ' רפאילוב ואח'</w:t>
      </w:r>
      <w:r>
        <w:rPr>
          <w:rFonts w:ascii="David" w:hAnsi="David"/>
          <w:color w:val="000000"/>
          <w:rtl/>
        </w:rPr>
        <w:t xml:space="preserve"> (5.1.2012)).</w:t>
      </w:r>
      <w:r>
        <w:rPr>
          <w:rFonts w:ascii="David" w:hAnsi="David"/>
          <w:rtl/>
        </w:rPr>
        <w:t xml:space="preserve"> </w:t>
      </w:r>
      <w:r>
        <w:rPr>
          <w:rFonts w:ascii="David" w:hAnsi="David" w:hint="cs"/>
          <w:rtl/>
        </w:rPr>
        <w:t xml:space="preserve">משכך, ראיתי ליתן משקל ממשי לחרטה שהפגין, לעבר הלא מכביד, לגיל הצעיר, ולהודאה בהזדמנות הראשונה </w:t>
      </w:r>
      <w:r>
        <w:rPr>
          <w:rFonts w:ascii="David" w:hAnsi="David"/>
          <w:rtl/>
        </w:rPr>
        <w:t>ולאפשר את נשיאת</w:t>
      </w:r>
      <w:r>
        <w:rPr>
          <w:rFonts w:ascii="David" w:hAnsi="David" w:hint="cs"/>
          <w:rtl/>
        </w:rPr>
        <w:t xml:space="preserve"> העונש</w:t>
      </w:r>
      <w:r>
        <w:rPr>
          <w:rFonts w:ascii="David" w:hAnsi="David"/>
          <w:rtl/>
        </w:rPr>
        <w:t xml:space="preserve"> בעבודות שירות. </w:t>
      </w:r>
      <w:r>
        <w:rPr>
          <w:rFonts w:ascii="David" w:hAnsi="David" w:hint="cs"/>
          <w:rtl/>
        </w:rPr>
        <w:t xml:space="preserve">כן אאזן עונש זה בקנס משמעותי. </w:t>
      </w:r>
    </w:p>
    <w:p w14:paraId="6E61D2EA" w14:textId="77777777" w:rsidR="000E27F4" w:rsidRDefault="000E27F4" w:rsidP="000E27F4">
      <w:pPr>
        <w:pStyle w:val="a9"/>
        <w:ind w:left="0"/>
        <w:jc w:val="both"/>
        <w:rPr>
          <w:rFonts w:ascii="David" w:hAnsi="David"/>
        </w:rPr>
      </w:pPr>
    </w:p>
    <w:p w14:paraId="39E5475B" w14:textId="77777777" w:rsidR="000E27F4" w:rsidRDefault="000E27F4" w:rsidP="000E27F4">
      <w:pPr>
        <w:pStyle w:val="a9"/>
        <w:numPr>
          <w:ilvl w:val="0"/>
          <w:numId w:val="1"/>
        </w:numPr>
        <w:spacing w:line="360" w:lineRule="auto"/>
        <w:jc w:val="both"/>
        <w:rPr>
          <w:rFonts w:ascii="David" w:hAnsi="David"/>
        </w:rPr>
      </w:pPr>
      <w:r>
        <w:rPr>
          <w:rFonts w:ascii="David" w:hAnsi="David"/>
          <w:rtl/>
        </w:rPr>
        <w:t>סיכומו של דבר, אני גוזר על הנאשם את העונשים הבאים:</w:t>
      </w:r>
    </w:p>
    <w:p w14:paraId="2BEF3AB6" w14:textId="77777777" w:rsidR="000E27F4" w:rsidRDefault="000E27F4" w:rsidP="000E27F4">
      <w:pPr>
        <w:pStyle w:val="a9"/>
        <w:ind w:left="0"/>
        <w:jc w:val="both"/>
        <w:rPr>
          <w:rFonts w:ascii="David" w:hAnsi="David"/>
          <w:rtl/>
        </w:rPr>
      </w:pPr>
    </w:p>
    <w:p w14:paraId="13AC2AFE" w14:textId="77777777" w:rsidR="000E27F4" w:rsidRPr="003A55BC" w:rsidRDefault="000E27F4" w:rsidP="000E27F4">
      <w:pPr>
        <w:pStyle w:val="a9"/>
        <w:numPr>
          <w:ilvl w:val="0"/>
          <w:numId w:val="2"/>
        </w:numPr>
        <w:spacing w:line="360" w:lineRule="auto"/>
        <w:jc w:val="both"/>
        <w:rPr>
          <w:rFonts w:ascii="David" w:hAnsi="David"/>
        </w:rPr>
      </w:pPr>
      <w:r w:rsidRPr="006470D0">
        <w:rPr>
          <w:rFonts w:ascii="David" w:hAnsi="David"/>
          <w:b/>
          <w:bCs/>
          <w:rtl/>
        </w:rPr>
        <w:t xml:space="preserve">מאסר למשך </w:t>
      </w:r>
      <w:r w:rsidRPr="006470D0">
        <w:rPr>
          <w:rFonts w:ascii="David" w:hAnsi="David" w:hint="cs"/>
          <w:b/>
          <w:bCs/>
          <w:rtl/>
        </w:rPr>
        <w:t>9</w:t>
      </w:r>
      <w:r w:rsidRPr="006470D0">
        <w:rPr>
          <w:rFonts w:ascii="David" w:hAnsi="David"/>
          <w:b/>
          <w:bCs/>
          <w:rtl/>
        </w:rPr>
        <w:t xml:space="preserve"> חודשים.</w:t>
      </w:r>
      <w:r>
        <w:rPr>
          <w:rFonts w:ascii="David" w:hAnsi="David"/>
          <w:rtl/>
        </w:rPr>
        <w:t xml:space="preserve"> הנאשם יישא עונש זה בעבודות שירות בהתאם לחוות דעת הממונה ויתייצב לריצוי עונשו ביום </w:t>
      </w:r>
      <w:r>
        <w:rPr>
          <w:rFonts w:ascii="David" w:hAnsi="David" w:hint="cs"/>
          <w:rtl/>
        </w:rPr>
        <w:t xml:space="preserve">30.9.24 </w:t>
      </w:r>
      <w:r>
        <w:rPr>
          <w:rFonts w:ascii="David" w:hAnsi="David"/>
          <w:rtl/>
        </w:rPr>
        <w:t xml:space="preserve">במתחם כלא מגידו. </w:t>
      </w:r>
      <w:r w:rsidRPr="003A55BC">
        <w:rPr>
          <w:rFonts w:ascii="David" w:hAnsi="David"/>
          <w:rtl/>
        </w:rPr>
        <w:t>מובהר לנאשם שעליו לבצע את העבודות בהתאם להנחיות הממונה וכי אם לא יעשה כן ניתן יהיה להפקיע את העבודות מנהלית והוא יאלץ לשאת ביתרת התקופה בבית מאסר.</w:t>
      </w:r>
    </w:p>
    <w:p w14:paraId="4EFA01B4" w14:textId="77777777" w:rsidR="000E27F4" w:rsidRDefault="000E27F4" w:rsidP="000E27F4">
      <w:pPr>
        <w:pStyle w:val="a9"/>
        <w:numPr>
          <w:ilvl w:val="0"/>
          <w:numId w:val="2"/>
        </w:numPr>
        <w:spacing w:line="360" w:lineRule="auto"/>
        <w:jc w:val="both"/>
        <w:rPr>
          <w:rFonts w:ascii="David" w:hAnsi="David"/>
        </w:rPr>
      </w:pPr>
      <w:r>
        <w:rPr>
          <w:rFonts w:ascii="David" w:hAnsi="David"/>
          <w:rtl/>
        </w:rPr>
        <w:t>מאסר על תנאי לתקופה בת 6 חודשים והתנאי הוא שלא יעבור במשך שנתיים כל עבירה על פקודת הסמים שהיא פשע.</w:t>
      </w:r>
    </w:p>
    <w:p w14:paraId="68202F67" w14:textId="77777777" w:rsidR="000E27F4" w:rsidRDefault="000E27F4" w:rsidP="000E27F4">
      <w:pPr>
        <w:pStyle w:val="a9"/>
        <w:numPr>
          <w:ilvl w:val="0"/>
          <w:numId w:val="2"/>
        </w:numPr>
        <w:spacing w:line="360" w:lineRule="auto"/>
        <w:jc w:val="both"/>
        <w:rPr>
          <w:rFonts w:ascii="David" w:hAnsi="David"/>
        </w:rPr>
      </w:pPr>
      <w:r>
        <w:rPr>
          <w:rFonts w:ascii="David" w:hAnsi="David"/>
          <w:color w:val="000000"/>
          <w:rtl/>
        </w:rPr>
        <w:t xml:space="preserve">קנס בסך </w:t>
      </w:r>
      <w:r>
        <w:rPr>
          <w:rFonts w:ascii="David" w:hAnsi="David" w:hint="cs"/>
          <w:color w:val="000000"/>
          <w:rtl/>
        </w:rPr>
        <w:t xml:space="preserve">8,000 </w:t>
      </w:r>
      <w:r>
        <w:rPr>
          <w:rFonts w:ascii="David" w:hAnsi="David"/>
          <w:color w:val="000000"/>
          <w:rtl/>
        </w:rPr>
        <w:t xml:space="preserve">₪ או </w:t>
      </w:r>
      <w:r>
        <w:rPr>
          <w:rFonts w:ascii="David" w:hAnsi="David" w:hint="cs"/>
          <w:color w:val="000000"/>
          <w:rtl/>
        </w:rPr>
        <w:t>20</w:t>
      </w:r>
      <w:r>
        <w:rPr>
          <w:rFonts w:ascii="David" w:hAnsi="David"/>
          <w:color w:val="000000"/>
          <w:rtl/>
        </w:rPr>
        <w:t xml:space="preserve"> ימי מאסר תמורתו. הקנס ישולם ב-</w:t>
      </w:r>
      <w:r>
        <w:rPr>
          <w:rFonts w:ascii="David" w:hAnsi="David" w:hint="cs"/>
          <w:color w:val="000000"/>
          <w:rtl/>
        </w:rPr>
        <w:t>16</w:t>
      </w:r>
      <w:r>
        <w:rPr>
          <w:rFonts w:ascii="David" w:hAnsi="David"/>
          <w:color w:val="000000"/>
          <w:rtl/>
        </w:rPr>
        <w:t xml:space="preserve"> תשלומים שווים ורצופים מיום 1.</w:t>
      </w:r>
      <w:r>
        <w:rPr>
          <w:rFonts w:ascii="David" w:hAnsi="David" w:hint="cs"/>
          <w:color w:val="000000"/>
          <w:rtl/>
        </w:rPr>
        <w:t>1</w:t>
      </w:r>
      <w:r>
        <w:rPr>
          <w:rFonts w:ascii="David" w:hAnsi="David"/>
          <w:color w:val="000000"/>
          <w:rtl/>
        </w:rPr>
        <w:t>.</w:t>
      </w:r>
      <w:r>
        <w:rPr>
          <w:rFonts w:ascii="David" w:hAnsi="David" w:hint="cs"/>
          <w:color w:val="000000"/>
          <w:rtl/>
        </w:rPr>
        <w:t>25</w:t>
      </w:r>
      <w:r>
        <w:rPr>
          <w:rFonts w:ascii="David" w:hAnsi="David"/>
          <w:color w:val="000000"/>
          <w:rtl/>
        </w:rPr>
        <w:t xml:space="preserve"> ובכל -1 לחודש שלאחריו. לא ישולם אחד התשלומים או יותר במועדו, תעמוד היתרה לפירעון מידי</w:t>
      </w:r>
      <w:r>
        <w:rPr>
          <w:rFonts w:ascii="David" w:hAnsi="David"/>
          <w:rtl/>
        </w:rPr>
        <w:t>.</w:t>
      </w:r>
    </w:p>
    <w:p w14:paraId="35C77A87" w14:textId="77777777" w:rsidR="000E27F4" w:rsidRDefault="000E27F4" w:rsidP="000E27F4">
      <w:pPr>
        <w:pStyle w:val="a9"/>
        <w:numPr>
          <w:ilvl w:val="0"/>
          <w:numId w:val="2"/>
        </w:numPr>
        <w:spacing w:line="360" w:lineRule="auto"/>
        <w:jc w:val="both"/>
        <w:rPr>
          <w:rFonts w:ascii="David" w:hAnsi="David"/>
        </w:rPr>
      </w:pPr>
      <w:r>
        <w:rPr>
          <w:rFonts w:ascii="David" w:hAnsi="David" w:hint="cs"/>
          <w:rtl/>
        </w:rPr>
        <w:t xml:space="preserve">הכלים יחולטו. </w:t>
      </w:r>
    </w:p>
    <w:p w14:paraId="40B46D67" w14:textId="77777777" w:rsidR="000E27F4" w:rsidRDefault="000E27F4" w:rsidP="000E27F4">
      <w:pPr>
        <w:pStyle w:val="a9"/>
        <w:spacing w:line="360" w:lineRule="auto"/>
        <w:ind w:left="0"/>
        <w:jc w:val="both"/>
        <w:rPr>
          <w:rFonts w:ascii="David" w:hAnsi="David"/>
          <w:rtl/>
        </w:rPr>
      </w:pPr>
    </w:p>
    <w:p w14:paraId="64D5D285" w14:textId="77777777" w:rsidR="000E27F4" w:rsidRDefault="000E27F4" w:rsidP="000E27F4">
      <w:pPr>
        <w:pStyle w:val="a9"/>
        <w:spacing w:line="360" w:lineRule="auto"/>
        <w:ind w:left="0"/>
        <w:jc w:val="both"/>
        <w:rPr>
          <w:rFonts w:ascii="David" w:hAnsi="David"/>
          <w:rtl/>
        </w:rPr>
      </w:pPr>
    </w:p>
    <w:p w14:paraId="79FA2ACE" w14:textId="77777777" w:rsidR="000E27F4" w:rsidRDefault="000E27F4" w:rsidP="000E27F4">
      <w:pPr>
        <w:pStyle w:val="a9"/>
        <w:spacing w:line="360" w:lineRule="auto"/>
        <w:ind w:left="0"/>
        <w:jc w:val="both"/>
        <w:rPr>
          <w:rFonts w:ascii="David" w:hAnsi="David"/>
          <w:rtl/>
        </w:rPr>
      </w:pPr>
    </w:p>
    <w:p w14:paraId="0D490FA9" w14:textId="77777777" w:rsidR="000E27F4" w:rsidRDefault="000E27F4" w:rsidP="000E27F4">
      <w:pPr>
        <w:pStyle w:val="a9"/>
        <w:spacing w:line="360" w:lineRule="auto"/>
        <w:ind w:left="0"/>
        <w:jc w:val="both"/>
        <w:rPr>
          <w:rFonts w:ascii="David" w:hAnsi="David"/>
          <w:rtl/>
        </w:rPr>
      </w:pPr>
    </w:p>
    <w:p w14:paraId="46EA6C62" w14:textId="77777777" w:rsidR="000E27F4" w:rsidRPr="00795EB8" w:rsidRDefault="000E27F4" w:rsidP="000E27F4">
      <w:pPr>
        <w:pStyle w:val="a9"/>
        <w:spacing w:line="360" w:lineRule="auto"/>
        <w:ind w:left="0"/>
        <w:jc w:val="both"/>
        <w:rPr>
          <w:rFonts w:ascii="David" w:hAnsi="David"/>
          <w:rtl/>
        </w:rPr>
      </w:pPr>
    </w:p>
    <w:p w14:paraId="2A4CC8F7" w14:textId="77777777" w:rsidR="000E27F4" w:rsidRPr="002146B9" w:rsidRDefault="009F49A1" w:rsidP="000E27F4">
      <w:pPr>
        <w:spacing w:line="360" w:lineRule="auto"/>
        <w:rPr>
          <w:rFonts w:ascii="David" w:hAnsi="David"/>
          <w:b/>
          <w:bCs/>
          <w:u w:val="single"/>
          <w:rtl/>
        </w:rPr>
      </w:pPr>
      <w:r w:rsidRPr="009F49A1">
        <w:rPr>
          <w:rFonts w:ascii="David" w:hAnsi="David"/>
          <w:b/>
          <w:bCs/>
          <w:color w:val="FFFFFF"/>
          <w:sz w:val="2"/>
          <w:szCs w:val="2"/>
          <w:u w:val="single"/>
          <w:rtl/>
        </w:rPr>
        <w:t>5129371</w:t>
      </w:r>
      <w:r w:rsidR="000E27F4">
        <w:rPr>
          <w:rFonts w:ascii="David" w:hAnsi="David"/>
          <w:b/>
          <w:bCs/>
          <w:u w:val="single"/>
          <w:rtl/>
        </w:rPr>
        <w:t>זכות ערעור לבית המשפט המחוזי בתוך 45 ימים.</w:t>
      </w:r>
    </w:p>
    <w:p w14:paraId="5EC66BA5" w14:textId="77777777" w:rsidR="000E27F4" w:rsidRDefault="009F49A1" w:rsidP="000E27F4">
      <w:pPr>
        <w:spacing w:line="360" w:lineRule="auto"/>
        <w:jc w:val="both"/>
        <w:rPr>
          <w:rFonts w:ascii="David" w:hAnsi="David"/>
          <w:b/>
          <w:bCs/>
          <w:u w:val="single"/>
          <w:rtl/>
        </w:rPr>
      </w:pPr>
      <w:r w:rsidRPr="009F49A1">
        <w:rPr>
          <w:rFonts w:ascii="David" w:hAnsi="David"/>
          <w:b/>
          <w:bCs/>
          <w:color w:val="FFFFFF"/>
          <w:sz w:val="2"/>
          <w:szCs w:val="2"/>
          <w:u w:val="single"/>
          <w:rtl/>
        </w:rPr>
        <w:t>54678313</w:t>
      </w:r>
      <w:r w:rsidR="000E27F4">
        <w:rPr>
          <w:rFonts w:ascii="David" w:hAnsi="David"/>
          <w:b/>
          <w:bCs/>
          <w:u w:val="single"/>
          <w:rtl/>
        </w:rPr>
        <w:t>המזכירות תשלח את גזר הדין לממונה למעקב.</w:t>
      </w:r>
    </w:p>
    <w:p w14:paraId="7D1C7074" w14:textId="77777777" w:rsidR="000E27F4" w:rsidRPr="003E1708" w:rsidRDefault="000E27F4" w:rsidP="000E27F4">
      <w:pPr>
        <w:rPr>
          <w:rFonts w:ascii="David" w:hAnsi="David"/>
          <w:rtl/>
        </w:rPr>
      </w:pPr>
    </w:p>
    <w:p w14:paraId="47131856" w14:textId="77777777" w:rsidR="000E27F4" w:rsidRPr="003E1708" w:rsidRDefault="009F49A1" w:rsidP="000E27F4">
      <w:pPr>
        <w:rPr>
          <w:rFonts w:ascii="David" w:hAnsi="David"/>
          <w:rtl/>
        </w:rPr>
      </w:pPr>
      <w:bookmarkStart w:id="7" w:name="Nitan"/>
      <w:r>
        <w:rPr>
          <w:rFonts w:ascii="David" w:hAnsi="David"/>
          <w:rtl/>
        </w:rPr>
        <w:t xml:space="preserve">ניתן היום,  י' תמוז תשפ"ד, 16 יולי 2024, במעמד הצדדים. </w:t>
      </w:r>
      <w:bookmarkEnd w:id="7"/>
    </w:p>
    <w:p w14:paraId="4299815F" w14:textId="77777777" w:rsidR="000E27F4" w:rsidRPr="003E1708" w:rsidRDefault="000E27F4" w:rsidP="009F49A1">
      <w:pPr>
        <w:jc w:val="center"/>
      </w:pPr>
      <w:r w:rsidRPr="003E1708">
        <w:rPr>
          <w:rFonts w:ascii="David" w:hAnsi="David"/>
          <w:rtl/>
        </w:rPr>
        <w:t xml:space="preserve">   </w:t>
      </w:r>
      <w:r w:rsidRPr="003E1708">
        <w:rPr>
          <w:rFonts w:ascii="David" w:hAnsi="David"/>
          <w:rtl/>
        </w:rPr>
        <w:tab/>
      </w:r>
      <w:r w:rsidRPr="003E1708">
        <w:rPr>
          <w:rFonts w:ascii="David" w:hAnsi="David"/>
          <w:rtl/>
        </w:rPr>
        <w:tab/>
      </w:r>
      <w:r w:rsidRPr="003E1708">
        <w:rPr>
          <w:rFonts w:ascii="David" w:hAnsi="David"/>
          <w:rtl/>
        </w:rPr>
        <w:tab/>
      </w:r>
      <w:r w:rsidRPr="003E1708">
        <w:rPr>
          <w:rFonts w:ascii="David" w:hAnsi="David"/>
          <w:rtl/>
        </w:rPr>
        <w:tab/>
      </w:r>
      <w:r w:rsidRPr="003E1708">
        <w:rPr>
          <w:rFonts w:ascii="David" w:hAnsi="David"/>
          <w:rtl/>
        </w:rPr>
        <w:tab/>
      </w:r>
    </w:p>
    <w:p w14:paraId="1604E318" w14:textId="77777777" w:rsidR="000E27F4" w:rsidRPr="003E1708" w:rsidRDefault="000E27F4" w:rsidP="000E27F4">
      <w:pPr>
        <w:jc w:val="center"/>
        <w:rPr>
          <w:rFonts w:ascii="David" w:hAnsi="David"/>
          <w:rtl/>
        </w:rPr>
      </w:pPr>
    </w:p>
    <w:p w14:paraId="5488D16E" w14:textId="77777777" w:rsidR="00AB5103" w:rsidRPr="009F49A1" w:rsidRDefault="00AB5103" w:rsidP="009F49A1">
      <w:pPr>
        <w:keepNext/>
        <w:rPr>
          <w:rFonts w:ascii="David" w:hAnsi="David"/>
          <w:color w:val="000000"/>
          <w:sz w:val="22"/>
          <w:szCs w:val="22"/>
          <w:rtl/>
        </w:rPr>
      </w:pPr>
    </w:p>
    <w:p w14:paraId="1FD74E44" w14:textId="77777777" w:rsidR="009F49A1" w:rsidRPr="009F49A1" w:rsidRDefault="009F49A1" w:rsidP="009F49A1">
      <w:pPr>
        <w:keepNext/>
        <w:rPr>
          <w:rFonts w:ascii="David" w:hAnsi="David"/>
          <w:color w:val="000000"/>
          <w:sz w:val="22"/>
          <w:szCs w:val="22"/>
          <w:rtl/>
        </w:rPr>
      </w:pPr>
      <w:r w:rsidRPr="009F49A1">
        <w:rPr>
          <w:rFonts w:ascii="David" w:hAnsi="David"/>
          <w:color w:val="000000"/>
          <w:sz w:val="22"/>
          <w:szCs w:val="22"/>
          <w:rtl/>
        </w:rPr>
        <w:t>יוסי טורס 54678313</w:t>
      </w:r>
    </w:p>
    <w:p w14:paraId="21E2505C" w14:textId="77777777" w:rsidR="009F49A1" w:rsidRDefault="009F49A1" w:rsidP="009F49A1">
      <w:r w:rsidRPr="009F49A1">
        <w:rPr>
          <w:color w:val="000000"/>
          <w:rtl/>
        </w:rPr>
        <w:t>נוסח מסמך זה כפוף לשינויי ניסוח ועריכה</w:t>
      </w:r>
    </w:p>
    <w:p w14:paraId="0231A21B" w14:textId="77777777" w:rsidR="009F49A1" w:rsidRDefault="009F49A1" w:rsidP="009F49A1">
      <w:pPr>
        <w:rPr>
          <w:rtl/>
        </w:rPr>
      </w:pPr>
    </w:p>
    <w:p w14:paraId="4524A0A1" w14:textId="77777777" w:rsidR="009F49A1" w:rsidRDefault="009F49A1" w:rsidP="009F49A1">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29330A86" w14:textId="77777777" w:rsidR="009F49A1" w:rsidRPr="009F49A1" w:rsidRDefault="009F49A1" w:rsidP="009F49A1">
      <w:pPr>
        <w:jc w:val="center"/>
        <w:rPr>
          <w:color w:val="0000FF"/>
          <w:u w:val="single"/>
        </w:rPr>
      </w:pPr>
    </w:p>
    <w:sectPr w:rsidR="009F49A1" w:rsidRPr="009F49A1" w:rsidSect="009F49A1">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0B623" w14:textId="77777777" w:rsidR="00835DB4" w:rsidRDefault="00835DB4" w:rsidP="00480E2A">
      <w:r>
        <w:separator/>
      </w:r>
    </w:p>
  </w:endnote>
  <w:endnote w:type="continuationSeparator" w:id="0">
    <w:p w14:paraId="37D42B4E" w14:textId="77777777" w:rsidR="00835DB4" w:rsidRDefault="00835DB4" w:rsidP="00480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4C620" w14:textId="77777777" w:rsidR="009F49A1" w:rsidRDefault="009F49A1" w:rsidP="009F49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9180D0" w14:textId="77777777" w:rsidR="00A11D33" w:rsidRPr="009F49A1" w:rsidRDefault="009F49A1" w:rsidP="009F49A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C3188" w14:textId="77777777" w:rsidR="009F49A1" w:rsidRDefault="009F49A1" w:rsidP="009F49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4410">
      <w:rPr>
        <w:rFonts w:ascii="FrankRuehl" w:hAnsi="FrankRuehl" w:cs="FrankRuehl"/>
        <w:noProof/>
        <w:rtl/>
      </w:rPr>
      <w:t>1</w:t>
    </w:r>
    <w:r>
      <w:rPr>
        <w:rFonts w:ascii="FrankRuehl" w:hAnsi="FrankRuehl" w:cs="FrankRuehl"/>
        <w:rtl/>
      </w:rPr>
      <w:fldChar w:fldCharType="end"/>
    </w:r>
  </w:p>
  <w:p w14:paraId="08152971" w14:textId="77777777" w:rsidR="00A11D33" w:rsidRPr="009F49A1" w:rsidRDefault="009F49A1" w:rsidP="009F49A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2036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96E31" w14:textId="77777777" w:rsidR="00835DB4" w:rsidRDefault="00835DB4" w:rsidP="00480E2A">
      <w:r>
        <w:separator/>
      </w:r>
    </w:p>
  </w:footnote>
  <w:footnote w:type="continuationSeparator" w:id="0">
    <w:p w14:paraId="251744AB" w14:textId="77777777" w:rsidR="00835DB4" w:rsidRDefault="00835DB4" w:rsidP="00480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AACF2" w14:textId="77777777" w:rsidR="009F49A1" w:rsidRPr="009F49A1" w:rsidRDefault="009F49A1" w:rsidP="009F49A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49387-04-24</w:t>
    </w:r>
    <w:r>
      <w:rPr>
        <w:rFonts w:ascii="David" w:hAnsi="David"/>
        <w:color w:val="000000"/>
        <w:sz w:val="22"/>
        <w:szCs w:val="22"/>
        <w:rtl/>
      </w:rPr>
      <w:tab/>
      <w:t xml:space="preserve"> מדינת ישראל נ' אושרי בוסקילה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03BF7" w14:textId="77777777" w:rsidR="009F49A1" w:rsidRPr="009F49A1" w:rsidRDefault="009F49A1" w:rsidP="009F49A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49387-04-24</w:t>
    </w:r>
    <w:r>
      <w:rPr>
        <w:rFonts w:ascii="David" w:hAnsi="David"/>
        <w:color w:val="000000"/>
        <w:sz w:val="22"/>
        <w:szCs w:val="22"/>
        <w:rtl/>
      </w:rPr>
      <w:tab/>
      <w:t xml:space="preserve"> מדינת ישראל נ' אושרי בוסקילה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E396D"/>
    <w:multiLevelType w:val="hybridMultilevel"/>
    <w:tmpl w:val="4AB8C5EE"/>
    <w:lvl w:ilvl="0" w:tplc="DC9AA0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A5CBF"/>
    <w:multiLevelType w:val="hybridMultilevel"/>
    <w:tmpl w:val="8AEC17D8"/>
    <w:lvl w:ilvl="0" w:tplc="FCCA9D66">
      <w:start w:val="1"/>
      <w:numFmt w:val="decimal"/>
      <w:lvlText w:val="%1."/>
      <w:lvlJc w:val="left"/>
      <w:pPr>
        <w:tabs>
          <w:tab w:val="num" w:pos="567"/>
        </w:tabs>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948224">
    <w:abstractNumId w:val="1"/>
  </w:num>
  <w:num w:numId="2" w16cid:durableId="721950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27F4"/>
    <w:rsid w:val="000E27F4"/>
    <w:rsid w:val="001B5A3B"/>
    <w:rsid w:val="002254BA"/>
    <w:rsid w:val="002E00CF"/>
    <w:rsid w:val="00300DF4"/>
    <w:rsid w:val="0035267B"/>
    <w:rsid w:val="00480E2A"/>
    <w:rsid w:val="00835DB4"/>
    <w:rsid w:val="00840021"/>
    <w:rsid w:val="008F5210"/>
    <w:rsid w:val="00935F81"/>
    <w:rsid w:val="009F49A1"/>
    <w:rsid w:val="00A11D33"/>
    <w:rsid w:val="00AB5103"/>
    <w:rsid w:val="00B55842"/>
    <w:rsid w:val="00E544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AD82C1"/>
  <w15:chartTrackingRefBased/>
  <w15:docId w15:val="{21154AF8-2603-42AC-8DFD-56C89F45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27F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27F4"/>
    <w:pPr>
      <w:tabs>
        <w:tab w:val="center" w:pos="4153"/>
        <w:tab w:val="right" w:pos="8306"/>
      </w:tabs>
    </w:pPr>
  </w:style>
  <w:style w:type="character" w:customStyle="1" w:styleId="a4">
    <w:name w:val="כותרת עליונה תו"/>
    <w:link w:val="a3"/>
    <w:rsid w:val="000E27F4"/>
    <w:rPr>
      <w:rFonts w:ascii="Times New Roman" w:eastAsia="Times New Roman" w:hAnsi="Times New Roman" w:cs="David"/>
      <w:sz w:val="24"/>
      <w:szCs w:val="24"/>
    </w:rPr>
  </w:style>
  <w:style w:type="paragraph" w:styleId="a5">
    <w:name w:val="footer"/>
    <w:basedOn w:val="a"/>
    <w:link w:val="a6"/>
    <w:rsid w:val="000E27F4"/>
    <w:pPr>
      <w:tabs>
        <w:tab w:val="center" w:pos="4153"/>
        <w:tab w:val="right" w:pos="8306"/>
      </w:tabs>
    </w:pPr>
  </w:style>
  <w:style w:type="character" w:customStyle="1" w:styleId="a6">
    <w:name w:val="כותרת תחתונה תו"/>
    <w:link w:val="a5"/>
    <w:rsid w:val="000E27F4"/>
    <w:rPr>
      <w:rFonts w:ascii="Times New Roman" w:eastAsia="Times New Roman" w:hAnsi="Times New Roman" w:cs="David"/>
      <w:sz w:val="24"/>
      <w:szCs w:val="24"/>
    </w:rPr>
  </w:style>
  <w:style w:type="table" w:styleId="a7">
    <w:name w:val="Table Grid"/>
    <w:basedOn w:val="a1"/>
    <w:rsid w:val="000E27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E27F4"/>
  </w:style>
  <w:style w:type="paragraph" w:styleId="a9">
    <w:name w:val="List Paragraph"/>
    <w:basedOn w:val="a"/>
    <w:qFormat/>
    <w:rsid w:val="000E27F4"/>
    <w:pPr>
      <w:ind w:left="720"/>
      <w:contextualSpacing/>
    </w:pPr>
  </w:style>
  <w:style w:type="character" w:styleId="Hyperlink">
    <w:name w:val="Hyperlink"/>
    <w:rsid w:val="009F49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9570295" TargetMode="External"/><Relationship Id="rId18" Type="http://schemas.openxmlformats.org/officeDocument/2006/relationships/hyperlink" Target="http://www.nevo.co.il/case/29570295" TargetMode="External"/><Relationship Id="rId26" Type="http://schemas.openxmlformats.org/officeDocument/2006/relationships/hyperlink" Target="http://www.nevo.co.il/case/2894643" TargetMode="External"/><Relationship Id="rId3" Type="http://schemas.openxmlformats.org/officeDocument/2006/relationships/settings" Target="settings.xml"/><Relationship Id="rId21" Type="http://schemas.openxmlformats.org/officeDocument/2006/relationships/hyperlink" Target="http://www.nevo.co.il/case/2734763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0" TargetMode="External"/><Relationship Id="rId17" Type="http://schemas.openxmlformats.org/officeDocument/2006/relationships/hyperlink" Target="http://www.nevo.co.il/case/30055845" TargetMode="External"/><Relationship Id="rId25" Type="http://schemas.openxmlformats.org/officeDocument/2006/relationships/hyperlink" Target="http://www.nevo.co.il/case/1120607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6246488" TargetMode="External"/><Relationship Id="rId20" Type="http://schemas.openxmlformats.org/officeDocument/2006/relationships/hyperlink" Target="http://www.nevo.co.il/case/2751751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75738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615803" TargetMode="External"/><Relationship Id="rId23" Type="http://schemas.openxmlformats.org/officeDocument/2006/relationships/hyperlink" Target="http://www.nevo.co.il/case/27066481" TargetMode="External"/><Relationship Id="rId28" Type="http://schemas.openxmlformats.org/officeDocument/2006/relationships/header" Target="header1.xml"/><Relationship Id="rId10" Type="http://schemas.openxmlformats.org/officeDocument/2006/relationships/hyperlink" Target="http://www.nevo.co.il/law/4216/6" TargetMode="External"/><Relationship Id="rId19" Type="http://schemas.openxmlformats.org/officeDocument/2006/relationships/hyperlink" Target="http://www.nevo.co.il/case/29428682"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case/26797877" TargetMode="External"/><Relationship Id="rId22" Type="http://schemas.openxmlformats.org/officeDocument/2006/relationships/hyperlink" Target="http://www.nevo.co.il/case/27502816"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9240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4063356</vt:i4>
      </vt:variant>
      <vt:variant>
        <vt:i4>57</vt:i4>
      </vt:variant>
      <vt:variant>
        <vt:i4>0</vt:i4>
      </vt:variant>
      <vt:variant>
        <vt:i4>5</vt:i4>
      </vt:variant>
      <vt:variant>
        <vt:lpwstr>http://www.nevo.co.il/case/2894643</vt:lpwstr>
      </vt:variant>
      <vt:variant>
        <vt:lpwstr/>
      </vt:variant>
      <vt:variant>
        <vt:i4>3276917</vt:i4>
      </vt:variant>
      <vt:variant>
        <vt:i4>54</vt:i4>
      </vt:variant>
      <vt:variant>
        <vt:i4>0</vt:i4>
      </vt:variant>
      <vt:variant>
        <vt:i4>5</vt:i4>
      </vt:variant>
      <vt:variant>
        <vt:lpwstr>http://www.nevo.co.il/case/11206078</vt:lpwstr>
      </vt:variant>
      <vt:variant>
        <vt:lpwstr/>
      </vt:variant>
      <vt:variant>
        <vt:i4>3407996</vt:i4>
      </vt:variant>
      <vt:variant>
        <vt:i4>51</vt:i4>
      </vt:variant>
      <vt:variant>
        <vt:i4>0</vt:i4>
      </vt:variant>
      <vt:variant>
        <vt:i4>5</vt:i4>
      </vt:variant>
      <vt:variant>
        <vt:lpwstr>http://www.nevo.co.il/case/27573801</vt:lpwstr>
      </vt:variant>
      <vt:variant>
        <vt:lpwstr/>
      </vt:variant>
      <vt:variant>
        <vt:i4>3932273</vt:i4>
      </vt:variant>
      <vt:variant>
        <vt:i4>48</vt:i4>
      </vt:variant>
      <vt:variant>
        <vt:i4>0</vt:i4>
      </vt:variant>
      <vt:variant>
        <vt:i4>5</vt:i4>
      </vt:variant>
      <vt:variant>
        <vt:lpwstr>http://www.nevo.co.il/case/27066481</vt:lpwstr>
      </vt:variant>
      <vt:variant>
        <vt:lpwstr/>
      </vt:variant>
      <vt:variant>
        <vt:i4>3407995</vt:i4>
      </vt:variant>
      <vt:variant>
        <vt:i4>45</vt:i4>
      </vt:variant>
      <vt:variant>
        <vt:i4>0</vt:i4>
      </vt:variant>
      <vt:variant>
        <vt:i4>5</vt:i4>
      </vt:variant>
      <vt:variant>
        <vt:lpwstr>http://www.nevo.co.il/case/27502816</vt:lpwstr>
      </vt:variant>
      <vt:variant>
        <vt:lpwstr/>
      </vt:variant>
      <vt:variant>
        <vt:i4>3473521</vt:i4>
      </vt:variant>
      <vt:variant>
        <vt:i4>42</vt:i4>
      </vt:variant>
      <vt:variant>
        <vt:i4>0</vt:i4>
      </vt:variant>
      <vt:variant>
        <vt:i4>5</vt:i4>
      </vt:variant>
      <vt:variant>
        <vt:lpwstr>http://www.nevo.co.il/case/27347635</vt:lpwstr>
      </vt:variant>
      <vt:variant>
        <vt:lpwstr/>
      </vt:variant>
      <vt:variant>
        <vt:i4>3211383</vt:i4>
      </vt:variant>
      <vt:variant>
        <vt:i4>39</vt:i4>
      </vt:variant>
      <vt:variant>
        <vt:i4>0</vt:i4>
      </vt:variant>
      <vt:variant>
        <vt:i4>5</vt:i4>
      </vt:variant>
      <vt:variant>
        <vt:lpwstr>http://www.nevo.co.il/case/27517511</vt:lpwstr>
      </vt:variant>
      <vt:variant>
        <vt:lpwstr/>
      </vt:variant>
      <vt:variant>
        <vt:i4>3539065</vt:i4>
      </vt:variant>
      <vt:variant>
        <vt:i4>36</vt:i4>
      </vt:variant>
      <vt:variant>
        <vt:i4>0</vt:i4>
      </vt:variant>
      <vt:variant>
        <vt:i4>5</vt:i4>
      </vt:variant>
      <vt:variant>
        <vt:lpwstr>http://www.nevo.co.il/case/29428682</vt:lpwstr>
      </vt:variant>
      <vt:variant>
        <vt:lpwstr/>
      </vt:variant>
      <vt:variant>
        <vt:i4>4063352</vt:i4>
      </vt:variant>
      <vt:variant>
        <vt:i4>33</vt:i4>
      </vt:variant>
      <vt:variant>
        <vt:i4>0</vt:i4>
      </vt:variant>
      <vt:variant>
        <vt:i4>5</vt:i4>
      </vt:variant>
      <vt:variant>
        <vt:lpwstr>http://www.nevo.co.il/case/29570295</vt:lpwstr>
      </vt:variant>
      <vt:variant>
        <vt:lpwstr/>
      </vt:variant>
      <vt:variant>
        <vt:i4>3276921</vt:i4>
      </vt:variant>
      <vt:variant>
        <vt:i4>30</vt:i4>
      </vt:variant>
      <vt:variant>
        <vt:i4>0</vt:i4>
      </vt:variant>
      <vt:variant>
        <vt:i4>5</vt:i4>
      </vt:variant>
      <vt:variant>
        <vt:lpwstr>http://www.nevo.co.il/case/30055845</vt:lpwstr>
      </vt:variant>
      <vt:variant>
        <vt:lpwstr/>
      </vt:variant>
      <vt:variant>
        <vt:i4>4063346</vt:i4>
      </vt:variant>
      <vt:variant>
        <vt:i4>27</vt:i4>
      </vt:variant>
      <vt:variant>
        <vt:i4>0</vt:i4>
      </vt:variant>
      <vt:variant>
        <vt:i4>5</vt:i4>
      </vt:variant>
      <vt:variant>
        <vt:lpwstr>http://www.nevo.co.il/case/26246488</vt:lpwstr>
      </vt:variant>
      <vt:variant>
        <vt:lpwstr/>
      </vt:variant>
      <vt:variant>
        <vt:i4>3211386</vt:i4>
      </vt:variant>
      <vt:variant>
        <vt:i4>24</vt:i4>
      </vt:variant>
      <vt:variant>
        <vt:i4>0</vt:i4>
      </vt:variant>
      <vt:variant>
        <vt:i4>5</vt:i4>
      </vt:variant>
      <vt:variant>
        <vt:lpwstr>http://www.nevo.co.il/case/27615803</vt:lpwstr>
      </vt:variant>
      <vt:variant>
        <vt:lpwstr/>
      </vt:variant>
      <vt:variant>
        <vt:i4>3473523</vt:i4>
      </vt:variant>
      <vt:variant>
        <vt:i4>21</vt:i4>
      </vt:variant>
      <vt:variant>
        <vt:i4>0</vt:i4>
      </vt:variant>
      <vt:variant>
        <vt:i4>5</vt:i4>
      </vt:variant>
      <vt:variant>
        <vt:lpwstr>http://www.nevo.co.il/case/26797877</vt:lpwstr>
      </vt:variant>
      <vt:variant>
        <vt:lpwstr/>
      </vt:variant>
      <vt:variant>
        <vt:i4>4063352</vt:i4>
      </vt:variant>
      <vt:variant>
        <vt:i4>18</vt:i4>
      </vt:variant>
      <vt:variant>
        <vt:i4>0</vt:i4>
      </vt:variant>
      <vt:variant>
        <vt:i4>5</vt:i4>
      </vt:variant>
      <vt:variant>
        <vt:lpwstr>http://www.nevo.co.il/case/29570295</vt:lpwstr>
      </vt:variant>
      <vt:variant>
        <vt:lpwstr/>
      </vt:variant>
      <vt:variant>
        <vt:i4>5177418</vt:i4>
      </vt:variant>
      <vt:variant>
        <vt:i4>15</vt:i4>
      </vt:variant>
      <vt:variant>
        <vt:i4>0</vt:i4>
      </vt:variant>
      <vt:variant>
        <vt:i4>5</vt:i4>
      </vt:variant>
      <vt:variant>
        <vt:lpwstr>http://www.nevo.co.il/law/4216/10</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2025-04-23T01:57:00Z</dcterms:created>
  <dcterms:modified xsi:type="dcterms:W3CDTF">2025-04-23T01:57:00Z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49387</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אושרי בוסקילה</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20240716</vt:lpwstr>
  </property>
  <property fmtid="{D5CDD505-2E9C-101B-9397-08002B2CF9AE}" pid="13" name="TYPE_N_DATE">
    <vt:lpwstr>38020240716</vt:lpwstr>
  </property>
  <property fmtid="{D5CDD505-2E9C-101B-9397-08002B2CF9AE}" pid="14" name="WORDNUMPAGES">
    <vt:lpwstr>5</vt:lpwstr>
  </property>
  <property fmtid="{D5CDD505-2E9C-101B-9397-08002B2CF9AE}" pid="15" name="TYPE_ABS_DATE">
    <vt:lpwstr>380020240716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29570295:2;26797877;27615803;26246488;30055845;29428682;27517511;27347635;27502816;27066481;27573801;11206078;2894643</vt:lpwstr>
  </property>
  <property fmtid="{D5CDD505-2E9C-101B-9397-08002B2CF9AE}" pid="36" name="LAWLISTTMP1">
    <vt:lpwstr>4216/006;010</vt:lpwstr>
  </property>
</Properties>
</file>