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099"/>
        <w:gridCol w:w="996"/>
        <w:gridCol w:w="3218"/>
        <w:gridCol w:w="45"/>
      </w:tblGrid>
      <w:tr w:rsidR="005A0DB6" w:rsidRPr="000F476B" w14:paraId="59565DAD" w14:textId="77777777" w:rsidTr="00506951">
        <w:trPr>
          <w:gridAfter w:val="1"/>
          <w:wAfter w:w="45" w:type="dxa"/>
          <w:trHeight w:hRule="exact" w:val="418"/>
          <w:jc w:val="center"/>
        </w:trPr>
        <w:tc>
          <w:tcPr>
            <w:tcW w:w="9270" w:type="dxa"/>
            <w:gridSpan w:val="4"/>
          </w:tcPr>
          <w:p w14:paraId="6D4A601E" w14:textId="77777777" w:rsidR="005A0DB6" w:rsidRPr="000F476B" w:rsidRDefault="005A0DB6" w:rsidP="00D0134E">
            <w:pPr>
              <w:pStyle w:val="a3"/>
              <w:jc w:val="center"/>
              <w:rPr>
                <w:rFonts w:ascii="Tahoma" w:hAnsi="Tahoma" w:cs="Tahoma"/>
                <w:color w:val="000080"/>
                <w:rtl/>
              </w:rPr>
            </w:pPr>
            <w:r w:rsidRPr="000F476B">
              <w:rPr>
                <w:rFonts w:ascii="Tahoma" w:hAnsi="Tahoma" w:cs="Tahoma"/>
                <w:b/>
                <w:bCs/>
                <w:color w:val="000080"/>
                <w:rtl/>
              </w:rPr>
              <w:t>בית משפט השלום בקריות</w:t>
            </w:r>
          </w:p>
        </w:tc>
      </w:tr>
      <w:tr w:rsidR="005A0DB6" w:rsidRPr="000F476B" w14:paraId="326B6CEA" w14:textId="77777777" w:rsidTr="00506951">
        <w:trPr>
          <w:gridAfter w:val="1"/>
          <w:wAfter w:w="45" w:type="dxa"/>
          <w:trHeight w:val="337"/>
          <w:jc w:val="center"/>
        </w:trPr>
        <w:tc>
          <w:tcPr>
            <w:tcW w:w="5056" w:type="dxa"/>
            <w:gridSpan w:val="2"/>
          </w:tcPr>
          <w:p w14:paraId="61549C93" w14:textId="77777777" w:rsidR="005A0DB6" w:rsidRPr="000F476B" w:rsidRDefault="005A0DB6" w:rsidP="00D0134E">
            <w:pPr>
              <w:rPr>
                <w:rFonts w:cs="FrankRuehl"/>
                <w:sz w:val="28"/>
                <w:szCs w:val="28"/>
                <w:rtl/>
              </w:rPr>
            </w:pPr>
            <w:r w:rsidRPr="000F476B">
              <w:rPr>
                <w:rFonts w:cs="FrankRuehl"/>
                <w:sz w:val="28"/>
                <w:szCs w:val="28"/>
                <w:rtl/>
              </w:rPr>
              <w:t>ת"פ</w:t>
            </w:r>
            <w:r w:rsidRPr="000F476B">
              <w:rPr>
                <w:rFonts w:cs="FrankRuehl" w:hint="cs"/>
                <w:sz w:val="28"/>
                <w:szCs w:val="28"/>
                <w:rtl/>
              </w:rPr>
              <w:t xml:space="preserve"> </w:t>
            </w:r>
            <w:r w:rsidRPr="000F476B">
              <w:rPr>
                <w:rFonts w:cs="FrankRuehl"/>
                <w:sz w:val="28"/>
                <w:szCs w:val="28"/>
                <w:rtl/>
              </w:rPr>
              <w:t>63652-05-24</w:t>
            </w:r>
            <w:r w:rsidRPr="000F476B">
              <w:rPr>
                <w:rFonts w:cs="FrankRuehl" w:hint="cs"/>
                <w:sz w:val="28"/>
                <w:szCs w:val="28"/>
                <w:rtl/>
              </w:rPr>
              <w:t xml:space="preserve"> </w:t>
            </w:r>
            <w:r w:rsidRPr="000F476B">
              <w:rPr>
                <w:rFonts w:cs="FrankRuehl"/>
                <w:sz w:val="28"/>
                <w:szCs w:val="28"/>
                <w:rtl/>
              </w:rPr>
              <w:t>מדינת ישראל נ' ממן(עציר)</w:t>
            </w:r>
          </w:p>
          <w:p w14:paraId="06078E5F" w14:textId="77777777" w:rsidR="005A0DB6" w:rsidRPr="000F476B" w:rsidRDefault="005A0DB6" w:rsidP="00D0134E">
            <w:pPr>
              <w:pStyle w:val="a3"/>
              <w:rPr>
                <w:rFonts w:cs="FrankRuehl"/>
                <w:sz w:val="28"/>
                <w:szCs w:val="28"/>
                <w:rtl/>
              </w:rPr>
            </w:pPr>
          </w:p>
        </w:tc>
        <w:tc>
          <w:tcPr>
            <w:tcW w:w="4214" w:type="dxa"/>
            <w:gridSpan w:val="2"/>
          </w:tcPr>
          <w:p w14:paraId="6AED7341" w14:textId="77777777" w:rsidR="005A0DB6" w:rsidRPr="000F476B" w:rsidRDefault="005A0DB6" w:rsidP="00D0134E">
            <w:pPr>
              <w:pStyle w:val="a3"/>
              <w:jc w:val="right"/>
              <w:rPr>
                <w:rFonts w:cs="FrankRuehl"/>
                <w:sz w:val="28"/>
                <w:szCs w:val="28"/>
                <w:rtl/>
              </w:rPr>
            </w:pPr>
          </w:p>
        </w:tc>
      </w:tr>
      <w:tr w:rsidR="005A0DB6" w:rsidRPr="000F476B" w14:paraId="7A352AFF" w14:textId="77777777" w:rsidTr="00506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5E3E20DA" w14:textId="77777777" w:rsidR="005A0DB6" w:rsidRPr="000F476B" w:rsidRDefault="005A0DB6" w:rsidP="005A0DB6">
            <w:pPr>
              <w:jc w:val="both"/>
              <w:rPr>
                <w:rFonts w:ascii="David" w:hAnsi="David"/>
                <w:b/>
                <w:bCs/>
              </w:rPr>
            </w:pPr>
            <w:r w:rsidRPr="000F476B">
              <w:rPr>
                <w:rFonts w:hint="cs"/>
                <w:rtl/>
              </w:rPr>
              <w:t xml:space="preserve"> </w:t>
            </w:r>
            <w:r w:rsidRPr="000F476B">
              <w:rPr>
                <w:rFonts w:ascii="David" w:hAnsi="David"/>
                <w:b/>
                <w:bCs/>
                <w:rtl/>
              </w:rPr>
              <w:t xml:space="preserve">בפני </w:t>
            </w:r>
          </w:p>
        </w:tc>
        <w:tc>
          <w:tcPr>
            <w:tcW w:w="8358" w:type="dxa"/>
            <w:gridSpan w:val="4"/>
            <w:tcBorders>
              <w:top w:val="nil"/>
              <w:left w:val="nil"/>
              <w:bottom w:val="nil"/>
              <w:right w:val="nil"/>
            </w:tcBorders>
            <w:shd w:val="clear" w:color="auto" w:fill="auto"/>
          </w:tcPr>
          <w:p w14:paraId="107F2EDA" w14:textId="77777777" w:rsidR="005A0DB6" w:rsidRPr="000F476B" w:rsidRDefault="005A0DB6" w:rsidP="00D0134E">
            <w:pPr>
              <w:rPr>
                <w:rFonts w:ascii="David" w:hAnsi="David"/>
                <w:b/>
                <w:bCs/>
              </w:rPr>
            </w:pPr>
            <w:r w:rsidRPr="000F476B">
              <w:rPr>
                <w:rFonts w:ascii="Arial" w:hAnsi="Arial"/>
                <w:b/>
                <w:bCs/>
                <w:rtl/>
              </w:rPr>
              <w:t>כב' השופט יוסי טורס , סגן הנשיאה</w:t>
            </w:r>
          </w:p>
        </w:tc>
      </w:tr>
      <w:tr w:rsidR="005A0DB6" w:rsidRPr="000F476B" w14:paraId="21F65F63" w14:textId="77777777" w:rsidTr="00506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64BF759D" w14:textId="77777777" w:rsidR="005A0DB6" w:rsidRPr="000F476B" w:rsidRDefault="005A0DB6" w:rsidP="005A0DB6">
            <w:pPr>
              <w:jc w:val="both"/>
              <w:rPr>
                <w:rFonts w:ascii="David" w:hAnsi="David"/>
                <w:b/>
                <w:bCs/>
                <w:rtl/>
              </w:rPr>
            </w:pPr>
            <w:bookmarkStart w:id="0" w:name="LastJudge"/>
            <w:bookmarkEnd w:id="0"/>
          </w:p>
        </w:tc>
        <w:tc>
          <w:tcPr>
            <w:tcW w:w="8358" w:type="dxa"/>
            <w:gridSpan w:val="4"/>
            <w:tcBorders>
              <w:top w:val="nil"/>
              <w:left w:val="nil"/>
              <w:bottom w:val="nil"/>
              <w:right w:val="nil"/>
            </w:tcBorders>
            <w:shd w:val="clear" w:color="auto" w:fill="auto"/>
          </w:tcPr>
          <w:p w14:paraId="20100757" w14:textId="77777777" w:rsidR="005A0DB6" w:rsidRPr="000F476B" w:rsidRDefault="005A0DB6" w:rsidP="00D0134E">
            <w:pPr>
              <w:rPr>
                <w:rFonts w:ascii="Arial" w:hAnsi="Arial"/>
                <w:b/>
                <w:bCs/>
                <w:rtl/>
              </w:rPr>
            </w:pPr>
          </w:p>
        </w:tc>
      </w:tr>
      <w:tr w:rsidR="005A0DB6" w:rsidRPr="000F476B" w14:paraId="508BB3FF" w14:textId="77777777" w:rsidTr="00506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03B61716" w14:textId="77777777" w:rsidR="005A0DB6" w:rsidRPr="000F476B" w:rsidRDefault="005A0DB6" w:rsidP="005A0DB6">
            <w:pPr>
              <w:jc w:val="both"/>
              <w:rPr>
                <w:rFonts w:ascii="David" w:hAnsi="David"/>
                <w:b/>
                <w:bCs/>
                <w:rtl/>
              </w:rPr>
            </w:pPr>
            <w:bookmarkStart w:id="1" w:name="FirstAppellant"/>
          </w:p>
          <w:p w14:paraId="7BA04A5B" w14:textId="77777777" w:rsidR="005A0DB6" w:rsidRPr="000F476B" w:rsidRDefault="005A0DB6" w:rsidP="005A0DB6">
            <w:pPr>
              <w:jc w:val="both"/>
              <w:rPr>
                <w:rFonts w:ascii="David" w:hAnsi="David"/>
                <w:b/>
                <w:bCs/>
                <w:rtl/>
              </w:rPr>
            </w:pPr>
          </w:p>
          <w:p w14:paraId="4F517B12" w14:textId="77777777" w:rsidR="005A0DB6" w:rsidRPr="000F476B" w:rsidRDefault="005A0DB6" w:rsidP="005A0DB6">
            <w:pPr>
              <w:jc w:val="both"/>
              <w:rPr>
                <w:rFonts w:ascii="David" w:hAnsi="David"/>
                <w:b/>
                <w:bCs/>
              </w:rPr>
            </w:pPr>
            <w:r w:rsidRPr="000F476B">
              <w:rPr>
                <w:rFonts w:ascii="David" w:hAnsi="David"/>
                <w:b/>
                <w:bCs/>
                <w:rtl/>
              </w:rPr>
              <w:t>בעניין:</w:t>
            </w:r>
          </w:p>
        </w:tc>
        <w:tc>
          <w:tcPr>
            <w:tcW w:w="5095" w:type="dxa"/>
            <w:gridSpan w:val="2"/>
            <w:tcBorders>
              <w:top w:val="nil"/>
              <w:left w:val="nil"/>
              <w:bottom w:val="nil"/>
              <w:right w:val="nil"/>
            </w:tcBorders>
            <w:shd w:val="clear" w:color="auto" w:fill="auto"/>
          </w:tcPr>
          <w:p w14:paraId="03EB3EAE" w14:textId="77777777" w:rsidR="005A0DB6" w:rsidRPr="000F476B" w:rsidRDefault="005A0DB6" w:rsidP="00D0134E">
            <w:pPr>
              <w:rPr>
                <w:rFonts w:ascii="David" w:hAnsi="David"/>
                <w:b/>
                <w:bCs/>
              </w:rPr>
            </w:pPr>
            <w:r w:rsidRPr="000F476B">
              <w:rPr>
                <w:rFonts w:ascii="David" w:hAnsi="David"/>
                <w:b/>
                <w:bCs/>
                <w:rtl/>
              </w:rPr>
              <w:br/>
            </w:r>
            <w:r w:rsidRPr="000F476B">
              <w:rPr>
                <w:rFonts w:ascii="David" w:hAnsi="David"/>
                <w:b/>
                <w:bCs/>
                <w:rtl/>
              </w:rPr>
              <w:br/>
              <w:t>מדינת ישראל</w:t>
            </w:r>
          </w:p>
        </w:tc>
        <w:tc>
          <w:tcPr>
            <w:tcW w:w="3263" w:type="dxa"/>
            <w:gridSpan w:val="2"/>
            <w:tcBorders>
              <w:top w:val="nil"/>
              <w:left w:val="nil"/>
              <w:bottom w:val="nil"/>
              <w:right w:val="nil"/>
            </w:tcBorders>
            <w:shd w:val="clear" w:color="auto" w:fill="auto"/>
          </w:tcPr>
          <w:p w14:paraId="72D04438" w14:textId="77777777" w:rsidR="005A0DB6" w:rsidRPr="000F476B" w:rsidRDefault="005A0DB6" w:rsidP="005A0DB6">
            <w:pPr>
              <w:jc w:val="both"/>
              <w:rPr>
                <w:rFonts w:ascii="David" w:hAnsi="David"/>
                <w:b/>
                <w:bCs/>
                <w:rtl/>
              </w:rPr>
            </w:pPr>
          </w:p>
          <w:p w14:paraId="3AD5FC39" w14:textId="77777777" w:rsidR="005A0DB6" w:rsidRPr="000F476B" w:rsidRDefault="005A0DB6" w:rsidP="005A0DB6">
            <w:pPr>
              <w:jc w:val="both"/>
              <w:rPr>
                <w:rFonts w:ascii="David" w:hAnsi="David"/>
                <w:b/>
                <w:bCs/>
                <w:rtl/>
              </w:rPr>
            </w:pPr>
          </w:p>
          <w:p w14:paraId="3E39F57E" w14:textId="77777777" w:rsidR="005A0DB6" w:rsidRPr="000F476B" w:rsidRDefault="005A0DB6" w:rsidP="005A0DB6">
            <w:pPr>
              <w:jc w:val="both"/>
              <w:rPr>
                <w:rFonts w:ascii="David" w:hAnsi="David"/>
                <w:b/>
                <w:bCs/>
              </w:rPr>
            </w:pPr>
            <w:r w:rsidRPr="000F476B">
              <w:rPr>
                <w:rFonts w:ascii="David" w:hAnsi="David"/>
                <w:b/>
                <w:bCs/>
                <w:rtl/>
              </w:rPr>
              <w:t>המאשימה</w:t>
            </w:r>
          </w:p>
        </w:tc>
      </w:tr>
      <w:bookmarkEnd w:id="1"/>
      <w:tr w:rsidR="005A0DB6" w:rsidRPr="000F476B" w14:paraId="6A618B59" w14:textId="77777777" w:rsidTr="00506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1A851395" w14:textId="77777777" w:rsidR="005A0DB6" w:rsidRPr="000F476B" w:rsidRDefault="005A0DB6" w:rsidP="005A0DB6">
            <w:pPr>
              <w:jc w:val="both"/>
              <w:rPr>
                <w:rFonts w:ascii="David" w:hAnsi="David"/>
                <w:b/>
                <w:bCs/>
                <w:rtl/>
              </w:rPr>
            </w:pPr>
          </w:p>
        </w:tc>
        <w:tc>
          <w:tcPr>
            <w:tcW w:w="8358" w:type="dxa"/>
            <w:gridSpan w:val="4"/>
            <w:tcBorders>
              <w:top w:val="nil"/>
              <w:left w:val="nil"/>
              <w:bottom w:val="nil"/>
              <w:right w:val="nil"/>
            </w:tcBorders>
            <w:shd w:val="clear" w:color="auto" w:fill="auto"/>
          </w:tcPr>
          <w:p w14:paraId="7E4CFBB7" w14:textId="77777777" w:rsidR="005A0DB6" w:rsidRPr="000F476B" w:rsidRDefault="005A0DB6" w:rsidP="00D0134E">
            <w:pPr>
              <w:rPr>
                <w:rFonts w:ascii="David" w:hAnsi="David"/>
                <w:b/>
                <w:bCs/>
              </w:rPr>
            </w:pPr>
            <w:r w:rsidRPr="000F476B">
              <w:rPr>
                <w:rFonts w:ascii="David" w:hAnsi="David" w:hint="cs"/>
                <w:b/>
                <w:bCs/>
                <w:rtl/>
              </w:rPr>
              <w:t xml:space="preserve">                                                   </w:t>
            </w:r>
            <w:r w:rsidRPr="000F476B">
              <w:rPr>
                <w:rFonts w:ascii="David" w:hAnsi="David"/>
                <w:b/>
                <w:bCs/>
                <w:rtl/>
              </w:rPr>
              <w:t>נגד</w:t>
            </w:r>
          </w:p>
        </w:tc>
      </w:tr>
      <w:tr w:rsidR="005A0DB6" w:rsidRPr="000F476B" w14:paraId="2C7F0D92" w14:textId="77777777" w:rsidTr="00506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3B2BB684" w14:textId="77777777" w:rsidR="005A0DB6" w:rsidRPr="000F476B" w:rsidRDefault="005A0DB6" w:rsidP="00D0134E">
            <w:pPr>
              <w:rPr>
                <w:rFonts w:ascii="David" w:hAnsi="David"/>
                <w:b/>
                <w:bCs/>
                <w:rtl/>
              </w:rPr>
            </w:pPr>
          </w:p>
        </w:tc>
        <w:tc>
          <w:tcPr>
            <w:tcW w:w="5095" w:type="dxa"/>
            <w:gridSpan w:val="2"/>
            <w:tcBorders>
              <w:top w:val="nil"/>
              <w:left w:val="nil"/>
              <w:bottom w:val="nil"/>
              <w:right w:val="nil"/>
            </w:tcBorders>
            <w:shd w:val="clear" w:color="auto" w:fill="auto"/>
          </w:tcPr>
          <w:p w14:paraId="1705AFFC" w14:textId="77777777" w:rsidR="005A0DB6" w:rsidRPr="000F476B" w:rsidRDefault="005A0DB6" w:rsidP="00D0134E">
            <w:pPr>
              <w:rPr>
                <w:rFonts w:ascii="David" w:hAnsi="David"/>
                <w:b/>
                <w:bCs/>
                <w:rtl/>
              </w:rPr>
            </w:pPr>
            <w:r w:rsidRPr="000F476B">
              <w:rPr>
                <w:rFonts w:ascii="David" w:hAnsi="David"/>
                <w:b/>
                <w:bCs/>
                <w:rtl/>
              </w:rPr>
              <w:br/>
            </w:r>
            <w:r w:rsidRPr="000F476B">
              <w:rPr>
                <w:rFonts w:ascii="David" w:hAnsi="David"/>
                <w:b/>
                <w:bCs/>
                <w:rtl/>
              </w:rPr>
              <w:br/>
              <w:t xml:space="preserve">בר שמעון ממן </w:t>
            </w:r>
          </w:p>
        </w:tc>
        <w:tc>
          <w:tcPr>
            <w:tcW w:w="3263" w:type="dxa"/>
            <w:gridSpan w:val="2"/>
            <w:tcBorders>
              <w:top w:val="nil"/>
              <w:left w:val="nil"/>
              <w:bottom w:val="nil"/>
              <w:right w:val="nil"/>
            </w:tcBorders>
            <w:shd w:val="clear" w:color="auto" w:fill="auto"/>
          </w:tcPr>
          <w:p w14:paraId="503D1BB4" w14:textId="77777777" w:rsidR="005A0DB6" w:rsidRPr="000F476B" w:rsidRDefault="005A0DB6" w:rsidP="00D0134E">
            <w:pPr>
              <w:rPr>
                <w:rFonts w:ascii="David" w:hAnsi="David"/>
                <w:b/>
                <w:bCs/>
                <w:rtl/>
              </w:rPr>
            </w:pPr>
          </w:p>
          <w:p w14:paraId="535CBB54" w14:textId="77777777" w:rsidR="005A0DB6" w:rsidRPr="000F476B" w:rsidRDefault="005A0DB6" w:rsidP="00D0134E">
            <w:pPr>
              <w:rPr>
                <w:rFonts w:ascii="David" w:hAnsi="David"/>
                <w:b/>
                <w:bCs/>
                <w:rtl/>
              </w:rPr>
            </w:pPr>
          </w:p>
          <w:p w14:paraId="278B77C8" w14:textId="77777777" w:rsidR="005A0DB6" w:rsidRPr="000F476B" w:rsidRDefault="005A0DB6" w:rsidP="00D0134E">
            <w:pPr>
              <w:rPr>
                <w:rFonts w:ascii="David" w:hAnsi="David"/>
                <w:b/>
                <w:bCs/>
              </w:rPr>
            </w:pPr>
            <w:r w:rsidRPr="000F476B">
              <w:rPr>
                <w:rFonts w:ascii="David" w:hAnsi="David"/>
                <w:b/>
                <w:bCs/>
                <w:rtl/>
              </w:rPr>
              <w:t>הנאש</w:t>
            </w:r>
            <w:r w:rsidRPr="000F476B">
              <w:rPr>
                <w:rFonts w:ascii="David" w:hAnsi="David" w:hint="cs"/>
                <w:b/>
                <w:bCs/>
                <w:rtl/>
              </w:rPr>
              <w:t>ם</w:t>
            </w:r>
          </w:p>
        </w:tc>
      </w:tr>
    </w:tbl>
    <w:p w14:paraId="213872AE" w14:textId="77777777" w:rsidR="000F476B" w:rsidRPr="000F476B" w:rsidRDefault="000F476B" w:rsidP="000F476B">
      <w:pPr>
        <w:spacing w:before="120" w:after="120" w:line="240" w:lineRule="exact"/>
        <w:ind w:left="283" w:hanging="283"/>
        <w:jc w:val="both"/>
        <w:rPr>
          <w:rFonts w:ascii="FrankRuehl" w:hAnsi="FrankRuehl" w:cs="FrankRuehl"/>
          <w:rtl/>
        </w:rPr>
      </w:pPr>
    </w:p>
    <w:p w14:paraId="0D94527C" w14:textId="77777777" w:rsidR="000F476B" w:rsidRPr="000F476B" w:rsidRDefault="000F476B" w:rsidP="000F476B">
      <w:pPr>
        <w:rPr>
          <w:rFonts w:ascii="David" w:hAnsi="David"/>
          <w:rtl/>
        </w:rPr>
      </w:pPr>
    </w:p>
    <w:p w14:paraId="0E2D0749" w14:textId="77777777" w:rsidR="00506951" w:rsidRPr="00506951" w:rsidRDefault="00506951" w:rsidP="00506951">
      <w:pPr>
        <w:spacing w:before="120" w:after="120" w:line="240" w:lineRule="exact"/>
        <w:ind w:left="283" w:hanging="283"/>
        <w:jc w:val="both"/>
        <w:rPr>
          <w:rFonts w:ascii="FrankRuehl" w:hAnsi="FrankRuehl" w:cs="FrankRuehl"/>
          <w:rtl/>
        </w:rPr>
      </w:pPr>
      <w:bookmarkStart w:id="2" w:name="LawTable"/>
      <w:bookmarkEnd w:id="2"/>
    </w:p>
    <w:p w14:paraId="707D43BF" w14:textId="77777777" w:rsidR="00506951" w:rsidRPr="00506951" w:rsidRDefault="00506951" w:rsidP="00506951">
      <w:pPr>
        <w:spacing w:before="120" w:after="120" w:line="240" w:lineRule="exact"/>
        <w:ind w:left="283" w:hanging="283"/>
        <w:jc w:val="both"/>
        <w:rPr>
          <w:rFonts w:ascii="FrankRuehl" w:hAnsi="FrankRuehl" w:cs="FrankRuehl"/>
          <w:rtl/>
        </w:rPr>
      </w:pPr>
      <w:r w:rsidRPr="00506951">
        <w:rPr>
          <w:rFonts w:ascii="FrankRuehl" w:hAnsi="FrankRuehl" w:cs="FrankRuehl"/>
          <w:rtl/>
        </w:rPr>
        <w:t xml:space="preserve">חקיקה שאוזכרה: </w:t>
      </w:r>
    </w:p>
    <w:p w14:paraId="109CFA7D" w14:textId="77777777" w:rsidR="00506951" w:rsidRPr="00506951" w:rsidRDefault="00506951" w:rsidP="00506951">
      <w:pPr>
        <w:spacing w:before="120" w:after="120" w:line="240" w:lineRule="exact"/>
        <w:ind w:left="283" w:hanging="283"/>
        <w:jc w:val="both"/>
        <w:rPr>
          <w:rFonts w:ascii="FrankRuehl" w:hAnsi="FrankRuehl" w:cs="FrankRuehl"/>
          <w:color w:val="0000FF"/>
          <w:rtl/>
        </w:rPr>
      </w:pPr>
      <w:hyperlink r:id="rId7" w:history="1">
        <w:r w:rsidRPr="00506951">
          <w:rPr>
            <w:rStyle w:val="Hyperlink"/>
            <w:rFonts w:ascii="FrankRuehl" w:hAnsi="FrankRuehl" w:cs="FrankRuehl"/>
            <w:u w:val="none"/>
            <w:rtl/>
          </w:rPr>
          <w:t>פקודת הסמים המסוכנים [נוסח חדש], תשל"ג-1973</w:t>
        </w:r>
      </w:hyperlink>
      <w:r w:rsidRPr="00506951">
        <w:rPr>
          <w:rFonts w:ascii="FrankRuehl" w:hAnsi="FrankRuehl" w:cs="FrankRuehl"/>
          <w:color w:val="0000FF"/>
          <w:rtl/>
        </w:rPr>
        <w:t xml:space="preserve">: סע'  </w:t>
      </w:r>
      <w:hyperlink r:id="rId8" w:history="1">
        <w:r w:rsidRPr="00506951">
          <w:rPr>
            <w:rStyle w:val="Hyperlink"/>
            <w:rFonts w:ascii="FrankRuehl" w:hAnsi="FrankRuehl" w:cs="FrankRuehl"/>
            <w:u w:val="none"/>
          </w:rPr>
          <w:t>7.</w:t>
        </w:r>
        <w:r w:rsidRPr="00506951">
          <w:rPr>
            <w:rStyle w:val="Hyperlink"/>
            <w:rFonts w:ascii="FrankRuehl" w:hAnsi="FrankRuehl" w:cs="FrankRuehl"/>
            <w:u w:val="none"/>
            <w:rtl/>
          </w:rPr>
          <w:t>א</w:t>
        </w:r>
        <w:r w:rsidRPr="00506951">
          <w:rPr>
            <w:rStyle w:val="Hyperlink"/>
            <w:rFonts w:ascii="FrankRuehl" w:hAnsi="FrankRuehl" w:cs="FrankRuehl"/>
            <w:u w:val="none"/>
          </w:rPr>
          <w:t>.</w:t>
        </w:r>
      </w:hyperlink>
      <w:r w:rsidRPr="00506951">
        <w:rPr>
          <w:rFonts w:ascii="FrankRuehl" w:hAnsi="FrankRuehl" w:cs="FrankRuehl"/>
          <w:color w:val="0000FF"/>
          <w:rtl/>
        </w:rPr>
        <w:t xml:space="preserve">, </w:t>
      </w:r>
      <w:hyperlink r:id="rId9" w:history="1">
        <w:r w:rsidRPr="00506951">
          <w:rPr>
            <w:rStyle w:val="Hyperlink"/>
            <w:rFonts w:ascii="FrankRuehl" w:hAnsi="FrankRuehl" w:cs="FrankRuehl"/>
            <w:u w:val="none"/>
          </w:rPr>
          <w:t>7.</w:t>
        </w:r>
        <w:r w:rsidRPr="00506951">
          <w:rPr>
            <w:rStyle w:val="Hyperlink"/>
            <w:rFonts w:ascii="FrankRuehl" w:hAnsi="FrankRuehl" w:cs="FrankRuehl"/>
            <w:u w:val="none"/>
            <w:rtl/>
          </w:rPr>
          <w:t>ג</w:t>
        </w:r>
      </w:hyperlink>
    </w:p>
    <w:p w14:paraId="714249E0" w14:textId="77777777" w:rsidR="00506951" w:rsidRPr="00506951" w:rsidRDefault="00506951" w:rsidP="00506951">
      <w:pPr>
        <w:spacing w:before="120" w:after="120" w:line="240" w:lineRule="exact"/>
        <w:ind w:left="283" w:hanging="283"/>
        <w:jc w:val="both"/>
        <w:rPr>
          <w:rFonts w:ascii="FrankRuehl" w:hAnsi="FrankRuehl" w:cs="FrankRuehl"/>
          <w:color w:val="0000FF"/>
          <w:rtl/>
        </w:rPr>
      </w:pPr>
      <w:hyperlink r:id="rId10" w:history="1">
        <w:r w:rsidRPr="00506951">
          <w:rPr>
            <w:rStyle w:val="Hyperlink"/>
            <w:rFonts w:ascii="FrankRuehl" w:hAnsi="FrankRuehl" w:cs="FrankRuehl"/>
            <w:u w:val="none"/>
            <w:rtl/>
          </w:rPr>
          <w:t>חוק העונשין, תשל"ז-1977</w:t>
        </w:r>
      </w:hyperlink>
      <w:r w:rsidRPr="00506951">
        <w:rPr>
          <w:rFonts w:ascii="FrankRuehl" w:hAnsi="FrankRuehl" w:cs="FrankRuehl"/>
          <w:color w:val="0000FF"/>
          <w:rtl/>
        </w:rPr>
        <w:t xml:space="preserve">: סע'  </w:t>
      </w:r>
      <w:hyperlink r:id="rId11" w:history="1">
        <w:r w:rsidRPr="00506951">
          <w:rPr>
            <w:rStyle w:val="Hyperlink"/>
            <w:rFonts w:ascii="FrankRuehl" w:hAnsi="FrankRuehl" w:cs="FrankRuehl"/>
            <w:u w:val="none"/>
          </w:rPr>
          <w:t>31</w:t>
        </w:r>
      </w:hyperlink>
    </w:p>
    <w:p w14:paraId="1719069F" w14:textId="77777777" w:rsidR="005A0DB6" w:rsidRDefault="005A0DB6" w:rsidP="00506951">
      <w:pPr>
        <w:rPr>
          <w:rFonts w:ascii="David" w:hAnsi="David" w:hint="cs"/>
          <w:rtl/>
        </w:rPr>
      </w:pPr>
      <w:bookmarkStart w:id="3" w:name="LawTable_End"/>
      <w:bookmarkEnd w:id="3"/>
    </w:p>
    <w:p w14:paraId="361FB922" w14:textId="77777777" w:rsidR="00506951" w:rsidRDefault="00506951" w:rsidP="00506951">
      <w:pPr>
        <w:rPr>
          <w:rFonts w:ascii="David" w:hAnsi="David" w:hint="cs"/>
          <w:rtl/>
        </w:rPr>
      </w:pPr>
    </w:p>
    <w:p w14:paraId="7A0E301B" w14:textId="77777777" w:rsidR="00506951" w:rsidRPr="00506951" w:rsidRDefault="00506951" w:rsidP="00506951">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0DB6" w14:paraId="68F16F8E" w14:textId="77777777" w:rsidTr="005A0DB6">
        <w:trPr>
          <w:trHeight w:val="355"/>
          <w:jc w:val="center"/>
        </w:trPr>
        <w:tc>
          <w:tcPr>
            <w:tcW w:w="8820" w:type="dxa"/>
            <w:tcBorders>
              <w:top w:val="nil"/>
              <w:left w:val="nil"/>
              <w:bottom w:val="nil"/>
              <w:right w:val="nil"/>
            </w:tcBorders>
            <w:shd w:val="clear" w:color="auto" w:fill="auto"/>
          </w:tcPr>
          <w:p w14:paraId="0D586516" w14:textId="77777777" w:rsidR="000F476B" w:rsidRPr="000F476B" w:rsidRDefault="000F476B" w:rsidP="000F476B">
            <w:pPr>
              <w:jc w:val="center"/>
              <w:rPr>
                <w:rFonts w:ascii="David" w:hAnsi="David"/>
                <w:b/>
                <w:bCs/>
                <w:sz w:val="32"/>
                <w:szCs w:val="32"/>
                <w:u w:val="single"/>
                <w:rtl/>
              </w:rPr>
            </w:pPr>
            <w:bookmarkStart w:id="4" w:name="PsakDin" w:colFirst="0" w:colLast="0"/>
            <w:r w:rsidRPr="000F476B">
              <w:rPr>
                <w:rFonts w:ascii="David" w:hAnsi="David"/>
                <w:b/>
                <w:bCs/>
                <w:sz w:val="32"/>
                <w:szCs w:val="32"/>
                <w:u w:val="single"/>
                <w:rtl/>
              </w:rPr>
              <w:t>גזר דין</w:t>
            </w:r>
          </w:p>
          <w:p w14:paraId="132AB86A" w14:textId="77777777" w:rsidR="005A0DB6" w:rsidRPr="000F476B" w:rsidRDefault="005A0DB6" w:rsidP="000F476B">
            <w:pPr>
              <w:jc w:val="center"/>
              <w:rPr>
                <w:rFonts w:ascii="David" w:hAnsi="David"/>
                <w:bCs/>
                <w:sz w:val="32"/>
                <w:szCs w:val="32"/>
                <w:u w:val="single"/>
                <w:rtl/>
              </w:rPr>
            </w:pPr>
          </w:p>
        </w:tc>
      </w:tr>
      <w:bookmarkEnd w:id="4"/>
    </w:tbl>
    <w:p w14:paraId="11518B82" w14:textId="77777777" w:rsidR="005A0DB6" w:rsidRDefault="005A0DB6" w:rsidP="005A0DB6">
      <w:pPr>
        <w:rPr>
          <w:rFonts w:ascii="David" w:hAnsi="David"/>
          <w:rtl/>
        </w:rPr>
      </w:pPr>
    </w:p>
    <w:p w14:paraId="0061A371" w14:textId="77777777" w:rsidR="005A0DB6" w:rsidRDefault="005A0DB6" w:rsidP="005A0DB6">
      <w:pPr>
        <w:spacing w:line="360" w:lineRule="auto"/>
        <w:jc w:val="both"/>
        <w:rPr>
          <w:rFonts w:ascii="David" w:hAnsi="David"/>
          <w:rtl/>
        </w:rPr>
      </w:pPr>
      <w:r>
        <w:rPr>
          <w:rFonts w:ascii="David" w:hAnsi="David" w:hint="cs"/>
          <w:b/>
          <w:bCs/>
          <w:u w:val="single"/>
          <w:rtl/>
        </w:rPr>
        <w:t>כתב האישום</w:t>
      </w:r>
    </w:p>
    <w:p w14:paraId="3CC7D5C8" w14:textId="77777777" w:rsidR="005A0DB6" w:rsidRDefault="005A0DB6" w:rsidP="005A0DB6">
      <w:pPr>
        <w:jc w:val="both"/>
        <w:rPr>
          <w:rFonts w:ascii="David" w:hAnsi="David"/>
          <w:rtl/>
        </w:rPr>
      </w:pPr>
    </w:p>
    <w:p w14:paraId="5961282E" w14:textId="77777777" w:rsidR="005A0DB6" w:rsidRDefault="005A0DB6" w:rsidP="005A0DB6">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שלא כלל הסכמה עונשית בעבירת </w:t>
      </w:r>
      <w:r>
        <w:rPr>
          <w:rFonts w:ascii="David" w:hAnsi="David"/>
          <w:rtl/>
        </w:rPr>
        <w:t xml:space="preserve">סיוע להחזקת סם שלא לצריכה עצמית לפי </w:t>
      </w:r>
      <w:hyperlink r:id="rId12" w:history="1">
        <w:r w:rsidR="00506951" w:rsidRPr="00506951">
          <w:rPr>
            <w:rStyle w:val="Hyperlink"/>
            <w:rFonts w:ascii="David" w:hAnsi="David"/>
            <w:color w:val="0000FF"/>
            <w:rtl/>
          </w:rPr>
          <w:t>סעיף 7(א)+7(ג)</w:t>
        </w:r>
      </w:hyperlink>
      <w:r>
        <w:rPr>
          <w:rFonts w:ascii="David" w:hAnsi="David" w:hint="cs"/>
          <w:rtl/>
        </w:rPr>
        <w:t xml:space="preserve"> רישא</w:t>
      </w:r>
      <w:r w:rsidRPr="004A60BA">
        <w:rPr>
          <w:rFonts w:ascii="David" w:hAnsi="David"/>
          <w:rtl/>
        </w:rPr>
        <w:t xml:space="preserve"> ל</w:t>
      </w:r>
      <w:hyperlink r:id="rId13" w:history="1">
        <w:r w:rsidR="000F476B" w:rsidRPr="000F476B">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4A60BA">
        <w:rPr>
          <w:rFonts w:ascii="Miriam" w:hAnsi="Miriam" w:cs="Miriam"/>
          <w:rtl/>
        </w:rPr>
        <w:t>פקודת הסמים</w:t>
      </w:r>
      <w:r>
        <w:rPr>
          <w:rFonts w:ascii="David" w:hAnsi="David" w:hint="cs"/>
          <w:rtl/>
        </w:rPr>
        <w:t>)</w:t>
      </w:r>
      <w:r w:rsidRPr="004A60BA">
        <w:rPr>
          <w:rFonts w:ascii="David" w:hAnsi="David"/>
          <w:rtl/>
        </w:rPr>
        <w:t>+</w:t>
      </w:r>
      <w:r>
        <w:rPr>
          <w:rFonts w:ascii="David" w:hAnsi="David" w:hint="cs"/>
          <w:rtl/>
        </w:rPr>
        <w:t xml:space="preserve"> </w:t>
      </w:r>
      <w:hyperlink r:id="rId14" w:history="1">
        <w:r w:rsidR="00506951" w:rsidRPr="00506951">
          <w:rPr>
            <w:rStyle w:val="Hyperlink"/>
            <w:rFonts w:ascii="David" w:hAnsi="David"/>
            <w:color w:val="0000FF"/>
            <w:rtl/>
          </w:rPr>
          <w:t>סעיף 31</w:t>
        </w:r>
      </w:hyperlink>
      <w:r>
        <w:rPr>
          <w:rFonts w:ascii="David" w:hAnsi="David" w:hint="cs"/>
          <w:rtl/>
        </w:rPr>
        <w:t xml:space="preserve"> ל</w:t>
      </w:r>
      <w:hyperlink r:id="rId15" w:history="1">
        <w:r w:rsidR="000F476B" w:rsidRPr="000F476B">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4A60BA">
        <w:rPr>
          <w:rFonts w:ascii="Miriam" w:hAnsi="Miriam" w:cs="Miriam"/>
          <w:rtl/>
        </w:rPr>
        <w:t>חוק העונשין</w:t>
      </w:r>
      <w:r>
        <w:rPr>
          <w:rFonts w:ascii="David" w:hAnsi="David" w:hint="cs"/>
          <w:rtl/>
        </w:rPr>
        <w:t>)</w:t>
      </w:r>
      <w:r w:rsidRPr="004A60BA">
        <w:rPr>
          <w:rFonts w:ascii="David" w:hAnsi="David"/>
          <w:rtl/>
        </w:rPr>
        <w:t>.</w:t>
      </w:r>
      <w:r>
        <w:rPr>
          <w:rFonts w:ascii="David" w:hAnsi="David" w:hint="cs"/>
          <w:rtl/>
        </w:rPr>
        <w:t xml:space="preserve"> על פי עובדות כתב האישום המתוקן, בין המועדים 1.5.23-31.4.25 שכר אדם אחר (להלן </w:t>
      </w:r>
      <w:r>
        <w:rPr>
          <w:rFonts w:ascii="David" w:hAnsi="David"/>
          <w:rtl/>
        </w:rPr>
        <w:t>–</w:t>
      </w:r>
      <w:r>
        <w:rPr>
          <w:rFonts w:ascii="David" w:hAnsi="David" w:hint="cs"/>
          <w:rtl/>
        </w:rPr>
        <w:t xml:space="preserve"> </w:t>
      </w:r>
      <w:r w:rsidRPr="00B54938">
        <w:rPr>
          <w:rFonts w:ascii="Miriam" w:hAnsi="Miriam" w:cs="Miriam"/>
          <w:rtl/>
        </w:rPr>
        <w:t>האחר</w:t>
      </w:r>
      <w:r>
        <w:rPr>
          <w:rFonts w:ascii="David" w:hAnsi="David" w:hint="cs"/>
          <w:rtl/>
        </w:rPr>
        <w:t xml:space="preserve">) דירה אותה ייעד לגידול סמים ולצורך כך צייד אותה בכלים באמצעותם גידל קנביס. ביום 20.5.24 סייע הנאשם לאחר להחזיק על מפתן דלת הדירה 48 שתילי קנביס בתוך שני ארגזי קרטון במשקל כולל של 474.66 גרם נטו. </w:t>
      </w:r>
    </w:p>
    <w:p w14:paraId="7F4F62B8" w14:textId="77777777" w:rsidR="005A0DB6" w:rsidRDefault="005A0DB6" w:rsidP="005A0DB6">
      <w:pPr>
        <w:pStyle w:val="a9"/>
        <w:ind w:left="0"/>
        <w:jc w:val="both"/>
        <w:rPr>
          <w:rFonts w:ascii="David" w:hAnsi="David"/>
          <w:rtl/>
        </w:rPr>
      </w:pPr>
      <w:bookmarkStart w:id="6" w:name="ABSTRACT_END"/>
      <w:bookmarkEnd w:id="6"/>
    </w:p>
    <w:p w14:paraId="238B3045" w14:textId="77777777" w:rsidR="005A0DB6" w:rsidRDefault="005A0DB6" w:rsidP="005A0DB6">
      <w:pPr>
        <w:pStyle w:val="a9"/>
        <w:spacing w:line="360" w:lineRule="auto"/>
        <w:ind w:left="0"/>
        <w:jc w:val="both"/>
        <w:rPr>
          <w:rFonts w:ascii="David" w:hAnsi="David"/>
          <w:b/>
          <w:bCs/>
          <w:u w:val="single"/>
        </w:rPr>
      </w:pPr>
      <w:r>
        <w:rPr>
          <w:rFonts w:ascii="David" w:hAnsi="David"/>
          <w:b/>
          <w:bCs/>
          <w:u w:val="single"/>
          <w:rtl/>
        </w:rPr>
        <w:t>טיעוני הצדדים לעונש והראיות</w:t>
      </w:r>
    </w:p>
    <w:p w14:paraId="2DC7919F" w14:textId="77777777" w:rsidR="005A0DB6" w:rsidRDefault="005A0DB6" w:rsidP="005A0DB6">
      <w:pPr>
        <w:pStyle w:val="a9"/>
        <w:ind w:left="0"/>
        <w:jc w:val="both"/>
        <w:rPr>
          <w:rFonts w:ascii="David" w:hAnsi="David"/>
        </w:rPr>
      </w:pPr>
    </w:p>
    <w:p w14:paraId="5C2A5056" w14:textId="77777777" w:rsidR="005A0DB6" w:rsidRDefault="005A0DB6" w:rsidP="005A0DB6">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טיעונים על פה. הודגשו הערכים המוגנים שנפגעו וכן חומרת עבירות הסמים והוצגה פסיקה. ביחס למתחם הענישה נטען כי הוא נע בין מספר חודשי מאסר לבין 10 חודשי מאסר וברמה האופרטיבית עתרה המאשימה לעונש מאסר למשך 4 חודשים שניתן לשאת בעבודות שירות (ראו טיעונים בכתב) וענישה נלווית. </w:t>
      </w:r>
    </w:p>
    <w:p w14:paraId="5E58C955" w14:textId="77777777" w:rsidR="005A0DB6" w:rsidRPr="00654968" w:rsidRDefault="005A0DB6" w:rsidP="005A0DB6">
      <w:pPr>
        <w:pStyle w:val="a9"/>
        <w:spacing w:line="360" w:lineRule="auto"/>
        <w:ind w:left="0"/>
        <w:jc w:val="both"/>
        <w:rPr>
          <w:rFonts w:ascii="David" w:hAnsi="David"/>
        </w:rPr>
      </w:pPr>
    </w:p>
    <w:p w14:paraId="0F30B6C5" w14:textId="77777777" w:rsidR="005A0DB6" w:rsidRDefault="005A0DB6" w:rsidP="005A0DB6">
      <w:pPr>
        <w:pStyle w:val="a9"/>
        <w:numPr>
          <w:ilvl w:val="0"/>
          <w:numId w:val="1"/>
        </w:numPr>
        <w:spacing w:line="360" w:lineRule="auto"/>
        <w:jc w:val="both"/>
        <w:rPr>
          <w:rFonts w:ascii="David" w:hAnsi="David"/>
        </w:rPr>
      </w:pPr>
      <w:r>
        <w:rPr>
          <w:rFonts w:ascii="David" w:hAnsi="David" w:hint="cs"/>
          <w:rtl/>
        </w:rPr>
        <w:t xml:space="preserve">ב"כ הנאשם הפנה לתיקון שנערך בכתב האישום וכן לצילום השתילים הנזכרים בכתב האישום. הסנגור הציג פסיקה רלוונטית לשיטתו ועתר לקביעת מתחם ענישה הנע בין מאסר מותנה לבין מאסר לריצוי בעבודות שירות. הודגש כי מדובר בנאשם ששירת בצבא ובמילואים, שעברו נקי והוא לומד בטכניון. כן נטען שהנאשם היה עצור במשך כשבוע ולאחר מכן שוחרר בהרחקה מביתו. לאור כך עתר הסנגור להסתפק בענישה מותנית בלבד. </w:t>
      </w:r>
    </w:p>
    <w:p w14:paraId="5AE064D4" w14:textId="77777777" w:rsidR="005A0DB6" w:rsidRPr="00B7505A" w:rsidRDefault="005A0DB6" w:rsidP="005A0DB6">
      <w:pPr>
        <w:rPr>
          <w:rFonts w:ascii="David" w:hAnsi="David"/>
          <w:rtl/>
        </w:rPr>
      </w:pPr>
    </w:p>
    <w:p w14:paraId="6D88FADF" w14:textId="77777777" w:rsidR="005A0DB6" w:rsidRPr="00B7505A" w:rsidRDefault="005A0DB6" w:rsidP="005A0DB6">
      <w:pPr>
        <w:pStyle w:val="a9"/>
        <w:numPr>
          <w:ilvl w:val="0"/>
          <w:numId w:val="1"/>
        </w:numPr>
        <w:spacing w:line="360" w:lineRule="auto"/>
        <w:jc w:val="both"/>
        <w:rPr>
          <w:rFonts w:ascii="David" w:hAnsi="David"/>
        </w:rPr>
      </w:pPr>
      <w:r>
        <w:rPr>
          <w:rFonts w:ascii="David" w:hAnsi="David" w:hint="cs"/>
          <w:rtl/>
        </w:rPr>
        <w:t xml:space="preserve">הנאשם בדברו האחרון הביע תובנה באשר לחומרת המעשה. כן הביע צער על המבוכה שגרם להוריו ולמשפחתו וציין כי העבירה אינה מאפיינת את אורחות חייו. </w:t>
      </w:r>
    </w:p>
    <w:p w14:paraId="3B0D1F65" w14:textId="77777777" w:rsidR="005A0DB6" w:rsidRDefault="005A0DB6" w:rsidP="005A0DB6">
      <w:pPr>
        <w:pStyle w:val="a9"/>
        <w:spacing w:line="360" w:lineRule="auto"/>
        <w:ind w:left="0"/>
        <w:jc w:val="both"/>
        <w:rPr>
          <w:rFonts w:ascii="David" w:hAnsi="David"/>
          <w:b/>
          <w:bCs/>
          <w:u w:val="single"/>
        </w:rPr>
      </w:pPr>
      <w:r>
        <w:rPr>
          <w:rFonts w:ascii="David" w:hAnsi="David"/>
          <w:b/>
          <w:bCs/>
          <w:u w:val="single"/>
          <w:rtl/>
        </w:rPr>
        <w:t>דיון והכרעה</w:t>
      </w:r>
    </w:p>
    <w:p w14:paraId="017A2C34" w14:textId="77777777" w:rsidR="005A0DB6" w:rsidRDefault="005A0DB6" w:rsidP="005A0DB6">
      <w:pPr>
        <w:pStyle w:val="a9"/>
        <w:spacing w:line="360" w:lineRule="auto"/>
        <w:ind w:left="0"/>
        <w:jc w:val="both"/>
        <w:rPr>
          <w:rFonts w:ascii="David" w:hAnsi="David"/>
          <w:rtl/>
        </w:rPr>
      </w:pPr>
      <w:r>
        <w:rPr>
          <w:rFonts w:ascii="David" w:hAnsi="David"/>
          <w:b/>
          <w:bCs/>
          <w:u w:val="single"/>
          <w:rtl/>
        </w:rPr>
        <w:t xml:space="preserve">קביעת מתחם </w:t>
      </w:r>
      <w:r>
        <w:rPr>
          <w:rFonts w:ascii="David" w:hAnsi="David" w:hint="cs"/>
          <w:b/>
          <w:bCs/>
          <w:u w:val="single"/>
          <w:rtl/>
        </w:rPr>
        <w:t>הענישה</w:t>
      </w:r>
    </w:p>
    <w:p w14:paraId="46FE7772" w14:textId="77777777" w:rsidR="005A0DB6" w:rsidRPr="00117FBC" w:rsidRDefault="005A0DB6" w:rsidP="005A0DB6">
      <w:pPr>
        <w:pStyle w:val="a9"/>
        <w:rPr>
          <w:rFonts w:ascii="David" w:hAnsi="David"/>
          <w:rtl/>
        </w:rPr>
      </w:pPr>
    </w:p>
    <w:p w14:paraId="2B391EDE" w14:textId="77777777" w:rsidR="005A0DB6" w:rsidRDefault="005A0DB6" w:rsidP="005A0DB6">
      <w:pPr>
        <w:pStyle w:val="a9"/>
        <w:numPr>
          <w:ilvl w:val="0"/>
          <w:numId w:val="1"/>
        </w:numPr>
        <w:spacing w:line="360" w:lineRule="auto"/>
        <w:jc w:val="both"/>
        <w:rPr>
          <w:rFonts w:ascii="David" w:hAnsi="David"/>
        </w:rPr>
      </w:pPr>
      <w:r>
        <w:rPr>
          <w:rFonts w:ascii="David" w:hAnsi="David" w:hint="cs"/>
          <w:rtl/>
        </w:rPr>
        <w:t>במעשיו פגע הנאשם</w:t>
      </w:r>
      <w:r>
        <w:rPr>
          <w:rFonts w:ascii="David" w:hAnsi="David"/>
          <w:rtl/>
        </w:rPr>
        <w:t xml:space="preserve"> בערכים המוגנים של בטחון הציבור ושלומו. הסכנות הטמונות בהחזקת סם מסוכן שלא לשימוש עצמי בלבד ידועות ואין צורך להכביר מילים על הנזקים העקיפים והישירים שעלולים להיגרם לחברה ולפרט מעבירות הסמים</w:t>
      </w:r>
      <w:r>
        <w:rPr>
          <w:rFonts w:ascii="David" w:hAnsi="David" w:hint="cs"/>
          <w:rtl/>
        </w:rPr>
        <w:t>.</w:t>
      </w:r>
      <w:r>
        <w:rPr>
          <w:rFonts w:ascii="David" w:hAnsi="David"/>
          <w:rtl/>
        </w:rPr>
        <w:t xml:space="preserve"> הגם שמדובר בסם מסוג קנבוס אין להקל ראש בחומרת הדברים (ראו למשל: </w:t>
      </w:r>
      <w:hyperlink r:id="rId16" w:history="1">
        <w:r w:rsidR="000F476B" w:rsidRPr="000F476B">
          <w:rPr>
            <w:rFonts w:ascii="David" w:hAnsi="David"/>
            <w:color w:val="0000FF"/>
            <w:u w:val="single"/>
            <w:rtl/>
          </w:rPr>
          <w:t>ע"פ 6299/20</w:t>
        </w:r>
      </w:hyperlink>
      <w:r>
        <w:rPr>
          <w:rFonts w:ascii="David" w:hAnsi="David"/>
          <w:rtl/>
        </w:rPr>
        <w:t xml:space="preserve"> </w:t>
      </w:r>
      <w:r>
        <w:rPr>
          <w:rFonts w:ascii="David" w:hAnsi="David"/>
          <w:b/>
          <w:bCs/>
          <w:rtl/>
        </w:rPr>
        <w:t>שחר חן נ' מדינת ישראל</w:t>
      </w:r>
      <w:r>
        <w:rPr>
          <w:rFonts w:ascii="David" w:hAnsi="David"/>
          <w:rtl/>
        </w:rPr>
        <w:t xml:space="preserve"> (4.2.2021); </w:t>
      </w:r>
      <w:hyperlink r:id="rId17" w:history="1">
        <w:r w:rsidR="000F476B" w:rsidRPr="000F476B">
          <w:rPr>
            <w:color w:val="0000FF"/>
            <w:u w:val="single"/>
            <w:rtl/>
          </w:rPr>
          <w:t>ע"פ 2596/18</w:t>
        </w:r>
      </w:hyperlink>
      <w:r>
        <w:rPr>
          <w:rtl/>
        </w:rPr>
        <w:t xml:space="preserve"> </w:t>
      </w:r>
      <w:r>
        <w:rPr>
          <w:b/>
          <w:bCs/>
          <w:rtl/>
        </w:rPr>
        <w:t>כפיר זנזורי נ' מדינת ישראל</w:t>
      </w:r>
      <w:r>
        <w:rPr>
          <w:rtl/>
        </w:rPr>
        <w:t xml:space="preserve"> (12.8.2018)</w:t>
      </w:r>
      <w:r>
        <w:rPr>
          <w:rFonts w:ascii="David" w:hAnsi="David"/>
          <w:rtl/>
        </w:rPr>
        <w:t xml:space="preserve">). </w:t>
      </w:r>
    </w:p>
    <w:p w14:paraId="4961F068" w14:textId="77777777" w:rsidR="005A0DB6" w:rsidRDefault="005A0DB6" w:rsidP="005A0DB6">
      <w:pPr>
        <w:pStyle w:val="a9"/>
        <w:ind w:left="0"/>
        <w:jc w:val="both"/>
        <w:rPr>
          <w:rFonts w:ascii="David" w:hAnsi="David"/>
        </w:rPr>
      </w:pPr>
    </w:p>
    <w:p w14:paraId="4D50A3BE" w14:textId="77777777" w:rsidR="005A0DB6" w:rsidRPr="0029526F" w:rsidRDefault="005A0DB6" w:rsidP="005A0DB6">
      <w:pPr>
        <w:pStyle w:val="a9"/>
        <w:numPr>
          <w:ilvl w:val="0"/>
          <w:numId w:val="1"/>
        </w:numPr>
        <w:spacing w:line="360" w:lineRule="auto"/>
        <w:jc w:val="both"/>
        <w:rPr>
          <w:rFonts w:ascii="David" w:hAnsi="David"/>
        </w:rPr>
      </w:pPr>
      <w:r w:rsidRPr="0029526F">
        <w:rPr>
          <w:rFonts w:ascii="David" w:hAnsi="David" w:hint="cs"/>
          <w:rtl/>
        </w:rPr>
        <w:t xml:space="preserve">ביחס לנסיבות הקשורות לביצוע העבירה יש </w:t>
      </w:r>
      <w:r>
        <w:rPr>
          <w:rFonts w:ascii="David" w:hAnsi="David" w:hint="cs"/>
          <w:rtl/>
        </w:rPr>
        <w:t xml:space="preserve">להבהיר את המובן מאליו והוא שמעשי האחר אינם יכולים להיזקף לחובת הנאשם. לנאשם מיוחסת עבירה של סיוע להחזקת סם בלבד אם כי שלא לשימוש עצמי. הסם המדובר הוא 48 שתילי קנבוס </w:t>
      </w:r>
      <w:r w:rsidRPr="0029526F">
        <w:rPr>
          <w:rFonts w:ascii="David" w:hAnsi="David" w:hint="cs"/>
          <w:rtl/>
        </w:rPr>
        <w:t xml:space="preserve">במשקל כולל של 474.66 גרם נטו. כידוע, הסיוע </w:t>
      </w:r>
      <w:r>
        <w:rPr>
          <w:rFonts w:ascii="David" w:hAnsi="David" w:hint="cs"/>
          <w:rtl/>
        </w:rPr>
        <w:t xml:space="preserve">יכול ללבוש צורות רבות </w:t>
      </w:r>
      <w:r w:rsidRPr="0029526F">
        <w:rPr>
          <w:rFonts w:ascii="David" w:hAnsi="David" w:hint="cs"/>
          <w:rtl/>
        </w:rPr>
        <w:t>בעל</w:t>
      </w:r>
      <w:r>
        <w:rPr>
          <w:rFonts w:ascii="David" w:hAnsi="David" w:hint="cs"/>
          <w:rtl/>
        </w:rPr>
        <w:t>ות</w:t>
      </w:r>
      <w:r w:rsidRPr="0029526F">
        <w:rPr>
          <w:rFonts w:ascii="David" w:hAnsi="David" w:hint="cs"/>
          <w:rtl/>
        </w:rPr>
        <w:t xml:space="preserve"> רמות חומרה שונות. במקרה זה כתב האישום המתוקן אינו מפרט את העובדות המהוות את הסיוע אלא צוין כי הנאשם </w:t>
      </w:r>
      <w:r w:rsidRPr="0029526F">
        <w:rPr>
          <w:rFonts w:ascii="Miriam" w:hAnsi="Miriam" w:cs="Miriam"/>
          <w:rtl/>
        </w:rPr>
        <w:t xml:space="preserve">"סייע לליאל </w:t>
      </w:r>
      <w:r>
        <w:rPr>
          <w:rFonts w:ascii="Miriam" w:hAnsi="Miriam" w:cs="Miriam"/>
          <w:rtl/>
        </w:rPr>
        <w:t>להחזיק סמים על מפתן דלת הדירה</w:t>
      </w:r>
      <w:r w:rsidRPr="0029526F">
        <w:rPr>
          <w:rFonts w:ascii="Miriam" w:hAnsi="Miriam" w:cs="Miriam"/>
          <w:rtl/>
        </w:rPr>
        <w:t>..."</w:t>
      </w:r>
      <w:r w:rsidRPr="0029526F">
        <w:rPr>
          <w:rFonts w:ascii="David" w:hAnsi="David" w:hint="cs"/>
          <w:rtl/>
        </w:rPr>
        <w:t xml:space="preserve">. לא צוין אם הנאשם החזיק בעצמו </w:t>
      </w:r>
      <w:r>
        <w:rPr>
          <w:rFonts w:ascii="David" w:hAnsi="David" w:hint="cs"/>
          <w:rtl/>
        </w:rPr>
        <w:t xml:space="preserve">(פיזית) </w:t>
      </w:r>
      <w:r w:rsidRPr="0029526F">
        <w:rPr>
          <w:rFonts w:ascii="David" w:hAnsi="David" w:hint="cs"/>
          <w:rtl/>
        </w:rPr>
        <w:t>בסמים וכלל לא ברור מה עשה</w:t>
      </w:r>
      <w:r>
        <w:rPr>
          <w:rFonts w:ascii="David" w:hAnsi="David" w:hint="cs"/>
          <w:rtl/>
        </w:rPr>
        <w:t>, מה היה חלקו ומה הייתה תרומתו לעבירה המושלמת (החזקת הסם)</w:t>
      </w:r>
      <w:r w:rsidRPr="0029526F">
        <w:rPr>
          <w:rFonts w:ascii="David" w:hAnsi="David" w:hint="cs"/>
          <w:rtl/>
        </w:rPr>
        <w:t xml:space="preserve">. לאור כך יש לקבוע </w:t>
      </w:r>
      <w:r>
        <w:rPr>
          <w:rFonts w:ascii="David" w:hAnsi="David" w:hint="cs"/>
          <w:rtl/>
        </w:rPr>
        <w:t xml:space="preserve">את ההנחה הנוחה עבורו היינו </w:t>
      </w:r>
      <w:r w:rsidRPr="0029526F">
        <w:rPr>
          <w:rFonts w:ascii="David" w:hAnsi="David" w:hint="cs"/>
          <w:rtl/>
        </w:rPr>
        <w:t xml:space="preserve">שמדובר בסיוע פאסיבי מכוח נוכחות בלבד </w:t>
      </w:r>
      <w:r w:rsidRPr="0029526F">
        <w:rPr>
          <w:rFonts w:ascii="David" w:hAnsi="David"/>
          <w:rtl/>
        </w:rPr>
        <w:t xml:space="preserve">שחיזקה את ידיו של </w:t>
      </w:r>
      <w:r w:rsidRPr="0029526F">
        <w:rPr>
          <w:rFonts w:ascii="David" w:hAnsi="David" w:hint="cs"/>
          <w:rtl/>
        </w:rPr>
        <w:t>האחר</w:t>
      </w:r>
      <w:r w:rsidRPr="0029526F">
        <w:rPr>
          <w:rFonts w:ascii="David" w:hAnsi="David"/>
          <w:rtl/>
        </w:rPr>
        <w:t xml:space="preserve"> (</w:t>
      </w:r>
      <w:hyperlink r:id="rId18" w:history="1">
        <w:r w:rsidR="000F476B" w:rsidRPr="000F476B">
          <w:rPr>
            <w:rFonts w:ascii="David" w:hAnsi="David"/>
            <w:color w:val="0000FF"/>
            <w:u w:val="single"/>
            <w:rtl/>
          </w:rPr>
          <w:t>ע"פ 4800/11</w:t>
        </w:r>
      </w:hyperlink>
      <w:r w:rsidRPr="0029526F">
        <w:rPr>
          <w:rFonts w:ascii="David" w:hAnsi="David"/>
          <w:rtl/>
        </w:rPr>
        <w:t xml:space="preserve"> </w:t>
      </w:r>
      <w:r w:rsidRPr="0029526F">
        <w:rPr>
          <w:rFonts w:ascii="David" w:hAnsi="David"/>
          <w:b/>
          <w:bCs/>
          <w:rtl/>
        </w:rPr>
        <w:t>אימן מגיס נ' מדינת ישראל</w:t>
      </w:r>
      <w:r w:rsidRPr="0029526F">
        <w:rPr>
          <w:rFonts w:ascii="David" w:hAnsi="David"/>
          <w:rtl/>
        </w:rPr>
        <w:t xml:space="preserve"> (31.1.2013); </w:t>
      </w:r>
      <w:hyperlink r:id="rId19" w:history="1">
        <w:r w:rsidR="000F476B" w:rsidRPr="000F476B">
          <w:rPr>
            <w:rFonts w:ascii="David" w:hAnsi="David"/>
            <w:color w:val="0000FF"/>
            <w:u w:val="single"/>
            <w:rtl/>
          </w:rPr>
          <w:t>ע"פ 7704/13</w:t>
        </w:r>
      </w:hyperlink>
      <w:r w:rsidRPr="0029526F">
        <w:rPr>
          <w:rFonts w:ascii="David" w:hAnsi="David"/>
          <w:rtl/>
        </w:rPr>
        <w:t xml:space="preserve"> </w:t>
      </w:r>
      <w:r w:rsidRPr="0029526F">
        <w:rPr>
          <w:rFonts w:ascii="David" w:hAnsi="David"/>
          <w:b/>
          <w:bCs/>
          <w:rtl/>
        </w:rPr>
        <w:t>מרגולין ואח' נ' מדינת ישראל</w:t>
      </w:r>
      <w:r w:rsidRPr="0029526F">
        <w:rPr>
          <w:rFonts w:ascii="David" w:hAnsi="David"/>
          <w:rtl/>
        </w:rPr>
        <w:t xml:space="preserve"> (8.12.2015), פסקה 25) </w:t>
      </w:r>
      <w:r w:rsidRPr="0029526F">
        <w:rPr>
          <w:rFonts w:ascii="David" w:hAnsi="David" w:hint="cs"/>
          <w:rtl/>
        </w:rPr>
        <w:t xml:space="preserve">ומכאן שמדובר בסיוע </w:t>
      </w:r>
      <w:r w:rsidRPr="0029526F">
        <w:rPr>
          <w:rFonts w:ascii="David" w:hAnsi="David"/>
          <w:rtl/>
        </w:rPr>
        <w:t xml:space="preserve">המצוי במדרג נמוך </w:t>
      </w:r>
      <w:r>
        <w:rPr>
          <w:rFonts w:ascii="David" w:hAnsi="David" w:hint="cs"/>
          <w:rtl/>
        </w:rPr>
        <w:t xml:space="preserve">יחסית </w:t>
      </w:r>
      <w:r w:rsidRPr="0029526F">
        <w:rPr>
          <w:rFonts w:ascii="David" w:hAnsi="David"/>
          <w:rtl/>
        </w:rPr>
        <w:t>של חומרה מבין קשת האפשרויות הקיימות בסיוע לעבריין העיקרי (השוו:</w:t>
      </w:r>
      <w:r w:rsidRPr="0029526F">
        <w:rPr>
          <w:rFonts w:ascii="David" w:hAnsi="David"/>
        </w:rPr>
        <w:t xml:space="preserve"> </w:t>
      </w:r>
      <w:hyperlink r:id="rId20" w:history="1">
        <w:r w:rsidR="000F476B" w:rsidRPr="000F476B">
          <w:rPr>
            <w:rFonts w:ascii="David" w:hAnsi="David"/>
            <w:color w:val="0000FF"/>
            <w:u w:val="single"/>
            <w:rtl/>
          </w:rPr>
          <w:t>ע"פ 8598/14</w:t>
        </w:r>
      </w:hyperlink>
      <w:r w:rsidRPr="0029526F">
        <w:rPr>
          <w:rFonts w:ascii="David" w:hAnsi="David"/>
          <w:rtl/>
        </w:rPr>
        <w:t xml:space="preserve"> </w:t>
      </w:r>
      <w:r w:rsidRPr="0029526F">
        <w:rPr>
          <w:rFonts w:ascii="David" w:hAnsi="David"/>
          <w:b/>
          <w:bCs/>
          <w:rtl/>
        </w:rPr>
        <w:t>אריאל אלמליח נ' מדינת ישראל</w:t>
      </w:r>
      <w:r w:rsidRPr="0029526F">
        <w:rPr>
          <w:rFonts w:ascii="David" w:hAnsi="David"/>
          <w:rtl/>
        </w:rPr>
        <w:t xml:space="preserve"> (1.3.2015), פסקה 11). </w:t>
      </w:r>
    </w:p>
    <w:p w14:paraId="29A68153" w14:textId="77777777" w:rsidR="005A0DB6" w:rsidRDefault="005A0DB6" w:rsidP="005A0DB6">
      <w:pPr>
        <w:pStyle w:val="a9"/>
        <w:rPr>
          <w:rFonts w:ascii="David" w:hAnsi="David"/>
        </w:rPr>
      </w:pPr>
    </w:p>
    <w:p w14:paraId="73BC03B3" w14:textId="77777777" w:rsidR="005A0DB6" w:rsidRDefault="005A0DB6" w:rsidP="005A0DB6">
      <w:pPr>
        <w:pStyle w:val="a9"/>
        <w:numPr>
          <w:ilvl w:val="0"/>
          <w:numId w:val="1"/>
        </w:numPr>
        <w:spacing w:line="360" w:lineRule="auto"/>
        <w:jc w:val="both"/>
        <w:rPr>
          <w:rFonts w:ascii="David" w:hAnsi="David"/>
        </w:rPr>
      </w:pPr>
      <w:r w:rsidRPr="003A49CE">
        <w:rPr>
          <w:rFonts w:ascii="David" w:hAnsi="David"/>
          <w:rtl/>
        </w:rPr>
        <w:t>מדיניות הענישה בעבירות סמים הקשורות לשרשרת ההפצה מחמירה ולנסיבות האישיות</w:t>
      </w:r>
      <w:r>
        <w:rPr>
          <w:rFonts w:ascii="David" w:hAnsi="David" w:hint="cs"/>
          <w:rtl/>
        </w:rPr>
        <w:t xml:space="preserve"> של הנאשם</w:t>
      </w:r>
      <w:r w:rsidRPr="003A49CE">
        <w:rPr>
          <w:rFonts w:ascii="David" w:hAnsi="David"/>
          <w:rtl/>
        </w:rPr>
        <w:t xml:space="preserve"> ניתן ככלל משקל מופחת. בעניין זה נקבע לא אחת כי "</w:t>
      </w:r>
      <w:r w:rsidRPr="003A49CE">
        <w:rPr>
          <w:rFonts w:ascii="Miriam" w:hAnsi="Miriam" w:cs="Miriam"/>
          <w:rtl/>
        </w:rPr>
        <w:t>ההלכה בעניין עבירות סמים קובעת כי נוכח חומרתן הרבה של אותן העבירות יש להתמודד מולן באמצעות ענישה משמעותית ומחמירה ... [ו]כי יש לבכר את שיקולי ההרתעה על השיקולים האישיים בעבירות מסוג זה</w:t>
      </w:r>
      <w:r w:rsidRPr="003A49CE">
        <w:rPr>
          <w:rFonts w:ascii="David" w:hAnsi="David"/>
          <w:rtl/>
        </w:rPr>
        <w:t>" (</w:t>
      </w:r>
      <w:hyperlink r:id="rId21" w:history="1">
        <w:r w:rsidR="000F476B" w:rsidRPr="000F476B">
          <w:rPr>
            <w:rFonts w:ascii="David" w:hAnsi="David"/>
            <w:color w:val="0000FF"/>
            <w:u w:val="single"/>
            <w:rtl/>
          </w:rPr>
          <w:t>ע"פ 8988/16</w:t>
        </w:r>
      </w:hyperlink>
      <w:r w:rsidRPr="003A49CE">
        <w:rPr>
          <w:rFonts w:ascii="David" w:hAnsi="David"/>
          <w:rtl/>
        </w:rPr>
        <w:t xml:space="preserve"> </w:t>
      </w:r>
      <w:r w:rsidRPr="003A49CE">
        <w:rPr>
          <w:rFonts w:ascii="David" w:hAnsi="David"/>
          <w:b/>
          <w:bCs/>
          <w:rtl/>
        </w:rPr>
        <w:t>אשר בן סימון נ' מדינת ישראל</w:t>
      </w:r>
      <w:r w:rsidRPr="003A49CE">
        <w:rPr>
          <w:rFonts w:ascii="David" w:hAnsi="David"/>
          <w:rtl/>
        </w:rPr>
        <w:t xml:space="preserve"> (8.3.2017)). הענישה המחמירה נועדה </w:t>
      </w:r>
      <w:r w:rsidRPr="003A49CE">
        <w:rPr>
          <w:rFonts w:ascii="David" w:hAnsi="David"/>
          <w:rtl/>
        </w:rPr>
        <w:lastRenderedPageBreak/>
        <w:t>להרתיע מפני ביצוען, וזאת על מנת להגן על הציבור מפני השפעותיו הקשות של הסם (</w:t>
      </w:r>
      <w:hyperlink r:id="rId22" w:history="1">
        <w:r w:rsidR="000F476B" w:rsidRPr="000F476B">
          <w:rPr>
            <w:rFonts w:ascii="David" w:hAnsi="David"/>
            <w:color w:val="0000FF"/>
            <w:u w:val="single"/>
            <w:rtl/>
          </w:rPr>
          <w:t>רע"פ 4512/15</w:t>
        </w:r>
      </w:hyperlink>
      <w:r w:rsidRPr="003A49CE">
        <w:rPr>
          <w:rFonts w:ascii="David" w:hAnsi="David"/>
          <w:rtl/>
        </w:rPr>
        <w:t xml:space="preserve"> </w:t>
      </w:r>
      <w:r w:rsidRPr="003A49CE">
        <w:rPr>
          <w:rFonts w:ascii="David" w:hAnsi="David"/>
          <w:b/>
          <w:bCs/>
          <w:rtl/>
        </w:rPr>
        <w:t>הרוש נ' מדינת ישראל</w:t>
      </w:r>
      <w:r w:rsidRPr="003A49CE">
        <w:rPr>
          <w:rFonts w:ascii="David" w:hAnsi="David"/>
          <w:rtl/>
        </w:rPr>
        <w:t xml:space="preserve"> (6.7.2015); </w:t>
      </w:r>
      <w:hyperlink r:id="rId23" w:history="1">
        <w:r w:rsidR="000F476B" w:rsidRPr="000F476B">
          <w:rPr>
            <w:rFonts w:ascii="David" w:hAnsi="David"/>
            <w:color w:val="0000FF"/>
            <w:u w:val="single"/>
            <w:rtl/>
          </w:rPr>
          <w:t>ע"פ 211/09</w:t>
        </w:r>
      </w:hyperlink>
      <w:r w:rsidRPr="003A49CE">
        <w:rPr>
          <w:rFonts w:ascii="David" w:hAnsi="David"/>
          <w:rtl/>
        </w:rPr>
        <w:t xml:space="preserve"> </w:t>
      </w:r>
      <w:r w:rsidRPr="003A49CE">
        <w:rPr>
          <w:rFonts w:ascii="David" w:hAnsi="David"/>
          <w:b/>
          <w:bCs/>
          <w:rtl/>
        </w:rPr>
        <w:t>אזולאי נ' מדינת ישראל</w:t>
      </w:r>
      <w:r w:rsidRPr="003A49CE">
        <w:rPr>
          <w:rFonts w:ascii="David" w:hAnsi="David"/>
          <w:rtl/>
        </w:rPr>
        <w:t xml:space="preserve"> (22.6.2010)</w:t>
      </w:r>
      <w:r>
        <w:rPr>
          <w:rFonts w:ascii="David" w:hAnsi="David" w:hint="cs"/>
          <w:rtl/>
        </w:rPr>
        <w:t xml:space="preserve">. </w:t>
      </w:r>
      <w:r w:rsidRPr="00B626CF">
        <w:rPr>
          <w:rFonts w:ascii="David" w:hAnsi="David"/>
          <w:rtl/>
        </w:rPr>
        <w:t>ענישה מרתיעה בעבירות אלו מקבל</w:t>
      </w:r>
      <w:r>
        <w:rPr>
          <w:rFonts w:ascii="David" w:hAnsi="David" w:hint="cs"/>
          <w:rtl/>
        </w:rPr>
        <w:t>ת</w:t>
      </w:r>
      <w:r w:rsidRPr="00B626CF">
        <w:rPr>
          <w:rFonts w:ascii="David" w:hAnsi="David"/>
          <w:rtl/>
        </w:rPr>
        <w:t xml:space="preserve"> משנה תוקף כאשר הן מבוצעות לשם השגת רווח</w:t>
      </w:r>
      <w:r>
        <w:rPr>
          <w:rFonts w:ascii="David" w:hAnsi="David" w:hint="cs"/>
          <w:rtl/>
        </w:rPr>
        <w:t xml:space="preserve"> </w:t>
      </w:r>
      <w:r w:rsidRPr="00B626CF">
        <w:rPr>
          <w:rFonts w:ascii="David" w:hAnsi="David"/>
          <w:rtl/>
        </w:rPr>
        <w:t>(</w:t>
      </w:r>
      <w:hyperlink r:id="rId24" w:history="1">
        <w:r w:rsidR="000F476B" w:rsidRPr="000F476B">
          <w:rPr>
            <w:rFonts w:ascii="David" w:hAnsi="David"/>
            <w:color w:val="0000FF"/>
            <w:u w:val="single"/>
            <w:rtl/>
          </w:rPr>
          <w:t>ע"פ 2909/23</w:t>
        </w:r>
      </w:hyperlink>
      <w:r w:rsidRPr="00B626CF">
        <w:rPr>
          <w:rFonts w:ascii="David" w:hAnsi="David"/>
          <w:rtl/>
        </w:rPr>
        <w:t xml:space="preserve"> </w:t>
      </w:r>
      <w:r w:rsidRPr="00B626CF">
        <w:rPr>
          <w:rFonts w:ascii="David" w:hAnsi="David"/>
          <w:b/>
          <w:bCs/>
          <w:rtl/>
        </w:rPr>
        <w:t>פלוני נ' מדינת ישראל</w:t>
      </w:r>
      <w:r w:rsidRPr="00B626CF">
        <w:rPr>
          <w:rFonts w:ascii="David" w:hAnsi="David"/>
          <w:rtl/>
        </w:rPr>
        <w:t>, פסקה 8 (7.2.2024)</w:t>
      </w:r>
      <w:r>
        <w:rPr>
          <w:rFonts w:ascii="David" w:hAnsi="David" w:hint="cs"/>
          <w:rtl/>
        </w:rPr>
        <w:t xml:space="preserve">; </w:t>
      </w:r>
      <w:hyperlink r:id="rId25" w:history="1">
        <w:r w:rsidR="000F476B" w:rsidRPr="000F476B">
          <w:rPr>
            <w:rFonts w:ascii="David" w:hAnsi="David"/>
            <w:color w:val="0000FF"/>
            <w:u w:val="single"/>
            <w:rtl/>
          </w:rPr>
          <w:t>ע"פ 2139/22</w:t>
        </w:r>
      </w:hyperlink>
      <w:r w:rsidRPr="00B626CF">
        <w:rPr>
          <w:rFonts w:ascii="David" w:hAnsi="David"/>
          <w:rtl/>
        </w:rPr>
        <w:t xml:space="preserve"> </w:t>
      </w:r>
      <w:r w:rsidRPr="00B626CF">
        <w:rPr>
          <w:rFonts w:ascii="David" w:hAnsi="David"/>
          <w:b/>
          <w:bCs/>
          <w:rtl/>
        </w:rPr>
        <w:t>ארליך נ' מדינת ישראל</w:t>
      </w:r>
      <w:r>
        <w:rPr>
          <w:rFonts w:ascii="David" w:hAnsi="David"/>
          <w:rtl/>
        </w:rPr>
        <w:t>, פסקה 12 (14.7.2022)</w:t>
      </w:r>
      <w:r>
        <w:rPr>
          <w:rFonts w:ascii="David" w:hAnsi="David" w:hint="cs"/>
          <w:rtl/>
        </w:rPr>
        <w:t xml:space="preserve">; </w:t>
      </w:r>
      <w:hyperlink r:id="rId26" w:history="1">
        <w:r w:rsidR="000F476B" w:rsidRPr="000F476B">
          <w:rPr>
            <w:rFonts w:ascii="David" w:hAnsi="David"/>
            <w:color w:val="0000FF"/>
            <w:u w:val="single"/>
            <w:rtl/>
          </w:rPr>
          <w:t>רע"פ 3491-24</w:t>
        </w:r>
      </w:hyperlink>
      <w:r w:rsidRPr="00B626CF">
        <w:rPr>
          <w:rFonts w:ascii="David" w:hAnsi="David"/>
          <w:rtl/>
        </w:rPr>
        <w:t xml:space="preserve"> </w:t>
      </w:r>
      <w:r w:rsidRPr="00B626CF">
        <w:rPr>
          <w:rFonts w:ascii="David" w:hAnsi="David"/>
          <w:b/>
          <w:bCs/>
          <w:rtl/>
        </w:rPr>
        <w:t>אסף מתתיהו נ' מדינת ישראל</w:t>
      </w:r>
      <w:r>
        <w:rPr>
          <w:rFonts w:ascii="David" w:hAnsi="David" w:hint="cs"/>
          <w:rtl/>
        </w:rPr>
        <w:t xml:space="preserve"> (26.4.2024)</w:t>
      </w:r>
      <w:r w:rsidRPr="003A49CE">
        <w:rPr>
          <w:rFonts w:ascii="David" w:hAnsi="David"/>
          <w:rtl/>
        </w:rPr>
        <w:t xml:space="preserve">).  </w:t>
      </w:r>
    </w:p>
    <w:p w14:paraId="0EE6CCDC" w14:textId="77777777" w:rsidR="005A0DB6" w:rsidRPr="002B4470" w:rsidRDefault="005A0DB6" w:rsidP="005A0DB6">
      <w:pPr>
        <w:pStyle w:val="a9"/>
        <w:rPr>
          <w:color w:val="000000"/>
          <w:sz w:val="14"/>
          <w:szCs w:val="14"/>
        </w:rPr>
      </w:pPr>
    </w:p>
    <w:p w14:paraId="474DDDE0" w14:textId="77777777" w:rsidR="005A0DB6" w:rsidRPr="002B4470" w:rsidRDefault="005A0DB6" w:rsidP="005A0DB6">
      <w:pPr>
        <w:pStyle w:val="a9"/>
        <w:numPr>
          <w:ilvl w:val="0"/>
          <w:numId w:val="1"/>
        </w:numPr>
        <w:spacing w:line="360" w:lineRule="auto"/>
        <w:jc w:val="both"/>
        <w:rPr>
          <w:rFonts w:ascii="David" w:hAnsi="David"/>
        </w:rPr>
      </w:pPr>
      <w:r w:rsidRPr="002B4470">
        <w:rPr>
          <w:rFonts w:ascii="David" w:hAnsi="David"/>
          <w:color w:val="000000"/>
          <w:rtl/>
        </w:rPr>
        <w:t xml:space="preserve">כאן המקום לציין כי הגם שעונשו המרבי של מסייע הוא מחצית מהעונש הקבוע בצד העבירה העיקרית, אין מדובר כמובן בחישוב אריתמטי, שהרי לכל סיוע נסיבות משלו ובהתאם לכך ייקבע המתחם. לאור כך אין למצוא </w:t>
      </w:r>
      <w:r w:rsidRPr="002B4470">
        <w:rPr>
          <w:rFonts w:ascii="David" w:hAnsi="David" w:hint="cs"/>
          <w:color w:val="000000"/>
          <w:rtl/>
        </w:rPr>
        <w:t xml:space="preserve">בהכרח </w:t>
      </w:r>
      <w:r w:rsidRPr="002B4470">
        <w:rPr>
          <w:rFonts w:ascii="David" w:hAnsi="David"/>
          <w:color w:val="000000"/>
          <w:rtl/>
        </w:rPr>
        <w:t xml:space="preserve">קשר ישיר בין מתחם הענישה בעבירה העיקרית, לבין המתחם הראוי לעבירת הסיוע. </w:t>
      </w:r>
    </w:p>
    <w:p w14:paraId="1145BEEF" w14:textId="77777777" w:rsidR="005A0DB6" w:rsidRPr="002B4470" w:rsidRDefault="005A0DB6" w:rsidP="005A0DB6">
      <w:pPr>
        <w:pStyle w:val="a9"/>
        <w:rPr>
          <w:rFonts w:ascii="David" w:hAnsi="David"/>
          <w:color w:val="000000"/>
          <w:rtl/>
        </w:rPr>
      </w:pPr>
    </w:p>
    <w:p w14:paraId="3BBA8129" w14:textId="77777777" w:rsidR="005A0DB6" w:rsidRPr="002B4470" w:rsidRDefault="005A0DB6" w:rsidP="005A0DB6">
      <w:pPr>
        <w:pStyle w:val="a9"/>
        <w:numPr>
          <w:ilvl w:val="0"/>
          <w:numId w:val="1"/>
        </w:numPr>
        <w:spacing w:line="360" w:lineRule="auto"/>
        <w:jc w:val="both"/>
        <w:rPr>
          <w:rFonts w:ascii="David" w:hAnsi="David"/>
        </w:rPr>
      </w:pPr>
      <w:r>
        <w:rPr>
          <w:rFonts w:ascii="David" w:hAnsi="David" w:hint="cs"/>
          <w:color w:val="000000"/>
          <w:rtl/>
        </w:rPr>
        <w:t xml:space="preserve">אפנה אפוא </w:t>
      </w:r>
      <w:r w:rsidRPr="002B4470">
        <w:rPr>
          <w:rFonts w:ascii="David" w:hAnsi="David"/>
          <w:color w:val="000000"/>
          <w:rtl/>
        </w:rPr>
        <w:t xml:space="preserve">למדיניות הענישה בעבירה המושלמת של </w:t>
      </w:r>
      <w:r w:rsidRPr="002B4470">
        <w:rPr>
          <w:rFonts w:ascii="David" w:hAnsi="David" w:hint="cs"/>
          <w:color w:val="000000"/>
          <w:rtl/>
        </w:rPr>
        <w:t>החזקת סם והן בעבירת הסיו</w:t>
      </w:r>
      <w:r>
        <w:rPr>
          <w:rFonts w:ascii="David" w:hAnsi="David" w:hint="cs"/>
          <w:rtl/>
        </w:rPr>
        <w:t>ע</w:t>
      </w:r>
      <w:r w:rsidRPr="002B4470">
        <w:rPr>
          <w:rFonts w:ascii="David" w:hAnsi="David" w:hint="cs"/>
          <w:rtl/>
        </w:rPr>
        <w:t xml:space="preserve">: </w:t>
      </w:r>
      <w:hyperlink r:id="rId27" w:history="1">
        <w:r w:rsidR="000F476B" w:rsidRPr="000F476B">
          <w:rPr>
            <w:rFonts w:ascii="David" w:hAnsi="David"/>
            <w:color w:val="0000FF"/>
            <w:u w:val="single"/>
            <w:rtl/>
          </w:rPr>
          <w:t>רע"פ 636/21</w:t>
        </w:r>
      </w:hyperlink>
      <w:r w:rsidRPr="002B4470">
        <w:rPr>
          <w:rFonts w:ascii="David" w:hAnsi="David"/>
          <w:b/>
          <w:bCs/>
          <w:rtl/>
        </w:rPr>
        <w:t xml:space="preserve"> ברוך לוי נ' מדינת ישראל</w:t>
      </w:r>
      <w:r w:rsidRPr="002B4470">
        <w:rPr>
          <w:rFonts w:ascii="David" w:hAnsi="David"/>
          <w:rtl/>
        </w:rPr>
        <w:t xml:space="preserve"> (16.2.2021), </w:t>
      </w:r>
      <w:r w:rsidRPr="002B4470">
        <w:rPr>
          <w:rFonts w:ascii="David" w:hAnsi="David" w:hint="cs"/>
          <w:rtl/>
        </w:rPr>
        <w:t xml:space="preserve">בו נידון עניינו של </w:t>
      </w:r>
      <w:r w:rsidRPr="002B4470">
        <w:rPr>
          <w:rFonts w:ascii="David" w:hAnsi="David"/>
          <w:rtl/>
        </w:rPr>
        <w:t xml:space="preserve">נאשם שהורשע בהחזקת חשיש במשקל כולל של כ-760 גרם נטו. בית משפט השלום קבע מתחם </w:t>
      </w:r>
      <w:r>
        <w:rPr>
          <w:rFonts w:ascii="David" w:hAnsi="David" w:hint="cs"/>
          <w:rtl/>
        </w:rPr>
        <w:t xml:space="preserve">ענישה </w:t>
      </w:r>
      <w:r w:rsidRPr="002B4470">
        <w:rPr>
          <w:rFonts w:ascii="David" w:hAnsi="David"/>
          <w:rtl/>
        </w:rPr>
        <w:t>הנע בין 6 חודשי מאסר לריצוי בדרך של עבודות שירות ועד 12 חודשי מאסר בפועל ונגזרו</w:t>
      </w:r>
      <w:r w:rsidRPr="002B4470">
        <w:rPr>
          <w:rFonts w:ascii="David" w:hAnsi="David" w:hint="cs"/>
          <w:rtl/>
        </w:rPr>
        <w:t xml:space="preserve"> על הנאשם</w:t>
      </w:r>
      <w:r w:rsidRPr="002B4470">
        <w:rPr>
          <w:rFonts w:ascii="David" w:hAnsi="David"/>
          <w:rtl/>
        </w:rPr>
        <w:t xml:space="preserve"> 4 חודשי מאסר בעבודות שירות</w:t>
      </w:r>
      <w:r w:rsidRPr="002B4470">
        <w:rPr>
          <w:rFonts w:ascii="David" w:hAnsi="David" w:hint="cs"/>
          <w:rtl/>
        </w:rPr>
        <w:t xml:space="preserve">; </w:t>
      </w:r>
      <w:hyperlink r:id="rId28" w:history="1">
        <w:r w:rsidR="000F476B" w:rsidRPr="000F476B">
          <w:rPr>
            <w:rFonts w:ascii="David" w:hAnsi="David"/>
            <w:color w:val="0000FF"/>
            <w:u w:val="single"/>
            <w:rtl/>
          </w:rPr>
          <w:t>רע"פ 8759/21</w:t>
        </w:r>
      </w:hyperlink>
      <w:r w:rsidRPr="002B4470">
        <w:rPr>
          <w:rFonts w:ascii="David" w:hAnsi="David"/>
          <w:rtl/>
        </w:rPr>
        <w:t xml:space="preserve"> </w:t>
      </w:r>
      <w:r w:rsidRPr="002B4470">
        <w:rPr>
          <w:rFonts w:ascii="David" w:hAnsi="David"/>
          <w:b/>
          <w:bCs/>
          <w:rtl/>
        </w:rPr>
        <w:t>אלעד קסלר נ' מדינת ישראל</w:t>
      </w:r>
      <w:r w:rsidRPr="002B4470">
        <w:rPr>
          <w:rFonts w:ascii="David" w:hAnsi="David"/>
          <w:rtl/>
        </w:rPr>
        <w:t xml:space="preserve"> (23.12.2021), </w:t>
      </w:r>
      <w:r w:rsidRPr="002B4470">
        <w:rPr>
          <w:rFonts w:ascii="David" w:hAnsi="David" w:hint="cs"/>
          <w:rtl/>
        </w:rPr>
        <w:t xml:space="preserve">בו הורשע </w:t>
      </w:r>
      <w:r w:rsidRPr="002B4470">
        <w:rPr>
          <w:rFonts w:ascii="David" w:hAnsi="David"/>
          <w:rtl/>
        </w:rPr>
        <w:t>הנאשם בהחזקת 229 גרם קנבוס והחזקת סכין</w:t>
      </w:r>
      <w:r w:rsidRPr="002B4470">
        <w:rPr>
          <w:rFonts w:ascii="David" w:hAnsi="David" w:hint="cs"/>
          <w:rtl/>
        </w:rPr>
        <w:t xml:space="preserve"> ו</w:t>
      </w:r>
      <w:r w:rsidRPr="002B4470">
        <w:rPr>
          <w:rFonts w:ascii="David" w:hAnsi="David"/>
          <w:rtl/>
        </w:rPr>
        <w:t>הוטלו</w:t>
      </w:r>
      <w:r w:rsidRPr="002B4470">
        <w:rPr>
          <w:rFonts w:ascii="David" w:hAnsi="David" w:hint="cs"/>
          <w:rtl/>
        </w:rPr>
        <w:t xml:space="preserve"> עליו</w:t>
      </w:r>
      <w:r w:rsidRPr="002B4470">
        <w:rPr>
          <w:rFonts w:ascii="David" w:hAnsi="David"/>
          <w:rtl/>
        </w:rPr>
        <w:t xml:space="preserve"> 30 ימי מאסר</w:t>
      </w:r>
      <w:r w:rsidRPr="002B4470">
        <w:rPr>
          <w:rFonts w:ascii="David" w:hAnsi="David" w:hint="cs"/>
          <w:rtl/>
        </w:rPr>
        <w:t xml:space="preserve"> לריצוי</w:t>
      </w:r>
      <w:r w:rsidRPr="002B4470">
        <w:rPr>
          <w:rFonts w:ascii="David" w:hAnsi="David"/>
          <w:rtl/>
        </w:rPr>
        <w:t xml:space="preserve"> בעבודות שירות, צו מבחן ועונשים נלווים</w:t>
      </w:r>
      <w:r w:rsidRPr="002B4470">
        <w:rPr>
          <w:rFonts w:ascii="David" w:hAnsi="David" w:hint="cs"/>
          <w:rtl/>
        </w:rPr>
        <w:t xml:space="preserve">; </w:t>
      </w:r>
      <w:hyperlink r:id="rId29" w:history="1">
        <w:r w:rsidR="000F476B" w:rsidRPr="000F476B">
          <w:rPr>
            <w:rFonts w:ascii="David" w:hAnsi="David"/>
            <w:color w:val="0000FF"/>
            <w:u w:val="single"/>
            <w:rtl/>
          </w:rPr>
          <w:t>עפ"ג 3181-05-23</w:t>
        </w:r>
      </w:hyperlink>
      <w:r w:rsidRPr="002B4470">
        <w:rPr>
          <w:rFonts w:ascii="David" w:hAnsi="David"/>
          <w:rtl/>
        </w:rPr>
        <w:t xml:space="preserve"> </w:t>
      </w:r>
      <w:r w:rsidRPr="002B4470">
        <w:rPr>
          <w:rFonts w:ascii="David" w:hAnsi="David"/>
          <w:b/>
          <w:bCs/>
          <w:rtl/>
        </w:rPr>
        <w:t>צ'רנוב נ' מדינת ישראל</w:t>
      </w:r>
      <w:r w:rsidRPr="002B4470">
        <w:rPr>
          <w:rFonts w:ascii="David" w:hAnsi="David" w:hint="cs"/>
          <w:rtl/>
        </w:rPr>
        <w:t xml:space="preserve"> (31.3.2024, לא פורסם), בו נידון עניינו של נאשם שהורשע בסיוע להחזקת סם בכך ששכר עבור אחר דירה בה החזיק האחר סם מסוג </w:t>
      </w:r>
      <w:r w:rsidRPr="002B4470">
        <w:rPr>
          <w:rFonts w:ascii="David" w:hAnsi="David"/>
          <w:color w:val="000000"/>
        </w:rPr>
        <w:t>AMB-FUB</w:t>
      </w:r>
      <w:r w:rsidRPr="002B4470">
        <w:rPr>
          <w:rFonts w:ascii="David" w:hAnsi="David" w:hint="cs"/>
          <w:color w:val="000000"/>
          <w:rtl/>
        </w:rPr>
        <w:t xml:space="preserve"> במשקל של 2,500 גרם וכמות נוספות מחולקת ל-11 אריזות. נקבע כי מתחם הענישה </w:t>
      </w:r>
      <w:r>
        <w:rPr>
          <w:rFonts w:ascii="David" w:hAnsi="David" w:hint="cs"/>
          <w:color w:val="000000"/>
          <w:rtl/>
        </w:rPr>
        <w:t xml:space="preserve">במקרה זה </w:t>
      </w:r>
      <w:r w:rsidRPr="002B4470">
        <w:rPr>
          <w:rFonts w:ascii="David" w:hAnsi="David" w:hint="cs"/>
          <w:color w:val="000000"/>
          <w:rtl/>
        </w:rPr>
        <w:t>(</w:t>
      </w:r>
      <w:r>
        <w:rPr>
          <w:rFonts w:ascii="David" w:hAnsi="David" w:hint="cs"/>
          <w:color w:val="000000"/>
          <w:rtl/>
        </w:rPr>
        <w:t xml:space="preserve">בו הסיוע </w:t>
      </w:r>
      <w:r w:rsidRPr="002B4470">
        <w:rPr>
          <w:rFonts w:ascii="David" w:hAnsi="David" w:hint="cs"/>
          <w:color w:val="000000"/>
          <w:rtl/>
        </w:rPr>
        <w:t>התבטא בשכירת הדירה) נע בין 6-12 חודשי מאסר בפועל ועל הנאשם הוטלו תשעה חודשי מאסר לריצוי בעבודות שירות</w:t>
      </w:r>
      <w:r>
        <w:rPr>
          <w:rFonts w:ascii="David" w:hAnsi="David" w:hint="cs"/>
          <w:color w:val="000000"/>
          <w:rtl/>
        </w:rPr>
        <w:t>;</w:t>
      </w:r>
      <w:r w:rsidRPr="002B4470">
        <w:rPr>
          <w:rFonts w:ascii="David" w:hAnsi="David" w:hint="cs"/>
          <w:color w:val="000000"/>
          <w:rtl/>
        </w:rPr>
        <w:t xml:space="preserve"> </w:t>
      </w:r>
      <w:hyperlink r:id="rId30" w:history="1">
        <w:r w:rsidR="000F476B" w:rsidRPr="000F476B">
          <w:rPr>
            <w:rFonts w:ascii="David" w:hAnsi="David"/>
            <w:color w:val="0000FF"/>
            <w:u w:val="single"/>
            <w:rtl/>
          </w:rPr>
          <w:t>ע"פ 31608-04-24</w:t>
        </w:r>
      </w:hyperlink>
      <w:r w:rsidRPr="002B4470">
        <w:rPr>
          <w:rFonts w:ascii="David" w:hAnsi="David"/>
          <w:color w:val="000000"/>
          <w:rtl/>
        </w:rPr>
        <w:t xml:space="preserve"> </w:t>
      </w:r>
      <w:r w:rsidRPr="002B4470">
        <w:rPr>
          <w:rFonts w:ascii="David" w:hAnsi="David"/>
          <w:b/>
          <w:bCs/>
          <w:color w:val="000000"/>
          <w:rtl/>
        </w:rPr>
        <w:t>שלמה מישקובסקי נ' מדינת ישראל</w:t>
      </w:r>
      <w:r w:rsidRPr="002B4470">
        <w:rPr>
          <w:rFonts w:ascii="David" w:hAnsi="David" w:hint="cs"/>
          <w:color w:val="000000"/>
          <w:rtl/>
        </w:rPr>
        <w:t xml:space="preserve"> (9.6.2024), בו נידון עניינו של נאשם שהורשע בעבירת החזקת 175 גרם קנביס ברכבו והוטלו עליו 45 ימי מאסר ועונשים נלווים. הערעור על הכרעת הדין נדחה וביחס לענישה ציין בית המשפט המחוזי כי "</w:t>
      </w:r>
      <w:r w:rsidRPr="002B4470">
        <w:rPr>
          <w:rFonts w:ascii="Miriam" w:hAnsi="Miriam" w:cs="Miriam"/>
          <w:color w:val="000000"/>
          <w:rtl/>
        </w:rPr>
        <w:t>נראה לכאורה שגזר הדין שהוטל על המערער חורג לחומרה ממדיניות הענישה הנוהגת, בהינתן היעדר העבר הפלילי ונוכח העובדה שהמערער, כבן 37, לא ריצה מעולם מאסר מאחורי סורג ובריח</w:t>
      </w:r>
      <w:r w:rsidRPr="002B4470">
        <w:rPr>
          <w:rFonts w:ascii="David" w:hAnsi="David" w:hint="cs"/>
          <w:color w:val="000000"/>
          <w:rtl/>
        </w:rPr>
        <w:t>"</w:t>
      </w:r>
      <w:r>
        <w:rPr>
          <w:rFonts w:ascii="David" w:hAnsi="David" w:hint="cs"/>
          <w:color w:val="000000"/>
          <w:rtl/>
        </w:rPr>
        <w:t xml:space="preserve">. הנאשם </w:t>
      </w:r>
      <w:r w:rsidRPr="002B4470">
        <w:rPr>
          <w:rFonts w:ascii="David" w:hAnsi="David" w:hint="cs"/>
          <w:color w:val="000000"/>
          <w:rtl/>
        </w:rPr>
        <w:t xml:space="preserve">הופנה לתסקיר עדכני </w:t>
      </w:r>
      <w:r>
        <w:rPr>
          <w:rFonts w:ascii="David" w:hAnsi="David" w:hint="cs"/>
          <w:color w:val="000000"/>
          <w:rtl/>
        </w:rPr>
        <w:t>ו</w:t>
      </w:r>
      <w:r w:rsidRPr="002B4470">
        <w:rPr>
          <w:rFonts w:ascii="David" w:hAnsi="David" w:hint="cs"/>
          <w:color w:val="000000"/>
          <w:rtl/>
        </w:rPr>
        <w:t xml:space="preserve">טרם נקבע עונשו על ידי ערכאת הערעור; </w:t>
      </w:r>
      <w:hyperlink r:id="rId31" w:history="1">
        <w:r w:rsidR="000F476B" w:rsidRPr="000F476B">
          <w:rPr>
            <w:rFonts w:ascii="David" w:hAnsi="David"/>
            <w:color w:val="0000FF"/>
            <w:u w:val="single"/>
            <w:rtl/>
          </w:rPr>
          <w:t>ת"פ 53833-03-23</w:t>
        </w:r>
      </w:hyperlink>
      <w:r w:rsidRPr="002B4470">
        <w:rPr>
          <w:rFonts w:ascii="David" w:hAnsi="David"/>
          <w:rtl/>
        </w:rPr>
        <w:t xml:space="preserve"> </w:t>
      </w:r>
      <w:r w:rsidRPr="002B4470">
        <w:rPr>
          <w:rFonts w:ascii="David" w:hAnsi="David"/>
          <w:b/>
          <w:bCs/>
          <w:rtl/>
        </w:rPr>
        <w:t>מדינת ישראל נ' אמור חרזי</w:t>
      </w:r>
      <w:r w:rsidRPr="002B4470">
        <w:rPr>
          <w:rFonts w:ascii="David" w:hAnsi="David" w:hint="cs"/>
          <w:rtl/>
        </w:rPr>
        <w:t xml:space="preserve"> (19.11.2023), בו נקבע מתחם ענישה הנע בין 6-24 חודשי מאסר בפועל בגין סיוע להחזקת קנביס וחשיש במשקל כולל של כ-13 ק"ג. על הנאשמת הוטלו שישה חודשי מאסר לריצוי בעבודות שירות; </w:t>
      </w:r>
      <w:hyperlink r:id="rId32" w:history="1">
        <w:r w:rsidR="000F476B" w:rsidRPr="000F476B">
          <w:rPr>
            <w:rFonts w:ascii="David" w:hAnsi="David"/>
            <w:color w:val="0000FF"/>
            <w:u w:val="single"/>
            <w:rtl/>
          </w:rPr>
          <w:t>ת"פ 34898-10-21</w:t>
        </w:r>
      </w:hyperlink>
      <w:r w:rsidRPr="002B4470">
        <w:rPr>
          <w:rFonts w:ascii="David" w:hAnsi="David"/>
          <w:rtl/>
        </w:rPr>
        <w:t xml:space="preserve"> </w:t>
      </w:r>
      <w:r w:rsidRPr="002B4470">
        <w:rPr>
          <w:rFonts w:ascii="David" w:hAnsi="David"/>
          <w:b/>
          <w:bCs/>
          <w:rtl/>
        </w:rPr>
        <w:t>מדינת ישראל נ' סלימאן אבו צביח</w:t>
      </w:r>
      <w:r w:rsidRPr="002B4470">
        <w:rPr>
          <w:rFonts w:ascii="David" w:hAnsi="David" w:hint="cs"/>
          <w:rtl/>
        </w:rPr>
        <w:t xml:space="preserve"> (17.7.2023), בו הורשע נאשם בעבירת סיוע להחזקת 2.5 ק"ג קנביס ונידון לחודשיים מאסר לריצוי בעבודות שירות. נקבע כי מתחם הענישה נע בין 2-6 חודשי מאסר; </w:t>
      </w:r>
      <w:hyperlink r:id="rId33" w:history="1">
        <w:r w:rsidR="000F476B" w:rsidRPr="000F476B">
          <w:rPr>
            <w:rFonts w:ascii="David" w:hAnsi="David"/>
            <w:color w:val="0000FF"/>
            <w:u w:val="single"/>
            <w:rtl/>
          </w:rPr>
          <w:t>ת"פ 44163-06-22</w:t>
        </w:r>
      </w:hyperlink>
      <w:r w:rsidRPr="002B4470">
        <w:rPr>
          <w:rFonts w:ascii="David" w:hAnsi="David"/>
          <w:rtl/>
        </w:rPr>
        <w:t xml:space="preserve"> </w:t>
      </w:r>
      <w:r w:rsidRPr="002B4470">
        <w:rPr>
          <w:rFonts w:ascii="David" w:hAnsi="David"/>
          <w:b/>
          <w:bCs/>
          <w:rtl/>
        </w:rPr>
        <w:t>מדינת ישראל נ' עמי ביטון</w:t>
      </w:r>
      <w:r w:rsidRPr="002B4470">
        <w:rPr>
          <w:rFonts w:ascii="David" w:hAnsi="David" w:hint="cs"/>
          <w:rtl/>
        </w:rPr>
        <w:t xml:space="preserve"> (13.4.2023), בו נקבע מתחם ענישה הנע בין מספר חודשי מאסר לריצוי בעבודות שירות לבין 12 חודשי מאסר בפועל בעבירת סיוע להחזקת 806 גרם קנב</w:t>
      </w:r>
      <w:r>
        <w:rPr>
          <w:rFonts w:ascii="David" w:hAnsi="David" w:hint="cs"/>
          <w:rtl/>
        </w:rPr>
        <w:t>י</w:t>
      </w:r>
      <w:r w:rsidRPr="002B4470">
        <w:rPr>
          <w:rFonts w:ascii="David" w:hAnsi="David" w:hint="cs"/>
          <w:rtl/>
        </w:rPr>
        <w:t xml:space="preserve">ס וחשיש (במקרה זה הסיוע התבטא בהחזקת הסמים בביתו של הנאשם עבור אחר); </w:t>
      </w:r>
      <w:r w:rsidRPr="002B4470">
        <w:rPr>
          <w:rFonts w:ascii="David" w:hAnsi="David"/>
          <w:rtl/>
        </w:rPr>
        <w:t xml:space="preserve">ת"פ 5950-09-21 </w:t>
      </w:r>
      <w:r w:rsidRPr="002B4470">
        <w:rPr>
          <w:rFonts w:ascii="David" w:hAnsi="David"/>
          <w:b/>
          <w:bCs/>
          <w:rtl/>
        </w:rPr>
        <w:t>מדינת ישראל נ' עמרם אוחיון</w:t>
      </w:r>
      <w:r w:rsidRPr="002B4470">
        <w:rPr>
          <w:rFonts w:ascii="David" w:hAnsi="David" w:hint="cs"/>
          <w:rtl/>
        </w:rPr>
        <w:t xml:space="preserve"> (3.5.2022), בו נידונו ארבעה נאשמים בעבירות שונות הקשורות בגידול והחזקת סמים. הנאשם 3 הורשע בכך שסייע </w:t>
      </w:r>
      <w:r w:rsidRPr="002B4470">
        <w:rPr>
          <w:rFonts w:ascii="David" w:hAnsi="David"/>
          <w:color w:val="000000"/>
          <w:rtl/>
        </w:rPr>
        <w:t>לנאשם 1 להחזיק בדירה סם מסוכן מסוג קנב</w:t>
      </w:r>
      <w:r>
        <w:rPr>
          <w:rFonts w:ascii="David" w:hAnsi="David" w:hint="cs"/>
          <w:color w:val="000000"/>
          <w:rtl/>
        </w:rPr>
        <w:t>י</w:t>
      </w:r>
      <w:r w:rsidRPr="002B4470">
        <w:rPr>
          <w:rFonts w:ascii="David" w:hAnsi="David"/>
          <w:color w:val="000000"/>
          <w:rtl/>
        </w:rPr>
        <w:t>ס</w:t>
      </w:r>
      <w:r>
        <w:rPr>
          <w:rFonts w:ascii="David" w:hAnsi="David" w:hint="cs"/>
          <w:color w:val="000000"/>
          <w:rtl/>
        </w:rPr>
        <w:t xml:space="preserve"> (</w:t>
      </w:r>
      <w:r w:rsidRPr="002B4470">
        <w:rPr>
          <w:rFonts w:ascii="David" w:hAnsi="David" w:hint="cs"/>
          <w:rtl/>
        </w:rPr>
        <w:t>למעלה מ-450 שתילים</w:t>
      </w:r>
      <w:r>
        <w:rPr>
          <w:rFonts w:ascii="David" w:hAnsi="David" w:hint="cs"/>
          <w:rtl/>
        </w:rPr>
        <w:t>)</w:t>
      </w:r>
      <w:r w:rsidRPr="002B4470">
        <w:rPr>
          <w:rFonts w:ascii="David" w:hAnsi="David" w:hint="cs"/>
          <w:color w:val="000000"/>
          <w:rtl/>
        </w:rPr>
        <w:t>. נקבע כי מתחם הענישה בעניינו של נאשם זה נע בין</w:t>
      </w:r>
      <w:r>
        <w:rPr>
          <w:rFonts w:ascii="David" w:hAnsi="David" w:hint="cs"/>
          <w:color w:val="000000"/>
          <w:rtl/>
        </w:rPr>
        <w:t xml:space="preserve">          </w:t>
      </w:r>
      <w:r w:rsidRPr="002B4470">
        <w:rPr>
          <w:rFonts w:ascii="David" w:hAnsi="David" w:hint="cs"/>
          <w:color w:val="000000"/>
          <w:rtl/>
        </w:rPr>
        <w:t xml:space="preserve"> 6-15 חודשי מאסר בפועל ובית המשפט סטה ממתחם הענישה משיקולי שיקום וגזר על הנאשם צו של"צ, מאסר מותנה וקנס; </w:t>
      </w:r>
      <w:hyperlink r:id="rId34" w:history="1">
        <w:r w:rsidR="000F476B" w:rsidRPr="000F476B">
          <w:rPr>
            <w:rFonts w:ascii="David" w:hAnsi="David"/>
            <w:color w:val="0000FF"/>
            <w:u w:val="single"/>
            <w:rtl/>
          </w:rPr>
          <w:t>ת"פ 68454-05-18</w:t>
        </w:r>
      </w:hyperlink>
      <w:r w:rsidRPr="002B4470">
        <w:rPr>
          <w:rFonts w:ascii="David" w:hAnsi="David"/>
          <w:color w:val="000000"/>
          <w:rtl/>
        </w:rPr>
        <w:t xml:space="preserve"> </w:t>
      </w:r>
      <w:r w:rsidRPr="002B4470">
        <w:rPr>
          <w:rFonts w:ascii="David" w:hAnsi="David"/>
          <w:b/>
          <w:bCs/>
          <w:color w:val="000000"/>
          <w:rtl/>
        </w:rPr>
        <w:t>מדינת ישראל נ' מלכה ואח'</w:t>
      </w:r>
      <w:r w:rsidRPr="002B4470">
        <w:rPr>
          <w:rFonts w:ascii="David" w:hAnsi="David" w:hint="cs"/>
          <w:color w:val="000000"/>
          <w:rtl/>
        </w:rPr>
        <w:t xml:space="preserve"> (26.5.2019), בו נידון עניינו של נאשם שהורשע בעבירת </w:t>
      </w:r>
      <w:r w:rsidRPr="00FB2833">
        <w:rPr>
          <w:rFonts w:ascii="David" w:hAnsi="David" w:hint="cs"/>
          <w:color w:val="000000"/>
          <w:rtl/>
        </w:rPr>
        <w:t xml:space="preserve">סיוע לגידול סמים </w:t>
      </w:r>
      <w:r>
        <w:rPr>
          <w:rFonts w:ascii="David" w:hAnsi="David" w:hint="cs"/>
          <w:color w:val="000000"/>
          <w:rtl/>
        </w:rPr>
        <w:t>(</w:t>
      </w:r>
      <w:r w:rsidRPr="002B4470">
        <w:rPr>
          <w:rFonts w:ascii="Arial" w:hAnsi="Arial" w:hint="cs"/>
          <w:rtl/>
        </w:rPr>
        <w:t>מעבדת סמים בהיקף של 120 שתילים ובמשקל כולל של 17.15 ק"ג</w:t>
      </w:r>
      <w:r>
        <w:rPr>
          <w:rFonts w:ascii="David" w:hAnsi="David" w:hint="cs"/>
          <w:color w:val="000000"/>
          <w:rtl/>
        </w:rPr>
        <w:t xml:space="preserve">). הסיוע </w:t>
      </w:r>
      <w:r w:rsidRPr="002B4470">
        <w:rPr>
          <w:rFonts w:ascii="David" w:hAnsi="David" w:hint="cs"/>
          <w:color w:val="000000"/>
          <w:rtl/>
        </w:rPr>
        <w:t xml:space="preserve">הוגדר בכתב האישום </w:t>
      </w:r>
      <w:r w:rsidRPr="002B4470">
        <w:rPr>
          <w:rFonts w:ascii="Arial" w:hAnsi="Arial"/>
          <w:rtl/>
        </w:rPr>
        <w:t>באופן</w:t>
      </w:r>
      <w:r w:rsidRPr="002B4470">
        <w:rPr>
          <w:rFonts w:ascii="Arial" w:hAnsi="Arial" w:hint="cs"/>
          <w:rtl/>
        </w:rPr>
        <w:t xml:space="preserve"> שהנאשם</w:t>
      </w:r>
      <w:r w:rsidRPr="002B4470">
        <w:rPr>
          <w:rFonts w:ascii="Arial" w:hAnsi="Arial"/>
          <w:rtl/>
        </w:rPr>
        <w:t xml:space="preserve"> "</w:t>
      </w:r>
      <w:r w:rsidRPr="002B4470">
        <w:rPr>
          <w:rFonts w:ascii="Arial" w:hAnsi="Arial" w:cs="Miriam"/>
          <w:rtl/>
        </w:rPr>
        <w:t>התקין חלק מהמרכיבים ששימשו לגידול והפקתו</w:t>
      </w:r>
      <w:r w:rsidRPr="002B4470">
        <w:rPr>
          <w:rFonts w:ascii="Arial" w:hAnsi="Arial"/>
          <w:rtl/>
        </w:rPr>
        <w:t>"</w:t>
      </w:r>
      <w:r w:rsidRPr="002B4470">
        <w:rPr>
          <w:rFonts w:ascii="Arial" w:hAnsi="Arial" w:hint="cs"/>
          <w:rtl/>
        </w:rPr>
        <w:t xml:space="preserve">. נקבע מתחם ענישה הנע בין </w:t>
      </w:r>
      <w:r>
        <w:rPr>
          <w:rtl/>
        </w:rPr>
        <w:t xml:space="preserve">מאסר קצר שניתן לשאת בדרך של עבודות שירות </w:t>
      </w:r>
      <w:r>
        <w:rPr>
          <w:rFonts w:hint="cs"/>
          <w:rtl/>
        </w:rPr>
        <w:t>לבין</w:t>
      </w:r>
      <w:r>
        <w:rPr>
          <w:rtl/>
        </w:rPr>
        <w:t xml:space="preserve"> 18 חודשי מאסר בפועל</w:t>
      </w:r>
      <w:r>
        <w:rPr>
          <w:rFonts w:hint="cs"/>
          <w:rtl/>
        </w:rPr>
        <w:t xml:space="preserve"> ועל הנאשם הוטלו צו של"צ, צו מבחן וענישה נלווית (בשל שיקולי שיקום)</w:t>
      </w:r>
      <w:r w:rsidRPr="002B4470">
        <w:rPr>
          <w:rFonts w:ascii="David" w:hAnsi="David" w:hint="cs"/>
          <w:rtl/>
        </w:rPr>
        <w:t>.</w:t>
      </w:r>
    </w:p>
    <w:p w14:paraId="7CF9CD6B" w14:textId="77777777" w:rsidR="005A0DB6" w:rsidRPr="00701760" w:rsidRDefault="005A0DB6" w:rsidP="005A0DB6">
      <w:pPr>
        <w:pStyle w:val="a9"/>
        <w:ind w:left="0"/>
        <w:jc w:val="both"/>
        <w:rPr>
          <w:rFonts w:ascii="David" w:hAnsi="David"/>
        </w:rPr>
      </w:pPr>
    </w:p>
    <w:p w14:paraId="164A85AC" w14:textId="77777777" w:rsidR="005A0DB6" w:rsidRPr="00202DC8" w:rsidRDefault="005A0DB6" w:rsidP="005A0DB6">
      <w:pPr>
        <w:pStyle w:val="a9"/>
        <w:numPr>
          <w:ilvl w:val="0"/>
          <w:numId w:val="1"/>
        </w:numPr>
        <w:spacing w:line="360" w:lineRule="auto"/>
        <w:jc w:val="both"/>
        <w:rPr>
          <w:rFonts w:ascii="David" w:hAnsi="David"/>
        </w:rPr>
      </w:pPr>
      <w:r>
        <w:rPr>
          <w:rFonts w:ascii="David" w:hAnsi="David"/>
          <w:color w:val="000000"/>
          <w:rtl/>
        </w:rPr>
        <w:t xml:space="preserve">סיכומו של דבר, בשים לב לכל האמור לעיל, אני סבור שמתחם הענישה ההולם </w:t>
      </w:r>
      <w:r>
        <w:rPr>
          <w:rFonts w:ascii="David" w:hAnsi="David" w:hint="cs"/>
          <w:color w:val="000000"/>
          <w:rtl/>
        </w:rPr>
        <w:t>עבירה</w:t>
      </w:r>
      <w:r>
        <w:rPr>
          <w:rFonts w:ascii="David" w:hAnsi="David"/>
          <w:color w:val="000000"/>
          <w:rtl/>
        </w:rPr>
        <w:t xml:space="preserve"> </w:t>
      </w:r>
      <w:r>
        <w:rPr>
          <w:rFonts w:ascii="David" w:hAnsi="David" w:hint="cs"/>
          <w:color w:val="000000"/>
          <w:rtl/>
        </w:rPr>
        <w:t xml:space="preserve">זו </w:t>
      </w:r>
      <w:r>
        <w:rPr>
          <w:rFonts w:ascii="David" w:hAnsi="David"/>
          <w:color w:val="000000"/>
          <w:rtl/>
        </w:rPr>
        <w:t>בנסיבות ביצוע</w:t>
      </w:r>
      <w:r>
        <w:rPr>
          <w:rFonts w:ascii="David" w:hAnsi="David" w:hint="cs"/>
          <w:color w:val="000000"/>
          <w:rtl/>
        </w:rPr>
        <w:t>ה</w:t>
      </w:r>
      <w:r>
        <w:rPr>
          <w:rFonts w:ascii="David" w:hAnsi="David"/>
          <w:color w:val="000000"/>
          <w:rtl/>
        </w:rPr>
        <w:t>, נע בין</w:t>
      </w:r>
      <w:r>
        <w:rPr>
          <w:rFonts w:ascii="David" w:hAnsi="David"/>
          <w:rtl/>
        </w:rPr>
        <w:t xml:space="preserve"> </w:t>
      </w:r>
      <w:r>
        <w:rPr>
          <w:rFonts w:ascii="David" w:hAnsi="David" w:hint="cs"/>
          <w:rtl/>
        </w:rPr>
        <w:t>מאסר מותנה ועד 12 חודשי מאסר בפועל</w:t>
      </w:r>
      <w:r>
        <w:rPr>
          <w:rFonts w:ascii="David" w:hAnsi="David"/>
          <w:rtl/>
        </w:rPr>
        <w:t>.</w:t>
      </w:r>
    </w:p>
    <w:p w14:paraId="43F6DE71" w14:textId="77777777" w:rsidR="005A0DB6" w:rsidRDefault="005A0DB6" w:rsidP="005A0DB6">
      <w:pPr>
        <w:jc w:val="both"/>
        <w:rPr>
          <w:rFonts w:ascii="David" w:hAnsi="David"/>
          <w:rtl/>
        </w:rPr>
      </w:pPr>
    </w:p>
    <w:p w14:paraId="70C06F69" w14:textId="77777777" w:rsidR="005A0DB6" w:rsidRDefault="005A0DB6" w:rsidP="005A0DB6">
      <w:pPr>
        <w:pStyle w:val="a9"/>
        <w:spacing w:line="360" w:lineRule="auto"/>
        <w:ind w:left="0"/>
        <w:jc w:val="both"/>
        <w:rPr>
          <w:rFonts w:ascii="David" w:hAnsi="David"/>
          <w:b/>
          <w:bCs/>
          <w:u w:val="single"/>
        </w:rPr>
      </w:pPr>
      <w:r>
        <w:rPr>
          <w:rFonts w:ascii="David" w:hAnsi="David"/>
          <w:b/>
          <w:bCs/>
          <w:u w:val="single"/>
          <w:rtl/>
        </w:rPr>
        <w:t xml:space="preserve">קביעת </w:t>
      </w:r>
      <w:r>
        <w:rPr>
          <w:rFonts w:ascii="David" w:hAnsi="David" w:hint="cs"/>
          <w:b/>
          <w:bCs/>
          <w:u w:val="single"/>
          <w:rtl/>
        </w:rPr>
        <w:t>עונשו של הנאשם</w:t>
      </w:r>
    </w:p>
    <w:p w14:paraId="217F1199" w14:textId="77777777" w:rsidR="005A0DB6" w:rsidRDefault="005A0DB6" w:rsidP="005A0DB6">
      <w:pPr>
        <w:jc w:val="both"/>
        <w:rPr>
          <w:rFonts w:ascii="David" w:hAnsi="David"/>
          <w:rtl/>
        </w:rPr>
      </w:pPr>
    </w:p>
    <w:p w14:paraId="22D2D733" w14:textId="77777777" w:rsidR="005A0DB6" w:rsidRDefault="005A0DB6" w:rsidP="005A0DB6">
      <w:pPr>
        <w:pStyle w:val="a9"/>
        <w:numPr>
          <w:ilvl w:val="0"/>
          <w:numId w:val="1"/>
        </w:numPr>
        <w:spacing w:line="360" w:lineRule="auto"/>
        <w:jc w:val="both"/>
        <w:rPr>
          <w:rFonts w:ascii="David" w:hAnsi="David"/>
        </w:rPr>
      </w:pPr>
      <w:r>
        <w:rPr>
          <w:rFonts w:ascii="David" w:hAnsi="David"/>
          <w:rtl/>
        </w:rPr>
        <w:t>ההגנה לא ביקש</w:t>
      </w:r>
      <w:r>
        <w:rPr>
          <w:rFonts w:ascii="David" w:hAnsi="David" w:hint="cs"/>
          <w:rtl/>
        </w:rPr>
        <w:t>ה</w:t>
      </w:r>
      <w:r>
        <w:rPr>
          <w:rFonts w:ascii="David" w:hAnsi="David"/>
          <w:rtl/>
        </w:rPr>
        <w:t xml:space="preserve"> להביא בחשבון שיקולי שיקום ואף לא התבקשה הפניה לתסקיר. ואכן, אין מקום לשקול שיקולי שיקום והעונש ייגזר אפוא בגדרי מתחם הענישה</w:t>
      </w:r>
      <w:r>
        <w:rPr>
          <w:rFonts w:ascii="David" w:hAnsi="David" w:hint="cs"/>
          <w:rtl/>
        </w:rPr>
        <w:t>, ולכך עתרו גם הצדדים</w:t>
      </w:r>
      <w:r>
        <w:rPr>
          <w:rFonts w:ascii="David" w:hAnsi="David"/>
          <w:rtl/>
        </w:rPr>
        <w:t>.</w:t>
      </w:r>
      <w:r>
        <w:rPr>
          <w:rFonts w:ascii="David" w:hAnsi="David" w:hint="cs"/>
          <w:rtl/>
        </w:rPr>
        <w:t xml:space="preserve"> </w:t>
      </w:r>
    </w:p>
    <w:p w14:paraId="0D969759" w14:textId="77777777" w:rsidR="005A0DB6" w:rsidRDefault="005A0DB6" w:rsidP="005A0DB6">
      <w:pPr>
        <w:pStyle w:val="a9"/>
        <w:ind w:left="0"/>
        <w:jc w:val="both"/>
        <w:rPr>
          <w:rFonts w:ascii="David" w:hAnsi="David"/>
        </w:rPr>
      </w:pPr>
    </w:p>
    <w:p w14:paraId="6538E04F" w14:textId="77777777" w:rsidR="005A0DB6" w:rsidRDefault="005A0DB6" w:rsidP="005A0DB6">
      <w:pPr>
        <w:pStyle w:val="a9"/>
        <w:numPr>
          <w:ilvl w:val="0"/>
          <w:numId w:val="1"/>
        </w:numPr>
        <w:spacing w:line="360" w:lineRule="auto"/>
        <w:jc w:val="both"/>
        <w:rPr>
          <w:rFonts w:ascii="David" w:hAnsi="David"/>
        </w:rPr>
      </w:pPr>
      <w:r>
        <w:rPr>
          <w:rFonts w:ascii="David" w:hAnsi="David" w:hint="cs"/>
          <w:rtl/>
        </w:rPr>
        <w:t xml:space="preserve">הנאשם שלפני צעיר כבן 28, עברו הפלילי נקי וזו הסתבכותו הראשונה עם החוק. הוא הודה במעשיו בהזדמנות הראשונה וחסך זמן רב ומשאבים. כן ראיתי בהודאה זו כביטוי של חרטה והפנת הפסול והתרשמתי מכנות דבריו בפני. הנאשם מנהל אורח חיים נורמטיבי, הוא שירת בצבא ובמילואים וכיום הוא סטודנט בתחום ההנדסה. </w:t>
      </w:r>
      <w:r w:rsidRPr="00EB40C0">
        <w:rPr>
          <w:rFonts w:ascii="David" w:hAnsi="David"/>
          <w:rtl/>
        </w:rPr>
        <w:t xml:space="preserve">בנתונים אלו סברתי כי </w:t>
      </w:r>
      <w:r>
        <w:rPr>
          <w:rFonts w:ascii="David" w:hAnsi="David" w:hint="cs"/>
          <w:rtl/>
        </w:rPr>
        <w:t xml:space="preserve">ניתן להסתפק </w:t>
      </w:r>
      <w:r w:rsidRPr="00EB40C0">
        <w:rPr>
          <w:rFonts w:ascii="David" w:hAnsi="David"/>
          <w:rtl/>
        </w:rPr>
        <w:t xml:space="preserve">בענישה המצויה בחלקו התחתון של מתחם הענישה – כעתירת ההגנה – </w:t>
      </w:r>
      <w:r>
        <w:rPr>
          <w:rFonts w:ascii="David" w:hAnsi="David" w:hint="cs"/>
          <w:rtl/>
        </w:rPr>
        <w:t>וזאת מבלי לפגוע יתר על המידה ב</w:t>
      </w:r>
      <w:r w:rsidRPr="00EB40C0">
        <w:rPr>
          <w:rFonts w:ascii="David" w:hAnsi="David"/>
          <w:rtl/>
        </w:rPr>
        <w:t>תכליות הענישה הנדרשות במקרה זה – הלימה והרתעה.</w:t>
      </w:r>
      <w:r>
        <w:rPr>
          <w:rFonts w:ascii="David" w:hAnsi="David" w:hint="cs"/>
          <w:rtl/>
        </w:rPr>
        <w:t xml:space="preserve"> מנגד, עתירת האשימה לעונש מאסרו ולו בעבודות שירות נראית בעיני מחמירה יתר על המידה, חרף חומרת המעשה </w:t>
      </w:r>
      <w:r w:rsidRPr="00EB40C0">
        <w:rPr>
          <w:rFonts w:ascii="David" w:hAnsi="David"/>
          <w:rtl/>
        </w:rPr>
        <w:t xml:space="preserve">(לשיקולים בדבר קביעת העונש בגדרי המתחם ראו: </w:t>
      </w:r>
      <w:hyperlink r:id="rId35" w:history="1">
        <w:r w:rsidR="000F476B" w:rsidRPr="000F476B">
          <w:rPr>
            <w:rFonts w:ascii="David" w:hAnsi="David"/>
            <w:color w:val="0000FF"/>
            <w:u w:val="single"/>
            <w:rtl/>
          </w:rPr>
          <w:t>ע"פ 8017/20</w:t>
        </w:r>
      </w:hyperlink>
      <w:r w:rsidRPr="00EB40C0">
        <w:rPr>
          <w:rFonts w:ascii="David" w:hAnsi="David"/>
          <w:rtl/>
        </w:rPr>
        <w:t xml:space="preserve"> </w:t>
      </w:r>
      <w:r w:rsidRPr="00EB40C0">
        <w:rPr>
          <w:rFonts w:ascii="David" w:hAnsi="David"/>
          <w:b/>
          <w:bCs/>
          <w:rtl/>
        </w:rPr>
        <w:t>מדינת ישראל נ' גריפאת</w:t>
      </w:r>
      <w:r w:rsidRPr="00EB40C0">
        <w:rPr>
          <w:rFonts w:ascii="David" w:hAnsi="David"/>
          <w:rtl/>
        </w:rPr>
        <w:t xml:space="preserve"> (22.12.2020); </w:t>
      </w:r>
      <w:hyperlink r:id="rId36" w:history="1">
        <w:r w:rsidR="000F476B" w:rsidRPr="000F476B">
          <w:rPr>
            <w:rFonts w:ascii="David" w:hAnsi="David"/>
            <w:color w:val="0000FF"/>
            <w:u w:val="single"/>
            <w:rtl/>
          </w:rPr>
          <w:t>ע"פ 652/23</w:t>
        </w:r>
      </w:hyperlink>
      <w:r w:rsidRPr="00EB40C0">
        <w:rPr>
          <w:rFonts w:ascii="David" w:hAnsi="David"/>
          <w:rtl/>
        </w:rPr>
        <w:t xml:space="preserve"> </w:t>
      </w:r>
      <w:r w:rsidRPr="00EB40C0">
        <w:rPr>
          <w:rFonts w:ascii="David" w:hAnsi="David"/>
          <w:b/>
          <w:bCs/>
          <w:rtl/>
        </w:rPr>
        <w:t>עבאס מחאג'נה נ' מדינת ישראל</w:t>
      </w:r>
      <w:r w:rsidRPr="00EB40C0">
        <w:rPr>
          <w:rFonts w:ascii="David" w:hAnsi="David"/>
          <w:rtl/>
        </w:rPr>
        <w:t xml:space="preserve"> (24.4.2023); פסקה 11; </w:t>
      </w:r>
      <w:hyperlink r:id="rId37" w:history="1">
        <w:r w:rsidR="000F476B" w:rsidRPr="000F476B">
          <w:rPr>
            <w:rFonts w:ascii="David" w:hAnsi="David"/>
            <w:color w:val="0000FF"/>
            <w:u w:val="single"/>
            <w:rtl/>
          </w:rPr>
          <w:t>ע"פ 280/23</w:t>
        </w:r>
      </w:hyperlink>
      <w:r w:rsidRPr="00EB40C0">
        <w:rPr>
          <w:rFonts w:ascii="David" w:hAnsi="David"/>
          <w:rtl/>
        </w:rPr>
        <w:t xml:space="preserve"> </w:t>
      </w:r>
      <w:r w:rsidRPr="00EB40C0">
        <w:rPr>
          <w:rFonts w:ascii="David" w:hAnsi="David"/>
          <w:b/>
          <w:bCs/>
          <w:rtl/>
        </w:rPr>
        <w:t xml:space="preserve">מדינת ישראל נ' </w:t>
      </w:r>
      <w:r w:rsidRPr="00EB40C0">
        <w:rPr>
          <w:rFonts w:ascii="David" w:hAnsi="David"/>
          <w:b/>
          <w:bCs/>
        </w:rPr>
        <w:t>Ibrahim Yahia Alnour Abker</w:t>
      </w:r>
      <w:r w:rsidRPr="00EB40C0">
        <w:rPr>
          <w:rFonts w:ascii="David" w:hAnsi="David"/>
          <w:b/>
          <w:bCs/>
          <w:rtl/>
        </w:rPr>
        <w:t xml:space="preserve"> </w:t>
      </w:r>
      <w:r w:rsidRPr="00EB40C0">
        <w:rPr>
          <w:rFonts w:ascii="David" w:hAnsi="David"/>
          <w:rtl/>
        </w:rPr>
        <w:t>(18.5.2023), פסקה 9)).</w:t>
      </w:r>
      <w:r>
        <w:rPr>
          <w:rFonts w:ascii="David" w:hAnsi="David" w:hint="cs"/>
          <w:rtl/>
        </w:rPr>
        <w:t xml:space="preserve"> </w:t>
      </w:r>
    </w:p>
    <w:p w14:paraId="520232A1" w14:textId="77777777" w:rsidR="005A0DB6" w:rsidRPr="00CB29E5" w:rsidRDefault="005A0DB6" w:rsidP="005A0DB6">
      <w:pPr>
        <w:pStyle w:val="a9"/>
        <w:rPr>
          <w:rFonts w:ascii="David" w:hAnsi="David"/>
          <w:rtl/>
        </w:rPr>
      </w:pPr>
    </w:p>
    <w:p w14:paraId="395D34F6" w14:textId="77777777" w:rsidR="005A0DB6" w:rsidRDefault="005A0DB6" w:rsidP="005A0DB6">
      <w:pPr>
        <w:pStyle w:val="a9"/>
        <w:numPr>
          <w:ilvl w:val="0"/>
          <w:numId w:val="1"/>
        </w:numPr>
        <w:spacing w:line="360" w:lineRule="auto"/>
        <w:jc w:val="both"/>
        <w:rPr>
          <w:rFonts w:ascii="David" w:hAnsi="David"/>
        </w:rPr>
      </w:pPr>
      <w:r w:rsidRPr="00CB29E5">
        <w:rPr>
          <w:rFonts w:ascii="David" w:hAnsi="David"/>
          <w:rtl/>
        </w:rPr>
        <w:t>סיכומו של דבר, לאחר שבחנתי את מכלול השיקולים, הן לקולה והן לחומרה, אני מטיל על הנאשם את העונשים הבאים:</w:t>
      </w:r>
    </w:p>
    <w:p w14:paraId="47C59F7A" w14:textId="77777777" w:rsidR="005A0DB6" w:rsidRPr="00CB29E5" w:rsidRDefault="005A0DB6" w:rsidP="005A0DB6">
      <w:pPr>
        <w:pStyle w:val="a9"/>
        <w:rPr>
          <w:rFonts w:ascii="David" w:hAnsi="David"/>
          <w:rtl/>
        </w:rPr>
      </w:pPr>
    </w:p>
    <w:p w14:paraId="0383EA8F" w14:textId="77777777" w:rsidR="005A0DB6" w:rsidRDefault="000F476B" w:rsidP="005A0DB6">
      <w:pPr>
        <w:pStyle w:val="a9"/>
        <w:numPr>
          <w:ilvl w:val="0"/>
          <w:numId w:val="2"/>
        </w:numPr>
        <w:spacing w:line="360" w:lineRule="auto"/>
        <w:jc w:val="both"/>
        <w:rPr>
          <w:rFonts w:ascii="David" w:hAnsi="David"/>
        </w:rPr>
      </w:pPr>
      <w:r w:rsidRPr="000F476B">
        <w:rPr>
          <w:rFonts w:ascii="David" w:hAnsi="David"/>
          <w:color w:val="FFFFFF"/>
          <w:sz w:val="2"/>
          <w:szCs w:val="2"/>
          <w:rtl/>
        </w:rPr>
        <w:t>5129371</w:t>
      </w:r>
      <w:r w:rsidR="005A0DB6" w:rsidRPr="00CB29E5">
        <w:rPr>
          <w:rFonts w:ascii="David" w:hAnsi="David"/>
          <w:color w:val="000000"/>
          <w:rtl/>
        </w:rPr>
        <w:t>מאסר על תנאי למשך 4 חודשים והתנאי הוא שהנאשם לא יעבור בתוך שנתיים כל עבירה על פקודת הסמים שהיא פשע.</w:t>
      </w:r>
    </w:p>
    <w:p w14:paraId="76CA1E40" w14:textId="77777777" w:rsidR="005A0DB6" w:rsidRPr="0072386C" w:rsidRDefault="000F476B" w:rsidP="005A0DB6">
      <w:pPr>
        <w:pStyle w:val="a9"/>
        <w:numPr>
          <w:ilvl w:val="0"/>
          <w:numId w:val="2"/>
        </w:numPr>
        <w:spacing w:line="360" w:lineRule="auto"/>
        <w:jc w:val="both"/>
        <w:rPr>
          <w:rFonts w:ascii="David" w:hAnsi="David"/>
          <w:u w:val="single"/>
          <w:rtl/>
        </w:rPr>
      </w:pPr>
      <w:r w:rsidRPr="000F476B">
        <w:rPr>
          <w:rFonts w:ascii="David" w:hAnsi="David"/>
          <w:color w:val="FFFFFF"/>
          <w:sz w:val="2"/>
          <w:szCs w:val="2"/>
          <w:rtl/>
        </w:rPr>
        <w:t>54678313</w:t>
      </w:r>
      <w:r w:rsidR="005A0DB6">
        <w:rPr>
          <w:rFonts w:ascii="David" w:hAnsi="David"/>
          <w:color w:val="000000"/>
          <w:rtl/>
        </w:rPr>
        <w:t xml:space="preserve">קנס בסך </w:t>
      </w:r>
      <w:r w:rsidR="005A0DB6">
        <w:rPr>
          <w:rFonts w:ascii="David" w:hAnsi="David" w:hint="cs"/>
          <w:color w:val="000000"/>
          <w:rtl/>
        </w:rPr>
        <w:t>2</w:t>
      </w:r>
      <w:r w:rsidR="005A0DB6">
        <w:rPr>
          <w:rFonts w:ascii="David" w:hAnsi="David"/>
          <w:color w:val="000000"/>
          <w:rtl/>
        </w:rPr>
        <w:t>,000 ₪. הקנס ישולם ב-</w:t>
      </w:r>
      <w:r w:rsidR="005A0DB6">
        <w:rPr>
          <w:rFonts w:ascii="David" w:hAnsi="David" w:hint="cs"/>
          <w:color w:val="000000"/>
          <w:rtl/>
        </w:rPr>
        <w:t>5</w:t>
      </w:r>
      <w:r w:rsidR="005A0DB6">
        <w:rPr>
          <w:rFonts w:ascii="David" w:hAnsi="David"/>
          <w:color w:val="000000"/>
          <w:rtl/>
        </w:rPr>
        <w:t xml:space="preserve"> תשלומים שווים ורצופים כאשר הראשון בהם ביום 1.</w:t>
      </w:r>
      <w:r w:rsidR="005A0DB6">
        <w:rPr>
          <w:rFonts w:ascii="David" w:hAnsi="David" w:hint="cs"/>
          <w:color w:val="000000"/>
          <w:rtl/>
        </w:rPr>
        <w:t>10</w:t>
      </w:r>
      <w:r w:rsidR="005A0DB6">
        <w:rPr>
          <w:rFonts w:ascii="David" w:hAnsi="David"/>
          <w:color w:val="000000"/>
          <w:rtl/>
        </w:rPr>
        <w:t>.</w:t>
      </w:r>
      <w:r w:rsidR="005A0DB6">
        <w:rPr>
          <w:rFonts w:ascii="David" w:hAnsi="David" w:hint="cs"/>
          <w:color w:val="000000"/>
          <w:rtl/>
        </w:rPr>
        <w:t>2024</w:t>
      </w:r>
      <w:r w:rsidR="005A0DB6">
        <w:rPr>
          <w:rFonts w:ascii="David" w:hAnsi="David"/>
          <w:color w:val="000000"/>
          <w:rtl/>
        </w:rPr>
        <w:t xml:space="preserve"> ובכל 1 לחודש שלאחריו. </w:t>
      </w:r>
      <w:r w:rsidR="005A0DB6" w:rsidRPr="0072386C">
        <w:rPr>
          <w:rFonts w:ascii="David" w:hAnsi="David"/>
          <w:color w:val="000000"/>
          <w:u w:val="single"/>
          <w:rtl/>
        </w:rPr>
        <w:t>אי עמידה באחד התשלומים במועד תעמיד את יתרת הסכום לפירעון מידי</w:t>
      </w:r>
      <w:r w:rsidR="005A0DB6" w:rsidRPr="0072386C">
        <w:rPr>
          <w:rFonts w:ascii="David" w:hAnsi="David"/>
          <w:color w:val="000000"/>
          <w:u w:val="single"/>
        </w:rPr>
        <w:t>.</w:t>
      </w:r>
    </w:p>
    <w:p w14:paraId="42F78731" w14:textId="77777777" w:rsidR="005A0DB6" w:rsidRPr="00CB29E5" w:rsidRDefault="005A0DB6" w:rsidP="005A0DB6">
      <w:pPr>
        <w:spacing w:line="360" w:lineRule="auto"/>
        <w:rPr>
          <w:rFonts w:ascii="David" w:hAnsi="David"/>
          <w:b/>
          <w:bCs/>
          <w:u w:val="single"/>
          <w:rtl/>
        </w:rPr>
      </w:pPr>
      <w:r w:rsidRPr="00CB29E5">
        <w:rPr>
          <w:rFonts w:ascii="David" w:hAnsi="David"/>
          <w:b/>
          <w:bCs/>
          <w:u w:val="single"/>
          <w:rtl/>
        </w:rPr>
        <w:t>הודעה זכות ערעור לבית המשפט המחוזי בתוך 45 יום.</w:t>
      </w:r>
    </w:p>
    <w:p w14:paraId="2D0A4C14" w14:textId="77777777" w:rsidR="005A0DB6" w:rsidRPr="00005C5D" w:rsidRDefault="000F476B" w:rsidP="000F476B">
      <w:pPr>
        <w:jc w:val="center"/>
      </w:pPr>
      <w:bookmarkStart w:id="7" w:name="Nitan"/>
      <w:r>
        <w:rPr>
          <w:rFonts w:ascii="David" w:hAnsi="David"/>
          <w:rtl/>
        </w:rPr>
        <w:t xml:space="preserve">ניתן היום,  י"ח סיוון תשפ"ד, 24 יוני 2024, במעמד הצדדים. </w:t>
      </w:r>
      <w:bookmarkEnd w:id="7"/>
      <w:r w:rsidR="005A0DB6" w:rsidRPr="00005C5D">
        <w:rPr>
          <w:rFonts w:ascii="David" w:hAnsi="David"/>
          <w:rtl/>
        </w:rPr>
        <w:t xml:space="preserve">   </w:t>
      </w:r>
      <w:r w:rsidR="005A0DB6" w:rsidRPr="00005C5D">
        <w:rPr>
          <w:rFonts w:ascii="David" w:hAnsi="David"/>
          <w:rtl/>
        </w:rPr>
        <w:tab/>
      </w:r>
      <w:r w:rsidR="005A0DB6" w:rsidRPr="00005C5D">
        <w:rPr>
          <w:rFonts w:ascii="David" w:hAnsi="David"/>
          <w:rtl/>
        </w:rPr>
        <w:tab/>
      </w:r>
      <w:r w:rsidR="005A0DB6" w:rsidRPr="00005C5D">
        <w:rPr>
          <w:rFonts w:ascii="David" w:hAnsi="David"/>
          <w:rtl/>
        </w:rPr>
        <w:tab/>
      </w:r>
      <w:r w:rsidR="005A0DB6" w:rsidRPr="00005C5D">
        <w:rPr>
          <w:rFonts w:ascii="David" w:hAnsi="David"/>
          <w:rtl/>
        </w:rPr>
        <w:tab/>
      </w:r>
      <w:r w:rsidR="005A0DB6" w:rsidRPr="00005C5D">
        <w:rPr>
          <w:rFonts w:ascii="David" w:hAnsi="David"/>
          <w:rtl/>
        </w:rPr>
        <w:tab/>
      </w:r>
    </w:p>
    <w:p w14:paraId="7F15569B" w14:textId="77777777" w:rsidR="005A0DB6" w:rsidRPr="00005C5D" w:rsidRDefault="005A0DB6" w:rsidP="005A0DB6">
      <w:pPr>
        <w:jc w:val="center"/>
        <w:rPr>
          <w:rFonts w:ascii="David" w:hAnsi="David"/>
          <w:rtl/>
        </w:rPr>
      </w:pPr>
    </w:p>
    <w:p w14:paraId="70A8731D" w14:textId="77777777" w:rsidR="005A0DB6" w:rsidRPr="002B7D23" w:rsidRDefault="005A0DB6" w:rsidP="005A0DB6">
      <w:pPr>
        <w:jc w:val="center"/>
        <w:rPr>
          <w:rFonts w:ascii="David" w:hAnsi="David"/>
          <w:sz w:val="26"/>
          <w:szCs w:val="26"/>
        </w:rPr>
      </w:pPr>
    </w:p>
    <w:p w14:paraId="095514A7" w14:textId="77777777" w:rsidR="00394C41" w:rsidRPr="000F476B" w:rsidRDefault="00394C41" w:rsidP="000F476B">
      <w:pPr>
        <w:keepNext/>
        <w:rPr>
          <w:rFonts w:ascii="David" w:hAnsi="David"/>
          <w:color w:val="000000"/>
          <w:sz w:val="22"/>
          <w:szCs w:val="22"/>
          <w:rtl/>
        </w:rPr>
      </w:pPr>
    </w:p>
    <w:p w14:paraId="2005FA8D" w14:textId="77777777" w:rsidR="000F476B" w:rsidRPr="000F476B" w:rsidRDefault="000F476B" w:rsidP="000F476B">
      <w:pPr>
        <w:keepNext/>
        <w:rPr>
          <w:rFonts w:ascii="David" w:hAnsi="David"/>
          <w:color w:val="000000"/>
          <w:sz w:val="22"/>
          <w:szCs w:val="22"/>
          <w:rtl/>
        </w:rPr>
      </w:pPr>
      <w:r w:rsidRPr="000F476B">
        <w:rPr>
          <w:rFonts w:ascii="David" w:hAnsi="David"/>
          <w:color w:val="000000"/>
          <w:sz w:val="22"/>
          <w:szCs w:val="22"/>
          <w:rtl/>
        </w:rPr>
        <w:t>יוסי טורס 54678313</w:t>
      </w:r>
    </w:p>
    <w:p w14:paraId="2069A953" w14:textId="77777777" w:rsidR="000F476B" w:rsidRDefault="000F476B" w:rsidP="000F476B">
      <w:r w:rsidRPr="000F476B">
        <w:rPr>
          <w:color w:val="000000"/>
          <w:rtl/>
        </w:rPr>
        <w:t>נוסח מסמך זה כפוף לשינויי ניסוח ועריכה</w:t>
      </w:r>
    </w:p>
    <w:p w14:paraId="10918E2D" w14:textId="77777777" w:rsidR="000F476B" w:rsidRDefault="000F476B" w:rsidP="000F476B">
      <w:pPr>
        <w:rPr>
          <w:rtl/>
        </w:rPr>
      </w:pPr>
    </w:p>
    <w:p w14:paraId="3B081097" w14:textId="77777777" w:rsidR="000F476B" w:rsidRDefault="000F476B" w:rsidP="000F476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F714C32" w14:textId="77777777" w:rsidR="000F476B" w:rsidRPr="000F476B" w:rsidRDefault="000F476B" w:rsidP="000F476B">
      <w:pPr>
        <w:jc w:val="center"/>
        <w:rPr>
          <w:color w:val="0000FF"/>
          <w:u w:val="single"/>
        </w:rPr>
      </w:pPr>
    </w:p>
    <w:sectPr w:rsidR="000F476B" w:rsidRPr="000F476B" w:rsidSect="000F476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946EC" w14:textId="77777777" w:rsidR="003901D6" w:rsidRDefault="003901D6" w:rsidP="00D52CCE">
      <w:r>
        <w:separator/>
      </w:r>
    </w:p>
  </w:endnote>
  <w:endnote w:type="continuationSeparator" w:id="0">
    <w:p w14:paraId="20DB253C" w14:textId="77777777" w:rsidR="003901D6" w:rsidRDefault="003901D6" w:rsidP="00D5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445B0" w14:textId="77777777" w:rsidR="000F476B" w:rsidRDefault="000F476B" w:rsidP="000F47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724C33" w14:textId="77777777" w:rsidR="00D0134E" w:rsidRPr="000F476B" w:rsidRDefault="000F476B" w:rsidP="000F47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90A0C" w14:textId="77777777" w:rsidR="000F476B" w:rsidRDefault="000F476B" w:rsidP="000F47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280A">
      <w:rPr>
        <w:rFonts w:ascii="FrankRuehl" w:hAnsi="FrankRuehl" w:cs="FrankRuehl"/>
        <w:noProof/>
        <w:rtl/>
      </w:rPr>
      <w:t>1</w:t>
    </w:r>
    <w:r>
      <w:rPr>
        <w:rFonts w:ascii="FrankRuehl" w:hAnsi="FrankRuehl" w:cs="FrankRuehl"/>
        <w:rtl/>
      </w:rPr>
      <w:fldChar w:fldCharType="end"/>
    </w:r>
  </w:p>
  <w:p w14:paraId="26831D57" w14:textId="77777777" w:rsidR="00D0134E" w:rsidRPr="000F476B" w:rsidRDefault="000F476B" w:rsidP="000F47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EAB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BE273" w14:textId="77777777" w:rsidR="003901D6" w:rsidRDefault="003901D6" w:rsidP="00D52CCE">
      <w:r>
        <w:separator/>
      </w:r>
    </w:p>
  </w:footnote>
  <w:footnote w:type="continuationSeparator" w:id="0">
    <w:p w14:paraId="64B39B44" w14:textId="77777777" w:rsidR="003901D6" w:rsidRDefault="003901D6" w:rsidP="00D52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484E4" w14:textId="77777777" w:rsidR="000F476B" w:rsidRPr="000F476B" w:rsidRDefault="000F476B" w:rsidP="000F476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63652-05-24</w:t>
    </w:r>
    <w:r>
      <w:rPr>
        <w:rFonts w:ascii="David" w:hAnsi="David"/>
        <w:color w:val="000000"/>
        <w:sz w:val="22"/>
        <w:szCs w:val="22"/>
        <w:rtl/>
      </w:rPr>
      <w:tab/>
      <w:t xml:space="preserve"> מדינת ישראל נ' בר שמעון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E4FBD" w14:textId="77777777" w:rsidR="000F476B" w:rsidRPr="000F476B" w:rsidRDefault="000F476B" w:rsidP="000F476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63652-05-24</w:t>
    </w:r>
    <w:r>
      <w:rPr>
        <w:rFonts w:ascii="David" w:hAnsi="David"/>
        <w:color w:val="000000"/>
        <w:sz w:val="22"/>
        <w:szCs w:val="22"/>
        <w:rtl/>
      </w:rPr>
      <w:tab/>
      <w:t xml:space="preserve"> מדינת ישראל נ' בר שמעון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2C5BA5"/>
    <w:multiLevelType w:val="hybridMultilevel"/>
    <w:tmpl w:val="E9D8BBF8"/>
    <w:lvl w:ilvl="0" w:tplc="3676C278">
      <w:start w:val="1"/>
      <w:numFmt w:val="hebrew1"/>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12E69"/>
    <w:multiLevelType w:val="hybridMultilevel"/>
    <w:tmpl w:val="00DA2872"/>
    <w:lvl w:ilvl="0" w:tplc="C2188A1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16615">
    <w:abstractNumId w:val="1"/>
  </w:num>
  <w:num w:numId="2" w16cid:durableId="183529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0DB6"/>
    <w:rsid w:val="000F476B"/>
    <w:rsid w:val="001B5A3B"/>
    <w:rsid w:val="003901D6"/>
    <w:rsid w:val="00394C41"/>
    <w:rsid w:val="004417B7"/>
    <w:rsid w:val="00506951"/>
    <w:rsid w:val="005A0DB6"/>
    <w:rsid w:val="007B280A"/>
    <w:rsid w:val="00D0134E"/>
    <w:rsid w:val="00D52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17C1BD"/>
  <w15:chartTrackingRefBased/>
  <w15:docId w15:val="{95224E77-879D-4BF3-89CC-CF5B401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D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0DB6"/>
    <w:pPr>
      <w:tabs>
        <w:tab w:val="center" w:pos="4153"/>
        <w:tab w:val="right" w:pos="8306"/>
      </w:tabs>
    </w:pPr>
  </w:style>
  <w:style w:type="character" w:customStyle="1" w:styleId="a4">
    <w:name w:val="כותרת עליונה תו"/>
    <w:link w:val="a3"/>
    <w:rsid w:val="005A0DB6"/>
    <w:rPr>
      <w:rFonts w:ascii="Times New Roman" w:eastAsia="Times New Roman" w:hAnsi="Times New Roman" w:cs="David"/>
      <w:sz w:val="24"/>
      <w:szCs w:val="24"/>
    </w:rPr>
  </w:style>
  <w:style w:type="paragraph" w:styleId="a5">
    <w:name w:val="footer"/>
    <w:basedOn w:val="a"/>
    <w:link w:val="a6"/>
    <w:rsid w:val="005A0DB6"/>
    <w:pPr>
      <w:tabs>
        <w:tab w:val="center" w:pos="4153"/>
        <w:tab w:val="right" w:pos="8306"/>
      </w:tabs>
    </w:pPr>
  </w:style>
  <w:style w:type="character" w:customStyle="1" w:styleId="a6">
    <w:name w:val="כותרת תחתונה תו"/>
    <w:link w:val="a5"/>
    <w:rsid w:val="005A0DB6"/>
    <w:rPr>
      <w:rFonts w:ascii="Times New Roman" w:eastAsia="Times New Roman" w:hAnsi="Times New Roman" w:cs="David"/>
      <w:sz w:val="24"/>
      <w:szCs w:val="24"/>
    </w:rPr>
  </w:style>
  <w:style w:type="table" w:styleId="a7">
    <w:name w:val="Table Grid"/>
    <w:basedOn w:val="a1"/>
    <w:rsid w:val="005A0D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0DB6"/>
  </w:style>
  <w:style w:type="paragraph" w:styleId="a9">
    <w:name w:val="List Paragraph"/>
    <w:basedOn w:val="a"/>
    <w:qFormat/>
    <w:rsid w:val="005A0DB6"/>
    <w:pPr>
      <w:ind w:left="720"/>
      <w:contextualSpacing/>
    </w:pPr>
  </w:style>
  <w:style w:type="character" w:styleId="Hyperlink">
    <w:name w:val="Hyperlink"/>
    <w:rsid w:val="000F47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977441" TargetMode="External"/><Relationship Id="rId26" Type="http://schemas.openxmlformats.org/officeDocument/2006/relationships/hyperlink" Target="http://www.nevo.co.il/case/30625284" TargetMode="External"/><Relationship Id="rId39" Type="http://schemas.openxmlformats.org/officeDocument/2006/relationships/header" Target="header1.xml"/><Relationship Id="rId21" Type="http://schemas.openxmlformats.org/officeDocument/2006/relationships/hyperlink" Target="http://www.nevo.co.il/case/21644133" TargetMode="External"/><Relationship Id="rId34" Type="http://schemas.openxmlformats.org/officeDocument/2006/relationships/hyperlink" Target="http://www.nevo.co.il/case/24221134"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6991436" TargetMode="External"/><Relationship Id="rId20" Type="http://schemas.openxmlformats.org/officeDocument/2006/relationships/hyperlink" Target="http://www.nevo.co.il/case/18736501" TargetMode="External"/><Relationship Id="rId29" Type="http://schemas.openxmlformats.org/officeDocument/2006/relationships/hyperlink" Target="http://www.nevo.co.il/case/2961730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9570311" TargetMode="External"/><Relationship Id="rId32" Type="http://schemas.openxmlformats.org/officeDocument/2006/relationships/hyperlink" Target="http://www.nevo.co.il/case/27970488" TargetMode="External"/><Relationship Id="rId37" Type="http://schemas.openxmlformats.org/officeDocument/2006/relationships/hyperlink" Target="http://www.nevo.co.il/case/2929075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8190928" TargetMode="External"/><Relationship Id="rId36" Type="http://schemas.openxmlformats.org/officeDocument/2006/relationships/hyperlink" Target="http://www.nevo.co.il/case/29334329"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69651" TargetMode="External"/><Relationship Id="rId31" Type="http://schemas.openxmlformats.org/officeDocument/2006/relationships/hyperlink" Target="http://www.nevo.co.il/case/2951288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20402486" TargetMode="External"/><Relationship Id="rId27" Type="http://schemas.openxmlformats.org/officeDocument/2006/relationships/hyperlink" Target="http://www.nevo.co.il/case/27361147" TargetMode="External"/><Relationship Id="rId30" Type="http://schemas.openxmlformats.org/officeDocument/2006/relationships/hyperlink" Target="http://www.nevo.co.il/case/30605227" TargetMode="External"/><Relationship Id="rId35" Type="http://schemas.openxmlformats.org/officeDocument/2006/relationships/hyperlink" Target="http://www.nevo.co.il/case/27171364"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8437031" TargetMode="External"/><Relationship Id="rId33" Type="http://schemas.openxmlformats.org/officeDocument/2006/relationships/hyperlink" Target="http://www.nevo.co.il/case/2870782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1715</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10270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3473523</vt:i4>
      </vt:variant>
      <vt:variant>
        <vt:i4>90</vt:i4>
      </vt:variant>
      <vt:variant>
        <vt:i4>0</vt:i4>
      </vt:variant>
      <vt:variant>
        <vt:i4>5</vt:i4>
      </vt:variant>
      <vt:variant>
        <vt:lpwstr>http://www.nevo.co.il/case/29290757</vt:lpwstr>
      </vt:variant>
      <vt:variant>
        <vt:lpwstr/>
      </vt:variant>
      <vt:variant>
        <vt:i4>3604605</vt:i4>
      </vt:variant>
      <vt:variant>
        <vt:i4>87</vt:i4>
      </vt:variant>
      <vt:variant>
        <vt:i4>0</vt:i4>
      </vt:variant>
      <vt:variant>
        <vt:i4>5</vt:i4>
      </vt:variant>
      <vt:variant>
        <vt:lpwstr>http://www.nevo.co.il/case/29334329</vt:lpwstr>
      </vt:variant>
      <vt:variant>
        <vt:lpwstr/>
      </vt:variant>
      <vt:variant>
        <vt:i4>3407991</vt:i4>
      </vt:variant>
      <vt:variant>
        <vt:i4>84</vt:i4>
      </vt:variant>
      <vt:variant>
        <vt:i4>0</vt:i4>
      </vt:variant>
      <vt:variant>
        <vt:i4>5</vt:i4>
      </vt:variant>
      <vt:variant>
        <vt:lpwstr>http://www.nevo.co.il/case/27171364</vt:lpwstr>
      </vt:variant>
      <vt:variant>
        <vt:lpwstr/>
      </vt:variant>
      <vt:variant>
        <vt:i4>3276915</vt:i4>
      </vt:variant>
      <vt:variant>
        <vt:i4>81</vt:i4>
      </vt:variant>
      <vt:variant>
        <vt:i4>0</vt:i4>
      </vt:variant>
      <vt:variant>
        <vt:i4>5</vt:i4>
      </vt:variant>
      <vt:variant>
        <vt:lpwstr>http://www.nevo.co.il/case/24221134</vt:lpwstr>
      </vt:variant>
      <vt:variant>
        <vt:lpwstr/>
      </vt:variant>
      <vt:variant>
        <vt:i4>3145844</vt:i4>
      </vt:variant>
      <vt:variant>
        <vt:i4>78</vt:i4>
      </vt:variant>
      <vt:variant>
        <vt:i4>0</vt:i4>
      </vt:variant>
      <vt:variant>
        <vt:i4>5</vt:i4>
      </vt:variant>
      <vt:variant>
        <vt:lpwstr>http://www.nevo.co.il/case/28707828</vt:lpwstr>
      </vt:variant>
      <vt:variant>
        <vt:lpwstr/>
      </vt:variant>
      <vt:variant>
        <vt:i4>3342448</vt:i4>
      </vt:variant>
      <vt:variant>
        <vt:i4>75</vt:i4>
      </vt:variant>
      <vt:variant>
        <vt:i4>0</vt:i4>
      </vt:variant>
      <vt:variant>
        <vt:i4>5</vt:i4>
      </vt:variant>
      <vt:variant>
        <vt:lpwstr>http://www.nevo.co.il/case/27970488</vt:lpwstr>
      </vt:variant>
      <vt:variant>
        <vt:lpwstr/>
      </vt:variant>
      <vt:variant>
        <vt:i4>3997812</vt:i4>
      </vt:variant>
      <vt:variant>
        <vt:i4>72</vt:i4>
      </vt:variant>
      <vt:variant>
        <vt:i4>0</vt:i4>
      </vt:variant>
      <vt:variant>
        <vt:i4>5</vt:i4>
      </vt:variant>
      <vt:variant>
        <vt:lpwstr>http://www.nevo.co.il/case/29512888</vt:lpwstr>
      </vt:variant>
      <vt:variant>
        <vt:lpwstr/>
      </vt:variant>
      <vt:variant>
        <vt:i4>3276918</vt:i4>
      </vt:variant>
      <vt:variant>
        <vt:i4>69</vt:i4>
      </vt:variant>
      <vt:variant>
        <vt:i4>0</vt:i4>
      </vt:variant>
      <vt:variant>
        <vt:i4>5</vt:i4>
      </vt:variant>
      <vt:variant>
        <vt:lpwstr>http://www.nevo.co.il/case/30605227</vt:lpwstr>
      </vt:variant>
      <vt:variant>
        <vt:lpwstr/>
      </vt:variant>
      <vt:variant>
        <vt:i4>3342463</vt:i4>
      </vt:variant>
      <vt:variant>
        <vt:i4>66</vt:i4>
      </vt:variant>
      <vt:variant>
        <vt:i4>0</vt:i4>
      </vt:variant>
      <vt:variant>
        <vt:i4>5</vt:i4>
      </vt:variant>
      <vt:variant>
        <vt:lpwstr>http://www.nevo.co.il/case/29617305</vt:lpwstr>
      </vt:variant>
      <vt:variant>
        <vt:lpwstr/>
      </vt:variant>
      <vt:variant>
        <vt:i4>3211388</vt:i4>
      </vt:variant>
      <vt:variant>
        <vt:i4>63</vt:i4>
      </vt:variant>
      <vt:variant>
        <vt:i4>0</vt:i4>
      </vt:variant>
      <vt:variant>
        <vt:i4>5</vt:i4>
      </vt:variant>
      <vt:variant>
        <vt:lpwstr>http://www.nevo.co.il/case/28190928</vt:lpwstr>
      </vt:variant>
      <vt:variant>
        <vt:lpwstr/>
      </vt:variant>
      <vt:variant>
        <vt:i4>3407988</vt:i4>
      </vt:variant>
      <vt:variant>
        <vt:i4>60</vt:i4>
      </vt:variant>
      <vt:variant>
        <vt:i4>0</vt:i4>
      </vt:variant>
      <vt:variant>
        <vt:i4>5</vt:i4>
      </vt:variant>
      <vt:variant>
        <vt:lpwstr>http://www.nevo.co.il/case/27361147</vt:lpwstr>
      </vt:variant>
      <vt:variant>
        <vt:lpwstr/>
      </vt:variant>
      <vt:variant>
        <vt:i4>3670132</vt:i4>
      </vt:variant>
      <vt:variant>
        <vt:i4>57</vt:i4>
      </vt:variant>
      <vt:variant>
        <vt:i4>0</vt:i4>
      </vt:variant>
      <vt:variant>
        <vt:i4>5</vt:i4>
      </vt:variant>
      <vt:variant>
        <vt:lpwstr>http://www.nevo.co.il/case/30625284</vt:lpwstr>
      </vt:variant>
      <vt:variant>
        <vt:lpwstr/>
      </vt:variant>
      <vt:variant>
        <vt:i4>3276927</vt:i4>
      </vt:variant>
      <vt:variant>
        <vt:i4>54</vt:i4>
      </vt:variant>
      <vt:variant>
        <vt:i4>0</vt:i4>
      </vt:variant>
      <vt:variant>
        <vt:i4>5</vt:i4>
      </vt:variant>
      <vt:variant>
        <vt:lpwstr>http://www.nevo.co.il/case/28437031</vt:lpwstr>
      </vt:variant>
      <vt:variant>
        <vt:lpwstr/>
      </vt:variant>
      <vt:variant>
        <vt:i4>3539065</vt:i4>
      </vt:variant>
      <vt:variant>
        <vt:i4>51</vt:i4>
      </vt:variant>
      <vt:variant>
        <vt:i4>0</vt:i4>
      </vt:variant>
      <vt:variant>
        <vt:i4>5</vt:i4>
      </vt:variant>
      <vt:variant>
        <vt:lpwstr>http://www.nevo.co.il/case/29570311</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3932272</vt:i4>
      </vt:variant>
      <vt:variant>
        <vt:i4>45</vt:i4>
      </vt:variant>
      <vt:variant>
        <vt:i4>0</vt:i4>
      </vt:variant>
      <vt:variant>
        <vt:i4>5</vt:i4>
      </vt:variant>
      <vt:variant>
        <vt:lpwstr>http://www.nevo.co.il/case/20402486</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3145850</vt:i4>
      </vt:variant>
      <vt:variant>
        <vt:i4>39</vt:i4>
      </vt:variant>
      <vt:variant>
        <vt:i4>0</vt:i4>
      </vt:variant>
      <vt:variant>
        <vt:i4>5</vt:i4>
      </vt:variant>
      <vt:variant>
        <vt:lpwstr>http://www.nevo.co.il/case/18736501</vt:lpwstr>
      </vt:variant>
      <vt:variant>
        <vt:lpwstr/>
      </vt:variant>
      <vt:variant>
        <vt:i4>4128885</vt:i4>
      </vt:variant>
      <vt:variant>
        <vt:i4>36</vt:i4>
      </vt:variant>
      <vt:variant>
        <vt:i4>0</vt:i4>
      </vt:variant>
      <vt:variant>
        <vt:i4>5</vt:i4>
      </vt:variant>
      <vt:variant>
        <vt:lpwstr>http://www.nevo.co.il/case/11269651</vt:lpwstr>
      </vt:variant>
      <vt:variant>
        <vt:lpwstr/>
      </vt:variant>
      <vt:variant>
        <vt:i4>3604606</vt:i4>
      </vt:variant>
      <vt:variant>
        <vt:i4>33</vt:i4>
      </vt:variant>
      <vt:variant>
        <vt:i4>0</vt:i4>
      </vt:variant>
      <vt:variant>
        <vt:i4>5</vt:i4>
      </vt:variant>
      <vt:variant>
        <vt:lpwstr>http://www.nevo.co.il/case/5977441</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3735679</vt:i4>
      </vt:variant>
      <vt:variant>
        <vt:i4>27</vt:i4>
      </vt:variant>
      <vt:variant>
        <vt:i4>0</vt:i4>
      </vt:variant>
      <vt:variant>
        <vt:i4>5</vt:i4>
      </vt:variant>
      <vt:variant>
        <vt:lpwstr>http://www.nevo.co.il/case/26991436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63652</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בר שמעון ממן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20240624</vt:lpwstr>
  </property>
  <property fmtid="{D5CDD505-2E9C-101B-9397-08002B2CF9AE}" pid="13" name="TYPE_N_DATE">
    <vt:lpwstr>38020240624</vt:lpwstr>
  </property>
  <property fmtid="{D5CDD505-2E9C-101B-9397-08002B2CF9AE}" pid="14" name="CASESLISTTMP1">
    <vt:lpwstr>26991436;23827604;5977441;11269651;18736501;21644133;20402486;5698919;29570311;28437031;30625284;27361147;28190928;29617305;30605227;29512888;27970488;28707828;24221134;27171364;29334329;29290757</vt:lpwstr>
  </property>
  <property fmtid="{D5CDD505-2E9C-101B-9397-08002B2CF9AE}" pid="15" name="CASENOTES1">
    <vt:lpwstr>ProcID=209&amp;PartA=5950&amp;PartB=09&amp;PartC=21</vt:lpwstr>
  </property>
  <property fmtid="{D5CDD505-2E9C-101B-9397-08002B2CF9AE}" pid="16" name="WORDNUMPAGES">
    <vt:lpwstr>5</vt:lpwstr>
  </property>
  <property fmtid="{D5CDD505-2E9C-101B-9397-08002B2CF9AE}" pid="17" name="TYPE_ABS_DATE">
    <vt:lpwstr>380020240624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70301/031</vt:lpwstr>
  </property>
</Properties>
</file>