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6190E" w:rsidRPr="00E37384" w14:paraId="797DAAFF" w14:textId="77777777" w:rsidTr="009A395F">
        <w:trPr>
          <w:trHeight w:hRule="exact" w:val="418"/>
          <w:jc w:val="center"/>
        </w:trPr>
        <w:tc>
          <w:tcPr>
            <w:tcW w:w="8721" w:type="dxa"/>
            <w:gridSpan w:val="2"/>
          </w:tcPr>
          <w:p w14:paraId="2E6F28D1" w14:textId="77777777" w:rsidR="00F6190E" w:rsidRPr="00E37384" w:rsidRDefault="00F6190E" w:rsidP="007A05DA">
            <w:pPr>
              <w:pStyle w:val="a3"/>
              <w:jc w:val="center"/>
              <w:rPr>
                <w:rFonts w:ascii="Tahoma" w:hAnsi="Tahoma" w:cs="Tahoma"/>
                <w:color w:val="000080"/>
                <w:rtl/>
              </w:rPr>
            </w:pPr>
            <w:r w:rsidRPr="00E37384">
              <w:rPr>
                <w:rFonts w:ascii="Tahoma" w:hAnsi="Tahoma" w:cs="Tahoma"/>
                <w:b/>
                <w:bCs/>
                <w:color w:val="000080"/>
                <w:rtl/>
              </w:rPr>
              <w:t>בית משפט השלום בקריות</w:t>
            </w:r>
          </w:p>
        </w:tc>
      </w:tr>
      <w:tr w:rsidR="00F6190E" w:rsidRPr="00E37384" w14:paraId="048BE970" w14:textId="77777777" w:rsidTr="009A395F">
        <w:trPr>
          <w:trHeight w:val="337"/>
          <w:jc w:val="center"/>
        </w:trPr>
        <w:tc>
          <w:tcPr>
            <w:tcW w:w="5054" w:type="dxa"/>
          </w:tcPr>
          <w:p w14:paraId="6515E701" w14:textId="77777777" w:rsidR="00F6190E" w:rsidRPr="00E37384" w:rsidRDefault="00F6190E" w:rsidP="007A05DA">
            <w:pPr>
              <w:rPr>
                <w:rFonts w:cs="FrankRuehl"/>
                <w:sz w:val="28"/>
                <w:szCs w:val="28"/>
                <w:rtl/>
              </w:rPr>
            </w:pPr>
            <w:r w:rsidRPr="00E37384">
              <w:rPr>
                <w:rFonts w:cs="FrankRuehl"/>
                <w:sz w:val="28"/>
                <w:szCs w:val="28"/>
                <w:rtl/>
              </w:rPr>
              <w:t>ת"פ</w:t>
            </w:r>
            <w:r w:rsidRPr="00E37384">
              <w:rPr>
                <w:rFonts w:cs="FrankRuehl" w:hint="cs"/>
                <w:sz w:val="28"/>
                <w:szCs w:val="28"/>
                <w:rtl/>
              </w:rPr>
              <w:t xml:space="preserve"> </w:t>
            </w:r>
            <w:r w:rsidRPr="00E37384">
              <w:rPr>
                <w:rFonts w:cs="FrankRuehl"/>
                <w:sz w:val="28"/>
                <w:szCs w:val="28"/>
                <w:rtl/>
              </w:rPr>
              <w:t>63737-05-24</w:t>
            </w:r>
            <w:r w:rsidRPr="00E37384">
              <w:rPr>
                <w:rFonts w:cs="FrankRuehl" w:hint="cs"/>
                <w:sz w:val="28"/>
                <w:szCs w:val="28"/>
                <w:rtl/>
              </w:rPr>
              <w:t xml:space="preserve"> </w:t>
            </w:r>
            <w:r w:rsidRPr="00E37384">
              <w:rPr>
                <w:rFonts w:cs="FrankRuehl"/>
                <w:sz w:val="28"/>
                <w:szCs w:val="28"/>
                <w:rtl/>
              </w:rPr>
              <w:t>מדינת ישראל נ' לוסקי</w:t>
            </w:r>
          </w:p>
          <w:p w14:paraId="144C00A3" w14:textId="77777777" w:rsidR="00F6190E" w:rsidRPr="00E37384" w:rsidRDefault="00F6190E" w:rsidP="007A05DA">
            <w:pPr>
              <w:pStyle w:val="a3"/>
              <w:rPr>
                <w:rFonts w:cs="FrankRuehl"/>
                <w:sz w:val="28"/>
                <w:szCs w:val="28"/>
                <w:rtl/>
              </w:rPr>
            </w:pPr>
          </w:p>
        </w:tc>
        <w:tc>
          <w:tcPr>
            <w:tcW w:w="3667" w:type="dxa"/>
          </w:tcPr>
          <w:p w14:paraId="42C11693" w14:textId="77777777" w:rsidR="00F6190E" w:rsidRPr="00E37384" w:rsidRDefault="00F6190E" w:rsidP="007A05DA">
            <w:pPr>
              <w:pStyle w:val="a3"/>
              <w:jc w:val="right"/>
              <w:rPr>
                <w:rFonts w:cs="FrankRuehl"/>
                <w:sz w:val="28"/>
                <w:szCs w:val="28"/>
                <w:rtl/>
              </w:rPr>
            </w:pPr>
          </w:p>
        </w:tc>
      </w:tr>
    </w:tbl>
    <w:p w14:paraId="06870D9C" w14:textId="77777777" w:rsidR="00F6190E" w:rsidRPr="00E37384" w:rsidRDefault="00F6190E" w:rsidP="009A395F">
      <w:pPr>
        <w:pStyle w:val="a3"/>
        <w:rPr>
          <w:sz w:val="26"/>
          <w:szCs w:val="26"/>
          <w:rtl/>
        </w:rPr>
      </w:pPr>
      <w:r w:rsidRPr="00E37384">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F6190E" w:rsidRPr="00E37384" w14:paraId="7989EC7F" w14:textId="77777777" w:rsidTr="00F6190E">
        <w:trPr>
          <w:trHeight w:val="345"/>
          <w:jc w:val="center"/>
        </w:trPr>
        <w:tc>
          <w:tcPr>
            <w:tcW w:w="957" w:type="dxa"/>
            <w:tcBorders>
              <w:top w:val="nil"/>
              <w:left w:val="nil"/>
              <w:bottom w:val="nil"/>
              <w:right w:val="nil"/>
            </w:tcBorders>
            <w:shd w:val="clear" w:color="auto" w:fill="auto"/>
          </w:tcPr>
          <w:p w14:paraId="0621DBB0" w14:textId="77777777" w:rsidR="00F6190E" w:rsidRPr="00E37384" w:rsidRDefault="00F6190E" w:rsidP="00F6190E">
            <w:pPr>
              <w:jc w:val="both"/>
              <w:rPr>
                <w:rFonts w:ascii="David" w:hAnsi="David"/>
                <w:b/>
                <w:bCs/>
              </w:rPr>
            </w:pPr>
            <w:r w:rsidRPr="00E37384">
              <w:rPr>
                <w:rFonts w:ascii="David" w:hAnsi="David"/>
                <w:b/>
                <w:bCs/>
                <w:rtl/>
              </w:rPr>
              <w:t xml:space="preserve">בפני </w:t>
            </w:r>
          </w:p>
        </w:tc>
        <w:tc>
          <w:tcPr>
            <w:tcW w:w="8358" w:type="dxa"/>
            <w:gridSpan w:val="2"/>
            <w:tcBorders>
              <w:top w:val="nil"/>
              <w:left w:val="nil"/>
              <w:bottom w:val="nil"/>
              <w:right w:val="nil"/>
            </w:tcBorders>
            <w:shd w:val="clear" w:color="auto" w:fill="auto"/>
          </w:tcPr>
          <w:p w14:paraId="5BF5A363" w14:textId="77777777" w:rsidR="00F6190E" w:rsidRPr="00E37384" w:rsidRDefault="00F6190E" w:rsidP="007A05DA">
            <w:pPr>
              <w:rPr>
                <w:rFonts w:ascii="David" w:hAnsi="David"/>
                <w:b/>
                <w:bCs/>
              </w:rPr>
            </w:pPr>
            <w:r w:rsidRPr="00E37384">
              <w:rPr>
                <w:rFonts w:ascii="Arial" w:hAnsi="Arial"/>
                <w:b/>
                <w:bCs/>
                <w:rtl/>
              </w:rPr>
              <w:t>כב' השופט יוסי טורס , סגן הנשיאה</w:t>
            </w:r>
          </w:p>
        </w:tc>
      </w:tr>
      <w:tr w:rsidR="00F6190E" w:rsidRPr="00E37384" w14:paraId="50A73CC6" w14:textId="77777777" w:rsidTr="00F6190E">
        <w:trPr>
          <w:trHeight w:val="345"/>
          <w:jc w:val="center"/>
        </w:trPr>
        <w:tc>
          <w:tcPr>
            <w:tcW w:w="957" w:type="dxa"/>
            <w:tcBorders>
              <w:top w:val="nil"/>
              <w:left w:val="nil"/>
              <w:bottom w:val="nil"/>
              <w:right w:val="nil"/>
            </w:tcBorders>
            <w:shd w:val="clear" w:color="auto" w:fill="auto"/>
          </w:tcPr>
          <w:p w14:paraId="3B42B4AE" w14:textId="77777777" w:rsidR="00F6190E" w:rsidRPr="00E37384" w:rsidRDefault="00F6190E" w:rsidP="00F6190E">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091A4A76" w14:textId="77777777" w:rsidR="00F6190E" w:rsidRPr="00E37384" w:rsidRDefault="00F6190E" w:rsidP="007A05DA">
            <w:pPr>
              <w:rPr>
                <w:rFonts w:ascii="Arial" w:hAnsi="Arial"/>
                <w:b/>
                <w:bCs/>
                <w:rtl/>
              </w:rPr>
            </w:pPr>
          </w:p>
        </w:tc>
      </w:tr>
      <w:tr w:rsidR="00F6190E" w:rsidRPr="00E37384" w14:paraId="1EED8A46" w14:textId="77777777" w:rsidTr="00F6190E">
        <w:trPr>
          <w:trHeight w:val="415"/>
          <w:jc w:val="center"/>
        </w:trPr>
        <w:tc>
          <w:tcPr>
            <w:tcW w:w="957" w:type="dxa"/>
            <w:tcBorders>
              <w:top w:val="nil"/>
              <w:left w:val="nil"/>
              <w:bottom w:val="nil"/>
              <w:right w:val="nil"/>
            </w:tcBorders>
            <w:shd w:val="clear" w:color="auto" w:fill="auto"/>
          </w:tcPr>
          <w:p w14:paraId="3AD362B4" w14:textId="77777777" w:rsidR="00F6190E" w:rsidRPr="00E37384" w:rsidRDefault="00F6190E" w:rsidP="00F6190E">
            <w:pPr>
              <w:jc w:val="both"/>
              <w:rPr>
                <w:rFonts w:ascii="David" w:hAnsi="David"/>
                <w:b/>
                <w:bCs/>
              </w:rPr>
            </w:pPr>
            <w:bookmarkStart w:id="1" w:name="FirstAppellant"/>
            <w:r w:rsidRPr="00E37384">
              <w:rPr>
                <w:rFonts w:ascii="David" w:hAnsi="David"/>
                <w:b/>
                <w:bCs/>
                <w:rtl/>
              </w:rPr>
              <w:t>בעניין:</w:t>
            </w:r>
          </w:p>
        </w:tc>
        <w:tc>
          <w:tcPr>
            <w:tcW w:w="5095" w:type="dxa"/>
            <w:tcBorders>
              <w:top w:val="nil"/>
              <w:left w:val="nil"/>
              <w:bottom w:val="nil"/>
              <w:right w:val="nil"/>
            </w:tcBorders>
            <w:shd w:val="clear" w:color="auto" w:fill="auto"/>
          </w:tcPr>
          <w:p w14:paraId="5A7E6702" w14:textId="77777777" w:rsidR="00F6190E" w:rsidRPr="00E37384" w:rsidRDefault="00F6190E" w:rsidP="007A05DA">
            <w:pPr>
              <w:rPr>
                <w:rFonts w:ascii="David" w:hAnsi="David"/>
                <w:b/>
                <w:bCs/>
              </w:rPr>
            </w:pPr>
            <w:r w:rsidRPr="00E37384">
              <w:rPr>
                <w:rFonts w:ascii="David" w:hAnsi="David"/>
                <w:b/>
                <w:bCs/>
                <w:rtl/>
              </w:rPr>
              <w:t>מדינת ישראל</w:t>
            </w:r>
          </w:p>
        </w:tc>
        <w:tc>
          <w:tcPr>
            <w:tcW w:w="3263" w:type="dxa"/>
            <w:tcBorders>
              <w:top w:val="nil"/>
              <w:left w:val="nil"/>
              <w:bottom w:val="nil"/>
              <w:right w:val="nil"/>
            </w:tcBorders>
            <w:shd w:val="clear" w:color="auto" w:fill="auto"/>
          </w:tcPr>
          <w:p w14:paraId="3E42ACD7" w14:textId="77777777" w:rsidR="00F6190E" w:rsidRPr="00E37384" w:rsidRDefault="00F6190E" w:rsidP="00F6190E">
            <w:pPr>
              <w:jc w:val="both"/>
              <w:rPr>
                <w:rFonts w:ascii="David" w:hAnsi="David"/>
                <w:b/>
                <w:bCs/>
              </w:rPr>
            </w:pPr>
            <w:r w:rsidRPr="00E37384">
              <w:rPr>
                <w:rFonts w:ascii="David" w:hAnsi="David"/>
                <w:b/>
                <w:bCs/>
                <w:rtl/>
              </w:rPr>
              <w:t>המאשימה</w:t>
            </w:r>
          </w:p>
        </w:tc>
      </w:tr>
      <w:bookmarkEnd w:id="1"/>
      <w:tr w:rsidR="00F6190E" w:rsidRPr="00E37384" w14:paraId="3C90B764" w14:textId="77777777" w:rsidTr="00F6190E">
        <w:trPr>
          <w:trHeight w:val="415"/>
          <w:jc w:val="center"/>
        </w:trPr>
        <w:tc>
          <w:tcPr>
            <w:tcW w:w="957" w:type="dxa"/>
            <w:tcBorders>
              <w:top w:val="nil"/>
              <w:left w:val="nil"/>
              <w:bottom w:val="nil"/>
              <w:right w:val="nil"/>
            </w:tcBorders>
            <w:shd w:val="clear" w:color="auto" w:fill="auto"/>
          </w:tcPr>
          <w:p w14:paraId="19DE74ED" w14:textId="77777777" w:rsidR="00F6190E" w:rsidRPr="00E37384" w:rsidRDefault="00F6190E" w:rsidP="00F6190E">
            <w:pPr>
              <w:jc w:val="both"/>
              <w:rPr>
                <w:rFonts w:ascii="David" w:hAnsi="David"/>
                <w:b/>
                <w:bCs/>
                <w:rtl/>
              </w:rPr>
            </w:pPr>
          </w:p>
        </w:tc>
        <w:tc>
          <w:tcPr>
            <w:tcW w:w="8358" w:type="dxa"/>
            <w:gridSpan w:val="2"/>
            <w:tcBorders>
              <w:top w:val="nil"/>
              <w:left w:val="nil"/>
              <w:bottom w:val="nil"/>
              <w:right w:val="nil"/>
            </w:tcBorders>
            <w:shd w:val="clear" w:color="auto" w:fill="auto"/>
          </w:tcPr>
          <w:p w14:paraId="0638653E" w14:textId="77777777" w:rsidR="00F6190E" w:rsidRPr="00E37384" w:rsidRDefault="00F6190E" w:rsidP="007A05DA">
            <w:pPr>
              <w:rPr>
                <w:rFonts w:ascii="David" w:hAnsi="David"/>
                <w:b/>
                <w:bCs/>
              </w:rPr>
            </w:pPr>
            <w:r w:rsidRPr="00E37384">
              <w:rPr>
                <w:rFonts w:ascii="David" w:hAnsi="David" w:hint="cs"/>
                <w:b/>
                <w:bCs/>
                <w:rtl/>
              </w:rPr>
              <w:t xml:space="preserve">                                                   </w:t>
            </w:r>
            <w:r w:rsidRPr="00E37384">
              <w:rPr>
                <w:rFonts w:ascii="David" w:hAnsi="David"/>
                <w:b/>
                <w:bCs/>
                <w:rtl/>
              </w:rPr>
              <w:t>נגד</w:t>
            </w:r>
          </w:p>
        </w:tc>
      </w:tr>
      <w:tr w:rsidR="00F6190E" w:rsidRPr="00E37384" w14:paraId="6838308B" w14:textId="77777777" w:rsidTr="00F6190E">
        <w:trPr>
          <w:trHeight w:val="415"/>
          <w:jc w:val="center"/>
        </w:trPr>
        <w:tc>
          <w:tcPr>
            <w:tcW w:w="957" w:type="dxa"/>
            <w:tcBorders>
              <w:top w:val="nil"/>
              <w:left w:val="nil"/>
              <w:bottom w:val="nil"/>
              <w:right w:val="nil"/>
            </w:tcBorders>
            <w:shd w:val="clear" w:color="auto" w:fill="auto"/>
          </w:tcPr>
          <w:p w14:paraId="16D85631" w14:textId="77777777" w:rsidR="00F6190E" w:rsidRPr="00E37384" w:rsidRDefault="00F6190E" w:rsidP="007A05DA">
            <w:pPr>
              <w:rPr>
                <w:rFonts w:ascii="David" w:hAnsi="David"/>
                <w:b/>
                <w:bCs/>
                <w:rtl/>
              </w:rPr>
            </w:pPr>
          </w:p>
        </w:tc>
        <w:tc>
          <w:tcPr>
            <w:tcW w:w="5095" w:type="dxa"/>
            <w:tcBorders>
              <w:top w:val="nil"/>
              <w:left w:val="nil"/>
              <w:bottom w:val="nil"/>
              <w:right w:val="nil"/>
            </w:tcBorders>
            <w:shd w:val="clear" w:color="auto" w:fill="auto"/>
          </w:tcPr>
          <w:p w14:paraId="046F47A2" w14:textId="77777777" w:rsidR="00F6190E" w:rsidRPr="00E37384" w:rsidRDefault="00F6190E" w:rsidP="007A05DA">
            <w:pPr>
              <w:rPr>
                <w:rFonts w:ascii="David" w:hAnsi="David"/>
                <w:b/>
                <w:bCs/>
                <w:rtl/>
              </w:rPr>
            </w:pPr>
            <w:r w:rsidRPr="00E37384">
              <w:rPr>
                <w:rFonts w:ascii="David" w:hAnsi="David"/>
                <w:b/>
                <w:bCs/>
                <w:rtl/>
              </w:rPr>
              <w:br/>
            </w:r>
            <w:r w:rsidRPr="00E37384">
              <w:rPr>
                <w:rFonts w:ascii="David" w:hAnsi="David"/>
                <w:b/>
                <w:bCs/>
                <w:rtl/>
              </w:rPr>
              <w:br/>
              <w:t>ליאל לוסקי</w:t>
            </w:r>
          </w:p>
        </w:tc>
        <w:tc>
          <w:tcPr>
            <w:tcW w:w="3263" w:type="dxa"/>
            <w:tcBorders>
              <w:top w:val="nil"/>
              <w:left w:val="nil"/>
              <w:bottom w:val="nil"/>
              <w:right w:val="nil"/>
            </w:tcBorders>
            <w:shd w:val="clear" w:color="auto" w:fill="auto"/>
          </w:tcPr>
          <w:p w14:paraId="3C1BBD4F" w14:textId="77777777" w:rsidR="00F6190E" w:rsidRPr="00E37384" w:rsidRDefault="00F6190E" w:rsidP="007A05DA">
            <w:pPr>
              <w:rPr>
                <w:rFonts w:ascii="David" w:hAnsi="David"/>
                <w:b/>
                <w:bCs/>
                <w:rtl/>
              </w:rPr>
            </w:pPr>
          </w:p>
          <w:p w14:paraId="0F3A6707" w14:textId="77777777" w:rsidR="00F6190E" w:rsidRPr="00E37384" w:rsidRDefault="00F6190E" w:rsidP="007A05DA">
            <w:pPr>
              <w:rPr>
                <w:rFonts w:ascii="David" w:hAnsi="David"/>
                <w:b/>
                <w:bCs/>
                <w:rtl/>
              </w:rPr>
            </w:pPr>
          </w:p>
          <w:p w14:paraId="4E8F3D87" w14:textId="77777777" w:rsidR="00F6190E" w:rsidRPr="00E37384" w:rsidRDefault="00F6190E" w:rsidP="007A05DA">
            <w:pPr>
              <w:rPr>
                <w:rFonts w:ascii="David" w:hAnsi="David"/>
                <w:b/>
                <w:bCs/>
              </w:rPr>
            </w:pPr>
            <w:r w:rsidRPr="00E37384">
              <w:rPr>
                <w:rFonts w:ascii="David" w:hAnsi="David"/>
                <w:b/>
                <w:bCs/>
                <w:rtl/>
              </w:rPr>
              <w:t>הנאש</w:t>
            </w:r>
            <w:r w:rsidRPr="00E37384">
              <w:rPr>
                <w:rFonts w:ascii="David" w:hAnsi="David" w:hint="cs"/>
                <w:b/>
                <w:bCs/>
                <w:rtl/>
              </w:rPr>
              <w:t>ם</w:t>
            </w:r>
          </w:p>
        </w:tc>
      </w:tr>
    </w:tbl>
    <w:p w14:paraId="4EAB2FCB" w14:textId="77777777" w:rsidR="00E37384" w:rsidRPr="00E37384" w:rsidRDefault="00E37384" w:rsidP="00E37384">
      <w:pPr>
        <w:spacing w:before="120" w:after="120" w:line="240" w:lineRule="exact"/>
        <w:ind w:left="283" w:hanging="283"/>
        <w:jc w:val="both"/>
        <w:rPr>
          <w:rFonts w:ascii="FrankRuehl" w:hAnsi="FrankRuehl" w:cs="FrankRuehl"/>
          <w:rtl/>
        </w:rPr>
      </w:pPr>
    </w:p>
    <w:p w14:paraId="18555CC9" w14:textId="77777777" w:rsidR="00E37384" w:rsidRPr="00E37384" w:rsidRDefault="00E37384" w:rsidP="00E37384">
      <w:pPr>
        <w:rPr>
          <w:rFonts w:ascii="David" w:hAnsi="David"/>
          <w:sz w:val="26"/>
          <w:szCs w:val="26"/>
          <w:rtl/>
        </w:rPr>
      </w:pPr>
    </w:p>
    <w:p w14:paraId="1DD53CED" w14:textId="77777777" w:rsidR="009A395F" w:rsidRPr="009A395F" w:rsidRDefault="009A395F" w:rsidP="009A395F">
      <w:pPr>
        <w:spacing w:before="120" w:after="120" w:line="240" w:lineRule="exact"/>
        <w:ind w:left="283" w:hanging="283"/>
        <w:jc w:val="both"/>
        <w:rPr>
          <w:rFonts w:ascii="FrankRuehl" w:hAnsi="FrankRuehl" w:cs="FrankRuehl"/>
          <w:rtl/>
        </w:rPr>
      </w:pPr>
      <w:bookmarkStart w:id="2" w:name="LawTable"/>
      <w:bookmarkEnd w:id="2"/>
    </w:p>
    <w:p w14:paraId="188F0287" w14:textId="77777777" w:rsidR="009A395F" w:rsidRPr="009A395F" w:rsidRDefault="009A395F" w:rsidP="009A395F">
      <w:pPr>
        <w:spacing w:before="120" w:after="120" w:line="240" w:lineRule="exact"/>
        <w:ind w:left="283" w:hanging="283"/>
        <w:jc w:val="both"/>
        <w:rPr>
          <w:rFonts w:ascii="FrankRuehl" w:hAnsi="FrankRuehl" w:cs="FrankRuehl"/>
          <w:rtl/>
        </w:rPr>
      </w:pPr>
      <w:r w:rsidRPr="009A395F">
        <w:rPr>
          <w:rFonts w:ascii="FrankRuehl" w:hAnsi="FrankRuehl" w:cs="FrankRuehl"/>
          <w:rtl/>
        </w:rPr>
        <w:t xml:space="preserve">חקיקה שאוזכרה: </w:t>
      </w:r>
    </w:p>
    <w:p w14:paraId="4160B1E3" w14:textId="77777777" w:rsidR="009A395F" w:rsidRPr="009A395F" w:rsidRDefault="009A395F" w:rsidP="009A395F">
      <w:pPr>
        <w:spacing w:before="120" w:after="120" w:line="240" w:lineRule="exact"/>
        <w:ind w:left="283" w:hanging="283"/>
        <w:jc w:val="both"/>
        <w:rPr>
          <w:rFonts w:ascii="FrankRuehl" w:hAnsi="FrankRuehl" w:cs="FrankRuehl"/>
          <w:color w:val="0000FF"/>
          <w:rtl/>
        </w:rPr>
      </w:pPr>
      <w:hyperlink r:id="rId7" w:history="1">
        <w:r w:rsidRPr="009A395F">
          <w:rPr>
            <w:rStyle w:val="Hyperlink"/>
            <w:rFonts w:ascii="FrankRuehl" w:hAnsi="FrankRuehl" w:cs="FrankRuehl"/>
            <w:u w:val="none"/>
            <w:rtl/>
          </w:rPr>
          <w:t>פקודת הסמים המסוכנים [נוסח חדש], תשל"ג-1973</w:t>
        </w:r>
      </w:hyperlink>
      <w:r w:rsidRPr="009A395F">
        <w:rPr>
          <w:rFonts w:ascii="FrankRuehl" w:hAnsi="FrankRuehl" w:cs="FrankRuehl"/>
          <w:color w:val="0000FF"/>
          <w:rtl/>
        </w:rPr>
        <w:t xml:space="preserve">: סע'  </w:t>
      </w:r>
      <w:hyperlink r:id="rId8" w:history="1">
        <w:r w:rsidRPr="009A395F">
          <w:rPr>
            <w:rStyle w:val="Hyperlink"/>
            <w:rFonts w:ascii="FrankRuehl" w:hAnsi="FrankRuehl" w:cs="FrankRuehl"/>
            <w:u w:val="none"/>
          </w:rPr>
          <w:t>6</w:t>
        </w:r>
      </w:hyperlink>
      <w:r w:rsidRPr="009A395F">
        <w:rPr>
          <w:rFonts w:ascii="FrankRuehl" w:hAnsi="FrankRuehl" w:cs="FrankRuehl"/>
          <w:color w:val="0000FF"/>
          <w:rtl/>
        </w:rPr>
        <w:t xml:space="preserve">, </w:t>
      </w:r>
      <w:hyperlink r:id="rId9" w:history="1">
        <w:r w:rsidRPr="009A395F">
          <w:rPr>
            <w:rStyle w:val="Hyperlink"/>
            <w:rFonts w:ascii="FrankRuehl" w:hAnsi="FrankRuehl" w:cs="FrankRuehl"/>
            <w:u w:val="none"/>
          </w:rPr>
          <w:t>10</w:t>
        </w:r>
      </w:hyperlink>
    </w:p>
    <w:p w14:paraId="359517D3" w14:textId="77777777" w:rsidR="009A395F" w:rsidRPr="009A395F" w:rsidRDefault="009A395F" w:rsidP="009A395F">
      <w:pPr>
        <w:spacing w:before="120" w:after="120" w:line="240" w:lineRule="exact"/>
        <w:ind w:left="283" w:hanging="283"/>
        <w:jc w:val="both"/>
        <w:rPr>
          <w:rFonts w:ascii="FrankRuehl" w:hAnsi="FrankRuehl" w:cs="FrankRuehl"/>
          <w:color w:val="0000FF"/>
          <w:rtl/>
        </w:rPr>
      </w:pPr>
      <w:hyperlink r:id="rId10" w:history="1">
        <w:r w:rsidRPr="009A395F">
          <w:rPr>
            <w:rStyle w:val="Hyperlink"/>
            <w:rFonts w:ascii="FrankRuehl" w:hAnsi="FrankRuehl" w:cs="FrankRuehl"/>
            <w:u w:val="none"/>
            <w:rtl/>
          </w:rPr>
          <w:t>חוק העונשין, תשל"ז-1977</w:t>
        </w:r>
      </w:hyperlink>
      <w:r w:rsidRPr="009A395F">
        <w:rPr>
          <w:rFonts w:ascii="FrankRuehl" w:hAnsi="FrankRuehl" w:cs="FrankRuehl"/>
          <w:color w:val="0000FF"/>
          <w:rtl/>
        </w:rPr>
        <w:t xml:space="preserve">: סע'  </w:t>
      </w:r>
      <w:hyperlink r:id="rId11" w:history="1">
        <w:r w:rsidRPr="009A395F">
          <w:rPr>
            <w:rStyle w:val="Hyperlink"/>
            <w:rFonts w:ascii="FrankRuehl" w:hAnsi="FrankRuehl" w:cs="FrankRuehl"/>
            <w:u w:val="none"/>
          </w:rPr>
          <w:t>400</w:t>
        </w:r>
      </w:hyperlink>
    </w:p>
    <w:p w14:paraId="33BFC2A2" w14:textId="77777777" w:rsidR="00F6190E" w:rsidRPr="009A395F" w:rsidRDefault="00F6190E" w:rsidP="009A395F">
      <w:pPr>
        <w:rPr>
          <w:rFonts w:ascii="David" w:hAnsi="David"/>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190E" w14:paraId="08EE4F71" w14:textId="77777777" w:rsidTr="00F6190E">
        <w:trPr>
          <w:trHeight w:val="355"/>
          <w:jc w:val="center"/>
        </w:trPr>
        <w:tc>
          <w:tcPr>
            <w:tcW w:w="8820" w:type="dxa"/>
            <w:tcBorders>
              <w:top w:val="nil"/>
              <w:left w:val="nil"/>
              <w:bottom w:val="nil"/>
              <w:right w:val="nil"/>
            </w:tcBorders>
            <w:shd w:val="clear" w:color="auto" w:fill="auto"/>
          </w:tcPr>
          <w:p w14:paraId="5E9A978B" w14:textId="77777777" w:rsidR="00E37384" w:rsidRPr="00E37384" w:rsidRDefault="00E37384" w:rsidP="00E37384">
            <w:pPr>
              <w:jc w:val="center"/>
              <w:rPr>
                <w:rFonts w:ascii="David" w:hAnsi="David"/>
                <w:b/>
                <w:bCs/>
                <w:sz w:val="32"/>
                <w:szCs w:val="32"/>
                <w:u w:val="single"/>
                <w:rtl/>
              </w:rPr>
            </w:pPr>
            <w:bookmarkStart w:id="4" w:name="PsakDin" w:colFirst="0" w:colLast="0"/>
            <w:r w:rsidRPr="00E37384">
              <w:rPr>
                <w:rFonts w:ascii="David" w:hAnsi="David"/>
                <w:b/>
                <w:bCs/>
                <w:sz w:val="32"/>
                <w:szCs w:val="32"/>
                <w:u w:val="single"/>
                <w:rtl/>
              </w:rPr>
              <w:t>גזר דין</w:t>
            </w:r>
          </w:p>
          <w:p w14:paraId="6BB48F67" w14:textId="77777777" w:rsidR="00F6190E" w:rsidRPr="00E37384" w:rsidRDefault="00F6190E" w:rsidP="00E37384">
            <w:pPr>
              <w:jc w:val="center"/>
              <w:rPr>
                <w:rFonts w:ascii="David" w:hAnsi="David"/>
                <w:bCs/>
                <w:sz w:val="32"/>
                <w:szCs w:val="32"/>
                <w:u w:val="single"/>
                <w:rtl/>
              </w:rPr>
            </w:pPr>
          </w:p>
        </w:tc>
      </w:tr>
      <w:bookmarkEnd w:id="4"/>
    </w:tbl>
    <w:p w14:paraId="396A609E" w14:textId="77777777" w:rsidR="00F6190E" w:rsidRDefault="00F6190E" w:rsidP="00F6190E">
      <w:pPr>
        <w:rPr>
          <w:rFonts w:ascii="David" w:hAnsi="David"/>
          <w:sz w:val="26"/>
          <w:szCs w:val="26"/>
          <w:rtl/>
        </w:rPr>
      </w:pPr>
    </w:p>
    <w:p w14:paraId="41095A93" w14:textId="77777777" w:rsidR="00F6190E" w:rsidRPr="00D7785F" w:rsidRDefault="00F6190E" w:rsidP="00F6190E">
      <w:pPr>
        <w:spacing w:line="360" w:lineRule="auto"/>
        <w:jc w:val="both"/>
        <w:rPr>
          <w:rFonts w:ascii="David" w:hAnsi="David"/>
          <w:rtl/>
        </w:rPr>
      </w:pPr>
      <w:r w:rsidRPr="00D7785F">
        <w:rPr>
          <w:rFonts w:ascii="David" w:hAnsi="David" w:hint="cs"/>
          <w:b/>
          <w:bCs/>
          <w:u w:val="single"/>
          <w:rtl/>
        </w:rPr>
        <w:t>כתב האישום</w:t>
      </w:r>
    </w:p>
    <w:p w14:paraId="1EE496B1" w14:textId="77777777" w:rsidR="00F6190E" w:rsidRPr="00D7785F" w:rsidRDefault="00F6190E" w:rsidP="00F6190E">
      <w:pPr>
        <w:jc w:val="both"/>
        <w:rPr>
          <w:rFonts w:ascii="David" w:hAnsi="David"/>
          <w:rtl/>
        </w:rPr>
      </w:pPr>
    </w:p>
    <w:p w14:paraId="4275BD3F" w14:textId="77777777" w:rsidR="00F6190E" w:rsidRDefault="00F6190E" w:rsidP="00F6190E">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בעבירת </w:t>
      </w:r>
      <w:r>
        <w:rPr>
          <w:rFonts w:ascii="David" w:hAnsi="David"/>
          <w:rtl/>
        </w:rPr>
        <w:t>ייצור, הכנה והפק</w:t>
      </w:r>
      <w:r>
        <w:rPr>
          <w:rFonts w:ascii="David" w:hAnsi="David" w:hint="cs"/>
          <w:rtl/>
        </w:rPr>
        <w:t>ת סמים</w:t>
      </w:r>
      <w:r>
        <w:rPr>
          <w:rFonts w:ascii="David" w:hAnsi="David"/>
          <w:rtl/>
        </w:rPr>
        <w:t xml:space="preserve">, לפי </w:t>
      </w:r>
      <w:hyperlink r:id="rId12" w:history="1">
        <w:r w:rsidR="009A395F" w:rsidRPr="009A395F">
          <w:rPr>
            <w:rStyle w:val="Hyperlink"/>
            <w:rFonts w:ascii="David" w:hAnsi="David"/>
            <w:color w:val="0000FF"/>
            <w:rtl/>
          </w:rPr>
          <w:t>סעיף 6</w:t>
        </w:r>
      </w:hyperlink>
      <w:r>
        <w:rPr>
          <w:rFonts w:ascii="David" w:hAnsi="David"/>
          <w:rtl/>
        </w:rPr>
        <w:t xml:space="preserve"> ל</w:t>
      </w:r>
      <w:hyperlink r:id="rId13" w:history="1">
        <w:r w:rsidR="00E37384" w:rsidRPr="00E37384">
          <w:rPr>
            <w:rFonts w:ascii="David" w:hAnsi="David"/>
            <w:color w:val="0000FF"/>
            <w:u w:val="single"/>
            <w:rtl/>
          </w:rPr>
          <w:t>פקודת הסמים המסוכנים</w:t>
        </w:r>
      </w:hyperlink>
      <w:r>
        <w:rPr>
          <w:rFonts w:ascii="David" w:hAnsi="David"/>
          <w:rtl/>
        </w:rPr>
        <w:t xml:space="preserve"> [נוסח חדש], תשל"ג- 1973 (להלן – </w:t>
      </w:r>
      <w:r>
        <w:rPr>
          <w:rFonts w:ascii="Miriam" w:hAnsi="Miriam" w:cs="Miriam"/>
          <w:rtl/>
        </w:rPr>
        <w:t>פקודת הסמים</w:t>
      </w:r>
      <w:r>
        <w:rPr>
          <w:rFonts w:ascii="David" w:hAnsi="David"/>
          <w:rtl/>
        </w:rPr>
        <w:t>);</w:t>
      </w:r>
      <w:r>
        <w:rPr>
          <w:rFonts w:ascii="David" w:hAnsi="David" w:hint="cs"/>
          <w:rtl/>
        </w:rPr>
        <w:t xml:space="preserve"> החזקת כלים להכנת סם שלא לצריכה עצמית, לפי </w:t>
      </w:r>
      <w:hyperlink r:id="rId14" w:history="1">
        <w:r w:rsidR="009A395F" w:rsidRPr="009A395F">
          <w:rPr>
            <w:rStyle w:val="Hyperlink"/>
            <w:rFonts w:ascii="David" w:hAnsi="David" w:hint="eastAsia"/>
            <w:color w:val="0000FF"/>
            <w:rtl/>
          </w:rPr>
          <w:t>סעיף</w:t>
        </w:r>
        <w:r w:rsidR="009A395F" w:rsidRPr="009A395F">
          <w:rPr>
            <w:rStyle w:val="Hyperlink"/>
            <w:rFonts w:ascii="David" w:hAnsi="David"/>
            <w:color w:val="0000FF"/>
            <w:rtl/>
          </w:rPr>
          <w:t xml:space="preserve"> 10</w:t>
        </w:r>
      </w:hyperlink>
      <w:r>
        <w:rPr>
          <w:rFonts w:ascii="David" w:hAnsi="David" w:hint="cs"/>
          <w:rtl/>
        </w:rPr>
        <w:t xml:space="preserve"> רישא לפקודת הסמים; ובעבירת נטילת חשמל, לפי </w:t>
      </w:r>
      <w:hyperlink r:id="rId15" w:history="1">
        <w:r w:rsidR="009A395F" w:rsidRPr="009A395F">
          <w:rPr>
            <w:rStyle w:val="Hyperlink"/>
            <w:rFonts w:ascii="David" w:hAnsi="David" w:hint="eastAsia"/>
            <w:color w:val="0000FF"/>
            <w:rtl/>
          </w:rPr>
          <w:t>סעיף</w:t>
        </w:r>
        <w:r w:rsidR="009A395F" w:rsidRPr="009A395F">
          <w:rPr>
            <w:rStyle w:val="Hyperlink"/>
            <w:rFonts w:ascii="David" w:hAnsi="David"/>
            <w:color w:val="0000FF"/>
            <w:rtl/>
          </w:rPr>
          <w:t xml:space="preserve"> 400</w:t>
        </w:r>
      </w:hyperlink>
      <w:r>
        <w:rPr>
          <w:rFonts w:ascii="David" w:hAnsi="David" w:hint="cs"/>
          <w:rtl/>
        </w:rPr>
        <w:t xml:space="preserve"> ל</w:t>
      </w:r>
      <w:hyperlink r:id="rId16" w:history="1">
        <w:r w:rsidR="00E37384" w:rsidRPr="00E37384">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BE44F6">
        <w:rPr>
          <w:rFonts w:ascii="Miriam" w:hAnsi="Miriam" w:cs="Miriam"/>
          <w:rtl/>
        </w:rPr>
        <w:t>חוק העונשין</w:t>
      </w:r>
      <w:r>
        <w:rPr>
          <w:rFonts w:ascii="David" w:hAnsi="David" w:hint="cs"/>
          <w:rtl/>
        </w:rPr>
        <w:t xml:space="preserve">). </w:t>
      </w:r>
    </w:p>
    <w:p w14:paraId="39E9F586" w14:textId="77777777" w:rsidR="00F6190E" w:rsidRDefault="00F6190E" w:rsidP="00F6190E">
      <w:pPr>
        <w:pStyle w:val="a9"/>
        <w:ind w:left="0"/>
        <w:jc w:val="both"/>
        <w:rPr>
          <w:rFonts w:ascii="David" w:hAnsi="David"/>
        </w:rPr>
      </w:pPr>
      <w:bookmarkStart w:id="6" w:name="ABSTRACT_END"/>
      <w:bookmarkEnd w:id="6"/>
    </w:p>
    <w:p w14:paraId="5F7CF523" w14:textId="77777777" w:rsidR="00F6190E" w:rsidRDefault="00F6190E" w:rsidP="00F6190E">
      <w:pPr>
        <w:pStyle w:val="a9"/>
        <w:numPr>
          <w:ilvl w:val="0"/>
          <w:numId w:val="1"/>
        </w:numPr>
        <w:spacing w:line="360" w:lineRule="auto"/>
        <w:jc w:val="both"/>
        <w:rPr>
          <w:rFonts w:ascii="David" w:hAnsi="David"/>
        </w:rPr>
      </w:pPr>
      <w:r>
        <w:rPr>
          <w:rFonts w:ascii="David" w:hAnsi="David" w:hint="cs"/>
          <w:rtl/>
        </w:rPr>
        <w:t xml:space="preserve">על פי עובדות כתב האישום, בין המועדים 1.5.24 </w:t>
      </w:r>
      <w:r>
        <w:rPr>
          <w:rFonts w:ascii="David" w:hAnsi="David"/>
          <w:rtl/>
        </w:rPr>
        <w:t>–</w:t>
      </w:r>
      <w:r>
        <w:rPr>
          <w:rFonts w:ascii="David" w:hAnsi="David" w:hint="cs"/>
          <w:rtl/>
        </w:rPr>
        <w:t xml:space="preserve"> 31.4.25 שכר הנאשם דירה אותה ייעד לגידול סם מסוכן מסוג קנבוס. במהלך תקופת השכירות, במועד שאינו ידוע במדויק, צייד הנאשם את הדירה בכלים ששימשו לצורך גידול הסם כמפורט להלן: </w:t>
      </w:r>
    </w:p>
    <w:p w14:paraId="57D5294A" w14:textId="77777777" w:rsidR="00F6190E" w:rsidRPr="00276758" w:rsidRDefault="00F6190E" w:rsidP="00F6190E">
      <w:pPr>
        <w:pStyle w:val="a9"/>
        <w:rPr>
          <w:rFonts w:ascii="David" w:hAnsi="David"/>
          <w:rtl/>
        </w:rPr>
      </w:pPr>
    </w:p>
    <w:p w14:paraId="279DD31A" w14:textId="77777777" w:rsidR="00F6190E" w:rsidRDefault="00F6190E" w:rsidP="00F6190E">
      <w:pPr>
        <w:pStyle w:val="a9"/>
        <w:spacing w:line="360" w:lineRule="auto"/>
        <w:ind w:left="0"/>
        <w:jc w:val="both"/>
        <w:rPr>
          <w:rFonts w:ascii="David" w:hAnsi="David"/>
          <w:rtl/>
        </w:rPr>
      </w:pPr>
      <w:r>
        <w:rPr>
          <w:rFonts w:ascii="David" w:hAnsi="David"/>
          <w:rtl/>
        </w:rPr>
        <w:tab/>
      </w:r>
      <w:r>
        <w:rPr>
          <w:rFonts w:ascii="David" w:hAnsi="David" w:hint="cs"/>
          <w:rtl/>
        </w:rPr>
        <w:t>(-)</w:t>
      </w:r>
      <w:r>
        <w:rPr>
          <w:rFonts w:ascii="David" w:hAnsi="David"/>
          <w:rtl/>
        </w:rPr>
        <w:tab/>
      </w:r>
      <w:r>
        <w:rPr>
          <w:rFonts w:ascii="David" w:hAnsi="David" w:hint="cs"/>
          <w:rtl/>
        </w:rPr>
        <w:t xml:space="preserve">חדר ראשון: מזגנים ניידים, 21 מנורות+ שנאים, מפוח+ פילטר, מאוורר, מזגן עילי </w:t>
      </w:r>
      <w:r>
        <w:rPr>
          <w:rFonts w:ascii="David" w:hAnsi="David"/>
          <w:rtl/>
        </w:rPr>
        <w:tab/>
      </w:r>
      <w:r>
        <w:rPr>
          <w:rFonts w:ascii="David" w:hAnsi="David" w:hint="cs"/>
          <w:rtl/>
        </w:rPr>
        <w:t xml:space="preserve">ומד טמפרטורה. </w:t>
      </w:r>
    </w:p>
    <w:p w14:paraId="6CB85067" w14:textId="77777777" w:rsidR="00F6190E" w:rsidRDefault="00F6190E" w:rsidP="00F6190E">
      <w:pPr>
        <w:pStyle w:val="a9"/>
        <w:ind w:left="0"/>
        <w:jc w:val="both"/>
        <w:rPr>
          <w:rFonts w:ascii="David" w:hAnsi="David"/>
          <w:rtl/>
        </w:rPr>
      </w:pPr>
    </w:p>
    <w:p w14:paraId="75F175F4" w14:textId="77777777" w:rsidR="00F6190E" w:rsidRDefault="00F6190E" w:rsidP="00F6190E">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חדר שני: 30 מנורות+ שנאים, שלושה מאווררים, מאוורר עומד, מזגן עלי, מזגן רצפתי, </w:t>
      </w:r>
      <w:r>
        <w:rPr>
          <w:rFonts w:ascii="David" w:hAnsi="David"/>
          <w:rtl/>
        </w:rPr>
        <w:tab/>
      </w:r>
      <w:r>
        <w:rPr>
          <w:rFonts w:ascii="David" w:hAnsi="David" w:hint="cs"/>
          <w:rtl/>
        </w:rPr>
        <w:t xml:space="preserve">מפוח+ פילטר, מד טמפרטורה ומד חמצן. </w:t>
      </w:r>
    </w:p>
    <w:p w14:paraId="4B46F944" w14:textId="77777777" w:rsidR="00F6190E" w:rsidRDefault="00F6190E" w:rsidP="00F6190E">
      <w:pPr>
        <w:pStyle w:val="a9"/>
        <w:ind w:left="0"/>
        <w:jc w:val="both"/>
        <w:rPr>
          <w:rFonts w:ascii="David" w:hAnsi="David"/>
          <w:rtl/>
        </w:rPr>
      </w:pPr>
    </w:p>
    <w:p w14:paraId="7CD587A2" w14:textId="77777777" w:rsidR="00F6190E" w:rsidRDefault="00F6190E" w:rsidP="00F6190E">
      <w:pPr>
        <w:pStyle w:val="a9"/>
        <w:spacing w:line="360" w:lineRule="auto"/>
        <w:jc w:val="both"/>
        <w:rPr>
          <w:rFonts w:ascii="David" w:hAnsi="David"/>
          <w:rtl/>
        </w:rPr>
      </w:pPr>
      <w:r>
        <w:rPr>
          <w:rFonts w:ascii="David" w:hAnsi="David" w:hint="cs"/>
          <w:rtl/>
        </w:rPr>
        <w:lastRenderedPageBreak/>
        <w:t xml:space="preserve">(-) </w:t>
      </w:r>
      <w:r>
        <w:rPr>
          <w:rFonts w:ascii="David" w:hAnsi="David"/>
          <w:rtl/>
        </w:rPr>
        <w:tab/>
      </w:r>
      <w:r>
        <w:rPr>
          <w:rFonts w:ascii="David" w:hAnsi="David" w:hint="cs"/>
          <w:rtl/>
        </w:rPr>
        <w:t xml:space="preserve">חדר שלישי: 27 מנורות + שנאים, שני מאווררים, מאוורר עומד, מזגן עילי, מזגן רצפתי, </w:t>
      </w:r>
      <w:r>
        <w:rPr>
          <w:rFonts w:ascii="David" w:hAnsi="David"/>
          <w:rtl/>
        </w:rPr>
        <w:tab/>
      </w:r>
      <w:r>
        <w:rPr>
          <w:rFonts w:ascii="David" w:hAnsi="David" w:hint="cs"/>
          <w:rtl/>
        </w:rPr>
        <w:t xml:space="preserve">מפוח+ פילטר, מד טמפרטורה ומד חמצן. </w:t>
      </w:r>
    </w:p>
    <w:p w14:paraId="26C13B34" w14:textId="77777777" w:rsidR="00F6190E" w:rsidRDefault="00F6190E" w:rsidP="00F6190E">
      <w:pPr>
        <w:pStyle w:val="a9"/>
        <w:ind w:left="0"/>
        <w:jc w:val="both"/>
        <w:rPr>
          <w:rFonts w:ascii="David" w:hAnsi="David"/>
          <w:rtl/>
        </w:rPr>
      </w:pPr>
    </w:p>
    <w:p w14:paraId="5E08FC5A" w14:textId="77777777" w:rsidR="00F6190E" w:rsidRDefault="00F6190E" w:rsidP="00F6190E">
      <w:pPr>
        <w:pStyle w:val="a9"/>
        <w:numPr>
          <w:ilvl w:val="0"/>
          <w:numId w:val="1"/>
        </w:numPr>
        <w:spacing w:line="360" w:lineRule="auto"/>
        <w:jc w:val="both"/>
        <w:rPr>
          <w:rFonts w:ascii="David" w:hAnsi="David"/>
        </w:rPr>
      </w:pPr>
      <w:r>
        <w:rPr>
          <w:rFonts w:ascii="David" w:hAnsi="David" w:hint="cs"/>
          <w:rtl/>
        </w:rPr>
        <w:t xml:space="preserve">כתב האישום מתאר עוד כי בחדרי הדירה הקים הנאשם עמדות לגידול קנבוס וביום 20.5.24 נמצא מגדל 258 שתילי קנבוס במשקל כולל של 3.407 ק"ג נטו, שחולקו בין חדרי הדירה כך שבחדר הראשון נמצאו 72 שתילים; בחדר השני 99 שתילים; ובחדר השלישי 87 שתילים. כן צוין שבמהלך תקופת השכירות נטל הנאשם חשמל במרמה בשווי 5,631 ₪.  </w:t>
      </w:r>
    </w:p>
    <w:p w14:paraId="19C5E6F5" w14:textId="77777777" w:rsidR="00F6190E" w:rsidRDefault="00F6190E" w:rsidP="00F6190E">
      <w:pPr>
        <w:pStyle w:val="a9"/>
        <w:spacing w:line="360" w:lineRule="auto"/>
        <w:ind w:left="0"/>
        <w:jc w:val="both"/>
        <w:rPr>
          <w:rFonts w:ascii="David" w:hAnsi="David"/>
          <w:b/>
          <w:bCs/>
          <w:u w:val="single"/>
          <w:rtl/>
        </w:rPr>
      </w:pPr>
    </w:p>
    <w:p w14:paraId="583A0BCF" w14:textId="77777777" w:rsidR="00F6190E" w:rsidRDefault="00F6190E" w:rsidP="00F6190E">
      <w:pPr>
        <w:pStyle w:val="a9"/>
        <w:spacing w:line="360" w:lineRule="auto"/>
        <w:ind w:left="0"/>
        <w:jc w:val="both"/>
        <w:rPr>
          <w:rFonts w:ascii="David" w:hAnsi="David"/>
          <w:b/>
          <w:bCs/>
          <w:u w:val="single"/>
          <w:rtl/>
        </w:rPr>
      </w:pPr>
    </w:p>
    <w:p w14:paraId="45E3F6FD" w14:textId="77777777" w:rsidR="00F6190E" w:rsidRDefault="00F6190E" w:rsidP="00F6190E">
      <w:pPr>
        <w:pStyle w:val="a9"/>
        <w:spacing w:line="360" w:lineRule="auto"/>
        <w:ind w:left="0"/>
        <w:jc w:val="both"/>
        <w:rPr>
          <w:rFonts w:ascii="David" w:hAnsi="David"/>
          <w:b/>
          <w:bCs/>
          <w:u w:val="single"/>
          <w:rtl/>
        </w:rPr>
      </w:pPr>
      <w:r>
        <w:rPr>
          <w:rFonts w:ascii="David" w:hAnsi="David" w:hint="cs"/>
          <w:b/>
          <w:bCs/>
          <w:u w:val="single"/>
          <w:rtl/>
        </w:rPr>
        <w:t>תסקיר שירות המבחן</w:t>
      </w:r>
    </w:p>
    <w:p w14:paraId="55872C3D" w14:textId="77777777" w:rsidR="00F6190E" w:rsidRPr="00C84BC3" w:rsidRDefault="00F6190E" w:rsidP="00F6190E">
      <w:pPr>
        <w:pStyle w:val="a9"/>
        <w:ind w:left="0"/>
        <w:jc w:val="both"/>
        <w:rPr>
          <w:rFonts w:ascii="David" w:hAnsi="David"/>
          <w:b/>
          <w:bCs/>
          <w:u w:val="single"/>
        </w:rPr>
      </w:pPr>
    </w:p>
    <w:p w14:paraId="3DB90251" w14:textId="77777777" w:rsidR="00F6190E" w:rsidRDefault="00F6190E" w:rsidP="00F6190E">
      <w:pPr>
        <w:pStyle w:val="a9"/>
        <w:numPr>
          <w:ilvl w:val="0"/>
          <w:numId w:val="1"/>
        </w:numPr>
        <w:spacing w:line="360" w:lineRule="auto"/>
        <w:jc w:val="both"/>
        <w:rPr>
          <w:rFonts w:ascii="David" w:hAnsi="David"/>
        </w:rPr>
      </w:pPr>
      <w:r>
        <w:rPr>
          <w:rFonts w:ascii="David" w:hAnsi="David" w:hint="cs"/>
          <w:rtl/>
        </w:rPr>
        <w:t>שירות המבחן הגיש תסקיר בעניינו של הנאשם, בו פורטו בהרחבה נסיבות חייו. בתמצית ייאמר כי הנאשם נעדר עבר פלילי, כבן 32, גרוש ואב לשלושה ילדים בגילאי 6-12. על רקע מצבו הרפואי לא גויס לצבא ובעשור האחרון עבד בעסק לממכר מזון השייך לאביו. הנאשם שיתף כי במשך תקופה ארוכה נהג להמר ונקלע עקב כך לחובות. כן מסר שצרך סמים מסוג גראס אך טען שחדל מכך  ובדיקת שתן שמסר נמצאה נקייה משרידי סם. הנאשם טען בפני שירות המבחן שגידל את הסמים לשימושו האישי והתקשה להעמיק במניעים שעמדו בבסיס התנהלותו. משכך ציין שירות המבחן שנטילת האחריות היא חלקית. הנאשם לא הביע מוטיבציה להשתלב בהליך טיפולי ועל רקע ההערכה בדבר הסיכון להישנות עבירות בעתיד לא ניתנה המלצה טיפולית.</w:t>
      </w:r>
    </w:p>
    <w:p w14:paraId="7D9AB550" w14:textId="77777777" w:rsidR="00F6190E" w:rsidRDefault="00F6190E" w:rsidP="00F6190E">
      <w:pPr>
        <w:pStyle w:val="a9"/>
        <w:ind w:left="0"/>
        <w:jc w:val="both"/>
        <w:rPr>
          <w:rFonts w:ascii="David" w:hAnsi="David"/>
          <w:rtl/>
        </w:rPr>
      </w:pPr>
    </w:p>
    <w:p w14:paraId="332AC0BD" w14:textId="77777777" w:rsidR="00F6190E" w:rsidRPr="004623AB" w:rsidRDefault="00F6190E" w:rsidP="00F6190E">
      <w:pPr>
        <w:pStyle w:val="a9"/>
        <w:spacing w:line="360" w:lineRule="auto"/>
        <w:ind w:left="0"/>
        <w:jc w:val="both"/>
        <w:rPr>
          <w:rFonts w:ascii="David" w:hAnsi="David"/>
          <w:b/>
          <w:bCs/>
          <w:u w:val="single"/>
        </w:rPr>
      </w:pPr>
      <w:r>
        <w:rPr>
          <w:rFonts w:ascii="David" w:hAnsi="David" w:hint="cs"/>
          <w:b/>
          <w:bCs/>
          <w:u w:val="single"/>
          <w:rtl/>
        </w:rPr>
        <w:t>טיעוני הצדדים לעונש והראיות</w:t>
      </w:r>
    </w:p>
    <w:p w14:paraId="0A30E41C" w14:textId="77777777" w:rsidR="00F6190E" w:rsidRDefault="00F6190E" w:rsidP="00F6190E">
      <w:pPr>
        <w:pStyle w:val="a9"/>
        <w:ind w:left="0"/>
        <w:jc w:val="both"/>
        <w:rPr>
          <w:rFonts w:ascii="David" w:hAnsi="David"/>
        </w:rPr>
      </w:pPr>
    </w:p>
    <w:p w14:paraId="10ABCAA9" w14:textId="77777777" w:rsidR="00F6190E" w:rsidRDefault="00F6190E" w:rsidP="00F6190E">
      <w:pPr>
        <w:pStyle w:val="a9"/>
        <w:numPr>
          <w:ilvl w:val="0"/>
          <w:numId w:val="1"/>
        </w:numPr>
        <w:spacing w:line="360" w:lineRule="auto"/>
        <w:jc w:val="both"/>
        <w:rPr>
          <w:rFonts w:ascii="David" w:hAnsi="David"/>
        </w:rPr>
      </w:pPr>
      <w:r w:rsidRPr="00FB25E9">
        <w:rPr>
          <w:rFonts w:ascii="David" w:hAnsi="David" w:hint="cs"/>
          <w:rtl/>
        </w:rPr>
        <w:t xml:space="preserve">ב"כ המאשימה הגישה טיעון כתוב והוסיפה </w:t>
      </w:r>
      <w:r>
        <w:rPr>
          <w:rFonts w:ascii="David" w:hAnsi="David" w:hint="cs"/>
          <w:rtl/>
        </w:rPr>
        <w:t xml:space="preserve">טיעון </w:t>
      </w:r>
      <w:r w:rsidRPr="00FB25E9">
        <w:rPr>
          <w:rFonts w:ascii="David" w:hAnsi="David" w:hint="cs"/>
          <w:rtl/>
        </w:rPr>
        <w:t xml:space="preserve">על פה. הודגשו חומרת העבירות, </w:t>
      </w:r>
      <w:r w:rsidRPr="00FB25E9">
        <w:rPr>
          <w:rFonts w:ascii="David" w:hAnsi="David"/>
          <w:rtl/>
        </w:rPr>
        <w:t>כמות הסם והנזקים שעלולים להיגרם בשל עבירות</w:t>
      </w:r>
      <w:r>
        <w:rPr>
          <w:rFonts w:ascii="David" w:hAnsi="David" w:hint="cs"/>
          <w:rtl/>
        </w:rPr>
        <w:t xml:space="preserve"> אלו</w:t>
      </w:r>
      <w:r w:rsidRPr="00FB25E9">
        <w:rPr>
          <w:rFonts w:ascii="David" w:hAnsi="David"/>
          <w:rtl/>
        </w:rPr>
        <w:t xml:space="preserve">. </w:t>
      </w:r>
      <w:r w:rsidRPr="00FB25E9">
        <w:rPr>
          <w:rFonts w:ascii="David" w:hAnsi="David" w:hint="cs"/>
          <w:rtl/>
        </w:rPr>
        <w:t>המאשימה עתרה לקביעת מתחם ענישה הנע בין</w:t>
      </w:r>
      <w:r>
        <w:rPr>
          <w:rFonts w:ascii="David" w:hAnsi="David" w:hint="cs"/>
          <w:rtl/>
        </w:rPr>
        <w:t xml:space="preserve"> </w:t>
      </w:r>
      <w:r w:rsidRPr="00FB25E9">
        <w:rPr>
          <w:rFonts w:ascii="David" w:hAnsi="David" w:hint="cs"/>
          <w:rtl/>
        </w:rPr>
        <w:t>10-24 חודשי מאסר</w:t>
      </w:r>
      <w:r>
        <w:rPr>
          <w:rFonts w:ascii="David" w:hAnsi="David" w:hint="cs"/>
          <w:rtl/>
        </w:rPr>
        <w:t xml:space="preserve"> והפנתה </w:t>
      </w:r>
      <w:r w:rsidRPr="00FB25E9">
        <w:rPr>
          <w:rFonts w:ascii="David" w:hAnsi="David" w:hint="cs"/>
          <w:rtl/>
        </w:rPr>
        <w:t>לפסיקה</w:t>
      </w:r>
      <w:r>
        <w:rPr>
          <w:rFonts w:ascii="David" w:hAnsi="David" w:hint="cs"/>
          <w:rtl/>
        </w:rPr>
        <w:t xml:space="preserve"> תומכת</w:t>
      </w:r>
      <w:r w:rsidRPr="00FB25E9">
        <w:rPr>
          <w:rFonts w:ascii="David" w:hAnsi="David" w:hint="cs"/>
          <w:rtl/>
        </w:rPr>
        <w:t xml:space="preserve">. </w:t>
      </w:r>
      <w:r w:rsidRPr="00FB25E9">
        <w:rPr>
          <w:rFonts w:ascii="David" w:hAnsi="David"/>
          <w:rtl/>
        </w:rPr>
        <w:t xml:space="preserve">ביחס לעונש שיש להטיל על הנאשם </w:t>
      </w:r>
      <w:r w:rsidRPr="00FB25E9">
        <w:rPr>
          <w:rFonts w:ascii="David" w:hAnsi="David" w:hint="cs"/>
          <w:rtl/>
        </w:rPr>
        <w:t>הפנתה המאשימה למסקנות התסקיר ו</w:t>
      </w:r>
      <w:r w:rsidRPr="00FB25E9">
        <w:rPr>
          <w:rFonts w:ascii="David" w:hAnsi="David"/>
          <w:rtl/>
        </w:rPr>
        <w:t xml:space="preserve">עתרה </w:t>
      </w:r>
      <w:r w:rsidRPr="00FB25E9">
        <w:rPr>
          <w:rFonts w:ascii="David" w:hAnsi="David" w:hint="cs"/>
          <w:rtl/>
        </w:rPr>
        <w:t>ל</w:t>
      </w:r>
      <w:r>
        <w:rPr>
          <w:rFonts w:ascii="David" w:hAnsi="David" w:hint="cs"/>
          <w:rtl/>
        </w:rPr>
        <w:t xml:space="preserve">הטיל </w:t>
      </w:r>
      <w:r w:rsidRPr="00FB25E9">
        <w:rPr>
          <w:rFonts w:ascii="David" w:hAnsi="David" w:hint="cs"/>
          <w:rtl/>
        </w:rPr>
        <w:t>12 חודשי מאסר וענישה נלווית</w:t>
      </w:r>
      <w:r>
        <w:rPr>
          <w:rFonts w:ascii="David" w:hAnsi="David" w:hint="cs"/>
          <w:rtl/>
        </w:rPr>
        <w:t xml:space="preserve">. </w:t>
      </w:r>
    </w:p>
    <w:p w14:paraId="298A699F" w14:textId="77777777" w:rsidR="00F6190E" w:rsidRPr="00DF79F2" w:rsidRDefault="00F6190E" w:rsidP="00F6190E">
      <w:pPr>
        <w:pStyle w:val="a9"/>
        <w:ind w:left="0"/>
        <w:jc w:val="both"/>
        <w:rPr>
          <w:rFonts w:ascii="David" w:hAnsi="David"/>
        </w:rPr>
      </w:pPr>
    </w:p>
    <w:p w14:paraId="3E02C364" w14:textId="77777777" w:rsidR="00F6190E" w:rsidRDefault="00F6190E" w:rsidP="00F6190E">
      <w:pPr>
        <w:pStyle w:val="a9"/>
        <w:numPr>
          <w:ilvl w:val="0"/>
          <w:numId w:val="1"/>
        </w:numPr>
        <w:spacing w:line="360" w:lineRule="auto"/>
        <w:jc w:val="both"/>
        <w:rPr>
          <w:rFonts w:ascii="David" w:hAnsi="David"/>
        </w:rPr>
      </w:pPr>
      <w:r>
        <w:rPr>
          <w:rFonts w:ascii="David" w:hAnsi="David" w:hint="cs"/>
          <w:rtl/>
        </w:rPr>
        <w:t>ב"כ הנאשם עתר למתחם ענישה הנע בין צו של"צ לבין מספר חודשי מאסר לריצוי בעבודות שירות תוך שהפנה לפסיקה תומכת. ביחס למסקנות התסקיר טען הסנגור כי הנאשם לא התנגד לטיפול והוא אף מסר בדיקת שתן נקייה וקיבל אחריות למעשיו. הודגש כי מדובר בנאשם שזו הסתבכותו הראשונה עם החוק, אשר הודה בהזדמנות הראשונה ובמשך תקופה ארוכה היה עצור באיזוק אלקטרוני ושהה בתנאים מגבילים. כן נטען כי הנאשם משלם מזונות לילדיו וענישה מוחשית עלולה לפגוע ביכולתו להתפרנס. לאור כל זאת עתר הסנגור להסתפק בענישה צופה פני עתיד ולהימנע מפסילת רישיון.</w:t>
      </w:r>
    </w:p>
    <w:p w14:paraId="0B0EA9E0" w14:textId="77777777" w:rsidR="00F6190E" w:rsidRPr="00931B88" w:rsidRDefault="00F6190E" w:rsidP="00F6190E">
      <w:pPr>
        <w:pStyle w:val="a9"/>
        <w:rPr>
          <w:rFonts w:ascii="David" w:hAnsi="David"/>
          <w:rtl/>
        </w:rPr>
      </w:pPr>
    </w:p>
    <w:p w14:paraId="4C97A1FC" w14:textId="77777777" w:rsidR="00F6190E" w:rsidRDefault="00F6190E" w:rsidP="00F6190E">
      <w:pPr>
        <w:pStyle w:val="a9"/>
        <w:numPr>
          <w:ilvl w:val="0"/>
          <w:numId w:val="1"/>
        </w:numPr>
        <w:spacing w:line="360" w:lineRule="auto"/>
        <w:jc w:val="both"/>
        <w:rPr>
          <w:rFonts w:ascii="David" w:hAnsi="David"/>
        </w:rPr>
      </w:pPr>
      <w:r>
        <w:rPr>
          <w:rFonts w:ascii="David" w:hAnsi="David" w:hint="cs"/>
          <w:rtl/>
        </w:rPr>
        <w:t xml:space="preserve"> הנאשם בדברו האחרון קיבל אחריות למעשיו והתנצל עליהם. </w:t>
      </w:r>
    </w:p>
    <w:p w14:paraId="702E0F72" w14:textId="77777777" w:rsidR="00F6190E" w:rsidRPr="00931B88" w:rsidRDefault="00F6190E" w:rsidP="00F6190E">
      <w:pPr>
        <w:pStyle w:val="a9"/>
        <w:rPr>
          <w:rFonts w:ascii="David" w:hAnsi="David"/>
          <w:rtl/>
        </w:rPr>
      </w:pPr>
    </w:p>
    <w:p w14:paraId="32136C85" w14:textId="77777777" w:rsidR="00F6190E" w:rsidRDefault="00F6190E" w:rsidP="00F6190E">
      <w:pPr>
        <w:pStyle w:val="a9"/>
        <w:spacing w:line="360" w:lineRule="auto"/>
        <w:ind w:left="0"/>
        <w:jc w:val="both"/>
        <w:rPr>
          <w:rFonts w:ascii="David" w:hAnsi="David"/>
          <w:b/>
          <w:bCs/>
          <w:u w:val="single"/>
        </w:rPr>
      </w:pPr>
      <w:r>
        <w:rPr>
          <w:rFonts w:ascii="David" w:hAnsi="David"/>
          <w:b/>
          <w:bCs/>
          <w:u w:val="single"/>
          <w:rtl/>
        </w:rPr>
        <w:t>דיון והכרעה</w:t>
      </w:r>
    </w:p>
    <w:p w14:paraId="2E36F792" w14:textId="77777777" w:rsidR="00F6190E" w:rsidRDefault="00F6190E" w:rsidP="00F6190E">
      <w:pPr>
        <w:pStyle w:val="a9"/>
        <w:spacing w:line="360" w:lineRule="auto"/>
        <w:ind w:left="0"/>
        <w:jc w:val="both"/>
        <w:rPr>
          <w:rFonts w:ascii="David" w:hAnsi="David"/>
          <w:b/>
          <w:bCs/>
          <w:u w:val="single"/>
          <w:rtl/>
        </w:rPr>
      </w:pPr>
      <w:r>
        <w:rPr>
          <w:rFonts w:ascii="David" w:hAnsi="David"/>
          <w:b/>
          <w:bCs/>
          <w:u w:val="single"/>
          <w:rtl/>
        </w:rPr>
        <w:lastRenderedPageBreak/>
        <w:t>קביעת מתחם הענישה</w:t>
      </w:r>
    </w:p>
    <w:p w14:paraId="0DC459EF" w14:textId="77777777" w:rsidR="00F6190E" w:rsidRPr="00931B88" w:rsidRDefault="00F6190E" w:rsidP="00F6190E">
      <w:pPr>
        <w:pStyle w:val="a9"/>
        <w:rPr>
          <w:rFonts w:ascii="David" w:hAnsi="David"/>
          <w:rtl/>
        </w:rPr>
      </w:pPr>
    </w:p>
    <w:p w14:paraId="40BADAA6" w14:textId="77777777" w:rsidR="00F6190E" w:rsidRDefault="00F6190E" w:rsidP="00F6190E">
      <w:pPr>
        <w:pStyle w:val="a9"/>
        <w:numPr>
          <w:ilvl w:val="0"/>
          <w:numId w:val="1"/>
        </w:numPr>
        <w:spacing w:line="360" w:lineRule="auto"/>
        <w:jc w:val="both"/>
        <w:rPr>
          <w:rFonts w:ascii="David" w:hAnsi="David"/>
        </w:rPr>
      </w:pPr>
      <w:r>
        <w:rPr>
          <w:rFonts w:ascii="David" w:hAnsi="David"/>
          <w:rtl/>
        </w:rPr>
        <w:t xml:space="preserve">במעשיו פגע הנאשם בערכים של בטחון הציבור ושלומו. הסכנות הטמונות בהחזקת סם וגידולו ידועות ופעם אחר פעם נפסק שיש לראות בחומרה את עבירות הסמים אשר הפכו מכת מדינה וכי תוצאותיהן הישירות והעקיפות הרות אסון לשלומה של החברה, לבריאותה ולביטחונה. במקרה זה לאור </w:t>
      </w:r>
      <w:r>
        <w:rPr>
          <w:rFonts w:ascii="David" w:hAnsi="David" w:hint="cs"/>
          <w:rtl/>
        </w:rPr>
        <w:t xml:space="preserve">מספר השתילים, </w:t>
      </w:r>
      <w:r>
        <w:rPr>
          <w:rFonts w:ascii="David" w:hAnsi="David"/>
          <w:rtl/>
        </w:rPr>
        <w:t xml:space="preserve">משקל הסם ויתר הנסיבות שיפורטו בהמשך, מידת הפגיעה בערכים גבוהה יחסית. כן יצוין </w:t>
      </w:r>
      <w:r>
        <w:rPr>
          <w:rFonts w:ascii="David" w:hAnsi="David" w:hint="cs"/>
          <w:rtl/>
        </w:rPr>
        <w:t>ש</w:t>
      </w:r>
      <w:r>
        <w:rPr>
          <w:rFonts w:ascii="David" w:hAnsi="David"/>
          <w:rtl/>
        </w:rPr>
        <w:t xml:space="preserve">הנאשם אף נטל בגניבה חשמל </w:t>
      </w:r>
      <w:r>
        <w:rPr>
          <w:rFonts w:ascii="David" w:hAnsi="David" w:hint="cs"/>
          <w:rtl/>
        </w:rPr>
        <w:t>ובכך פגע בזכות הקניין של הבעלים, אם כי סכום הגניבה אינו גבוה במיוחד.</w:t>
      </w:r>
      <w:r>
        <w:rPr>
          <w:rFonts w:ascii="David" w:hAnsi="David"/>
          <w:rtl/>
        </w:rPr>
        <w:t xml:space="preserve"> </w:t>
      </w:r>
    </w:p>
    <w:p w14:paraId="5B62EE51" w14:textId="77777777" w:rsidR="00F6190E" w:rsidRPr="00F91E56" w:rsidRDefault="00F6190E" w:rsidP="00F6190E">
      <w:pPr>
        <w:pStyle w:val="a9"/>
        <w:ind w:left="0"/>
        <w:jc w:val="both"/>
        <w:rPr>
          <w:rFonts w:ascii="David" w:hAnsi="David"/>
        </w:rPr>
      </w:pPr>
    </w:p>
    <w:p w14:paraId="7D5D755C" w14:textId="77777777" w:rsidR="00F6190E" w:rsidRDefault="00F6190E" w:rsidP="00F6190E">
      <w:pPr>
        <w:pStyle w:val="a9"/>
        <w:numPr>
          <w:ilvl w:val="0"/>
          <w:numId w:val="1"/>
        </w:numPr>
        <w:spacing w:line="360" w:lineRule="auto"/>
        <w:jc w:val="both"/>
        <w:rPr>
          <w:rFonts w:ascii="David" w:hAnsi="David"/>
        </w:rPr>
      </w:pPr>
      <w:r>
        <w:rPr>
          <w:rFonts w:ascii="David" w:hAnsi="David"/>
          <w:rtl/>
        </w:rPr>
        <w:t xml:space="preserve">ביחס לנסיבות ביצוע העבירות אציין שגידול סמים מצריך תכנון מוקדם, לימוד, רכישת ציוד, היערכות והתמדה וכן השקעה כספית לא מבוטלת. במקרה זה שכר הנאשם דירה </w:t>
      </w:r>
      <w:r w:rsidRPr="00F91E56">
        <w:rPr>
          <w:rFonts w:ascii="David" w:hAnsi="David" w:hint="cs"/>
          <w:rtl/>
        </w:rPr>
        <w:t xml:space="preserve">אותה ייעד </w:t>
      </w:r>
      <w:r>
        <w:rPr>
          <w:rFonts w:ascii="David" w:hAnsi="David" w:hint="cs"/>
          <w:rtl/>
        </w:rPr>
        <w:t>לגידול סמים</w:t>
      </w:r>
      <w:r>
        <w:rPr>
          <w:rFonts w:ascii="David" w:hAnsi="David"/>
          <w:rtl/>
        </w:rPr>
        <w:t xml:space="preserve"> </w:t>
      </w:r>
      <w:r>
        <w:rPr>
          <w:rFonts w:ascii="David" w:hAnsi="David" w:hint="cs"/>
          <w:rtl/>
        </w:rPr>
        <w:t>ו</w:t>
      </w:r>
      <w:r>
        <w:rPr>
          <w:rFonts w:ascii="David" w:hAnsi="David"/>
          <w:rtl/>
        </w:rPr>
        <w:t xml:space="preserve">הקים </w:t>
      </w:r>
      <w:r>
        <w:rPr>
          <w:rFonts w:ascii="David" w:hAnsi="David" w:hint="cs"/>
          <w:rtl/>
        </w:rPr>
        <w:t>בה מעבדה</w:t>
      </w:r>
      <w:r>
        <w:rPr>
          <w:rFonts w:ascii="David" w:hAnsi="David"/>
          <w:rtl/>
        </w:rPr>
        <w:t xml:space="preserve"> אשר כללה ציוד רב.</w:t>
      </w:r>
      <w:r>
        <w:rPr>
          <w:rFonts w:ascii="David" w:hAnsi="David" w:hint="cs"/>
          <w:rtl/>
        </w:rPr>
        <w:t xml:space="preserve"> </w:t>
      </w:r>
      <w:r w:rsidRPr="00386B0A">
        <w:rPr>
          <w:rFonts w:ascii="David" w:hAnsi="David"/>
          <w:rtl/>
        </w:rPr>
        <w:t>נסיבות אלו מלמדות על חומרה ממשית, מעידות על עיסוק והתמקצעות בסמים ומתיישבות היטב עם ציפייה לרווח משמעותי.</w:t>
      </w:r>
      <w:r>
        <w:rPr>
          <w:rFonts w:ascii="David" w:hAnsi="David" w:hint="cs"/>
          <w:rtl/>
        </w:rPr>
        <w:t xml:space="preserve"> כן נטל הנאשם חשמל במרמה בשווי של למעלה מ-5,000 ₪. כמות הסמים משמעותית (258 שתילים) ואין לראות במשקל הנמוך כנסיבה לקולה שכן משקלם של שתילי סם הוא פונקציה של עיתוי התפיסה בלבד ולו הייתה המשטרה מגיעה לדירה לאחר חודש או חודשיים היה המשקל גבוה משמעותית והדברים ברורים ואינם טעונים הסבר.</w:t>
      </w:r>
    </w:p>
    <w:p w14:paraId="056C45C2" w14:textId="77777777" w:rsidR="00F6190E" w:rsidRPr="00470F9E" w:rsidRDefault="00F6190E" w:rsidP="00F6190E">
      <w:pPr>
        <w:pStyle w:val="a9"/>
        <w:rPr>
          <w:rFonts w:ascii="David" w:hAnsi="David"/>
          <w:rtl/>
        </w:rPr>
      </w:pPr>
    </w:p>
    <w:p w14:paraId="25BCD65B" w14:textId="77777777" w:rsidR="00F6190E" w:rsidRDefault="00F6190E" w:rsidP="00F6190E">
      <w:pPr>
        <w:pStyle w:val="a9"/>
        <w:numPr>
          <w:ilvl w:val="0"/>
          <w:numId w:val="1"/>
        </w:numPr>
        <w:spacing w:line="360" w:lineRule="auto"/>
        <w:jc w:val="both"/>
        <w:rPr>
          <w:rFonts w:ascii="David" w:hAnsi="David"/>
        </w:rPr>
      </w:pPr>
      <w:r>
        <w:rPr>
          <w:rFonts w:ascii="David" w:hAnsi="David" w:hint="cs"/>
          <w:rtl/>
        </w:rPr>
        <w:t xml:space="preserve">כאן המקום להתייחס לטענת הנאשם בפני קצינת המבחן כי גידל את הסמים לשימושו האישי. </w:t>
      </w:r>
      <w:r w:rsidRPr="00470F9E">
        <w:rPr>
          <w:rFonts w:ascii="David" w:hAnsi="David"/>
          <w:rtl/>
        </w:rPr>
        <w:t>אין בידי לקבל טענה זו.</w:t>
      </w:r>
      <w:r>
        <w:rPr>
          <w:rFonts w:ascii="David" w:hAnsi="David" w:hint="cs"/>
          <w:rtl/>
        </w:rPr>
        <w:t xml:space="preserve"> ראשית, היא לא נטענה בבית המשפט ובוודאי שלא הוכחה. שנית, וזה העיקר, </w:t>
      </w:r>
      <w:r w:rsidRPr="00191560">
        <w:rPr>
          <w:rFonts w:ascii="David" w:hAnsi="David"/>
          <w:rtl/>
        </w:rPr>
        <w:t>לאור הודאת הנאשם בכתב האישום בו לא נכללו עובדות אלו</w:t>
      </w:r>
      <w:r>
        <w:rPr>
          <w:rFonts w:ascii="David" w:hAnsi="David" w:hint="cs"/>
          <w:rtl/>
        </w:rPr>
        <w:t>,</w:t>
      </w:r>
      <w:r w:rsidRPr="00191560">
        <w:rPr>
          <w:rFonts w:ascii="David" w:hAnsi="David"/>
          <w:rtl/>
        </w:rPr>
        <w:t xml:space="preserve"> לא ראיתי לקבוע ממצאים מקלים על בסיס טיעון שלא הוכח, לא כל שכן לאור כמות הסמים</w:t>
      </w:r>
      <w:r>
        <w:rPr>
          <w:rFonts w:ascii="David" w:hAnsi="David" w:hint="cs"/>
          <w:rtl/>
        </w:rPr>
        <w:t xml:space="preserve"> (258 שתילים)</w:t>
      </w:r>
      <w:r w:rsidRPr="00191560">
        <w:rPr>
          <w:rFonts w:ascii="David" w:hAnsi="David"/>
          <w:rtl/>
        </w:rPr>
        <w:t>, שאינה מתיישבת עם טענה זו</w:t>
      </w:r>
      <w:r>
        <w:rPr>
          <w:rFonts w:ascii="David" w:hAnsi="David" w:hint="cs"/>
          <w:rtl/>
        </w:rPr>
        <w:t xml:space="preserve"> </w:t>
      </w:r>
      <w:r>
        <w:rPr>
          <w:rFonts w:ascii="David" w:hAnsi="David"/>
          <w:rtl/>
        </w:rPr>
        <w:t>(</w:t>
      </w:r>
      <w:hyperlink r:id="rId17" w:history="1">
        <w:r w:rsidR="00E37384" w:rsidRPr="00E37384">
          <w:rPr>
            <w:rFonts w:ascii="David" w:hAnsi="David"/>
            <w:color w:val="0000FF"/>
            <w:u w:val="single"/>
            <w:rtl/>
          </w:rPr>
          <w:t>ע"פ 677/14</w:t>
        </w:r>
      </w:hyperlink>
      <w:r>
        <w:rPr>
          <w:rFonts w:ascii="David" w:hAnsi="David"/>
          <w:rtl/>
        </w:rPr>
        <w:t xml:space="preserve"> </w:t>
      </w:r>
      <w:r>
        <w:rPr>
          <w:rFonts w:ascii="David" w:hAnsi="David"/>
          <w:b/>
          <w:bCs/>
          <w:rtl/>
        </w:rPr>
        <w:t>דנקנר נ' מדינת ישראל</w:t>
      </w:r>
      <w:r>
        <w:rPr>
          <w:rFonts w:ascii="David" w:hAnsi="David"/>
          <w:rtl/>
        </w:rPr>
        <w:t xml:space="preserve"> (17.7.2014); </w:t>
      </w:r>
      <w:hyperlink r:id="rId18" w:history="1">
        <w:r w:rsidR="00E37384" w:rsidRPr="00E37384">
          <w:rPr>
            <w:color w:val="0000FF"/>
            <w:u w:val="single"/>
            <w:rtl/>
          </w:rPr>
          <w:t>ע"פ 7349/14</w:t>
        </w:r>
      </w:hyperlink>
      <w:r>
        <w:rPr>
          <w:rtl/>
        </w:rPr>
        <w:t xml:space="preserve"> </w:t>
      </w:r>
      <w:r>
        <w:rPr>
          <w:b/>
          <w:bCs/>
          <w:rtl/>
        </w:rPr>
        <w:t xml:space="preserve">מדינת ישראל נ' פלונית </w:t>
      </w:r>
      <w:r>
        <w:rPr>
          <w:rtl/>
        </w:rPr>
        <w:t>(14.5.2015)</w:t>
      </w:r>
      <w:r>
        <w:rPr>
          <w:rFonts w:ascii="David" w:hAnsi="David"/>
          <w:rtl/>
        </w:rPr>
        <w:t>)</w:t>
      </w:r>
      <w:r w:rsidRPr="00191560">
        <w:rPr>
          <w:rFonts w:ascii="David" w:hAnsi="David"/>
          <w:rtl/>
        </w:rPr>
        <w:t xml:space="preserve">. יתרה מזו, הנאשם הורשע גם בעבירת החזקת כלים ששימשו לגידול הסמים וזאת </w:t>
      </w:r>
      <w:r w:rsidRPr="00191560">
        <w:rPr>
          <w:rFonts w:ascii="David" w:hAnsi="David"/>
          <w:u w:val="single"/>
          <w:rtl/>
        </w:rPr>
        <w:t>שלא</w:t>
      </w:r>
      <w:r w:rsidRPr="00191560">
        <w:rPr>
          <w:rFonts w:ascii="David" w:hAnsi="David"/>
          <w:rtl/>
        </w:rPr>
        <w:t xml:space="preserve"> לצריכה עצמית וטיעונו אפוא אף סותר את האמור בכתב האישום.</w:t>
      </w:r>
    </w:p>
    <w:p w14:paraId="58782159" w14:textId="77777777" w:rsidR="00F6190E" w:rsidRPr="00386B0A" w:rsidRDefault="00F6190E" w:rsidP="00F6190E">
      <w:pPr>
        <w:pStyle w:val="a9"/>
        <w:rPr>
          <w:rFonts w:ascii="David" w:hAnsi="David"/>
          <w:rtl/>
        </w:rPr>
      </w:pPr>
    </w:p>
    <w:p w14:paraId="13A42754" w14:textId="77777777" w:rsidR="00F6190E" w:rsidRDefault="00F6190E" w:rsidP="00F6190E">
      <w:pPr>
        <w:pStyle w:val="a9"/>
        <w:numPr>
          <w:ilvl w:val="0"/>
          <w:numId w:val="1"/>
        </w:numPr>
        <w:spacing w:line="360" w:lineRule="auto"/>
        <w:jc w:val="both"/>
        <w:rPr>
          <w:rFonts w:ascii="David" w:hAnsi="David"/>
        </w:rPr>
      </w:pPr>
      <w:r w:rsidRPr="00386B0A">
        <w:rPr>
          <w:rFonts w:ascii="David" w:hAnsi="David"/>
          <w:rtl/>
        </w:rPr>
        <w:t xml:space="preserve">הענישה המוטלת בעבירות מסוג זה משתנה ממקרה למקרה והיא תלויה בין היתר בכמות הסם (מספר השתילים והמשקל) ובנסיבותיו של הנאשם (עבר פלילי, שיקום, תסקיר חיובי וכיוצב'). עם זאת נקבע לא אחת </w:t>
      </w:r>
      <w:r>
        <w:rPr>
          <w:rFonts w:ascii="David" w:hAnsi="David" w:hint="cs"/>
          <w:rtl/>
        </w:rPr>
        <w:t>ש</w:t>
      </w:r>
      <w:r w:rsidRPr="00386B0A">
        <w:rPr>
          <w:rFonts w:ascii="David" w:hAnsi="David"/>
          <w:rtl/>
        </w:rPr>
        <w:t xml:space="preserve">יש להחמיר עם אלו שמגדלים סמים. </w:t>
      </w:r>
      <w:r>
        <w:rPr>
          <w:rFonts w:ascii="David" w:hAnsi="David" w:hint="cs"/>
          <w:rtl/>
        </w:rPr>
        <w:t xml:space="preserve">ראו למשל: </w:t>
      </w:r>
      <w:hyperlink r:id="rId19" w:history="1">
        <w:r w:rsidR="00E37384" w:rsidRPr="00E37384">
          <w:rPr>
            <w:rFonts w:ascii="David" w:hAnsi="David"/>
            <w:color w:val="0000FF"/>
            <w:u w:val="single"/>
            <w:rtl/>
          </w:rPr>
          <w:t>רע"פ 2917-23</w:t>
        </w:r>
      </w:hyperlink>
      <w:r w:rsidRPr="00AC6E96">
        <w:rPr>
          <w:rFonts w:ascii="David" w:hAnsi="David"/>
          <w:rtl/>
        </w:rPr>
        <w:t xml:space="preserve"> </w:t>
      </w:r>
      <w:r w:rsidRPr="00AC6E96">
        <w:rPr>
          <w:rFonts w:ascii="David" w:hAnsi="David"/>
          <w:b/>
          <w:bCs/>
          <w:rtl/>
        </w:rPr>
        <w:t>אבי וזאנה נ' מדינת ישראל</w:t>
      </w:r>
      <w:r>
        <w:rPr>
          <w:rFonts w:ascii="David" w:hAnsi="David" w:hint="cs"/>
          <w:rtl/>
        </w:rPr>
        <w:t xml:space="preserve"> (24.5.2023):</w:t>
      </w:r>
    </w:p>
    <w:p w14:paraId="1B858CBF" w14:textId="77777777" w:rsidR="00F6190E" w:rsidRPr="00AC6E96" w:rsidRDefault="00F6190E" w:rsidP="00F6190E">
      <w:pPr>
        <w:pStyle w:val="a9"/>
        <w:rPr>
          <w:rFonts w:ascii="David" w:hAnsi="David"/>
          <w:rtl/>
        </w:rPr>
      </w:pPr>
    </w:p>
    <w:p w14:paraId="6D753CF2" w14:textId="77777777" w:rsidR="00F6190E" w:rsidRPr="00AC6E96" w:rsidRDefault="00F6190E" w:rsidP="00F6190E">
      <w:pPr>
        <w:pStyle w:val="a9"/>
        <w:ind w:left="1134" w:right="1134"/>
        <w:jc w:val="both"/>
        <w:rPr>
          <w:rFonts w:ascii="Miriam" w:hAnsi="Miriam" w:cs="Miriam"/>
        </w:rPr>
      </w:pPr>
      <w:r w:rsidRPr="00AC6E96">
        <w:rPr>
          <w:rFonts w:ascii="Miriam" w:hAnsi="Miriam" w:cs="Miriam"/>
          <w:rtl/>
        </w:rPr>
        <w:t>"בית משפט זה הדגיש לא אחת את החומרה הרבה הטמונה בעבירות סמים מסוכנים, הפוגעות בצורה ישירה בצרכני הסמים ויוצרות סכנה עקיפה לציבור בכללותו. עוד הובהר, כי על מנת לגדוע את שרשרת הפצת הסם כבר מראשיתה, יש צורך במדיניות ענישה מחמירה אשר יהיה בה כדי להרתיע עבריינים פוטנציאליים מביצוע עבירות של ייצור, הכנה והפקה של סמים מסוכנים"</w:t>
      </w:r>
    </w:p>
    <w:p w14:paraId="45B00DA5" w14:textId="77777777" w:rsidR="00F6190E" w:rsidRPr="004A587E" w:rsidRDefault="00F6190E" w:rsidP="00F6190E">
      <w:pPr>
        <w:pStyle w:val="a9"/>
        <w:rPr>
          <w:rFonts w:ascii="David" w:hAnsi="David"/>
          <w:rtl/>
        </w:rPr>
      </w:pPr>
    </w:p>
    <w:p w14:paraId="0E0844FE" w14:textId="77777777" w:rsidR="00F6190E" w:rsidRDefault="00F6190E" w:rsidP="00F6190E">
      <w:pPr>
        <w:pStyle w:val="a9"/>
        <w:spacing w:line="360" w:lineRule="auto"/>
        <w:ind w:left="0"/>
        <w:jc w:val="both"/>
        <w:rPr>
          <w:rFonts w:ascii="David" w:hAnsi="David"/>
          <w:rtl/>
        </w:rPr>
      </w:pPr>
      <w:r>
        <w:rPr>
          <w:rFonts w:ascii="David" w:hAnsi="David" w:hint="cs"/>
          <w:rtl/>
        </w:rPr>
        <w:t xml:space="preserve">וראו גם: </w:t>
      </w:r>
      <w:hyperlink r:id="rId20" w:history="1">
        <w:r w:rsidR="00E37384" w:rsidRPr="00E37384">
          <w:rPr>
            <w:rFonts w:ascii="David" w:hAnsi="David"/>
            <w:color w:val="0000FF"/>
            <w:u w:val="single"/>
            <w:rtl/>
          </w:rPr>
          <w:t>ע"פ 4387/20</w:t>
        </w:r>
      </w:hyperlink>
      <w:r w:rsidRPr="00386B0A">
        <w:rPr>
          <w:rFonts w:ascii="David" w:hAnsi="David"/>
          <w:rtl/>
        </w:rPr>
        <w:t xml:space="preserve"> </w:t>
      </w:r>
      <w:r w:rsidRPr="00386B0A">
        <w:rPr>
          <w:rFonts w:ascii="David" w:hAnsi="David"/>
          <w:b/>
          <w:bCs/>
          <w:rtl/>
        </w:rPr>
        <w:t>מדינת ישראל נ' טל דרור</w:t>
      </w:r>
      <w:r>
        <w:rPr>
          <w:rFonts w:ascii="David" w:hAnsi="David"/>
          <w:rtl/>
        </w:rPr>
        <w:t xml:space="preserve"> (8.2.2021)</w:t>
      </w:r>
      <w:r>
        <w:rPr>
          <w:rFonts w:ascii="David" w:hAnsi="David" w:hint="cs"/>
          <w:rtl/>
        </w:rPr>
        <w:t xml:space="preserve">; </w:t>
      </w:r>
      <w:hyperlink r:id="rId21" w:history="1">
        <w:r w:rsidR="00E37384" w:rsidRPr="00E37384">
          <w:rPr>
            <w:rFonts w:ascii="David" w:hAnsi="David"/>
            <w:color w:val="0000FF"/>
            <w:u w:val="single"/>
            <w:rtl/>
          </w:rPr>
          <w:t>רע"פ 3287/21</w:t>
        </w:r>
      </w:hyperlink>
      <w:r w:rsidRPr="00354D93">
        <w:rPr>
          <w:rFonts w:ascii="David" w:hAnsi="David"/>
          <w:rtl/>
        </w:rPr>
        <w:t xml:space="preserve"> </w:t>
      </w:r>
      <w:r w:rsidRPr="00354D93">
        <w:rPr>
          <w:rFonts w:ascii="David" w:hAnsi="David"/>
          <w:b/>
          <w:bCs/>
          <w:rtl/>
        </w:rPr>
        <w:t>זארע עתמין נ' מדינת ישראל</w:t>
      </w:r>
      <w:r w:rsidRPr="00354D93">
        <w:rPr>
          <w:rFonts w:ascii="David" w:hAnsi="David"/>
          <w:rtl/>
        </w:rPr>
        <w:t xml:space="preserve"> (15.2.2021); </w:t>
      </w:r>
      <w:hyperlink r:id="rId22" w:history="1">
        <w:r w:rsidR="00E37384" w:rsidRPr="00E37384">
          <w:rPr>
            <w:rFonts w:ascii="David" w:hAnsi="David"/>
            <w:color w:val="0000FF"/>
            <w:u w:val="single"/>
            <w:rtl/>
          </w:rPr>
          <w:t>ע"פ 8048/19</w:t>
        </w:r>
      </w:hyperlink>
      <w:r w:rsidRPr="00354D93">
        <w:rPr>
          <w:rFonts w:ascii="David" w:hAnsi="David"/>
          <w:rtl/>
        </w:rPr>
        <w:t xml:space="preserve"> </w:t>
      </w:r>
      <w:r w:rsidRPr="00354D93">
        <w:rPr>
          <w:rFonts w:ascii="David" w:hAnsi="David"/>
          <w:b/>
          <w:bCs/>
          <w:rtl/>
        </w:rPr>
        <w:t>פיצ'חדזה נ' מדינת ישראל</w:t>
      </w:r>
      <w:r>
        <w:rPr>
          <w:rFonts w:ascii="David" w:hAnsi="David"/>
          <w:rtl/>
        </w:rPr>
        <w:t xml:space="preserve"> (4.6.2020)</w:t>
      </w:r>
      <w:r>
        <w:rPr>
          <w:rFonts w:ascii="David" w:hAnsi="David" w:hint="cs"/>
          <w:rtl/>
        </w:rPr>
        <w:t xml:space="preserve">; </w:t>
      </w:r>
      <w:hyperlink r:id="rId23" w:history="1">
        <w:r w:rsidR="00E37384" w:rsidRPr="00E37384">
          <w:rPr>
            <w:rFonts w:ascii="David" w:hAnsi="David"/>
            <w:color w:val="0000FF"/>
            <w:u w:val="single"/>
            <w:rtl/>
          </w:rPr>
          <w:t>רע"פ 1530/23</w:t>
        </w:r>
      </w:hyperlink>
      <w:r w:rsidRPr="004A587E">
        <w:rPr>
          <w:rFonts w:ascii="David" w:hAnsi="David"/>
          <w:rtl/>
        </w:rPr>
        <w:t xml:space="preserve"> </w:t>
      </w:r>
      <w:r w:rsidRPr="004A587E">
        <w:rPr>
          <w:rFonts w:ascii="David" w:hAnsi="David"/>
          <w:b/>
          <w:bCs/>
          <w:rtl/>
        </w:rPr>
        <w:t>רגב נ' מדינת ישראל</w:t>
      </w:r>
      <w:r>
        <w:rPr>
          <w:rFonts w:ascii="David" w:hAnsi="David" w:hint="cs"/>
          <w:rtl/>
        </w:rPr>
        <w:t xml:space="preserve"> </w:t>
      </w:r>
      <w:r w:rsidRPr="004A587E">
        <w:rPr>
          <w:rFonts w:ascii="David" w:hAnsi="David"/>
          <w:rtl/>
        </w:rPr>
        <w:t xml:space="preserve">(15.3.2023) </w:t>
      </w:r>
      <w:hyperlink r:id="rId24" w:history="1">
        <w:r w:rsidR="00E37384" w:rsidRPr="00E37384">
          <w:rPr>
            <w:rFonts w:ascii="David" w:hAnsi="David"/>
            <w:color w:val="0000FF"/>
            <w:u w:val="single"/>
            <w:rtl/>
          </w:rPr>
          <w:t>רע"פ 3287/21</w:t>
        </w:r>
      </w:hyperlink>
      <w:r w:rsidRPr="004A587E">
        <w:rPr>
          <w:rFonts w:ascii="David" w:hAnsi="David"/>
          <w:rtl/>
        </w:rPr>
        <w:t xml:space="preserve"> </w:t>
      </w:r>
      <w:r w:rsidRPr="004A587E">
        <w:rPr>
          <w:rFonts w:ascii="David" w:hAnsi="David"/>
          <w:b/>
          <w:bCs/>
          <w:rtl/>
        </w:rPr>
        <w:t>עתמין נ' מדינת ישראל</w:t>
      </w:r>
      <w:r w:rsidRPr="004A587E">
        <w:rPr>
          <w:rFonts w:ascii="David" w:hAnsi="David"/>
          <w:rtl/>
        </w:rPr>
        <w:t xml:space="preserve"> (12.5.2021))</w:t>
      </w:r>
    </w:p>
    <w:p w14:paraId="6E4B73C7" w14:textId="77777777" w:rsidR="00F6190E" w:rsidRDefault="00F6190E" w:rsidP="00F6190E">
      <w:pPr>
        <w:ind w:right="1134"/>
        <w:jc w:val="both"/>
        <w:rPr>
          <w:rFonts w:ascii="David" w:hAnsi="David"/>
          <w:rtl/>
        </w:rPr>
      </w:pPr>
    </w:p>
    <w:p w14:paraId="5FA57946" w14:textId="77777777" w:rsidR="00F6190E" w:rsidRDefault="00F6190E" w:rsidP="00F6190E">
      <w:pPr>
        <w:pStyle w:val="a9"/>
        <w:numPr>
          <w:ilvl w:val="0"/>
          <w:numId w:val="1"/>
        </w:numPr>
        <w:spacing w:line="360" w:lineRule="auto"/>
        <w:jc w:val="both"/>
        <w:rPr>
          <w:rFonts w:ascii="David" w:hAnsi="David"/>
        </w:rPr>
      </w:pPr>
      <w:r w:rsidRPr="00AC6E96">
        <w:rPr>
          <w:rFonts w:ascii="David" w:hAnsi="David"/>
          <w:rtl/>
        </w:rPr>
        <w:t>לצורך בחינת מדיניות הענישה הנוהגת ניתן להפנות לפסקי הדין הבאים, בשינויים המחויבים:</w:t>
      </w:r>
      <w:r>
        <w:rPr>
          <w:rFonts w:ascii="David" w:hAnsi="David" w:hint="cs"/>
          <w:rtl/>
        </w:rPr>
        <w:t xml:space="preserve"> </w:t>
      </w:r>
      <w:hyperlink r:id="rId25" w:history="1">
        <w:r w:rsidR="00E37384" w:rsidRPr="00E37384">
          <w:rPr>
            <w:rFonts w:ascii="David" w:hAnsi="David"/>
            <w:color w:val="0000FF"/>
            <w:u w:val="single"/>
            <w:rtl/>
          </w:rPr>
          <w:t>רע"פ 2917/23</w:t>
        </w:r>
      </w:hyperlink>
      <w:r w:rsidRPr="00CC137D">
        <w:rPr>
          <w:rFonts w:ascii="David" w:hAnsi="David"/>
          <w:rtl/>
        </w:rPr>
        <w:t xml:space="preserve"> </w:t>
      </w:r>
      <w:r w:rsidRPr="00CC137D">
        <w:rPr>
          <w:rFonts w:ascii="David" w:hAnsi="David"/>
          <w:b/>
          <w:bCs/>
          <w:rtl/>
        </w:rPr>
        <w:t>אבי וזאנה נ' מדינת ישראל</w:t>
      </w:r>
      <w:r w:rsidRPr="00CC137D">
        <w:rPr>
          <w:rFonts w:ascii="David" w:hAnsi="David"/>
          <w:rtl/>
        </w:rPr>
        <w:t xml:space="preserve"> (24.5.2023), בו הוחמר עונשו של נאשם שגידל 369 שתילים במשקל של למעלה מ-48 ק"ג ממאסר לריצוי בעבודות שירות ל-16 חודשי מאסר בפועל</w:t>
      </w:r>
      <w:r>
        <w:rPr>
          <w:rFonts w:ascii="David" w:hAnsi="David" w:hint="cs"/>
          <w:rtl/>
        </w:rPr>
        <w:t xml:space="preserve">; </w:t>
      </w:r>
      <w:hyperlink r:id="rId26" w:history="1">
        <w:r w:rsidR="00E37384" w:rsidRPr="00E37384">
          <w:rPr>
            <w:rFonts w:ascii="David" w:hAnsi="David"/>
            <w:color w:val="0000FF"/>
            <w:u w:val="single"/>
            <w:rtl/>
          </w:rPr>
          <w:t>רע"פ 2767-23</w:t>
        </w:r>
      </w:hyperlink>
      <w:r w:rsidRPr="00BF4170">
        <w:rPr>
          <w:rFonts w:ascii="David" w:hAnsi="David"/>
          <w:rtl/>
        </w:rPr>
        <w:t xml:space="preserve"> </w:t>
      </w:r>
      <w:r w:rsidRPr="00BF4170">
        <w:rPr>
          <w:rFonts w:ascii="David" w:hAnsi="David"/>
          <w:b/>
          <w:bCs/>
          <w:rtl/>
        </w:rPr>
        <w:t>אור אפללו נ' מדינת ישראל</w:t>
      </w:r>
      <w:r>
        <w:rPr>
          <w:rFonts w:ascii="David" w:hAnsi="David" w:hint="cs"/>
          <w:rtl/>
        </w:rPr>
        <w:t xml:space="preserve"> (17.4.2023), בו נידון עניינו של נאשם שגידל 289 שתילי קנבוס במשקל 41 ק"ג והורשע בעבירת סיוע לגידול סם, החזקת סם שלא לצריכה עצמית, החזקת כלים ועבירות נוספות. כן צרף הנאשם שני תיקים בעבירות סחר בסמים והחזקת סמים. בית המשפט המחוזי הקל בעונשו וגזר עליו 10 חודשי מאסר בפועל (חלף 12 חודשי מאסר). בקשת רשות ערעור שהגיש נדחתה ובית המשפט העליון ציין כי </w:t>
      </w:r>
      <w:r w:rsidRPr="00CB25CF">
        <w:rPr>
          <w:rFonts w:ascii="Miriam" w:hAnsi="Miriam" w:cs="Miriam"/>
          <w:rtl/>
        </w:rPr>
        <w:t>"לא מצאתי כי יש בעונשו של המבקש משום סטייה ניכרת ממדיניות הענישה הנוהגת במקרים דומים</w:t>
      </w:r>
      <w:r>
        <w:rPr>
          <w:rFonts w:ascii="Miriam" w:hAnsi="Miriam" w:cs="Miriam" w:hint="cs"/>
          <w:rtl/>
        </w:rPr>
        <w:t>"</w:t>
      </w:r>
      <w:r>
        <w:rPr>
          <w:rFonts w:ascii="David" w:hAnsi="David" w:hint="cs"/>
          <w:rtl/>
        </w:rPr>
        <w:t xml:space="preserve">. כן ראו </w:t>
      </w:r>
      <w:hyperlink r:id="rId27" w:history="1">
        <w:r w:rsidR="00E37384" w:rsidRPr="00E37384">
          <w:rPr>
            <w:rFonts w:ascii="David" w:hAnsi="David"/>
            <w:color w:val="0000FF"/>
            <w:u w:val="single"/>
            <w:rtl/>
          </w:rPr>
          <w:t>רע"פ 1530-23</w:t>
        </w:r>
      </w:hyperlink>
      <w:r w:rsidRPr="003915EF">
        <w:rPr>
          <w:rFonts w:ascii="David" w:hAnsi="David"/>
          <w:rtl/>
        </w:rPr>
        <w:t xml:space="preserve"> </w:t>
      </w:r>
      <w:r w:rsidRPr="003915EF">
        <w:rPr>
          <w:rFonts w:ascii="David" w:hAnsi="David"/>
          <w:b/>
          <w:bCs/>
          <w:rtl/>
        </w:rPr>
        <w:t>הדר רגב נ' מדינת ישראל</w:t>
      </w:r>
      <w:r>
        <w:rPr>
          <w:rFonts w:ascii="David" w:hAnsi="David" w:hint="cs"/>
          <w:rtl/>
        </w:rPr>
        <w:t xml:space="preserve"> (15.3.2023), בו נידון עניינו של שותף אחר באותה פרשה עליו נגזרו 14 חודשי מאסר בפועל. ערעור ובקשת רשות ערעור שהגיש נדחו. </w:t>
      </w:r>
      <w:r w:rsidRPr="00CC137D">
        <w:rPr>
          <w:rFonts w:ascii="David" w:hAnsi="David"/>
          <w:rtl/>
        </w:rPr>
        <w:t xml:space="preserve">בית המשפט העליון ציין כי </w:t>
      </w:r>
      <w:r w:rsidRPr="00CC137D">
        <w:rPr>
          <w:rFonts w:ascii="Miriam" w:hAnsi="Miriam" w:cs="Miriam"/>
          <w:rtl/>
        </w:rPr>
        <w:t>"עונש זה אינו בגדר סטייה מהותית ממדיניות הענישה הנוהגת בנסיבות דומות, שכן הוא מיישם באופן הולם את כללי רכיבי הענישה הקבועים בדין"</w:t>
      </w:r>
      <w:r>
        <w:rPr>
          <w:rFonts w:ascii="David" w:hAnsi="David" w:hint="cs"/>
          <w:rtl/>
        </w:rPr>
        <w:t xml:space="preserve">; </w:t>
      </w:r>
      <w:hyperlink r:id="rId28" w:history="1">
        <w:r w:rsidR="00E37384" w:rsidRPr="00E37384">
          <w:rPr>
            <w:rFonts w:ascii="David" w:hAnsi="David"/>
            <w:color w:val="0000FF"/>
            <w:u w:val="single"/>
            <w:rtl/>
          </w:rPr>
          <w:t>רע"פ 3097-22</w:t>
        </w:r>
      </w:hyperlink>
      <w:r w:rsidRPr="00011982">
        <w:rPr>
          <w:rFonts w:ascii="David" w:hAnsi="David"/>
          <w:rtl/>
        </w:rPr>
        <w:t xml:space="preserve"> </w:t>
      </w:r>
      <w:r w:rsidRPr="00011982">
        <w:rPr>
          <w:rFonts w:ascii="David" w:hAnsi="David"/>
          <w:b/>
          <w:bCs/>
          <w:rtl/>
        </w:rPr>
        <w:t>אביב פפו נ' מדינת ישראל</w:t>
      </w:r>
      <w:r>
        <w:rPr>
          <w:rFonts w:ascii="David" w:hAnsi="David" w:hint="cs"/>
          <w:rtl/>
        </w:rPr>
        <w:t xml:space="preserve"> (10.5.2022), בו נידון עניינו של נאשם שגידל ביחד עם אחר קנבוס במשקל של 32 ק"ג (לא צוינו מספר השתילים) במעבדה שכללה ציוד רב. על הנאשם נגזרו 12 חודשי מאסר בפועל וערעור ובקשת רשות ערעור שהגיש נדחו; </w:t>
      </w:r>
      <w:hyperlink r:id="rId29" w:history="1">
        <w:r w:rsidR="00E37384" w:rsidRPr="00E37384">
          <w:rPr>
            <w:rFonts w:ascii="David" w:hAnsi="David"/>
            <w:color w:val="0000FF"/>
            <w:u w:val="single"/>
            <w:rtl/>
          </w:rPr>
          <w:t>רע"פ 7166-23</w:t>
        </w:r>
      </w:hyperlink>
      <w:r w:rsidRPr="00CC137D">
        <w:rPr>
          <w:rFonts w:ascii="David" w:hAnsi="David"/>
          <w:rtl/>
        </w:rPr>
        <w:t xml:space="preserve"> </w:t>
      </w:r>
      <w:r w:rsidRPr="00CC137D">
        <w:rPr>
          <w:rFonts w:ascii="David" w:hAnsi="David"/>
          <w:b/>
          <w:bCs/>
          <w:rtl/>
        </w:rPr>
        <w:t>עופר אמסלם נ' מדינת ישראל</w:t>
      </w:r>
      <w:r w:rsidRPr="00CC137D">
        <w:rPr>
          <w:rFonts w:ascii="David" w:hAnsi="David"/>
          <w:rtl/>
        </w:rPr>
        <w:t xml:space="preserve"> (28.9.2023), בו נידון עניינו של נאשם שהורשע בשני כתבי אישום בעבירות גידול סמים, החזקת סמים והחזקת כלים בכך שבשני מועדים נתפס מגדל ב</w:t>
      </w:r>
      <w:r>
        <w:rPr>
          <w:rFonts w:ascii="David" w:hAnsi="David" w:hint="cs"/>
          <w:rtl/>
        </w:rPr>
        <w:t xml:space="preserve">שתי </w:t>
      </w:r>
      <w:r w:rsidRPr="00CC137D">
        <w:rPr>
          <w:rFonts w:ascii="David" w:hAnsi="David"/>
          <w:rtl/>
        </w:rPr>
        <w:t>מעבדות סמים שהקים</w:t>
      </w:r>
      <w:r>
        <w:rPr>
          <w:rFonts w:ascii="David" w:hAnsi="David" w:hint="cs"/>
          <w:rtl/>
        </w:rPr>
        <w:t xml:space="preserve"> 98 שתילים וכן 99 שתילים</w:t>
      </w:r>
      <w:r w:rsidRPr="00CC137D">
        <w:rPr>
          <w:rFonts w:ascii="David" w:hAnsi="David"/>
          <w:rtl/>
        </w:rPr>
        <w:t xml:space="preserve"> </w:t>
      </w:r>
      <w:r>
        <w:rPr>
          <w:rFonts w:ascii="David" w:hAnsi="David" w:hint="cs"/>
          <w:rtl/>
        </w:rPr>
        <w:t xml:space="preserve">של </w:t>
      </w:r>
      <w:r w:rsidRPr="00CC137D">
        <w:rPr>
          <w:rFonts w:ascii="David" w:hAnsi="David"/>
          <w:rtl/>
        </w:rPr>
        <w:t>קנבוס. בית משפט השלום קבע מתחם ענישה לכל כתב האישום הנע בין 10-36 חודשי מאסר בפועל והנאשם נידון לתשעה חודשי מאסר לריצוי בעבודות שירות. ערעור המדינה התקבל ועונשו הוחמר ל-10 חודשי מאסר ובקשת רשות ערעור שהגיש נדחתה</w:t>
      </w:r>
      <w:r>
        <w:rPr>
          <w:rFonts w:ascii="David" w:hAnsi="David" w:hint="cs"/>
          <w:rtl/>
        </w:rPr>
        <w:t xml:space="preserve">; </w:t>
      </w:r>
      <w:hyperlink r:id="rId30" w:history="1">
        <w:r w:rsidR="00E37384" w:rsidRPr="00E37384">
          <w:rPr>
            <w:rFonts w:ascii="David" w:hAnsi="David"/>
            <w:color w:val="0000FF"/>
            <w:u w:val="single"/>
            <w:rtl/>
          </w:rPr>
          <w:t>ת"פ 49387-04-24</w:t>
        </w:r>
      </w:hyperlink>
      <w:r w:rsidRPr="00CC137D">
        <w:rPr>
          <w:rFonts w:ascii="David" w:hAnsi="David"/>
          <w:rtl/>
        </w:rPr>
        <w:t xml:space="preserve"> </w:t>
      </w:r>
      <w:r w:rsidRPr="00CC137D">
        <w:rPr>
          <w:rFonts w:ascii="David" w:hAnsi="David"/>
          <w:b/>
          <w:bCs/>
          <w:rtl/>
        </w:rPr>
        <w:t>מדינת ישראל נ' אושרי בוסקילה</w:t>
      </w:r>
      <w:r>
        <w:rPr>
          <w:rFonts w:ascii="David" w:hAnsi="David" w:hint="cs"/>
          <w:rtl/>
        </w:rPr>
        <w:t xml:space="preserve"> (16.7.2024), בו נדון נאשם לתשעה חודשי מאסר לריצוי בעבודות שירות בגין הקמת מעבדת סמים מצוידת בכלים בה גידל 163 שתילי קנבוס במשקל כולל של 13 ק"ג. </w:t>
      </w:r>
    </w:p>
    <w:p w14:paraId="6A2A667E" w14:textId="77777777" w:rsidR="00F6190E" w:rsidRDefault="00F6190E" w:rsidP="00F6190E">
      <w:pPr>
        <w:pStyle w:val="a9"/>
        <w:ind w:left="0"/>
        <w:jc w:val="both"/>
        <w:rPr>
          <w:rFonts w:ascii="David" w:hAnsi="David"/>
        </w:rPr>
      </w:pPr>
    </w:p>
    <w:p w14:paraId="77AAD779" w14:textId="77777777" w:rsidR="00F6190E" w:rsidRDefault="00F6190E" w:rsidP="00F6190E">
      <w:pPr>
        <w:pStyle w:val="a9"/>
        <w:numPr>
          <w:ilvl w:val="0"/>
          <w:numId w:val="1"/>
        </w:numPr>
        <w:spacing w:line="360" w:lineRule="auto"/>
        <w:jc w:val="both"/>
        <w:rPr>
          <w:rFonts w:ascii="David" w:hAnsi="David"/>
        </w:rPr>
      </w:pPr>
      <w:r w:rsidRPr="00CC137D">
        <w:rPr>
          <w:rFonts w:ascii="David" w:hAnsi="David"/>
          <w:rtl/>
        </w:rPr>
        <w:t xml:space="preserve">לאור כל זאת, אני בדעה כי מתחם הענישה ההולם את העבירות מושא ענייננו, בנסיבות ביצוען, נע בין </w:t>
      </w:r>
      <w:r>
        <w:rPr>
          <w:rFonts w:ascii="David" w:hAnsi="David" w:hint="cs"/>
          <w:rtl/>
        </w:rPr>
        <w:t>9</w:t>
      </w:r>
      <w:r w:rsidRPr="00CC137D">
        <w:rPr>
          <w:rFonts w:ascii="David" w:hAnsi="David"/>
          <w:rtl/>
        </w:rPr>
        <w:t xml:space="preserve"> חודשי מאסר בפועל ועד </w:t>
      </w:r>
      <w:r>
        <w:rPr>
          <w:rFonts w:ascii="David" w:hAnsi="David" w:hint="cs"/>
          <w:rtl/>
        </w:rPr>
        <w:t>26</w:t>
      </w:r>
      <w:r w:rsidRPr="00CC137D">
        <w:rPr>
          <w:rFonts w:ascii="David" w:hAnsi="David"/>
          <w:rtl/>
        </w:rPr>
        <w:t xml:space="preserve"> חודשי מאסר בפועל.</w:t>
      </w:r>
    </w:p>
    <w:p w14:paraId="701925C7" w14:textId="77777777" w:rsidR="00F6190E" w:rsidRDefault="00F6190E" w:rsidP="00F6190E">
      <w:pPr>
        <w:pStyle w:val="a9"/>
        <w:rPr>
          <w:rFonts w:ascii="David" w:hAnsi="David"/>
          <w:rtl/>
        </w:rPr>
      </w:pPr>
    </w:p>
    <w:p w14:paraId="0FCB47FF" w14:textId="77777777" w:rsidR="00F6190E" w:rsidRPr="00CC137D" w:rsidRDefault="00F6190E" w:rsidP="00F6190E">
      <w:pPr>
        <w:rPr>
          <w:rFonts w:ascii="David" w:hAnsi="David"/>
          <w:rtl/>
        </w:rPr>
      </w:pPr>
      <w:r>
        <w:rPr>
          <w:rFonts w:ascii="David" w:hAnsi="David"/>
          <w:b/>
          <w:bCs/>
          <w:color w:val="000000"/>
          <w:u w:val="single"/>
          <w:rtl/>
        </w:rPr>
        <w:t>קביעת עונשו של הנאשם</w:t>
      </w:r>
    </w:p>
    <w:p w14:paraId="0495A921" w14:textId="77777777" w:rsidR="00F6190E" w:rsidRPr="00CC137D" w:rsidRDefault="00F6190E" w:rsidP="00F6190E">
      <w:pPr>
        <w:pStyle w:val="a9"/>
        <w:rPr>
          <w:rFonts w:ascii="David" w:hAnsi="David"/>
          <w:rtl/>
        </w:rPr>
      </w:pPr>
    </w:p>
    <w:p w14:paraId="7C85FFE5" w14:textId="77777777" w:rsidR="00F6190E" w:rsidRDefault="00F6190E" w:rsidP="00F6190E">
      <w:pPr>
        <w:pStyle w:val="a9"/>
        <w:numPr>
          <w:ilvl w:val="0"/>
          <w:numId w:val="1"/>
        </w:numPr>
        <w:spacing w:line="360" w:lineRule="auto"/>
        <w:jc w:val="both"/>
        <w:rPr>
          <w:rFonts w:ascii="David" w:hAnsi="David"/>
        </w:rPr>
      </w:pPr>
      <w:r w:rsidRPr="00CC137D">
        <w:rPr>
          <w:rFonts w:ascii="David" w:hAnsi="David"/>
          <w:rtl/>
        </w:rPr>
        <w:t>לא הייתה מחלוקת בין הצדדים כי העונש אמור להיגזר בגדרי מתחם הענישה</w:t>
      </w:r>
      <w:r>
        <w:rPr>
          <w:rFonts w:ascii="David" w:hAnsi="David" w:hint="cs"/>
          <w:rtl/>
        </w:rPr>
        <w:t xml:space="preserve"> וכל צד עתר למקם את העונש בגדרי המתחם לו טען</w:t>
      </w:r>
      <w:r w:rsidRPr="00DA0EC1">
        <w:rPr>
          <w:rFonts w:ascii="David" w:hAnsi="David"/>
          <w:rtl/>
        </w:rPr>
        <w:t xml:space="preserve">. מתסקיר שירות המבחן עולה תמונה של צעיר </w:t>
      </w:r>
      <w:r>
        <w:rPr>
          <w:rFonts w:ascii="David" w:hAnsi="David" w:hint="cs"/>
          <w:rtl/>
        </w:rPr>
        <w:t>הסובל מבעיית הימורים שלא אובחנה עד תום וממילא שלא טופלה. הנאשם</w:t>
      </w:r>
      <w:r>
        <w:rPr>
          <w:rFonts w:ascii="David" w:hAnsi="David"/>
          <w:rtl/>
        </w:rPr>
        <w:t xml:space="preserve"> </w:t>
      </w:r>
      <w:r>
        <w:rPr>
          <w:rFonts w:ascii="David" w:hAnsi="David" w:hint="cs"/>
          <w:rtl/>
        </w:rPr>
        <w:t>לא הסכים לעבור הליך טיפולי (ובעניין זה התרשמות קצינת המבחן נאמנה עלי ואציין בכל מקרה שהנאשם לא ביקש תסקיר משלים או הזדמנות נוספת)</w:t>
      </w:r>
      <w:r>
        <w:rPr>
          <w:rFonts w:ascii="David" w:hAnsi="David" w:hint="cs"/>
        </w:rPr>
        <w:t xml:space="preserve"> </w:t>
      </w:r>
      <w:r>
        <w:rPr>
          <w:rFonts w:ascii="David" w:hAnsi="David" w:hint="cs"/>
          <w:rtl/>
        </w:rPr>
        <w:t>וההתרשמות היא מסיכון להישנות עבירות בעתיד</w:t>
      </w:r>
      <w:r w:rsidRPr="00DA0EC1">
        <w:rPr>
          <w:rFonts w:ascii="David" w:hAnsi="David"/>
          <w:rtl/>
        </w:rPr>
        <w:t xml:space="preserve">. הנאשם אף לא קיבל אחריות מלאה למעשיו בפני שירות המבחן </w:t>
      </w:r>
      <w:r>
        <w:rPr>
          <w:rFonts w:ascii="David" w:hAnsi="David" w:hint="cs"/>
          <w:rtl/>
        </w:rPr>
        <w:t xml:space="preserve">(במובן זה שהקטין את אחריותו בכך שטען שגידל הסמים לשימוש עצמי בלבד) </w:t>
      </w:r>
      <w:r w:rsidRPr="00DA0EC1">
        <w:rPr>
          <w:rFonts w:ascii="David" w:hAnsi="David"/>
          <w:rtl/>
        </w:rPr>
        <w:t xml:space="preserve">והתמונה הכללית היא אפוא של מי שלא הראה שקיימים בעניינו סיכויי שיקום המצדיקים התחשבות עונשית, כמו גם </w:t>
      </w:r>
      <w:r>
        <w:rPr>
          <w:rFonts w:ascii="David" w:hAnsi="David" w:hint="cs"/>
          <w:rtl/>
        </w:rPr>
        <w:t xml:space="preserve">שנדמה כי </w:t>
      </w:r>
      <w:r w:rsidRPr="00DA0EC1">
        <w:rPr>
          <w:rFonts w:ascii="David" w:hAnsi="David"/>
          <w:rtl/>
        </w:rPr>
        <w:t>טמונה בו מסוכנות שלא</w:t>
      </w:r>
      <w:r>
        <w:rPr>
          <w:rFonts w:ascii="David" w:hAnsi="David" w:hint="cs"/>
          <w:rtl/>
        </w:rPr>
        <w:t xml:space="preserve"> הוסרה לרמה סבירה</w:t>
      </w:r>
      <w:r w:rsidRPr="00DA0EC1">
        <w:rPr>
          <w:rFonts w:ascii="David" w:hAnsi="David"/>
          <w:rtl/>
        </w:rPr>
        <w:t>.</w:t>
      </w:r>
      <w:r>
        <w:rPr>
          <w:rFonts w:ascii="David" w:hAnsi="David" w:hint="cs"/>
          <w:rtl/>
        </w:rPr>
        <w:t xml:space="preserve"> </w:t>
      </w:r>
    </w:p>
    <w:p w14:paraId="3BB6FB23" w14:textId="77777777" w:rsidR="00F6190E" w:rsidRDefault="00F6190E" w:rsidP="00F6190E">
      <w:pPr>
        <w:pStyle w:val="a9"/>
        <w:spacing w:line="360" w:lineRule="auto"/>
        <w:ind w:left="0"/>
        <w:jc w:val="both"/>
        <w:rPr>
          <w:rFonts w:ascii="David" w:hAnsi="David"/>
        </w:rPr>
      </w:pPr>
    </w:p>
    <w:p w14:paraId="75CD4CCC" w14:textId="77777777" w:rsidR="00F6190E" w:rsidRDefault="00F6190E" w:rsidP="00F6190E">
      <w:pPr>
        <w:pStyle w:val="a9"/>
        <w:numPr>
          <w:ilvl w:val="0"/>
          <w:numId w:val="1"/>
        </w:numPr>
        <w:spacing w:line="360" w:lineRule="auto"/>
        <w:jc w:val="both"/>
        <w:rPr>
          <w:rFonts w:ascii="David" w:hAnsi="David"/>
        </w:rPr>
      </w:pPr>
      <w:r w:rsidRPr="001C6426">
        <w:rPr>
          <w:rFonts w:ascii="David" w:hAnsi="David" w:hint="cs"/>
          <w:rtl/>
        </w:rPr>
        <w:t xml:space="preserve">עם זאת, </w:t>
      </w:r>
      <w:r>
        <w:rPr>
          <w:rFonts w:ascii="David" w:hAnsi="David" w:hint="cs"/>
          <w:rtl/>
        </w:rPr>
        <w:t xml:space="preserve">מדובר בצעיר שעברו נקי. הוא קיבל אחריות למעשיו בבית המשפט (בסייג שפורט לעיל) ובכך חסך בזמן שיפוטי. הוא אב לילדים קטינים. אכן, </w:t>
      </w:r>
      <w:r w:rsidRPr="001C6426">
        <w:rPr>
          <w:rFonts w:ascii="David" w:hAnsi="David"/>
          <w:rtl/>
        </w:rPr>
        <w:t>העביר</w:t>
      </w:r>
      <w:r w:rsidRPr="001C6426">
        <w:rPr>
          <w:rFonts w:ascii="David" w:hAnsi="David" w:hint="cs"/>
          <w:rtl/>
        </w:rPr>
        <w:t>ות</w:t>
      </w:r>
      <w:r w:rsidRPr="001C6426">
        <w:rPr>
          <w:rFonts w:ascii="David" w:hAnsi="David"/>
          <w:rtl/>
        </w:rPr>
        <w:t xml:space="preserve"> בה</w:t>
      </w:r>
      <w:r w:rsidRPr="001C6426">
        <w:rPr>
          <w:rFonts w:ascii="David" w:hAnsi="David" w:hint="cs"/>
          <w:rtl/>
        </w:rPr>
        <w:t>ן</w:t>
      </w:r>
      <w:r w:rsidRPr="001C6426">
        <w:rPr>
          <w:rFonts w:ascii="David" w:hAnsi="David"/>
          <w:rtl/>
        </w:rPr>
        <w:t xml:space="preserve"> חטא חמור</w:t>
      </w:r>
      <w:r w:rsidRPr="001C6426">
        <w:rPr>
          <w:rFonts w:ascii="David" w:hAnsi="David" w:hint="cs"/>
          <w:rtl/>
        </w:rPr>
        <w:t>ות</w:t>
      </w:r>
      <w:r w:rsidRPr="001C6426">
        <w:rPr>
          <w:rFonts w:ascii="David" w:hAnsi="David"/>
          <w:rtl/>
        </w:rPr>
        <w:t xml:space="preserve"> וראוי</w:t>
      </w:r>
      <w:r w:rsidRPr="001C6426">
        <w:rPr>
          <w:rFonts w:ascii="David" w:hAnsi="David" w:hint="cs"/>
          <w:rtl/>
        </w:rPr>
        <w:t>ות</w:t>
      </w:r>
      <w:r w:rsidRPr="001C6426">
        <w:rPr>
          <w:rFonts w:ascii="David" w:hAnsi="David"/>
          <w:rtl/>
        </w:rPr>
        <w:t xml:space="preserve"> לתגובה עונשית הולמת</w:t>
      </w:r>
      <w:r w:rsidRPr="001C6426">
        <w:rPr>
          <w:rFonts w:ascii="David" w:hAnsi="David" w:hint="cs"/>
          <w:rtl/>
        </w:rPr>
        <w:t xml:space="preserve"> </w:t>
      </w:r>
      <w:r>
        <w:rPr>
          <w:rFonts w:ascii="David" w:hAnsi="David" w:hint="cs"/>
          <w:rtl/>
        </w:rPr>
        <w:t xml:space="preserve">ומשכך בחנתי את עמדת המאשימה לענישה בכליאה, אך סברתי כי זו מחמירה מידי בנסיבות העניין וכי ניתן להשיג את תכליות הענישה השונות גם מבלי לכלוא את הנאשם אלא בכך שיתאפשר לו לשאת את עונשו בעבודות שירות. </w:t>
      </w:r>
      <w:r w:rsidRPr="0067577B">
        <w:rPr>
          <w:rFonts w:ascii="David" w:hAnsi="David" w:hint="cs"/>
          <w:rtl/>
        </w:rPr>
        <w:t xml:space="preserve">עונש מאסר בכליאה </w:t>
      </w:r>
      <w:r w:rsidRPr="0067577B">
        <w:rPr>
          <w:rFonts w:ascii="David" w:hAnsi="David"/>
          <w:rtl/>
        </w:rPr>
        <w:t>הוא עונש קשה וחמור ונלוות לו השפעות קשות ושליליות רבות, פיזיות, רגשיות וכלכליות. כן סובלת מכך משפחתו. מחקרים מלמדים שעונש מאסר בכליאה גורם לא אחת להטמעת ערכים עברייניים (אפקט קרימינוגני), דבר שגורם לפגיעה לא רק בנאשם, אלא אף בחברה כולה (ראו בנושא דו"ח הועדה הציבורית לבחינת מדיניות הענישה והטיפול בעבריינים, 2015 (המכונה "</w:t>
      </w:r>
      <w:r w:rsidRPr="0067577B">
        <w:rPr>
          <w:rFonts w:ascii="David" w:hAnsi="David"/>
          <w:b/>
          <w:bCs/>
          <w:rtl/>
        </w:rPr>
        <w:t>דו"ח ועדת דורנר</w:t>
      </w:r>
      <w:r w:rsidRPr="0067577B">
        <w:rPr>
          <w:rFonts w:ascii="David" w:hAnsi="David"/>
          <w:rtl/>
        </w:rPr>
        <w:t xml:space="preserve">"); </w:t>
      </w:r>
      <w:hyperlink r:id="rId31" w:history="1">
        <w:r w:rsidR="00E37384" w:rsidRPr="00E37384">
          <w:rPr>
            <w:rFonts w:ascii="David" w:hAnsi="David"/>
            <w:color w:val="0000FF"/>
            <w:u w:val="single"/>
            <w:rtl/>
          </w:rPr>
          <w:t>רע"פ 356/14</w:t>
        </w:r>
      </w:hyperlink>
      <w:r w:rsidRPr="0067577B">
        <w:rPr>
          <w:rFonts w:ascii="David" w:hAnsi="David"/>
          <w:rtl/>
        </w:rPr>
        <w:t xml:space="preserve"> </w:t>
      </w:r>
      <w:r w:rsidRPr="0067577B">
        <w:rPr>
          <w:rFonts w:ascii="David" w:hAnsi="David"/>
          <w:b/>
          <w:bCs/>
          <w:rtl/>
        </w:rPr>
        <w:t>קפרוב נ' מדינת ישראל</w:t>
      </w:r>
      <w:r w:rsidRPr="0067577B">
        <w:rPr>
          <w:rFonts w:ascii="David" w:hAnsi="David"/>
          <w:rtl/>
        </w:rPr>
        <w:t xml:space="preserve"> (3.10.2017); פסקה 33).</w:t>
      </w:r>
      <w:r w:rsidRPr="0067577B">
        <w:rPr>
          <w:rFonts w:ascii="David" w:hAnsi="David" w:hint="cs"/>
          <w:rtl/>
        </w:rPr>
        <w:t xml:space="preserve"> ע</w:t>
      </w:r>
      <w:r w:rsidRPr="0067577B">
        <w:rPr>
          <w:rFonts w:ascii="David" w:hAnsi="David"/>
          <w:rtl/>
        </w:rPr>
        <w:t>ל רקע נתוני</w:t>
      </w:r>
      <w:r w:rsidRPr="0067577B">
        <w:rPr>
          <w:rFonts w:ascii="David" w:hAnsi="David" w:hint="cs"/>
          <w:rtl/>
        </w:rPr>
        <w:t xml:space="preserve"> הנאשם</w:t>
      </w:r>
      <w:r>
        <w:rPr>
          <w:rFonts w:ascii="David" w:hAnsi="David" w:hint="cs"/>
          <w:rtl/>
        </w:rPr>
        <w:t>, כאמור לעיל,</w:t>
      </w:r>
      <w:r w:rsidRPr="0067577B">
        <w:rPr>
          <w:rFonts w:ascii="David" w:hAnsi="David" w:hint="cs"/>
          <w:rtl/>
        </w:rPr>
        <w:t xml:space="preserve"> </w:t>
      </w:r>
      <w:r w:rsidRPr="0067577B">
        <w:rPr>
          <w:rFonts w:ascii="David" w:hAnsi="David"/>
          <w:rtl/>
        </w:rPr>
        <w:t xml:space="preserve">ראיתי בסופו של יום להימנע מעונש בכליאה ולאפשר </w:t>
      </w:r>
      <w:r w:rsidRPr="0067577B">
        <w:rPr>
          <w:rFonts w:ascii="David" w:hAnsi="David" w:hint="cs"/>
          <w:rtl/>
        </w:rPr>
        <w:t>לו</w:t>
      </w:r>
      <w:r w:rsidRPr="0067577B">
        <w:rPr>
          <w:rFonts w:ascii="David" w:hAnsi="David"/>
          <w:rtl/>
        </w:rPr>
        <w:t xml:space="preserve"> לשאת את עונשו בדרך של עבודות שירות</w:t>
      </w:r>
      <w:r w:rsidRPr="0067577B">
        <w:rPr>
          <w:rFonts w:ascii="David" w:hAnsi="David" w:hint="cs"/>
          <w:rtl/>
        </w:rPr>
        <w:t xml:space="preserve">. </w:t>
      </w:r>
      <w:r w:rsidRPr="0067577B">
        <w:rPr>
          <w:rFonts w:ascii="David" w:hAnsi="David"/>
          <w:rtl/>
        </w:rPr>
        <w:t xml:space="preserve">כן אאזן עונש זה בקנס משמעותי. </w:t>
      </w:r>
    </w:p>
    <w:p w14:paraId="60081B34" w14:textId="77777777" w:rsidR="00F6190E" w:rsidRPr="0067577B" w:rsidRDefault="00F6190E" w:rsidP="00F6190E">
      <w:pPr>
        <w:pStyle w:val="a9"/>
        <w:ind w:left="0"/>
        <w:jc w:val="both"/>
        <w:rPr>
          <w:rFonts w:ascii="David" w:hAnsi="David"/>
        </w:rPr>
      </w:pPr>
    </w:p>
    <w:p w14:paraId="320885B7" w14:textId="77777777" w:rsidR="00F6190E" w:rsidRDefault="00F6190E" w:rsidP="00F6190E">
      <w:pPr>
        <w:pStyle w:val="a9"/>
        <w:numPr>
          <w:ilvl w:val="0"/>
          <w:numId w:val="1"/>
        </w:numPr>
        <w:spacing w:line="360" w:lineRule="auto"/>
        <w:jc w:val="both"/>
        <w:rPr>
          <w:rFonts w:ascii="David" w:hAnsi="David"/>
        </w:rPr>
      </w:pPr>
      <w:r>
        <w:rPr>
          <w:rFonts w:ascii="David" w:hAnsi="David"/>
          <w:rtl/>
        </w:rPr>
        <w:t>סיכומו של דבר, אני גוזר על הנאשם את העונשים הבאים:</w:t>
      </w:r>
    </w:p>
    <w:p w14:paraId="0BFE7F92" w14:textId="77777777" w:rsidR="00F6190E" w:rsidRDefault="00F6190E" w:rsidP="00F6190E">
      <w:pPr>
        <w:pStyle w:val="a9"/>
        <w:ind w:left="0"/>
        <w:jc w:val="both"/>
        <w:rPr>
          <w:rFonts w:ascii="David" w:hAnsi="David"/>
          <w:rtl/>
        </w:rPr>
      </w:pPr>
    </w:p>
    <w:p w14:paraId="3D70BF75" w14:textId="77777777" w:rsidR="00F6190E" w:rsidRPr="0087112F" w:rsidRDefault="00F6190E" w:rsidP="00F6190E">
      <w:pPr>
        <w:pStyle w:val="a9"/>
        <w:numPr>
          <w:ilvl w:val="0"/>
          <w:numId w:val="2"/>
        </w:numPr>
        <w:spacing w:line="360" w:lineRule="auto"/>
        <w:jc w:val="both"/>
        <w:rPr>
          <w:rFonts w:ascii="David" w:hAnsi="David"/>
          <w:b/>
          <w:bCs/>
        </w:rPr>
      </w:pPr>
      <w:r>
        <w:rPr>
          <w:rFonts w:ascii="David" w:hAnsi="David"/>
          <w:b/>
          <w:bCs/>
          <w:rtl/>
        </w:rPr>
        <w:t>מאסר למשך 9 חודשים.</w:t>
      </w:r>
      <w:r>
        <w:rPr>
          <w:rFonts w:ascii="David" w:hAnsi="David"/>
          <w:rtl/>
        </w:rPr>
        <w:t xml:space="preserve"> הנאשם יישא עונש זה בעבודות שירות בהתאם לחוות דעת הממונה ויתייצב לריצוי עונשו ביום </w:t>
      </w:r>
      <w:r>
        <w:rPr>
          <w:rFonts w:ascii="David" w:hAnsi="David" w:hint="cs"/>
          <w:rtl/>
        </w:rPr>
        <w:t>30.3.25</w:t>
      </w:r>
      <w:r>
        <w:rPr>
          <w:rFonts w:ascii="David" w:hAnsi="David"/>
          <w:rtl/>
        </w:rPr>
        <w:t xml:space="preserve"> במתחם כלא מגידו. </w:t>
      </w:r>
      <w:r w:rsidRPr="0087112F">
        <w:rPr>
          <w:rFonts w:ascii="David" w:hAnsi="David"/>
          <w:b/>
          <w:bCs/>
          <w:rtl/>
        </w:rPr>
        <w:t>מובהר לנאשם שעליו לבצע את העבודות בהתאם להנחיות הממונה וכי אם לא יעשה כן ניתן יהיה להפקיע את העבודות מנהלית והוא יאלץ לשאת ביתרת התקופה בבית מאסר.</w:t>
      </w:r>
    </w:p>
    <w:p w14:paraId="296DC6EB" w14:textId="77777777" w:rsidR="00F6190E" w:rsidRDefault="00F6190E" w:rsidP="00F6190E">
      <w:pPr>
        <w:pStyle w:val="a9"/>
        <w:numPr>
          <w:ilvl w:val="0"/>
          <w:numId w:val="2"/>
        </w:numPr>
        <w:spacing w:line="360" w:lineRule="auto"/>
        <w:jc w:val="both"/>
        <w:rPr>
          <w:rFonts w:ascii="David" w:hAnsi="David"/>
        </w:rPr>
      </w:pPr>
      <w:r>
        <w:rPr>
          <w:rFonts w:ascii="David" w:hAnsi="David"/>
          <w:rtl/>
        </w:rPr>
        <w:t xml:space="preserve">מאסר על תנאי </w:t>
      </w:r>
      <w:r>
        <w:rPr>
          <w:rFonts w:ascii="David" w:hAnsi="David" w:hint="cs"/>
          <w:rtl/>
        </w:rPr>
        <w:t>למשך שישה חודשים</w:t>
      </w:r>
      <w:r>
        <w:rPr>
          <w:rFonts w:ascii="David" w:hAnsi="David"/>
          <w:rtl/>
        </w:rPr>
        <w:t xml:space="preserve"> והתנאי הוא שלא יעבור במשך שנתיים כל עבירה על פקודת הסמים שהיא פשע.</w:t>
      </w:r>
    </w:p>
    <w:p w14:paraId="7374EFEC" w14:textId="77777777" w:rsidR="00F6190E" w:rsidRDefault="00F6190E" w:rsidP="00F6190E">
      <w:pPr>
        <w:pStyle w:val="a9"/>
        <w:numPr>
          <w:ilvl w:val="0"/>
          <w:numId w:val="2"/>
        </w:numPr>
        <w:spacing w:line="360" w:lineRule="auto"/>
        <w:jc w:val="both"/>
        <w:rPr>
          <w:rFonts w:ascii="David" w:hAnsi="David"/>
        </w:rPr>
      </w:pPr>
      <w:r>
        <w:rPr>
          <w:rFonts w:ascii="David" w:hAnsi="David"/>
          <w:color w:val="000000"/>
          <w:rtl/>
        </w:rPr>
        <w:t>קנס בסך 8,000 ₪ או 20 ימי מאסר תמורתו. הקנס ישולם ב-16 תשלומים שווים ורצופים מיום 1.</w:t>
      </w:r>
      <w:r>
        <w:rPr>
          <w:rFonts w:ascii="David" w:hAnsi="David" w:hint="cs"/>
          <w:color w:val="000000"/>
          <w:rtl/>
        </w:rPr>
        <w:t>5</w:t>
      </w:r>
      <w:r>
        <w:rPr>
          <w:rFonts w:ascii="David" w:hAnsi="David"/>
          <w:color w:val="000000"/>
          <w:rtl/>
        </w:rPr>
        <w:t>.25 ובכל -1 לחודש שלאחריו. לא ישולם אחד התשלומים או יותר במועדו, תעמוד היתרה לפירעון מידי</w:t>
      </w:r>
      <w:r>
        <w:rPr>
          <w:rFonts w:ascii="David" w:hAnsi="David"/>
          <w:rtl/>
        </w:rPr>
        <w:t>.</w:t>
      </w:r>
    </w:p>
    <w:p w14:paraId="682526AB" w14:textId="77777777" w:rsidR="00F6190E" w:rsidRPr="00A56F8C" w:rsidRDefault="00F6190E" w:rsidP="00F6190E">
      <w:pPr>
        <w:spacing w:line="360" w:lineRule="auto"/>
        <w:jc w:val="both"/>
        <w:rPr>
          <w:rFonts w:ascii="David" w:hAnsi="David"/>
          <w:u w:val="single"/>
          <w:rtl/>
        </w:rPr>
      </w:pPr>
      <w:r w:rsidRPr="00A56F8C">
        <w:rPr>
          <w:rFonts w:ascii="David" w:hAnsi="David" w:hint="cs"/>
          <w:u w:val="single"/>
          <w:rtl/>
        </w:rPr>
        <w:t>מוצגים:</w:t>
      </w:r>
    </w:p>
    <w:p w14:paraId="74496AB9" w14:textId="77777777" w:rsidR="00F6190E" w:rsidRPr="00A6098B" w:rsidRDefault="00F6190E" w:rsidP="00F6190E">
      <w:pPr>
        <w:pStyle w:val="a9"/>
        <w:numPr>
          <w:ilvl w:val="0"/>
          <w:numId w:val="3"/>
        </w:numPr>
        <w:spacing w:line="360" w:lineRule="auto"/>
        <w:jc w:val="both"/>
        <w:rPr>
          <w:rFonts w:ascii="David" w:hAnsi="David"/>
        </w:rPr>
      </w:pPr>
      <w:r>
        <w:rPr>
          <w:rFonts w:ascii="David" w:hAnsi="David"/>
          <w:rtl/>
        </w:rPr>
        <w:t>הכלים יחולטו</w:t>
      </w:r>
      <w:r>
        <w:rPr>
          <w:rFonts w:ascii="David" w:hAnsi="David" w:hint="cs"/>
          <w:rtl/>
        </w:rPr>
        <w:t xml:space="preserve"> בחלוף תקופת הערעור.</w:t>
      </w:r>
    </w:p>
    <w:p w14:paraId="3F903E08" w14:textId="77777777" w:rsidR="00F6190E" w:rsidRDefault="00F6190E" w:rsidP="00F6190E">
      <w:pPr>
        <w:pStyle w:val="a9"/>
        <w:numPr>
          <w:ilvl w:val="0"/>
          <w:numId w:val="3"/>
        </w:numPr>
        <w:spacing w:line="360" w:lineRule="auto"/>
        <w:jc w:val="both"/>
        <w:rPr>
          <w:rFonts w:ascii="David" w:hAnsi="David"/>
        </w:rPr>
      </w:pPr>
      <w:r>
        <w:rPr>
          <w:rFonts w:ascii="David" w:hAnsi="David" w:hint="cs"/>
          <w:rtl/>
        </w:rPr>
        <w:t xml:space="preserve">סמים- להשמיד בחלוף תקופת הערעור. </w:t>
      </w:r>
    </w:p>
    <w:p w14:paraId="1BA89871" w14:textId="77777777" w:rsidR="00F6190E" w:rsidRDefault="00F6190E" w:rsidP="00F6190E">
      <w:pPr>
        <w:pStyle w:val="a9"/>
        <w:numPr>
          <w:ilvl w:val="0"/>
          <w:numId w:val="3"/>
        </w:numPr>
        <w:spacing w:line="360" w:lineRule="auto"/>
        <w:jc w:val="both"/>
        <w:rPr>
          <w:rFonts w:ascii="David" w:hAnsi="David"/>
        </w:rPr>
      </w:pPr>
      <w:r>
        <w:rPr>
          <w:rFonts w:ascii="David" w:hAnsi="David" w:hint="cs"/>
          <w:rtl/>
        </w:rPr>
        <w:t xml:space="preserve">טלפונים ניידים, רישיון רכב, מפתחות דירה, נעליים- להשיב לבעלים. </w:t>
      </w:r>
    </w:p>
    <w:p w14:paraId="2DECF13B" w14:textId="77777777" w:rsidR="00F6190E" w:rsidRPr="00A6098B" w:rsidRDefault="00F6190E" w:rsidP="00F6190E">
      <w:pPr>
        <w:pStyle w:val="a9"/>
        <w:jc w:val="both"/>
        <w:rPr>
          <w:rFonts w:ascii="David" w:hAnsi="David"/>
          <w:rtl/>
        </w:rPr>
      </w:pPr>
    </w:p>
    <w:p w14:paraId="75EF3787" w14:textId="77777777" w:rsidR="00F6190E" w:rsidRDefault="00E37384" w:rsidP="00F6190E">
      <w:pPr>
        <w:spacing w:line="360" w:lineRule="auto"/>
        <w:rPr>
          <w:rFonts w:ascii="David" w:hAnsi="David"/>
          <w:b/>
          <w:bCs/>
          <w:u w:val="single"/>
        </w:rPr>
      </w:pPr>
      <w:r w:rsidRPr="00E37384">
        <w:rPr>
          <w:rFonts w:ascii="David" w:hAnsi="David"/>
          <w:b/>
          <w:bCs/>
          <w:color w:val="FFFFFF"/>
          <w:sz w:val="2"/>
          <w:szCs w:val="2"/>
          <w:u w:val="single"/>
          <w:rtl/>
        </w:rPr>
        <w:t>5129371</w:t>
      </w:r>
      <w:r w:rsidR="00F6190E">
        <w:rPr>
          <w:rFonts w:ascii="David" w:hAnsi="David"/>
          <w:b/>
          <w:bCs/>
          <w:color w:val="FFFFFF"/>
          <w:sz w:val="2"/>
          <w:szCs w:val="2"/>
          <w:u w:val="single"/>
          <w:rtl/>
        </w:rPr>
        <w:t>5129371</w:t>
      </w:r>
      <w:r w:rsidR="00F6190E">
        <w:rPr>
          <w:rFonts w:ascii="David" w:hAnsi="David"/>
          <w:b/>
          <w:bCs/>
          <w:u w:val="single"/>
          <w:rtl/>
        </w:rPr>
        <w:t>זכות ערעור לבית המשפט המחוזי בתוך 45 ימים.</w:t>
      </w:r>
    </w:p>
    <w:p w14:paraId="753220BD" w14:textId="77777777" w:rsidR="00F6190E" w:rsidRDefault="00E37384" w:rsidP="00F6190E">
      <w:pPr>
        <w:spacing w:line="360" w:lineRule="auto"/>
        <w:jc w:val="both"/>
        <w:rPr>
          <w:rFonts w:ascii="David" w:hAnsi="David"/>
          <w:b/>
          <w:bCs/>
          <w:u w:val="single"/>
          <w:rtl/>
        </w:rPr>
      </w:pPr>
      <w:r w:rsidRPr="00E37384">
        <w:rPr>
          <w:rFonts w:ascii="David" w:hAnsi="David"/>
          <w:b/>
          <w:bCs/>
          <w:color w:val="FFFFFF"/>
          <w:sz w:val="2"/>
          <w:szCs w:val="2"/>
          <w:u w:val="single"/>
          <w:rtl/>
        </w:rPr>
        <w:t>54678313</w:t>
      </w:r>
      <w:r w:rsidR="00F6190E">
        <w:rPr>
          <w:rFonts w:ascii="David" w:hAnsi="David"/>
          <w:b/>
          <w:bCs/>
          <w:color w:val="FFFFFF"/>
          <w:sz w:val="2"/>
          <w:szCs w:val="2"/>
          <w:u w:val="single"/>
          <w:rtl/>
        </w:rPr>
        <w:t>54678313</w:t>
      </w:r>
      <w:r w:rsidR="00F6190E">
        <w:rPr>
          <w:rFonts w:ascii="David" w:hAnsi="David"/>
          <w:b/>
          <w:bCs/>
          <w:u w:val="single"/>
          <w:rtl/>
        </w:rPr>
        <w:t>המזכירות תשלח את גזר הדין לממונה למעקב.</w:t>
      </w:r>
    </w:p>
    <w:p w14:paraId="1F1EE5AD" w14:textId="77777777" w:rsidR="00F6190E" w:rsidRPr="00D7785F" w:rsidRDefault="00F6190E" w:rsidP="00F6190E">
      <w:pPr>
        <w:spacing w:line="360" w:lineRule="auto"/>
        <w:jc w:val="both"/>
        <w:rPr>
          <w:rFonts w:ascii="David" w:hAnsi="David"/>
          <w:rtl/>
        </w:rPr>
      </w:pPr>
    </w:p>
    <w:p w14:paraId="7F5DF0CA" w14:textId="77777777" w:rsidR="00F6190E" w:rsidRPr="00D7785F" w:rsidRDefault="00E37384" w:rsidP="00F6190E">
      <w:pPr>
        <w:rPr>
          <w:rFonts w:ascii="David" w:hAnsi="David"/>
          <w:rtl/>
        </w:rPr>
      </w:pPr>
      <w:bookmarkStart w:id="7" w:name="Nitan"/>
      <w:r>
        <w:rPr>
          <w:rFonts w:ascii="David" w:hAnsi="David"/>
          <w:rtl/>
        </w:rPr>
        <w:t xml:space="preserve">ניתן היום,  כ"ו טבת תשפ"ה, 26 ינואר 2025, במעמד הצדדים. </w:t>
      </w:r>
      <w:bookmarkEnd w:id="7"/>
    </w:p>
    <w:p w14:paraId="51EB7882" w14:textId="77777777" w:rsidR="00F6190E" w:rsidRPr="00D7785F" w:rsidRDefault="00F6190E" w:rsidP="00E37384">
      <w:pPr>
        <w:jc w:val="center"/>
      </w:pPr>
      <w:r w:rsidRPr="00D7785F">
        <w:rPr>
          <w:rFonts w:ascii="David" w:hAnsi="David"/>
          <w:rtl/>
        </w:rPr>
        <w:t xml:space="preserve">   </w:t>
      </w:r>
      <w:r w:rsidRPr="00D7785F">
        <w:rPr>
          <w:rFonts w:ascii="David" w:hAnsi="David"/>
          <w:rtl/>
        </w:rPr>
        <w:tab/>
      </w:r>
      <w:r w:rsidRPr="00D7785F">
        <w:rPr>
          <w:rFonts w:ascii="David" w:hAnsi="David"/>
          <w:rtl/>
        </w:rPr>
        <w:tab/>
      </w:r>
      <w:r w:rsidRPr="00D7785F">
        <w:rPr>
          <w:rFonts w:ascii="David" w:hAnsi="David"/>
          <w:rtl/>
        </w:rPr>
        <w:tab/>
      </w:r>
      <w:r w:rsidRPr="00D7785F">
        <w:rPr>
          <w:rFonts w:ascii="David" w:hAnsi="David"/>
          <w:rtl/>
        </w:rPr>
        <w:tab/>
      </w:r>
      <w:r w:rsidRPr="00D7785F">
        <w:rPr>
          <w:rFonts w:ascii="David" w:hAnsi="David"/>
          <w:rtl/>
        </w:rPr>
        <w:tab/>
      </w:r>
    </w:p>
    <w:p w14:paraId="517AE845" w14:textId="77777777" w:rsidR="00F6190E" w:rsidRPr="009A395F" w:rsidRDefault="009A395F" w:rsidP="00F6190E">
      <w:pPr>
        <w:jc w:val="center"/>
        <w:rPr>
          <w:rFonts w:ascii="David" w:hAnsi="David"/>
          <w:color w:val="FFFFFF"/>
          <w:sz w:val="2"/>
          <w:szCs w:val="2"/>
          <w:rtl/>
        </w:rPr>
      </w:pPr>
      <w:r w:rsidRPr="009A395F">
        <w:rPr>
          <w:rFonts w:ascii="David" w:hAnsi="David"/>
          <w:color w:val="FFFFFF"/>
          <w:sz w:val="2"/>
          <w:szCs w:val="2"/>
          <w:rtl/>
        </w:rPr>
        <w:t>5129371</w:t>
      </w:r>
    </w:p>
    <w:p w14:paraId="732D7F1F" w14:textId="77777777" w:rsidR="006A1FF3" w:rsidRPr="009A395F" w:rsidRDefault="009A395F" w:rsidP="00E37384">
      <w:pPr>
        <w:keepNext/>
        <w:rPr>
          <w:rFonts w:ascii="David" w:hAnsi="David"/>
          <w:color w:val="FFFFFF"/>
          <w:sz w:val="2"/>
          <w:szCs w:val="2"/>
          <w:rtl/>
        </w:rPr>
      </w:pPr>
      <w:r w:rsidRPr="009A395F">
        <w:rPr>
          <w:rFonts w:ascii="David" w:hAnsi="David"/>
          <w:color w:val="FFFFFF"/>
          <w:sz w:val="2"/>
          <w:szCs w:val="2"/>
          <w:rtl/>
        </w:rPr>
        <w:t>54678313</w:t>
      </w:r>
    </w:p>
    <w:p w14:paraId="3372C338" w14:textId="77777777" w:rsidR="00E37384" w:rsidRDefault="00E37384" w:rsidP="00E37384">
      <w:pPr>
        <w:rPr>
          <w:rtl/>
        </w:rPr>
      </w:pPr>
    </w:p>
    <w:p w14:paraId="54B81807" w14:textId="77777777" w:rsidR="00E37384" w:rsidRDefault="00E37384" w:rsidP="00E3738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57EB8D5" w14:textId="77777777" w:rsidR="009A395F" w:rsidRPr="009A395F" w:rsidRDefault="009A395F" w:rsidP="009A395F">
      <w:pPr>
        <w:keepNext/>
        <w:rPr>
          <w:rFonts w:ascii="David" w:hAnsi="David"/>
          <w:color w:val="000000"/>
          <w:sz w:val="22"/>
          <w:szCs w:val="22"/>
          <w:rtl/>
        </w:rPr>
      </w:pPr>
    </w:p>
    <w:p w14:paraId="5985999F" w14:textId="77777777" w:rsidR="009A395F" w:rsidRPr="009A395F" w:rsidRDefault="009A395F" w:rsidP="009A395F">
      <w:pPr>
        <w:keepNext/>
        <w:rPr>
          <w:rFonts w:ascii="David" w:hAnsi="David"/>
          <w:color w:val="000000"/>
          <w:sz w:val="22"/>
          <w:szCs w:val="22"/>
          <w:rtl/>
        </w:rPr>
      </w:pPr>
      <w:r w:rsidRPr="009A395F">
        <w:rPr>
          <w:rFonts w:ascii="David" w:hAnsi="David"/>
          <w:color w:val="000000"/>
          <w:sz w:val="22"/>
          <w:szCs w:val="22"/>
          <w:rtl/>
        </w:rPr>
        <w:t>יוסי טורס 54678313-/</w:t>
      </w:r>
    </w:p>
    <w:p w14:paraId="75634538" w14:textId="77777777" w:rsidR="00E37384" w:rsidRPr="00E37384" w:rsidRDefault="009A395F" w:rsidP="009A395F">
      <w:pPr>
        <w:rPr>
          <w:color w:val="0000FF"/>
          <w:u w:val="single"/>
        </w:rPr>
      </w:pPr>
      <w:r w:rsidRPr="009A395F">
        <w:rPr>
          <w:color w:val="000000"/>
          <w:u w:val="single"/>
          <w:rtl/>
        </w:rPr>
        <w:t>נוסח מסמך זה כפוף לשינויי ניסוח ועריכה</w:t>
      </w:r>
    </w:p>
    <w:sectPr w:rsidR="00E37384" w:rsidRPr="00E37384" w:rsidSect="009A395F">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71642" w14:textId="77777777" w:rsidR="008E1589" w:rsidRDefault="008E1589" w:rsidP="009175FD">
      <w:r>
        <w:separator/>
      </w:r>
    </w:p>
  </w:endnote>
  <w:endnote w:type="continuationSeparator" w:id="0">
    <w:p w14:paraId="67620555" w14:textId="77777777" w:rsidR="008E1589" w:rsidRDefault="008E1589" w:rsidP="0091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8C4B9" w14:textId="77777777" w:rsidR="009A395F" w:rsidRDefault="009A395F" w:rsidP="009A39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99FB2F8" w14:textId="77777777" w:rsidR="007A05DA" w:rsidRPr="009A395F" w:rsidRDefault="009A395F" w:rsidP="009A395F">
    <w:pPr>
      <w:pStyle w:val="a5"/>
      <w:pBdr>
        <w:top w:val="single" w:sz="4" w:space="1" w:color="auto"/>
        <w:between w:val="single" w:sz="4" w:space="0" w:color="auto"/>
      </w:pBdr>
      <w:spacing w:after="60"/>
      <w:jc w:val="center"/>
      <w:rPr>
        <w:rFonts w:ascii="FrankRuehl" w:hAnsi="FrankRuehl" w:cs="FrankRuehl"/>
        <w:color w:val="000000"/>
      </w:rPr>
    </w:pPr>
    <w:r w:rsidRPr="009A39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8D699" w14:textId="77777777" w:rsidR="009A395F" w:rsidRDefault="009A395F" w:rsidP="009A39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502B">
      <w:rPr>
        <w:rFonts w:ascii="FrankRuehl" w:hAnsi="FrankRuehl" w:cs="FrankRuehl"/>
        <w:noProof/>
        <w:rtl/>
      </w:rPr>
      <w:t>1</w:t>
    </w:r>
    <w:r>
      <w:rPr>
        <w:rFonts w:ascii="FrankRuehl" w:hAnsi="FrankRuehl" w:cs="FrankRuehl"/>
        <w:rtl/>
      </w:rPr>
      <w:fldChar w:fldCharType="end"/>
    </w:r>
  </w:p>
  <w:p w14:paraId="54CD887E" w14:textId="77777777" w:rsidR="007A05DA" w:rsidRPr="009A395F" w:rsidRDefault="009A395F" w:rsidP="009A395F">
    <w:pPr>
      <w:pStyle w:val="a5"/>
      <w:pBdr>
        <w:top w:val="single" w:sz="4" w:space="1" w:color="auto"/>
        <w:between w:val="single" w:sz="4" w:space="0" w:color="auto"/>
      </w:pBdr>
      <w:spacing w:after="60"/>
      <w:jc w:val="center"/>
      <w:rPr>
        <w:rFonts w:ascii="FrankRuehl" w:hAnsi="FrankRuehl" w:cs="FrankRuehl"/>
        <w:color w:val="000000"/>
      </w:rPr>
    </w:pPr>
    <w:r w:rsidRPr="009A395F">
      <w:rPr>
        <w:rFonts w:ascii="FrankRuehl" w:hAnsi="FrankRuehl" w:cs="FrankRuehl"/>
        <w:color w:val="000000"/>
      </w:rPr>
      <w:pict w14:anchorId="1DAA0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6040A" w14:textId="77777777" w:rsidR="008E1589" w:rsidRDefault="008E1589" w:rsidP="009175FD">
      <w:r>
        <w:separator/>
      </w:r>
    </w:p>
  </w:footnote>
  <w:footnote w:type="continuationSeparator" w:id="0">
    <w:p w14:paraId="4CB0601A" w14:textId="77777777" w:rsidR="008E1589" w:rsidRDefault="008E1589" w:rsidP="00917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9F1D5" w14:textId="77777777" w:rsidR="00E37384" w:rsidRPr="009A395F" w:rsidRDefault="009A395F" w:rsidP="009A39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63737-05-24</w:t>
    </w:r>
    <w:r>
      <w:rPr>
        <w:rFonts w:ascii="David" w:hAnsi="David"/>
        <w:color w:val="000000"/>
        <w:sz w:val="22"/>
        <w:szCs w:val="22"/>
        <w:rtl/>
      </w:rPr>
      <w:tab/>
      <w:t xml:space="preserve"> מדינת ישראל נ' ליאל לוסקי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72EA" w14:textId="77777777" w:rsidR="00E37384" w:rsidRPr="009A395F" w:rsidRDefault="009A395F" w:rsidP="009A39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63737-05-24</w:t>
    </w:r>
    <w:r>
      <w:rPr>
        <w:rFonts w:ascii="David" w:hAnsi="David"/>
        <w:color w:val="000000"/>
        <w:sz w:val="22"/>
        <w:szCs w:val="22"/>
        <w:rtl/>
      </w:rPr>
      <w:tab/>
      <w:t xml:space="preserve"> מדינת ישראל נ' ליאל לוסקי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D36E0"/>
    <w:multiLevelType w:val="hybridMultilevel"/>
    <w:tmpl w:val="F0E63CD2"/>
    <w:lvl w:ilvl="0" w:tplc="725A42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73443"/>
    <w:multiLevelType w:val="hybridMultilevel"/>
    <w:tmpl w:val="C656599E"/>
    <w:lvl w:ilvl="0" w:tplc="9A9E09A2">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76A92"/>
    <w:multiLevelType w:val="hybridMultilevel"/>
    <w:tmpl w:val="613CC678"/>
    <w:lvl w:ilvl="0" w:tplc="7562D080">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499006">
    <w:abstractNumId w:val="1"/>
  </w:num>
  <w:num w:numId="2" w16cid:durableId="1681346005">
    <w:abstractNumId w:val="0"/>
  </w:num>
  <w:num w:numId="3" w16cid:durableId="915631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190E"/>
    <w:rsid w:val="006A1FF3"/>
    <w:rsid w:val="007A05DA"/>
    <w:rsid w:val="008E1589"/>
    <w:rsid w:val="009175FD"/>
    <w:rsid w:val="009A395F"/>
    <w:rsid w:val="009A4E4C"/>
    <w:rsid w:val="00A36EC2"/>
    <w:rsid w:val="00B8502B"/>
    <w:rsid w:val="00E37384"/>
    <w:rsid w:val="00F619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F434CE"/>
  <w15:chartTrackingRefBased/>
  <w15:docId w15:val="{9B5EBD5B-034D-414A-A71A-762E6293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19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190E"/>
    <w:pPr>
      <w:tabs>
        <w:tab w:val="center" w:pos="4153"/>
        <w:tab w:val="right" w:pos="8306"/>
      </w:tabs>
    </w:pPr>
  </w:style>
  <w:style w:type="character" w:customStyle="1" w:styleId="a4">
    <w:name w:val="כותרת עליונה תו"/>
    <w:link w:val="a3"/>
    <w:rsid w:val="00F6190E"/>
    <w:rPr>
      <w:rFonts w:ascii="Times New Roman" w:eastAsia="Times New Roman" w:hAnsi="Times New Roman" w:cs="David"/>
      <w:sz w:val="24"/>
      <w:szCs w:val="24"/>
    </w:rPr>
  </w:style>
  <w:style w:type="paragraph" w:styleId="a5">
    <w:name w:val="footer"/>
    <w:basedOn w:val="a"/>
    <w:link w:val="a6"/>
    <w:rsid w:val="00F6190E"/>
    <w:pPr>
      <w:tabs>
        <w:tab w:val="center" w:pos="4153"/>
        <w:tab w:val="right" w:pos="8306"/>
      </w:tabs>
    </w:pPr>
  </w:style>
  <w:style w:type="character" w:customStyle="1" w:styleId="a6">
    <w:name w:val="כותרת תחתונה תו"/>
    <w:link w:val="a5"/>
    <w:rsid w:val="00F6190E"/>
    <w:rPr>
      <w:rFonts w:ascii="Times New Roman" w:eastAsia="Times New Roman" w:hAnsi="Times New Roman" w:cs="David"/>
      <w:sz w:val="24"/>
      <w:szCs w:val="24"/>
    </w:rPr>
  </w:style>
  <w:style w:type="table" w:styleId="a7">
    <w:name w:val="Table Grid"/>
    <w:basedOn w:val="a1"/>
    <w:rsid w:val="00F619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190E"/>
  </w:style>
  <w:style w:type="paragraph" w:styleId="a9">
    <w:name w:val="List Paragraph"/>
    <w:basedOn w:val="a"/>
    <w:qFormat/>
    <w:rsid w:val="00F6190E"/>
    <w:pPr>
      <w:ind w:left="720"/>
      <w:contextualSpacing/>
    </w:pPr>
  </w:style>
  <w:style w:type="character" w:styleId="Hyperlink">
    <w:name w:val="Hyperlink"/>
    <w:rsid w:val="00E3738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131336" TargetMode="External"/><Relationship Id="rId26" Type="http://schemas.openxmlformats.org/officeDocument/2006/relationships/hyperlink" Target="http://www.nevo.co.il/case/29514415" TargetMode="External"/><Relationship Id="rId21" Type="http://schemas.openxmlformats.org/officeDocument/2006/relationships/hyperlink" Target="http://www.nevo.co.il/case/27615803"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11273152" TargetMode="External"/><Relationship Id="rId25" Type="http://schemas.openxmlformats.org/officeDocument/2006/relationships/hyperlink" Target="http://www.nevo.co.il/case/2957029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6797877" TargetMode="External"/><Relationship Id="rId29" Type="http://schemas.openxmlformats.org/officeDocument/2006/relationships/hyperlink" Target="http://www.nevo.co.il/case/300558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2761580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9428682" TargetMode="External"/><Relationship Id="rId28" Type="http://schemas.openxmlformats.org/officeDocument/2006/relationships/hyperlink" Target="http://www.nevo.co.il/case/28589181"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9570295" TargetMode="External"/><Relationship Id="rId31" Type="http://schemas.openxmlformats.org/officeDocument/2006/relationships/hyperlink" Target="http://www.nevo.co.il/case/11206078"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6246488" TargetMode="External"/><Relationship Id="rId27" Type="http://schemas.openxmlformats.org/officeDocument/2006/relationships/hyperlink" Target="http://www.nevo.co.il/case/29428682" TargetMode="External"/><Relationship Id="rId30" Type="http://schemas.openxmlformats.org/officeDocument/2006/relationships/hyperlink" Target="http://www.nevo.co.il/case/30625598"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1931</Words>
  <Characters>9656</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11564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3276917</vt:i4>
      </vt:variant>
      <vt:variant>
        <vt:i4>72</vt:i4>
      </vt:variant>
      <vt:variant>
        <vt:i4>0</vt:i4>
      </vt:variant>
      <vt:variant>
        <vt:i4>5</vt:i4>
      </vt:variant>
      <vt:variant>
        <vt:lpwstr>http://www.nevo.co.il/case/11206078</vt:lpwstr>
      </vt:variant>
      <vt:variant>
        <vt:lpwstr/>
      </vt:variant>
      <vt:variant>
        <vt:i4>3735667</vt:i4>
      </vt:variant>
      <vt:variant>
        <vt:i4>69</vt:i4>
      </vt:variant>
      <vt:variant>
        <vt:i4>0</vt:i4>
      </vt:variant>
      <vt:variant>
        <vt:i4>5</vt:i4>
      </vt:variant>
      <vt:variant>
        <vt:lpwstr>http://www.nevo.co.il/case/30625598</vt:lpwstr>
      </vt:variant>
      <vt:variant>
        <vt:lpwstr/>
      </vt:variant>
      <vt:variant>
        <vt:i4>3276921</vt:i4>
      </vt:variant>
      <vt:variant>
        <vt:i4>66</vt:i4>
      </vt:variant>
      <vt:variant>
        <vt:i4>0</vt:i4>
      </vt:variant>
      <vt:variant>
        <vt:i4>5</vt:i4>
      </vt:variant>
      <vt:variant>
        <vt:lpwstr>http://www.nevo.co.il/case/30055845</vt:lpwstr>
      </vt:variant>
      <vt:variant>
        <vt:lpwstr/>
      </vt:variant>
      <vt:variant>
        <vt:i4>3539061</vt:i4>
      </vt:variant>
      <vt:variant>
        <vt:i4>63</vt:i4>
      </vt:variant>
      <vt:variant>
        <vt:i4>0</vt:i4>
      </vt:variant>
      <vt:variant>
        <vt:i4>5</vt:i4>
      </vt:variant>
      <vt:variant>
        <vt:lpwstr>http://www.nevo.co.il/case/28589181</vt:lpwstr>
      </vt:variant>
      <vt:variant>
        <vt:lpwstr/>
      </vt:variant>
      <vt:variant>
        <vt:i4>3539065</vt:i4>
      </vt:variant>
      <vt:variant>
        <vt:i4>60</vt:i4>
      </vt:variant>
      <vt:variant>
        <vt:i4>0</vt:i4>
      </vt:variant>
      <vt:variant>
        <vt:i4>5</vt:i4>
      </vt:variant>
      <vt:variant>
        <vt:lpwstr>http://www.nevo.co.il/case/29428682</vt:lpwstr>
      </vt:variant>
      <vt:variant>
        <vt:lpwstr/>
      </vt:variant>
      <vt:variant>
        <vt:i4>3276920</vt:i4>
      </vt:variant>
      <vt:variant>
        <vt:i4>57</vt:i4>
      </vt:variant>
      <vt:variant>
        <vt:i4>0</vt:i4>
      </vt:variant>
      <vt:variant>
        <vt:i4>5</vt:i4>
      </vt:variant>
      <vt:variant>
        <vt:lpwstr>http://www.nevo.co.il/case/29514415</vt:lpwstr>
      </vt:variant>
      <vt:variant>
        <vt:lpwstr/>
      </vt:variant>
      <vt:variant>
        <vt:i4>4063352</vt:i4>
      </vt:variant>
      <vt:variant>
        <vt:i4>54</vt:i4>
      </vt:variant>
      <vt:variant>
        <vt:i4>0</vt:i4>
      </vt:variant>
      <vt:variant>
        <vt:i4>5</vt:i4>
      </vt:variant>
      <vt:variant>
        <vt:lpwstr>http://www.nevo.co.il/case/29570295</vt:lpwstr>
      </vt:variant>
      <vt:variant>
        <vt:lpwstr/>
      </vt:variant>
      <vt:variant>
        <vt:i4>3211386</vt:i4>
      </vt:variant>
      <vt:variant>
        <vt:i4>51</vt:i4>
      </vt:variant>
      <vt:variant>
        <vt:i4>0</vt:i4>
      </vt:variant>
      <vt:variant>
        <vt:i4>5</vt:i4>
      </vt:variant>
      <vt:variant>
        <vt:lpwstr>http://www.nevo.co.il/case/27615803</vt:lpwstr>
      </vt:variant>
      <vt:variant>
        <vt:lpwstr/>
      </vt:variant>
      <vt:variant>
        <vt:i4>3539065</vt:i4>
      </vt:variant>
      <vt:variant>
        <vt:i4>48</vt:i4>
      </vt:variant>
      <vt:variant>
        <vt:i4>0</vt:i4>
      </vt:variant>
      <vt:variant>
        <vt:i4>5</vt:i4>
      </vt:variant>
      <vt:variant>
        <vt:lpwstr>http://www.nevo.co.il/case/29428682</vt:lpwstr>
      </vt:variant>
      <vt:variant>
        <vt:lpwstr/>
      </vt:variant>
      <vt:variant>
        <vt:i4>4063346</vt:i4>
      </vt:variant>
      <vt:variant>
        <vt:i4>45</vt:i4>
      </vt:variant>
      <vt:variant>
        <vt:i4>0</vt:i4>
      </vt:variant>
      <vt:variant>
        <vt:i4>5</vt:i4>
      </vt:variant>
      <vt:variant>
        <vt:lpwstr>http://www.nevo.co.il/case/26246488</vt:lpwstr>
      </vt:variant>
      <vt:variant>
        <vt:lpwstr/>
      </vt:variant>
      <vt:variant>
        <vt:i4>3211386</vt:i4>
      </vt:variant>
      <vt:variant>
        <vt:i4>42</vt:i4>
      </vt:variant>
      <vt:variant>
        <vt:i4>0</vt:i4>
      </vt:variant>
      <vt:variant>
        <vt:i4>5</vt:i4>
      </vt:variant>
      <vt:variant>
        <vt:lpwstr>http://www.nevo.co.il/case/27615803</vt:lpwstr>
      </vt:variant>
      <vt:variant>
        <vt:lpwstr/>
      </vt:variant>
      <vt:variant>
        <vt:i4>3473523</vt:i4>
      </vt:variant>
      <vt:variant>
        <vt:i4>39</vt:i4>
      </vt:variant>
      <vt:variant>
        <vt:i4>0</vt:i4>
      </vt:variant>
      <vt:variant>
        <vt:i4>5</vt:i4>
      </vt:variant>
      <vt:variant>
        <vt:lpwstr>http://www.nevo.co.il/case/26797877</vt:lpwstr>
      </vt:variant>
      <vt:variant>
        <vt:lpwstr/>
      </vt:variant>
      <vt:variant>
        <vt:i4>4063352</vt:i4>
      </vt:variant>
      <vt:variant>
        <vt:i4>36</vt:i4>
      </vt:variant>
      <vt:variant>
        <vt:i4>0</vt:i4>
      </vt:variant>
      <vt:variant>
        <vt:i4>5</vt:i4>
      </vt:variant>
      <vt:variant>
        <vt:lpwstr>http://www.nevo.co.il/case/29570295</vt:lpwstr>
      </vt:variant>
      <vt:variant>
        <vt:lpwstr/>
      </vt:variant>
      <vt:variant>
        <vt:i4>3276924</vt:i4>
      </vt:variant>
      <vt:variant>
        <vt:i4>33</vt:i4>
      </vt:variant>
      <vt:variant>
        <vt:i4>0</vt:i4>
      </vt:variant>
      <vt:variant>
        <vt:i4>5</vt:i4>
      </vt:variant>
      <vt:variant>
        <vt:lpwstr>http://www.nevo.co.il/case/18131336</vt:lpwstr>
      </vt:variant>
      <vt:variant>
        <vt:lpwstr/>
      </vt:variant>
      <vt:variant>
        <vt:i4>3473523</vt:i4>
      </vt:variant>
      <vt:variant>
        <vt:i4>30</vt:i4>
      </vt:variant>
      <vt:variant>
        <vt:i4>0</vt:i4>
      </vt:variant>
      <vt:variant>
        <vt:i4>5</vt:i4>
      </vt:variant>
      <vt:variant>
        <vt:lpwstr>http://www.nevo.co.il/case/11273152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63737</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ליאל לוסקי</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20250126</vt:lpwstr>
  </property>
  <property fmtid="{D5CDD505-2E9C-101B-9397-08002B2CF9AE}" pid="13" name="TYPE_N_DATE">
    <vt:lpwstr>38020250126</vt:lpwstr>
  </property>
  <property fmtid="{D5CDD505-2E9C-101B-9397-08002B2CF9AE}" pid="14" name="CASESLISTTMP1">
    <vt:lpwstr>11273152;18131336;29570295:2;26797877;27615803:2;26246488;29428682:2;29514415;28589181;30055845;30625598;11206078</vt:lpwstr>
  </property>
  <property fmtid="{D5CDD505-2E9C-101B-9397-08002B2CF9AE}" pid="15" name="WORDNUMPAGES">
    <vt:lpwstr>6</vt:lpwstr>
  </property>
  <property fmtid="{D5CDD505-2E9C-101B-9397-08002B2CF9AE}" pid="16" name="TYPE_ABS_DATE">
    <vt:lpwstr>380020250126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4216/006;010</vt:lpwstr>
  </property>
  <property fmtid="{D5CDD505-2E9C-101B-9397-08002B2CF9AE}" pid="36" name="LAWLISTTMP2">
    <vt:lpwstr>70301/400</vt:lpwstr>
  </property>
  <property fmtid="{D5CDD505-2E9C-101B-9397-08002B2CF9AE}" pid="37" name="ISABSTRACT">
    <vt:lpwstr>Y</vt:lpwstr>
  </property>
</Properties>
</file>