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25FFD" w:rsidRPr="00251002" w14:paraId="1E549F63" w14:textId="77777777" w:rsidTr="0066449B">
        <w:trPr>
          <w:trHeight w:hRule="exact" w:val="418"/>
          <w:jc w:val="center"/>
        </w:trPr>
        <w:tc>
          <w:tcPr>
            <w:tcW w:w="8721" w:type="dxa"/>
            <w:gridSpan w:val="2"/>
          </w:tcPr>
          <w:p w14:paraId="1BD39054" w14:textId="77777777" w:rsidR="00725FFD" w:rsidRPr="00251002" w:rsidRDefault="00725FFD" w:rsidP="00A52751">
            <w:pPr>
              <w:pStyle w:val="a3"/>
              <w:jc w:val="center"/>
              <w:rPr>
                <w:rFonts w:ascii="Tahoma" w:hAnsi="Tahoma" w:cs="Tahoma"/>
                <w:color w:val="000080"/>
                <w:rtl/>
              </w:rPr>
            </w:pPr>
            <w:r w:rsidRPr="00251002">
              <w:rPr>
                <w:rFonts w:ascii="Tahoma" w:hAnsi="Tahoma" w:cs="Tahoma"/>
                <w:b/>
                <w:bCs/>
                <w:color w:val="000080"/>
                <w:rtl/>
              </w:rPr>
              <w:t>בית משפט השלום בקריות</w:t>
            </w:r>
          </w:p>
        </w:tc>
      </w:tr>
      <w:tr w:rsidR="00725FFD" w:rsidRPr="00251002" w14:paraId="5957CBA2" w14:textId="77777777" w:rsidTr="0066449B">
        <w:trPr>
          <w:trHeight w:val="337"/>
          <w:jc w:val="center"/>
        </w:trPr>
        <w:tc>
          <w:tcPr>
            <w:tcW w:w="5059" w:type="dxa"/>
          </w:tcPr>
          <w:p w14:paraId="2F736DA3" w14:textId="77777777" w:rsidR="00725FFD" w:rsidRPr="00251002" w:rsidRDefault="00725FFD" w:rsidP="00A52751">
            <w:pPr>
              <w:rPr>
                <w:rFonts w:cs="FrankRuehl"/>
                <w:sz w:val="28"/>
                <w:szCs w:val="28"/>
                <w:rtl/>
              </w:rPr>
            </w:pPr>
            <w:r w:rsidRPr="00251002">
              <w:rPr>
                <w:rFonts w:cs="FrankRuehl"/>
                <w:sz w:val="28"/>
                <w:szCs w:val="28"/>
                <w:rtl/>
              </w:rPr>
              <w:t>ת"פ</w:t>
            </w:r>
            <w:r w:rsidRPr="00251002">
              <w:rPr>
                <w:rFonts w:cs="FrankRuehl" w:hint="cs"/>
                <w:sz w:val="28"/>
                <w:szCs w:val="28"/>
                <w:rtl/>
              </w:rPr>
              <w:t xml:space="preserve"> </w:t>
            </w:r>
            <w:r w:rsidRPr="00251002">
              <w:rPr>
                <w:rFonts w:cs="FrankRuehl"/>
                <w:sz w:val="28"/>
                <w:szCs w:val="28"/>
                <w:rtl/>
              </w:rPr>
              <w:t>25053-07-24</w:t>
            </w:r>
            <w:r w:rsidRPr="00251002">
              <w:rPr>
                <w:rFonts w:cs="FrankRuehl" w:hint="cs"/>
                <w:sz w:val="28"/>
                <w:szCs w:val="28"/>
                <w:rtl/>
              </w:rPr>
              <w:t xml:space="preserve"> </w:t>
            </w:r>
            <w:r w:rsidRPr="00251002">
              <w:rPr>
                <w:rFonts w:cs="FrankRuehl"/>
                <w:sz w:val="28"/>
                <w:szCs w:val="28"/>
                <w:rtl/>
              </w:rPr>
              <w:t>מדינת ישראל נ' טמזיאן(עציר)</w:t>
            </w:r>
          </w:p>
          <w:p w14:paraId="7A41C36E" w14:textId="77777777" w:rsidR="00725FFD" w:rsidRPr="00251002" w:rsidRDefault="00725FFD" w:rsidP="00A52751">
            <w:pPr>
              <w:pStyle w:val="a3"/>
              <w:rPr>
                <w:rFonts w:cs="FrankRuehl"/>
                <w:sz w:val="28"/>
                <w:szCs w:val="28"/>
                <w:rtl/>
              </w:rPr>
            </w:pPr>
          </w:p>
        </w:tc>
        <w:tc>
          <w:tcPr>
            <w:tcW w:w="3662" w:type="dxa"/>
          </w:tcPr>
          <w:p w14:paraId="47F33C29" w14:textId="77777777" w:rsidR="00725FFD" w:rsidRPr="00251002" w:rsidRDefault="00725FFD" w:rsidP="00A52751">
            <w:pPr>
              <w:pStyle w:val="a3"/>
              <w:jc w:val="right"/>
              <w:rPr>
                <w:rFonts w:cs="FrankRuehl"/>
                <w:sz w:val="28"/>
                <w:szCs w:val="28"/>
                <w:rtl/>
              </w:rPr>
            </w:pPr>
          </w:p>
        </w:tc>
      </w:tr>
    </w:tbl>
    <w:p w14:paraId="182BDE6B" w14:textId="77777777" w:rsidR="00725FFD" w:rsidRPr="00251002" w:rsidRDefault="00725FFD" w:rsidP="0066449B">
      <w:pPr>
        <w:pStyle w:val="a3"/>
        <w:rPr>
          <w:sz w:val="26"/>
          <w:szCs w:val="26"/>
          <w:rtl/>
        </w:rPr>
      </w:pPr>
      <w:r w:rsidRPr="00251002">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725FFD" w:rsidRPr="00251002" w14:paraId="089C8E9D" w14:textId="77777777" w:rsidTr="00725FFD">
        <w:trPr>
          <w:trHeight w:val="345"/>
          <w:jc w:val="center"/>
        </w:trPr>
        <w:tc>
          <w:tcPr>
            <w:tcW w:w="957" w:type="dxa"/>
            <w:tcBorders>
              <w:top w:val="nil"/>
              <w:left w:val="nil"/>
              <w:bottom w:val="nil"/>
              <w:right w:val="nil"/>
            </w:tcBorders>
            <w:shd w:val="clear" w:color="auto" w:fill="auto"/>
          </w:tcPr>
          <w:p w14:paraId="66007D2B" w14:textId="77777777" w:rsidR="00725FFD" w:rsidRPr="00251002" w:rsidRDefault="00725FFD" w:rsidP="00725FFD">
            <w:pPr>
              <w:jc w:val="both"/>
              <w:rPr>
                <w:rFonts w:ascii="David" w:hAnsi="David"/>
                <w:b/>
                <w:bCs/>
              </w:rPr>
            </w:pPr>
            <w:r w:rsidRPr="00251002">
              <w:rPr>
                <w:rFonts w:ascii="David" w:hAnsi="David"/>
                <w:b/>
                <w:bCs/>
                <w:rtl/>
              </w:rPr>
              <w:t xml:space="preserve">בפני </w:t>
            </w:r>
          </w:p>
        </w:tc>
        <w:tc>
          <w:tcPr>
            <w:tcW w:w="8358" w:type="dxa"/>
            <w:gridSpan w:val="2"/>
            <w:tcBorders>
              <w:top w:val="nil"/>
              <w:left w:val="nil"/>
              <w:bottom w:val="nil"/>
              <w:right w:val="nil"/>
            </w:tcBorders>
            <w:shd w:val="clear" w:color="auto" w:fill="auto"/>
          </w:tcPr>
          <w:p w14:paraId="3BCED3B5" w14:textId="77777777" w:rsidR="00725FFD" w:rsidRPr="00251002" w:rsidRDefault="00725FFD" w:rsidP="00A52751">
            <w:pPr>
              <w:rPr>
                <w:rFonts w:ascii="David" w:hAnsi="David"/>
                <w:b/>
                <w:bCs/>
              </w:rPr>
            </w:pPr>
            <w:r w:rsidRPr="00251002">
              <w:rPr>
                <w:rFonts w:ascii="Arial" w:hAnsi="Arial"/>
                <w:b/>
                <w:bCs/>
                <w:rtl/>
              </w:rPr>
              <w:t>כב' השופט יוסי טורס , סגן הנשיאה</w:t>
            </w:r>
          </w:p>
        </w:tc>
      </w:tr>
      <w:tr w:rsidR="00725FFD" w:rsidRPr="00251002" w14:paraId="446FEDFB" w14:textId="77777777" w:rsidTr="00725FFD">
        <w:trPr>
          <w:trHeight w:val="345"/>
          <w:jc w:val="center"/>
        </w:trPr>
        <w:tc>
          <w:tcPr>
            <w:tcW w:w="957" w:type="dxa"/>
            <w:tcBorders>
              <w:top w:val="nil"/>
              <w:left w:val="nil"/>
              <w:bottom w:val="nil"/>
              <w:right w:val="nil"/>
            </w:tcBorders>
            <w:shd w:val="clear" w:color="auto" w:fill="auto"/>
          </w:tcPr>
          <w:p w14:paraId="7917D7ED" w14:textId="77777777" w:rsidR="00725FFD" w:rsidRPr="00251002" w:rsidRDefault="00725FFD" w:rsidP="00725FFD">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22C39676" w14:textId="77777777" w:rsidR="00725FFD" w:rsidRPr="00251002" w:rsidRDefault="00725FFD" w:rsidP="00A52751">
            <w:pPr>
              <w:rPr>
                <w:rFonts w:ascii="Arial" w:hAnsi="Arial"/>
                <w:b/>
                <w:bCs/>
                <w:rtl/>
              </w:rPr>
            </w:pPr>
          </w:p>
        </w:tc>
      </w:tr>
      <w:tr w:rsidR="00725FFD" w:rsidRPr="00251002" w14:paraId="3046FBB3" w14:textId="77777777" w:rsidTr="00725FFD">
        <w:trPr>
          <w:trHeight w:val="415"/>
          <w:jc w:val="center"/>
        </w:trPr>
        <w:tc>
          <w:tcPr>
            <w:tcW w:w="957" w:type="dxa"/>
            <w:tcBorders>
              <w:top w:val="nil"/>
              <w:left w:val="nil"/>
              <w:bottom w:val="nil"/>
              <w:right w:val="nil"/>
            </w:tcBorders>
            <w:shd w:val="clear" w:color="auto" w:fill="auto"/>
          </w:tcPr>
          <w:p w14:paraId="15098A1B" w14:textId="77777777" w:rsidR="00725FFD" w:rsidRPr="00251002" w:rsidRDefault="00725FFD" w:rsidP="00725FFD">
            <w:pPr>
              <w:jc w:val="both"/>
              <w:rPr>
                <w:rFonts w:ascii="David" w:hAnsi="David"/>
                <w:b/>
                <w:bCs/>
              </w:rPr>
            </w:pPr>
            <w:bookmarkStart w:id="1" w:name="FirstAppellant"/>
            <w:r w:rsidRPr="00251002">
              <w:rPr>
                <w:rFonts w:ascii="David" w:hAnsi="David"/>
                <w:b/>
                <w:bCs/>
                <w:rtl/>
              </w:rPr>
              <w:t>בעניין:</w:t>
            </w:r>
          </w:p>
        </w:tc>
        <w:tc>
          <w:tcPr>
            <w:tcW w:w="5095" w:type="dxa"/>
            <w:tcBorders>
              <w:top w:val="nil"/>
              <w:left w:val="nil"/>
              <w:bottom w:val="nil"/>
              <w:right w:val="nil"/>
            </w:tcBorders>
            <w:shd w:val="clear" w:color="auto" w:fill="auto"/>
          </w:tcPr>
          <w:p w14:paraId="2A03F212" w14:textId="77777777" w:rsidR="00725FFD" w:rsidRPr="00251002" w:rsidRDefault="00725FFD" w:rsidP="00A52751">
            <w:pPr>
              <w:rPr>
                <w:rFonts w:ascii="David" w:hAnsi="David"/>
                <w:b/>
                <w:bCs/>
              </w:rPr>
            </w:pPr>
            <w:r w:rsidRPr="00251002">
              <w:rPr>
                <w:rFonts w:ascii="David" w:hAnsi="David"/>
                <w:b/>
                <w:bCs/>
                <w:rtl/>
              </w:rPr>
              <w:t>מדינת ישראל</w:t>
            </w:r>
          </w:p>
        </w:tc>
        <w:tc>
          <w:tcPr>
            <w:tcW w:w="3263" w:type="dxa"/>
            <w:tcBorders>
              <w:top w:val="nil"/>
              <w:left w:val="nil"/>
              <w:bottom w:val="nil"/>
              <w:right w:val="nil"/>
            </w:tcBorders>
            <w:shd w:val="clear" w:color="auto" w:fill="auto"/>
          </w:tcPr>
          <w:p w14:paraId="746A6238" w14:textId="77777777" w:rsidR="00725FFD" w:rsidRPr="00251002" w:rsidRDefault="00725FFD" w:rsidP="00725FFD">
            <w:pPr>
              <w:jc w:val="both"/>
              <w:rPr>
                <w:rFonts w:ascii="David" w:hAnsi="David"/>
                <w:b/>
                <w:bCs/>
              </w:rPr>
            </w:pPr>
            <w:r w:rsidRPr="00251002">
              <w:rPr>
                <w:rFonts w:ascii="David" w:hAnsi="David"/>
                <w:b/>
                <w:bCs/>
                <w:rtl/>
              </w:rPr>
              <w:t>המאשימה</w:t>
            </w:r>
          </w:p>
        </w:tc>
      </w:tr>
      <w:bookmarkEnd w:id="1"/>
      <w:tr w:rsidR="00725FFD" w:rsidRPr="00251002" w14:paraId="0CC41686" w14:textId="77777777" w:rsidTr="00725FFD">
        <w:trPr>
          <w:trHeight w:val="415"/>
          <w:jc w:val="center"/>
        </w:trPr>
        <w:tc>
          <w:tcPr>
            <w:tcW w:w="957" w:type="dxa"/>
            <w:tcBorders>
              <w:top w:val="nil"/>
              <w:left w:val="nil"/>
              <w:bottom w:val="nil"/>
              <w:right w:val="nil"/>
            </w:tcBorders>
            <w:shd w:val="clear" w:color="auto" w:fill="auto"/>
          </w:tcPr>
          <w:p w14:paraId="2E32D786" w14:textId="77777777" w:rsidR="00725FFD" w:rsidRPr="00251002" w:rsidRDefault="00725FFD" w:rsidP="00725FFD">
            <w:pPr>
              <w:jc w:val="both"/>
              <w:rPr>
                <w:rFonts w:ascii="David" w:hAnsi="David"/>
                <w:b/>
                <w:bCs/>
                <w:rtl/>
              </w:rPr>
            </w:pPr>
          </w:p>
        </w:tc>
        <w:tc>
          <w:tcPr>
            <w:tcW w:w="8358" w:type="dxa"/>
            <w:gridSpan w:val="2"/>
            <w:tcBorders>
              <w:top w:val="nil"/>
              <w:left w:val="nil"/>
              <w:bottom w:val="nil"/>
              <w:right w:val="nil"/>
            </w:tcBorders>
            <w:shd w:val="clear" w:color="auto" w:fill="auto"/>
          </w:tcPr>
          <w:p w14:paraId="6F82ECD2" w14:textId="77777777" w:rsidR="00725FFD" w:rsidRPr="00251002" w:rsidRDefault="00725FFD" w:rsidP="00A52751">
            <w:pPr>
              <w:rPr>
                <w:rFonts w:ascii="David" w:hAnsi="David"/>
                <w:b/>
                <w:bCs/>
              </w:rPr>
            </w:pPr>
            <w:r w:rsidRPr="00251002">
              <w:rPr>
                <w:rFonts w:ascii="David" w:hAnsi="David" w:hint="cs"/>
                <w:b/>
                <w:bCs/>
                <w:rtl/>
              </w:rPr>
              <w:t xml:space="preserve">                                                   </w:t>
            </w:r>
            <w:r w:rsidRPr="00251002">
              <w:rPr>
                <w:rFonts w:ascii="David" w:hAnsi="David"/>
                <w:b/>
                <w:bCs/>
                <w:rtl/>
              </w:rPr>
              <w:t>נגד</w:t>
            </w:r>
          </w:p>
        </w:tc>
      </w:tr>
      <w:tr w:rsidR="00725FFD" w:rsidRPr="00251002" w14:paraId="58096272" w14:textId="77777777" w:rsidTr="00725FFD">
        <w:trPr>
          <w:trHeight w:val="415"/>
          <w:jc w:val="center"/>
        </w:trPr>
        <w:tc>
          <w:tcPr>
            <w:tcW w:w="957" w:type="dxa"/>
            <w:tcBorders>
              <w:top w:val="nil"/>
              <w:left w:val="nil"/>
              <w:bottom w:val="nil"/>
              <w:right w:val="nil"/>
            </w:tcBorders>
            <w:shd w:val="clear" w:color="auto" w:fill="auto"/>
          </w:tcPr>
          <w:p w14:paraId="59A0CB40" w14:textId="77777777" w:rsidR="00725FFD" w:rsidRPr="00251002" w:rsidRDefault="00725FFD" w:rsidP="00A52751">
            <w:pPr>
              <w:rPr>
                <w:rFonts w:ascii="David" w:hAnsi="David"/>
                <w:b/>
                <w:bCs/>
                <w:rtl/>
              </w:rPr>
            </w:pPr>
          </w:p>
        </w:tc>
        <w:tc>
          <w:tcPr>
            <w:tcW w:w="5095" w:type="dxa"/>
            <w:tcBorders>
              <w:top w:val="nil"/>
              <w:left w:val="nil"/>
              <w:bottom w:val="nil"/>
              <w:right w:val="nil"/>
            </w:tcBorders>
            <w:shd w:val="clear" w:color="auto" w:fill="auto"/>
          </w:tcPr>
          <w:p w14:paraId="08A2356A" w14:textId="77777777" w:rsidR="00725FFD" w:rsidRPr="00251002" w:rsidRDefault="00725FFD" w:rsidP="00A52751">
            <w:pPr>
              <w:rPr>
                <w:rFonts w:ascii="David" w:hAnsi="David"/>
                <w:b/>
                <w:bCs/>
                <w:rtl/>
              </w:rPr>
            </w:pPr>
            <w:r w:rsidRPr="00251002">
              <w:rPr>
                <w:rFonts w:ascii="David" w:hAnsi="David"/>
                <w:b/>
                <w:bCs/>
                <w:rtl/>
              </w:rPr>
              <w:br/>
              <w:t xml:space="preserve">קארן טמזיאן </w:t>
            </w:r>
          </w:p>
        </w:tc>
        <w:tc>
          <w:tcPr>
            <w:tcW w:w="3263" w:type="dxa"/>
            <w:tcBorders>
              <w:top w:val="nil"/>
              <w:left w:val="nil"/>
              <w:bottom w:val="nil"/>
              <w:right w:val="nil"/>
            </w:tcBorders>
            <w:shd w:val="clear" w:color="auto" w:fill="auto"/>
          </w:tcPr>
          <w:p w14:paraId="51E7CAD8" w14:textId="77777777" w:rsidR="00725FFD" w:rsidRPr="00251002" w:rsidRDefault="00725FFD" w:rsidP="00A52751">
            <w:pPr>
              <w:rPr>
                <w:rFonts w:ascii="David" w:hAnsi="David"/>
                <w:b/>
                <w:bCs/>
                <w:rtl/>
              </w:rPr>
            </w:pPr>
          </w:p>
          <w:p w14:paraId="445DA82B" w14:textId="77777777" w:rsidR="00725FFD" w:rsidRPr="00251002" w:rsidRDefault="00725FFD" w:rsidP="00A52751">
            <w:pPr>
              <w:rPr>
                <w:rFonts w:ascii="David" w:hAnsi="David"/>
                <w:b/>
                <w:bCs/>
              </w:rPr>
            </w:pPr>
            <w:r w:rsidRPr="00251002">
              <w:rPr>
                <w:rFonts w:ascii="David" w:hAnsi="David"/>
                <w:b/>
                <w:bCs/>
                <w:rtl/>
              </w:rPr>
              <w:t>הנאש</w:t>
            </w:r>
            <w:r w:rsidRPr="00251002">
              <w:rPr>
                <w:rFonts w:ascii="David" w:hAnsi="David" w:hint="cs"/>
                <w:b/>
                <w:bCs/>
                <w:rtl/>
              </w:rPr>
              <w:t>ם</w:t>
            </w:r>
          </w:p>
        </w:tc>
      </w:tr>
    </w:tbl>
    <w:p w14:paraId="7B128DAC" w14:textId="77777777" w:rsidR="00251002" w:rsidRPr="00251002" w:rsidRDefault="00251002" w:rsidP="00251002">
      <w:pPr>
        <w:spacing w:before="120" w:after="120" w:line="240" w:lineRule="exact"/>
        <w:ind w:left="283" w:hanging="283"/>
        <w:jc w:val="both"/>
        <w:rPr>
          <w:rFonts w:ascii="FrankRuehl" w:hAnsi="FrankRuehl" w:cs="FrankRuehl"/>
          <w:rtl/>
        </w:rPr>
      </w:pPr>
    </w:p>
    <w:p w14:paraId="11D1ECA8" w14:textId="77777777" w:rsidR="00251002" w:rsidRPr="00251002" w:rsidRDefault="00251002" w:rsidP="00251002">
      <w:pPr>
        <w:rPr>
          <w:rFonts w:ascii="David" w:hAnsi="David"/>
          <w:sz w:val="26"/>
          <w:szCs w:val="26"/>
          <w:rtl/>
        </w:rPr>
      </w:pPr>
    </w:p>
    <w:p w14:paraId="3D70B589" w14:textId="77777777" w:rsidR="0066449B" w:rsidRPr="0066449B" w:rsidRDefault="0066449B" w:rsidP="0066449B">
      <w:pPr>
        <w:spacing w:before="120" w:after="120" w:line="240" w:lineRule="exact"/>
        <w:ind w:left="283" w:hanging="283"/>
        <w:jc w:val="both"/>
        <w:rPr>
          <w:rFonts w:ascii="FrankRuehl" w:hAnsi="FrankRuehl" w:cs="FrankRuehl"/>
          <w:rtl/>
        </w:rPr>
      </w:pPr>
      <w:bookmarkStart w:id="2" w:name="LawTable"/>
      <w:bookmarkEnd w:id="2"/>
    </w:p>
    <w:p w14:paraId="27F10DB5" w14:textId="77777777" w:rsidR="0066449B" w:rsidRPr="0066449B" w:rsidRDefault="0066449B" w:rsidP="0066449B">
      <w:pPr>
        <w:spacing w:before="120" w:after="120" w:line="240" w:lineRule="exact"/>
        <w:ind w:left="283" w:hanging="283"/>
        <w:jc w:val="both"/>
        <w:rPr>
          <w:rFonts w:ascii="FrankRuehl" w:hAnsi="FrankRuehl" w:cs="FrankRuehl"/>
          <w:rtl/>
        </w:rPr>
      </w:pPr>
      <w:r w:rsidRPr="0066449B">
        <w:rPr>
          <w:rFonts w:ascii="FrankRuehl" w:hAnsi="FrankRuehl" w:cs="FrankRuehl"/>
          <w:rtl/>
        </w:rPr>
        <w:t xml:space="preserve">חקיקה שאוזכרה: </w:t>
      </w:r>
    </w:p>
    <w:p w14:paraId="65A7906C" w14:textId="77777777" w:rsidR="0066449B" w:rsidRPr="0066449B" w:rsidRDefault="0066449B" w:rsidP="0066449B">
      <w:pPr>
        <w:spacing w:before="120" w:after="120" w:line="240" w:lineRule="exact"/>
        <w:ind w:left="283" w:hanging="283"/>
        <w:jc w:val="both"/>
        <w:rPr>
          <w:rFonts w:ascii="FrankRuehl" w:hAnsi="FrankRuehl" w:cs="FrankRuehl"/>
          <w:color w:val="0000FF"/>
          <w:rtl/>
        </w:rPr>
      </w:pPr>
      <w:hyperlink r:id="rId7" w:history="1">
        <w:r w:rsidRPr="0066449B">
          <w:rPr>
            <w:rStyle w:val="Hyperlink"/>
            <w:rFonts w:ascii="FrankRuehl" w:hAnsi="FrankRuehl" w:cs="FrankRuehl"/>
            <w:u w:val="none"/>
            <w:rtl/>
          </w:rPr>
          <w:t>חוק העונשין, תשל"ז-1977</w:t>
        </w:r>
      </w:hyperlink>
      <w:r w:rsidRPr="0066449B">
        <w:rPr>
          <w:rFonts w:ascii="FrankRuehl" w:hAnsi="FrankRuehl" w:cs="FrankRuehl"/>
          <w:color w:val="0000FF"/>
          <w:rtl/>
        </w:rPr>
        <w:t xml:space="preserve">: סע'  </w:t>
      </w:r>
      <w:hyperlink r:id="rId8" w:history="1">
        <w:r w:rsidRPr="0066449B">
          <w:rPr>
            <w:rStyle w:val="Hyperlink"/>
            <w:rFonts w:ascii="FrankRuehl" w:hAnsi="FrankRuehl" w:cs="FrankRuehl"/>
            <w:u w:val="none"/>
          </w:rPr>
          <w:t>144</w:t>
        </w:r>
      </w:hyperlink>
      <w:r w:rsidRPr="0066449B">
        <w:rPr>
          <w:rFonts w:ascii="FrankRuehl" w:hAnsi="FrankRuehl" w:cs="FrankRuehl"/>
          <w:color w:val="0000FF"/>
          <w:rtl/>
        </w:rPr>
        <w:t xml:space="preserve">, </w:t>
      </w:r>
      <w:hyperlink r:id="rId9" w:history="1">
        <w:r w:rsidRPr="0066449B">
          <w:rPr>
            <w:rStyle w:val="Hyperlink"/>
            <w:rFonts w:ascii="FrankRuehl" w:hAnsi="FrankRuehl" w:cs="FrankRuehl"/>
            <w:u w:val="none"/>
          </w:rPr>
          <w:t>144</w:t>
        </w:r>
      </w:hyperlink>
      <w:r w:rsidRPr="0066449B">
        <w:rPr>
          <w:rFonts w:ascii="FrankRuehl" w:hAnsi="FrankRuehl" w:cs="FrankRuehl"/>
          <w:color w:val="0000FF"/>
          <w:rtl/>
        </w:rPr>
        <w:t xml:space="preserve">(א), </w:t>
      </w:r>
      <w:hyperlink r:id="rId10" w:history="1">
        <w:r w:rsidRPr="0066449B">
          <w:rPr>
            <w:rStyle w:val="Hyperlink"/>
            <w:rFonts w:ascii="FrankRuehl" w:hAnsi="FrankRuehl" w:cs="FrankRuehl"/>
            <w:u w:val="none"/>
          </w:rPr>
          <w:t>144</w:t>
        </w:r>
      </w:hyperlink>
      <w:r w:rsidRPr="0066449B">
        <w:rPr>
          <w:rFonts w:ascii="FrankRuehl" w:hAnsi="FrankRuehl" w:cs="FrankRuehl"/>
          <w:color w:val="0000FF"/>
          <w:rtl/>
        </w:rPr>
        <w:t xml:space="preserve">(ג1)(1), </w:t>
      </w:r>
      <w:hyperlink r:id="rId11" w:history="1">
        <w:r w:rsidRPr="0066449B">
          <w:rPr>
            <w:rStyle w:val="Hyperlink"/>
            <w:rFonts w:ascii="FrankRuehl" w:hAnsi="FrankRuehl" w:cs="FrankRuehl"/>
            <w:u w:val="none"/>
          </w:rPr>
          <w:t>192</w:t>
        </w:r>
      </w:hyperlink>
      <w:r w:rsidRPr="0066449B">
        <w:rPr>
          <w:rFonts w:ascii="FrankRuehl" w:hAnsi="FrankRuehl" w:cs="FrankRuehl"/>
          <w:color w:val="0000FF"/>
          <w:rtl/>
        </w:rPr>
        <w:t xml:space="preserve">, </w:t>
      </w:r>
      <w:hyperlink r:id="rId12" w:history="1">
        <w:r w:rsidRPr="0066449B">
          <w:rPr>
            <w:rStyle w:val="Hyperlink"/>
            <w:rFonts w:ascii="FrankRuehl" w:hAnsi="FrankRuehl" w:cs="FrankRuehl"/>
            <w:u w:val="none"/>
          </w:rPr>
          <w:t>379</w:t>
        </w:r>
      </w:hyperlink>
      <w:r w:rsidRPr="0066449B">
        <w:rPr>
          <w:rFonts w:ascii="FrankRuehl" w:hAnsi="FrankRuehl" w:cs="FrankRuehl"/>
          <w:color w:val="0000FF"/>
          <w:rtl/>
        </w:rPr>
        <w:t xml:space="preserve">, </w:t>
      </w:r>
      <w:hyperlink r:id="rId13" w:history="1">
        <w:r w:rsidRPr="0066449B">
          <w:rPr>
            <w:rStyle w:val="Hyperlink"/>
            <w:rFonts w:ascii="FrankRuehl" w:hAnsi="FrankRuehl" w:cs="FrankRuehl"/>
            <w:u w:val="none"/>
          </w:rPr>
          <w:t>382</w:t>
        </w:r>
      </w:hyperlink>
      <w:r w:rsidRPr="0066449B">
        <w:rPr>
          <w:rFonts w:ascii="FrankRuehl" w:hAnsi="FrankRuehl" w:cs="FrankRuehl"/>
          <w:color w:val="0000FF"/>
          <w:rtl/>
        </w:rPr>
        <w:t>(ב)(1)+</w:t>
      </w:r>
    </w:p>
    <w:p w14:paraId="685C7DDC" w14:textId="77777777" w:rsidR="0066449B" w:rsidRPr="0066449B" w:rsidRDefault="0066449B" w:rsidP="0066449B">
      <w:pPr>
        <w:spacing w:before="120" w:after="120" w:line="240" w:lineRule="exact"/>
        <w:ind w:left="283" w:hanging="283"/>
        <w:jc w:val="both"/>
        <w:rPr>
          <w:rFonts w:ascii="FrankRuehl" w:hAnsi="FrankRuehl" w:cs="FrankRuehl"/>
          <w:color w:val="0000FF"/>
          <w:rtl/>
        </w:rPr>
      </w:pPr>
      <w:hyperlink r:id="rId14" w:history="1">
        <w:r w:rsidRPr="0066449B">
          <w:rPr>
            <w:rStyle w:val="Hyperlink"/>
            <w:rFonts w:ascii="FrankRuehl" w:hAnsi="FrankRuehl" w:cs="FrankRuehl"/>
            <w:u w:val="none"/>
            <w:rtl/>
          </w:rPr>
          <w:t>פקודת הסמים המסוכנים [נוסח חדש], תשל"ג-1973</w:t>
        </w:r>
      </w:hyperlink>
      <w:r w:rsidRPr="0066449B">
        <w:rPr>
          <w:rFonts w:ascii="FrankRuehl" w:hAnsi="FrankRuehl" w:cs="FrankRuehl"/>
          <w:color w:val="0000FF"/>
          <w:rtl/>
        </w:rPr>
        <w:t xml:space="preserve">: סע'  </w:t>
      </w:r>
      <w:hyperlink r:id="rId15" w:history="1">
        <w:r w:rsidRPr="0066449B">
          <w:rPr>
            <w:rStyle w:val="Hyperlink"/>
            <w:rFonts w:ascii="FrankRuehl" w:hAnsi="FrankRuehl" w:cs="FrankRuehl"/>
            <w:u w:val="none"/>
          </w:rPr>
          <w:t>7.</w:t>
        </w:r>
        <w:r w:rsidRPr="0066449B">
          <w:rPr>
            <w:rStyle w:val="Hyperlink"/>
            <w:rFonts w:ascii="FrankRuehl" w:hAnsi="FrankRuehl" w:cs="FrankRuehl"/>
            <w:u w:val="none"/>
            <w:rtl/>
          </w:rPr>
          <w:t>א</w:t>
        </w:r>
        <w:r w:rsidRPr="0066449B">
          <w:rPr>
            <w:rStyle w:val="Hyperlink"/>
            <w:rFonts w:ascii="FrankRuehl" w:hAnsi="FrankRuehl" w:cs="FrankRuehl"/>
            <w:u w:val="none"/>
          </w:rPr>
          <w:t>.</w:t>
        </w:r>
      </w:hyperlink>
      <w:r w:rsidRPr="0066449B">
        <w:rPr>
          <w:rFonts w:ascii="FrankRuehl" w:hAnsi="FrankRuehl" w:cs="FrankRuehl"/>
          <w:color w:val="0000FF"/>
          <w:rtl/>
        </w:rPr>
        <w:t xml:space="preserve">, </w:t>
      </w:r>
      <w:hyperlink r:id="rId16" w:history="1">
        <w:r w:rsidRPr="0066449B">
          <w:rPr>
            <w:rStyle w:val="Hyperlink"/>
            <w:rFonts w:ascii="FrankRuehl" w:hAnsi="FrankRuehl" w:cs="FrankRuehl"/>
            <w:u w:val="none"/>
          </w:rPr>
          <w:t>7.</w:t>
        </w:r>
        <w:r w:rsidRPr="0066449B">
          <w:rPr>
            <w:rStyle w:val="Hyperlink"/>
            <w:rFonts w:ascii="FrankRuehl" w:hAnsi="FrankRuehl" w:cs="FrankRuehl"/>
            <w:u w:val="none"/>
            <w:rtl/>
          </w:rPr>
          <w:t>ג</w:t>
        </w:r>
      </w:hyperlink>
    </w:p>
    <w:p w14:paraId="3F556013" w14:textId="77777777" w:rsidR="00725FFD" w:rsidRDefault="00725FFD" w:rsidP="0066449B">
      <w:pPr>
        <w:rPr>
          <w:rFonts w:ascii="David" w:hAnsi="David" w:hint="cs"/>
          <w:sz w:val="26"/>
          <w:szCs w:val="26"/>
          <w:rtl/>
        </w:rPr>
      </w:pPr>
      <w:bookmarkStart w:id="3" w:name="LawTable_End"/>
      <w:bookmarkEnd w:id="3"/>
    </w:p>
    <w:p w14:paraId="49539C1B" w14:textId="77777777" w:rsidR="0066449B" w:rsidRDefault="0066449B" w:rsidP="0066449B">
      <w:pPr>
        <w:rPr>
          <w:rFonts w:ascii="David" w:hAnsi="David" w:hint="cs"/>
          <w:sz w:val="26"/>
          <w:szCs w:val="26"/>
          <w:rtl/>
        </w:rPr>
      </w:pPr>
    </w:p>
    <w:p w14:paraId="2798A488" w14:textId="77777777" w:rsidR="0066449B" w:rsidRDefault="0066449B" w:rsidP="0066449B">
      <w:pPr>
        <w:rPr>
          <w:rFonts w:ascii="David" w:hAnsi="David" w:hint="cs"/>
          <w:sz w:val="26"/>
          <w:szCs w:val="26"/>
          <w:rtl/>
        </w:rPr>
      </w:pPr>
    </w:p>
    <w:p w14:paraId="25ECBE63" w14:textId="77777777" w:rsidR="0066449B" w:rsidRPr="0066449B" w:rsidRDefault="0066449B" w:rsidP="0066449B">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5FFD" w14:paraId="74910235" w14:textId="77777777" w:rsidTr="00725FFD">
        <w:trPr>
          <w:trHeight w:val="355"/>
          <w:jc w:val="center"/>
        </w:trPr>
        <w:tc>
          <w:tcPr>
            <w:tcW w:w="8820" w:type="dxa"/>
            <w:tcBorders>
              <w:top w:val="nil"/>
              <w:left w:val="nil"/>
              <w:bottom w:val="nil"/>
              <w:right w:val="nil"/>
            </w:tcBorders>
            <w:shd w:val="clear" w:color="auto" w:fill="auto"/>
          </w:tcPr>
          <w:p w14:paraId="0650B2A9" w14:textId="77777777" w:rsidR="00251002" w:rsidRPr="00251002" w:rsidRDefault="00251002" w:rsidP="00251002">
            <w:pPr>
              <w:jc w:val="center"/>
              <w:rPr>
                <w:rFonts w:ascii="David" w:hAnsi="David"/>
                <w:b/>
                <w:bCs/>
                <w:sz w:val="32"/>
                <w:szCs w:val="32"/>
                <w:u w:val="single"/>
                <w:rtl/>
              </w:rPr>
            </w:pPr>
            <w:bookmarkStart w:id="4" w:name="PsakDin" w:colFirst="0" w:colLast="0"/>
            <w:r w:rsidRPr="00251002">
              <w:rPr>
                <w:rFonts w:ascii="David" w:hAnsi="David"/>
                <w:b/>
                <w:bCs/>
                <w:sz w:val="32"/>
                <w:szCs w:val="32"/>
                <w:u w:val="single"/>
                <w:rtl/>
              </w:rPr>
              <w:t>גזר דין</w:t>
            </w:r>
          </w:p>
          <w:p w14:paraId="60E2B6F0" w14:textId="77777777" w:rsidR="00725FFD" w:rsidRPr="00251002" w:rsidRDefault="00725FFD" w:rsidP="00251002">
            <w:pPr>
              <w:jc w:val="center"/>
              <w:rPr>
                <w:rFonts w:ascii="David" w:hAnsi="David"/>
                <w:bCs/>
                <w:sz w:val="32"/>
                <w:szCs w:val="32"/>
                <w:u w:val="single"/>
                <w:rtl/>
              </w:rPr>
            </w:pPr>
          </w:p>
        </w:tc>
      </w:tr>
      <w:bookmarkEnd w:id="4"/>
    </w:tbl>
    <w:p w14:paraId="7A0E901B" w14:textId="77777777" w:rsidR="00725FFD" w:rsidRPr="002B7D23" w:rsidRDefault="00725FFD" w:rsidP="00725FFD">
      <w:pPr>
        <w:rPr>
          <w:rFonts w:ascii="David" w:hAnsi="David"/>
          <w:sz w:val="26"/>
          <w:szCs w:val="26"/>
          <w:rtl/>
        </w:rPr>
      </w:pPr>
    </w:p>
    <w:p w14:paraId="1BBB4888" w14:textId="77777777" w:rsidR="00725FFD" w:rsidRDefault="00725FFD" w:rsidP="00725FFD">
      <w:pPr>
        <w:spacing w:line="360" w:lineRule="auto"/>
        <w:jc w:val="both"/>
        <w:rPr>
          <w:rFonts w:ascii="David" w:hAnsi="David"/>
          <w:rtl/>
        </w:rPr>
      </w:pPr>
      <w:r>
        <w:rPr>
          <w:rFonts w:ascii="David" w:hAnsi="David" w:hint="cs"/>
          <w:b/>
          <w:bCs/>
          <w:u w:val="single"/>
          <w:rtl/>
        </w:rPr>
        <w:t>כתב האישום</w:t>
      </w:r>
    </w:p>
    <w:p w14:paraId="7ADA5275" w14:textId="77777777" w:rsidR="00725FFD" w:rsidRDefault="00725FFD" w:rsidP="00725FFD">
      <w:pPr>
        <w:spacing w:line="360" w:lineRule="auto"/>
        <w:jc w:val="both"/>
        <w:rPr>
          <w:rFonts w:ascii="David" w:hAnsi="David"/>
          <w:rtl/>
        </w:rPr>
      </w:pPr>
    </w:p>
    <w:p w14:paraId="249A5688" w14:textId="77777777" w:rsidR="00725FFD" w:rsidRDefault="00725FFD" w:rsidP="00725FFD">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שלא כלל הסכמה עונשית, בעבירת תקיפה סתם- בן זוג (3 עבירות), לפי סעיף </w:t>
      </w:r>
      <w:hyperlink r:id="rId17" w:history="1">
        <w:r w:rsidR="0066449B" w:rsidRPr="0066449B">
          <w:rPr>
            <w:rStyle w:val="Hyperlink"/>
            <w:rFonts w:ascii="David" w:hAnsi="David"/>
            <w:color w:val="0000FF"/>
            <w:rtl/>
          </w:rPr>
          <w:t>382(ב)(1)+</w:t>
        </w:r>
      </w:hyperlink>
      <w:hyperlink r:id="rId18" w:history="1">
        <w:r w:rsidR="0066449B" w:rsidRPr="0066449B">
          <w:rPr>
            <w:rStyle w:val="Hyperlink"/>
            <w:rFonts w:ascii="David" w:hAnsi="David"/>
            <w:color w:val="0000FF"/>
            <w:rtl/>
          </w:rPr>
          <w:t>379</w:t>
        </w:r>
      </w:hyperlink>
      <w:r>
        <w:rPr>
          <w:rFonts w:ascii="David" w:hAnsi="David" w:hint="cs"/>
          <w:rtl/>
        </w:rPr>
        <w:t xml:space="preserve"> ל</w:t>
      </w:r>
      <w:hyperlink r:id="rId19" w:history="1">
        <w:r w:rsidR="00251002" w:rsidRPr="00251002">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A821B1">
        <w:rPr>
          <w:rFonts w:ascii="Miriam" w:hAnsi="Miriam" w:cs="Miriam"/>
          <w:rtl/>
        </w:rPr>
        <w:t>חוק העונשין</w:t>
      </w:r>
      <w:r>
        <w:rPr>
          <w:rFonts w:ascii="David" w:hAnsi="David" w:hint="cs"/>
          <w:rtl/>
        </w:rPr>
        <w:t xml:space="preserve">); איומים, לפי </w:t>
      </w:r>
      <w:hyperlink r:id="rId20" w:history="1">
        <w:r w:rsidR="0066449B" w:rsidRPr="0066449B">
          <w:rPr>
            <w:rStyle w:val="Hyperlink"/>
            <w:rFonts w:ascii="David" w:hAnsi="David" w:hint="eastAsia"/>
            <w:color w:val="0000FF"/>
            <w:rtl/>
          </w:rPr>
          <w:t>סעיף</w:t>
        </w:r>
        <w:r w:rsidR="0066449B" w:rsidRPr="0066449B">
          <w:rPr>
            <w:rStyle w:val="Hyperlink"/>
            <w:rFonts w:ascii="David" w:hAnsi="David"/>
            <w:color w:val="0000FF"/>
            <w:rtl/>
          </w:rPr>
          <w:t xml:space="preserve"> 192</w:t>
        </w:r>
      </w:hyperlink>
      <w:r>
        <w:rPr>
          <w:rFonts w:ascii="David" w:hAnsi="David" w:hint="cs"/>
          <w:rtl/>
        </w:rPr>
        <w:t xml:space="preserve"> לחוק העונשין; החזקת חלק מהותי בנשק, לפי </w:t>
      </w:r>
      <w:hyperlink r:id="rId21" w:history="1">
        <w:r w:rsidR="0066449B" w:rsidRPr="0066449B">
          <w:rPr>
            <w:rStyle w:val="Hyperlink"/>
            <w:rFonts w:ascii="David" w:hAnsi="David" w:hint="eastAsia"/>
            <w:color w:val="0000FF"/>
            <w:rtl/>
          </w:rPr>
          <w:t>סעיף</w:t>
        </w:r>
        <w:r w:rsidR="0066449B" w:rsidRPr="0066449B">
          <w:rPr>
            <w:rStyle w:val="Hyperlink"/>
            <w:rFonts w:ascii="David" w:hAnsi="David"/>
            <w:color w:val="0000FF"/>
            <w:rtl/>
          </w:rPr>
          <w:t xml:space="preserve"> 144(א)</w:t>
        </w:r>
      </w:hyperlink>
      <w:r>
        <w:rPr>
          <w:rFonts w:ascii="David" w:hAnsi="David" w:hint="cs"/>
          <w:rtl/>
        </w:rPr>
        <w:t xml:space="preserve"> אמצע לחוק העונשין; והחזקת סמים לצריכה עצמית, לפי סעיף </w:t>
      </w:r>
      <w:hyperlink r:id="rId22" w:history="1">
        <w:r w:rsidR="0066449B" w:rsidRPr="0066449B">
          <w:rPr>
            <w:rStyle w:val="Hyperlink"/>
            <w:rFonts w:ascii="David" w:hAnsi="David"/>
            <w:color w:val="0000FF"/>
            <w:rtl/>
          </w:rPr>
          <w:t>7(א)+7(ג)</w:t>
        </w:r>
      </w:hyperlink>
      <w:r>
        <w:rPr>
          <w:rFonts w:ascii="David" w:hAnsi="David" w:hint="cs"/>
          <w:rtl/>
        </w:rPr>
        <w:t xml:space="preserve"> סיפא ל</w:t>
      </w:r>
      <w:hyperlink r:id="rId23" w:history="1">
        <w:r w:rsidR="00251002" w:rsidRPr="00251002">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A821B1">
        <w:rPr>
          <w:rFonts w:ascii="Miriam" w:hAnsi="Miriam" w:cs="Miriam"/>
          <w:rtl/>
        </w:rPr>
        <w:t>פקודת הסמים</w:t>
      </w:r>
      <w:r>
        <w:rPr>
          <w:rFonts w:ascii="David" w:hAnsi="David" w:hint="cs"/>
          <w:rtl/>
        </w:rPr>
        <w:t xml:space="preserve">). </w:t>
      </w:r>
    </w:p>
    <w:p w14:paraId="4FF654FB" w14:textId="77777777" w:rsidR="00725FFD" w:rsidRDefault="00725FFD" w:rsidP="00725FFD">
      <w:pPr>
        <w:pStyle w:val="a9"/>
        <w:ind w:left="0"/>
        <w:jc w:val="both"/>
        <w:rPr>
          <w:rFonts w:ascii="David" w:hAnsi="David"/>
        </w:rPr>
      </w:pPr>
      <w:bookmarkStart w:id="6" w:name="ABSTRACT_END"/>
      <w:bookmarkEnd w:id="6"/>
    </w:p>
    <w:p w14:paraId="3826F627"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כתב האישום המתוקן כולל חלק כללי בו תואר כי במועד הרלוונטי היו הנאשם והמתלוננת בני זוג והתגוררו יחד. צוין כי במהלך תקופה בת כשבעה ימים, בחודש 6/24, חשד הנאשם כי המתלוננת אינה נאמנה לו, נהג ליטול את הטלפון הנייד שלה ולבדוק בו וכן מנע ממנה לצאת מהדירה בלעדיו. </w:t>
      </w:r>
    </w:p>
    <w:p w14:paraId="49BE0F42" w14:textId="77777777" w:rsidR="00725FFD" w:rsidRDefault="00725FFD" w:rsidP="00725FFD">
      <w:pPr>
        <w:pStyle w:val="a9"/>
        <w:rPr>
          <w:rFonts w:ascii="David" w:hAnsi="David"/>
          <w:rtl/>
        </w:rPr>
      </w:pPr>
    </w:p>
    <w:p w14:paraId="1B5C2FB2"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בכתב האישום פורטו שלושה אירועים כמפורט להלן:</w:t>
      </w:r>
    </w:p>
    <w:p w14:paraId="3A9E758A" w14:textId="77777777" w:rsidR="00725FFD" w:rsidRPr="00234626" w:rsidRDefault="00725FFD" w:rsidP="00725FFD">
      <w:pPr>
        <w:pStyle w:val="a9"/>
        <w:rPr>
          <w:rFonts w:ascii="David" w:hAnsi="David"/>
          <w:rtl/>
        </w:rPr>
      </w:pPr>
    </w:p>
    <w:p w14:paraId="6C0FF99C" w14:textId="77777777" w:rsidR="00725FFD" w:rsidRDefault="00725FFD" w:rsidP="00725FFD">
      <w:pPr>
        <w:pStyle w:val="a9"/>
        <w:spacing w:line="360" w:lineRule="auto"/>
        <w:jc w:val="both"/>
        <w:rPr>
          <w:rFonts w:ascii="David" w:hAnsi="David"/>
          <w:rtl/>
        </w:rPr>
      </w:pPr>
      <w:r>
        <w:rPr>
          <w:rFonts w:ascii="David" w:hAnsi="David" w:hint="cs"/>
          <w:rtl/>
        </w:rPr>
        <w:lastRenderedPageBreak/>
        <w:t>(-)</w:t>
      </w:r>
      <w:r>
        <w:rPr>
          <w:rFonts w:ascii="David" w:hAnsi="David"/>
          <w:rtl/>
        </w:rPr>
        <w:tab/>
      </w:r>
      <w:r>
        <w:rPr>
          <w:rFonts w:ascii="David" w:hAnsi="David" w:hint="cs"/>
          <w:rtl/>
        </w:rPr>
        <w:t xml:space="preserve">ביום 27.6.24 אמרה המתלוננת לנאשם כי ברצונה להיפרד וזאת לאור התנהגותו שתוארה לעיל. בנסיבות אלו, תקף אותה הנאשם באופן שתפס בצווארה, ניער את גופה ומשך בשיערה ובאוזנה מספר פעמים. בהמשך, הניף לעברה כיסא מספר פעמים באופן מאיים ואמר </w:t>
      </w:r>
      <w:r w:rsidRPr="00A37924">
        <w:rPr>
          <w:rFonts w:ascii="Miriam" w:hAnsi="Miriam" w:cs="Miriam"/>
          <w:rtl/>
        </w:rPr>
        <w:t>"אני אזרוק את זה עלייך"</w:t>
      </w:r>
      <w:r>
        <w:rPr>
          <w:rFonts w:ascii="David" w:hAnsi="David" w:hint="cs"/>
          <w:rtl/>
        </w:rPr>
        <w:t xml:space="preserve">. </w:t>
      </w:r>
    </w:p>
    <w:p w14:paraId="3BE7C4A4" w14:textId="77777777" w:rsidR="00725FFD" w:rsidRDefault="00725FFD" w:rsidP="00725FFD">
      <w:pPr>
        <w:pStyle w:val="a9"/>
        <w:jc w:val="both"/>
        <w:rPr>
          <w:rFonts w:ascii="David" w:hAnsi="David"/>
          <w:rtl/>
        </w:rPr>
      </w:pPr>
    </w:p>
    <w:p w14:paraId="456FA1DE" w14:textId="77777777" w:rsidR="00725FFD" w:rsidRDefault="00725FFD" w:rsidP="00725FFD">
      <w:pPr>
        <w:pStyle w:val="a9"/>
        <w:spacing w:line="360" w:lineRule="auto"/>
        <w:ind w:firstLine="720"/>
        <w:jc w:val="both"/>
        <w:rPr>
          <w:rFonts w:ascii="David" w:hAnsi="David"/>
        </w:rPr>
      </w:pPr>
      <w:r>
        <w:rPr>
          <w:rFonts w:ascii="David" w:hAnsi="David" w:hint="cs"/>
          <w:rtl/>
        </w:rPr>
        <w:t xml:space="preserve">כמו כן, ביום זה החזיק הנאשם, על שולחן במחסן בדירה, אקדח תופי מסוג </w:t>
      </w:r>
      <w:r>
        <w:rPr>
          <w:rFonts w:ascii="David" w:hAnsi="David" w:hint="cs"/>
        </w:rPr>
        <w:t>S&amp;W</w:t>
      </w:r>
      <w:r>
        <w:rPr>
          <w:rFonts w:ascii="David" w:hAnsi="David" w:hint="cs"/>
          <w:rtl/>
        </w:rPr>
        <w:t xml:space="preserve"> קליבר</w:t>
      </w:r>
      <w:r>
        <w:rPr>
          <w:rFonts w:ascii="David" w:hAnsi="David"/>
        </w:rPr>
        <w:t xml:space="preserve"> </w:t>
      </w:r>
      <w:r>
        <w:rPr>
          <w:rFonts w:ascii="David" w:hAnsi="David" w:hint="cs"/>
          <w:rtl/>
        </w:rPr>
        <w:t xml:space="preserve">38 כאשר הוא ללא נוקר; סם מסוג הרואין במשקל 0.0311; וכן סם מסוג קוקאין במשקל 0.1372 גרם. </w:t>
      </w:r>
    </w:p>
    <w:p w14:paraId="66A196C4" w14:textId="77777777" w:rsidR="00725FFD" w:rsidRDefault="00725FFD" w:rsidP="00725FFD">
      <w:pPr>
        <w:pStyle w:val="a9"/>
        <w:spacing w:line="360" w:lineRule="auto"/>
        <w:ind w:left="0"/>
        <w:jc w:val="both"/>
        <w:rPr>
          <w:rFonts w:ascii="David" w:hAnsi="David"/>
        </w:rPr>
      </w:pPr>
    </w:p>
    <w:p w14:paraId="6021C43A" w14:textId="77777777" w:rsidR="00725FFD" w:rsidRDefault="00725FFD" w:rsidP="00725FFD">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 ביום 23.6.24 במהלך נסיעה ברכבה של המתלוננת ובעודה נוהגת, ישב הנאשם לצדה והטיח בה שהיא אינה נאמנה לו ודרש לדעת את שמו של האדם אתו היא בוגדת בו. המתלוננת שללה טענה זו, או אז הכה אותה הנאשם במכת אגרוף בפניה וכן הכה אותה בחזהּ באמצעות טלפון שאחז בידו. </w:t>
      </w:r>
    </w:p>
    <w:p w14:paraId="0A71DBE9" w14:textId="77777777" w:rsidR="00725FFD" w:rsidRDefault="00725FFD" w:rsidP="00725FFD">
      <w:pPr>
        <w:pStyle w:val="a9"/>
        <w:ind w:left="0"/>
        <w:jc w:val="both"/>
        <w:rPr>
          <w:rFonts w:ascii="David" w:hAnsi="David"/>
          <w:rtl/>
        </w:rPr>
      </w:pPr>
    </w:p>
    <w:p w14:paraId="4D0E3044" w14:textId="77777777" w:rsidR="00725FFD" w:rsidRDefault="00725FFD" w:rsidP="00725FFD">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ביום 20.6.24 בזמן שהמתלוננת הייתה על המיטה בחדרה, תפס הנאשם את שערה תוך שהוא מגדף אותה. בהמשך, תפס בלחייה ולאחר שהזיזה את ידו תפס אותה באוזניה וניער אותה.</w:t>
      </w:r>
    </w:p>
    <w:p w14:paraId="345E8A81" w14:textId="77777777" w:rsidR="00725FFD" w:rsidRDefault="00725FFD" w:rsidP="00725FFD">
      <w:pPr>
        <w:pStyle w:val="a9"/>
        <w:ind w:left="0"/>
        <w:jc w:val="both"/>
        <w:rPr>
          <w:rFonts w:ascii="David" w:hAnsi="David"/>
          <w:b/>
          <w:bCs/>
          <w:u w:val="single"/>
          <w:rtl/>
        </w:rPr>
      </w:pPr>
    </w:p>
    <w:p w14:paraId="29F43CA0" w14:textId="77777777" w:rsidR="00725FFD" w:rsidRDefault="00725FFD" w:rsidP="00725FFD">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19C67DB9" w14:textId="77777777" w:rsidR="00725FFD" w:rsidRPr="00D11C96" w:rsidRDefault="00725FFD" w:rsidP="00725FFD">
      <w:pPr>
        <w:pStyle w:val="a9"/>
        <w:ind w:left="0"/>
        <w:jc w:val="both"/>
        <w:rPr>
          <w:rFonts w:ascii="David" w:hAnsi="David"/>
          <w:b/>
          <w:bCs/>
          <w:u w:val="single"/>
          <w:rtl/>
        </w:rPr>
      </w:pPr>
    </w:p>
    <w:p w14:paraId="6ED1F380"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המתלוננת העידה בפני בשתי הזדמנויות. בדבריה תארה את מערכת היחסים עם הנאשם ואת האירועים מנקודת מבטה, ציינה כי הוא אדם טוב ואינו אלים וכי </w:t>
      </w:r>
      <w:r w:rsidRPr="00362A5C">
        <w:rPr>
          <w:rFonts w:ascii="Miriam" w:hAnsi="Miriam" w:cs="Miriam"/>
          <w:rtl/>
        </w:rPr>
        <w:t>"לא היה שום דבר בנינו חוץ מצרחות פה ושם, אבל אלימות מצדו שלו לא היה אף פעם"</w:t>
      </w:r>
      <w:r>
        <w:rPr>
          <w:rFonts w:ascii="David" w:hAnsi="David" w:hint="cs"/>
          <w:rtl/>
        </w:rPr>
        <w:t xml:space="preserve">. כן הוסיפה כי היא מתגעגעת אליו ומחכה לשחרורו וציינה שהוא מביע מוטיבציה לעבוד ולשקם את היחסים הזוגיים.  </w:t>
      </w:r>
    </w:p>
    <w:p w14:paraId="077778C7" w14:textId="77777777" w:rsidR="00725FFD" w:rsidRDefault="00725FFD" w:rsidP="00725FFD">
      <w:pPr>
        <w:pStyle w:val="a9"/>
        <w:ind w:left="0"/>
        <w:jc w:val="both"/>
        <w:rPr>
          <w:rFonts w:ascii="David" w:hAnsi="David"/>
          <w:rtl/>
        </w:rPr>
      </w:pPr>
    </w:p>
    <w:p w14:paraId="0D6126C3"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ב"כ המאשימה הפנה לחומרת העבירות והדגיש כי לצד עבירות האלימות החזיק הנאשם בסמים מסוכנים ובחלקי נשק כך שנפגעו ערכים מוגנים נוספים ובעוצמה לא מבוטלת. המאשימה ביקשה לראות בכל העבירות כאירוע אחד ולקבוע מתחם עונש אחד, תוך שהציעה דווקא מתחמים נפרדים לעבירות האלימות (12-24 חודשי מאסר) ולעבירת הנשק (8-16 חודשי מאסר). ברמה האופרטיבית עתרה המאשימה לעונש כולל </w:t>
      </w:r>
      <w:r>
        <w:rPr>
          <w:rFonts w:ascii="David" w:hAnsi="David"/>
          <w:rtl/>
        </w:rPr>
        <w:t>–</w:t>
      </w:r>
      <w:r>
        <w:rPr>
          <w:rFonts w:ascii="David" w:hAnsi="David" w:hint="cs"/>
          <w:rtl/>
        </w:rPr>
        <w:t xml:space="preserve"> מאסר בפועל שלא יפחת מ-16 חודשים וענישה נלווית. </w:t>
      </w:r>
    </w:p>
    <w:p w14:paraId="6318D0B8" w14:textId="77777777" w:rsidR="00725FFD" w:rsidRPr="009F7FD4" w:rsidRDefault="00725FFD" w:rsidP="00725FFD">
      <w:pPr>
        <w:pStyle w:val="a9"/>
        <w:rPr>
          <w:rFonts w:ascii="David" w:hAnsi="David"/>
          <w:rtl/>
        </w:rPr>
      </w:pPr>
    </w:p>
    <w:p w14:paraId="4A0C006E"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ב"כ הנאשם טען כי מתחם הענישה במקרה זה (לכל העבירות) נע בין מספר חודשי מאסר ועד 9 חודשי מאסר. כן הדגיש כי מדובר באדם שעלה ארצה ללא השכלה, עבד לפרנסתו והאירוע אינו מאפיין את אורחות חייו. צוין עוד שפני הזוג להמשך מערכת היחסים ויש להביא בחשבון את הודאתו, תקופת מעצרו וכן את עמדת המתלוננת. לאור כל זאת עתר הסנגור למקם את עונשו של הנאשם ברף הבינוני של המתחם לו עתר. </w:t>
      </w:r>
    </w:p>
    <w:p w14:paraId="497950C8" w14:textId="77777777" w:rsidR="00725FFD" w:rsidRPr="00086763" w:rsidRDefault="00725FFD" w:rsidP="00725FFD">
      <w:pPr>
        <w:pStyle w:val="a9"/>
        <w:rPr>
          <w:rFonts w:ascii="David" w:hAnsi="David"/>
          <w:rtl/>
        </w:rPr>
      </w:pPr>
    </w:p>
    <w:p w14:paraId="4E1CD3CF"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lastRenderedPageBreak/>
        <w:t xml:space="preserve">הנאשם בדברו האחרון התנצל בפני המתלוננת, ציין כי המעצר קשה עבורו וכי הוא הפנים את הטעות שעשה וברצונו לשוב לחיק משפחתו. </w:t>
      </w:r>
    </w:p>
    <w:p w14:paraId="42F68D28" w14:textId="77777777" w:rsidR="00725FFD" w:rsidRPr="003F4DAD" w:rsidRDefault="00725FFD" w:rsidP="00725FFD">
      <w:pPr>
        <w:pStyle w:val="a9"/>
        <w:rPr>
          <w:rFonts w:ascii="David" w:hAnsi="David"/>
          <w:rtl/>
        </w:rPr>
      </w:pPr>
    </w:p>
    <w:p w14:paraId="07921306" w14:textId="77777777" w:rsidR="00725FFD" w:rsidRDefault="00725FFD" w:rsidP="00725FFD">
      <w:pPr>
        <w:pStyle w:val="a9"/>
        <w:spacing w:line="360" w:lineRule="auto"/>
        <w:ind w:left="0"/>
        <w:jc w:val="both"/>
        <w:rPr>
          <w:rFonts w:ascii="David" w:hAnsi="David"/>
          <w:b/>
          <w:bCs/>
          <w:u w:val="single"/>
          <w:rtl/>
        </w:rPr>
      </w:pPr>
      <w:r>
        <w:rPr>
          <w:rFonts w:ascii="David" w:hAnsi="David" w:hint="cs"/>
          <w:b/>
          <w:bCs/>
          <w:u w:val="single"/>
          <w:rtl/>
        </w:rPr>
        <w:t>דיון והכרעה</w:t>
      </w:r>
    </w:p>
    <w:p w14:paraId="09F07858" w14:textId="77777777" w:rsidR="00725FFD" w:rsidRPr="003F4DAD" w:rsidRDefault="00725FFD" w:rsidP="00725FFD">
      <w:pPr>
        <w:pStyle w:val="a9"/>
        <w:spacing w:line="360" w:lineRule="auto"/>
        <w:ind w:left="0"/>
        <w:jc w:val="both"/>
        <w:rPr>
          <w:rFonts w:ascii="David" w:hAnsi="David"/>
        </w:rPr>
      </w:pPr>
      <w:r>
        <w:rPr>
          <w:rFonts w:ascii="David" w:hAnsi="David" w:hint="cs"/>
          <w:b/>
          <w:bCs/>
          <w:u w:val="single"/>
          <w:rtl/>
        </w:rPr>
        <w:t>קביעת מתחם הענישה</w:t>
      </w:r>
    </w:p>
    <w:p w14:paraId="69456D0E" w14:textId="77777777" w:rsidR="00725FFD" w:rsidRPr="003F4DAD" w:rsidRDefault="00725FFD" w:rsidP="00725FFD">
      <w:pPr>
        <w:pStyle w:val="a9"/>
        <w:rPr>
          <w:rFonts w:ascii="David" w:hAnsi="David"/>
          <w:rtl/>
        </w:rPr>
      </w:pPr>
    </w:p>
    <w:p w14:paraId="2775AEEB"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כאמור, המאשימה עתרה לקביעת מתחם ענישה אחד, הגם שציינה שני מתחמים שונים ובעניין זה טיעונה היה לא עקבי. ההגנה עתרה אף היא למתחם ענישה אחד. אומר כבר עתה כי לדידי יש לקבוע שני מתחמי ענישה נפרדים, האחד לעבירות האלימות (כולן) והשני לעבירות סמים והנשק. אין לראות כל קשר בין עבירות האלימות לבין עבירות הסמים והנשק, זולת העובדה שעבירות אלו התגלו לאחר שהשוטרים הגיעו לבית הנאשם עקב עבירת האלימות האחרונה. מנגד, ביחס לעבירות האלימות אזי הגם שמדובר במספר מעשים ובמועדים שונים, לאור מהותם, המניע להם, סמיכות הזמנים, והעובדה שהופנו כלפי אותה מתלוננת, יש לראותם בנסיבות מקרה זה כאירוע אחד, תוך שיינתן משקל לריבוי העבירות. משכך, יקבעו שני מתחמי ענישה נפרדים אולם יוטל עונש אחד כולל, כעתירת הצדדים. </w:t>
      </w:r>
    </w:p>
    <w:p w14:paraId="68C4385F" w14:textId="77777777" w:rsidR="00725FFD" w:rsidRDefault="00725FFD" w:rsidP="00725FFD">
      <w:pPr>
        <w:pStyle w:val="a9"/>
        <w:ind w:left="0"/>
        <w:jc w:val="both"/>
        <w:rPr>
          <w:rFonts w:ascii="David" w:hAnsi="David"/>
        </w:rPr>
      </w:pPr>
    </w:p>
    <w:p w14:paraId="4AB38DE5" w14:textId="77777777" w:rsidR="00725FFD" w:rsidRDefault="00725FFD" w:rsidP="00725FFD">
      <w:pPr>
        <w:pStyle w:val="a9"/>
        <w:numPr>
          <w:ilvl w:val="0"/>
          <w:numId w:val="1"/>
        </w:numPr>
        <w:spacing w:line="360" w:lineRule="auto"/>
        <w:jc w:val="both"/>
        <w:rPr>
          <w:rFonts w:ascii="David" w:hAnsi="David"/>
        </w:rPr>
      </w:pPr>
      <w:r>
        <w:rPr>
          <w:rFonts w:ascii="David" w:hAnsi="David"/>
          <w:rtl/>
        </w:rPr>
        <w:t>הערכים המוגנים שנפגעו בשל מעשי הנאשם ברורים ומדובר בפגיעה בשלום גופה, כבודה ובטחונה של המתלוננת כמו גם</w:t>
      </w:r>
      <w:r>
        <w:rPr>
          <w:rFonts w:ascii="David" w:hAnsi="David" w:hint="cs"/>
          <w:rtl/>
        </w:rPr>
        <w:t xml:space="preserve"> בפרטיותה. </w:t>
      </w:r>
      <w:r>
        <w:rPr>
          <w:rFonts w:ascii="David" w:hAnsi="David"/>
          <w:rtl/>
        </w:rPr>
        <w:t>בהקשר זה אפנה ל</w:t>
      </w:r>
      <w:hyperlink r:id="rId24" w:history="1">
        <w:r w:rsidR="00251002" w:rsidRPr="00251002">
          <w:rPr>
            <w:rFonts w:ascii="David" w:hAnsi="David"/>
            <w:color w:val="0000FF"/>
            <w:u w:val="single"/>
            <w:rtl/>
          </w:rPr>
          <w:t>רע"פ 3719/21</w:t>
        </w:r>
      </w:hyperlink>
      <w:r>
        <w:rPr>
          <w:rFonts w:ascii="David" w:hAnsi="David"/>
          <w:rtl/>
        </w:rPr>
        <w:t xml:space="preserve"> </w:t>
      </w:r>
      <w:r>
        <w:rPr>
          <w:rFonts w:ascii="David" w:hAnsi="David"/>
          <w:b/>
          <w:bCs/>
          <w:rtl/>
        </w:rPr>
        <w:t>פלוני נ' מדינת ישראל</w:t>
      </w:r>
      <w:r>
        <w:rPr>
          <w:rFonts w:ascii="David" w:hAnsi="David"/>
          <w:rtl/>
        </w:rPr>
        <w:t xml:space="preserve"> (07.06.2021) שם צוין: </w:t>
      </w:r>
      <w:r>
        <w:rPr>
          <w:rFonts w:ascii="Miriam" w:hAnsi="Miriam" w:cs="Miriam"/>
          <w:rtl/>
        </w:rPr>
        <w:t>"זה לא מכבר, עמדתי על הפסול שבתופעת האלימות בתוך התא המשפחתי, ההרס שיכול להיגרם בעקבותיה, ובפרט הפגיעה בתחושת הביטחון של יושבי הבית, כבודם ושלמות גופם"</w:t>
      </w:r>
      <w:r>
        <w:rPr>
          <w:rFonts w:ascii="David" w:hAnsi="David"/>
          <w:rtl/>
        </w:rPr>
        <w:t xml:space="preserve">. </w:t>
      </w:r>
      <w:r>
        <w:rPr>
          <w:rFonts w:ascii="David" w:hAnsi="David" w:hint="cs"/>
          <w:rtl/>
        </w:rPr>
        <w:t xml:space="preserve">לכך יש להוסיף כי הנאשם החזיק בחלק מהותי של נשק (ולשאלת מהותו של "החלק" אתייחס בהמשך) וכן סמים לשימוש עצמי ובכך נפגעו ערכים מוגנים נוספים שעניינם שלום הציבור ובטחונו. </w:t>
      </w:r>
    </w:p>
    <w:p w14:paraId="65576DEB" w14:textId="77777777" w:rsidR="00725FFD" w:rsidRPr="002440A6" w:rsidRDefault="00725FFD" w:rsidP="00725FFD">
      <w:pPr>
        <w:pStyle w:val="a9"/>
        <w:rPr>
          <w:rFonts w:ascii="David" w:hAnsi="David"/>
          <w:rtl/>
        </w:rPr>
      </w:pPr>
    </w:p>
    <w:p w14:paraId="6620C781" w14:textId="77777777" w:rsidR="00725FFD" w:rsidRPr="00891AD2" w:rsidRDefault="00725FFD" w:rsidP="00725FFD">
      <w:pPr>
        <w:pStyle w:val="a9"/>
        <w:numPr>
          <w:ilvl w:val="0"/>
          <w:numId w:val="1"/>
        </w:numPr>
        <w:spacing w:line="360" w:lineRule="auto"/>
        <w:jc w:val="both"/>
        <w:rPr>
          <w:rFonts w:ascii="David" w:hAnsi="David"/>
        </w:rPr>
      </w:pPr>
      <w:r>
        <w:rPr>
          <w:rFonts w:ascii="David" w:hAnsi="David" w:hint="cs"/>
          <w:rtl/>
        </w:rPr>
        <w:t xml:space="preserve">ביחס לנסיבות הקשורות לביצוע עבירות האלימות אציין כי הרקע לאירוע הוא חשדו של הנאשם כי המתלוננת אינה נאמנה לו ויש לראות בכך נסיבה לחומרה המלמדת על מסוכנות ממשית. התנהגותו הייתה חמורה וכללה מאפייני קנאה ורכושנות מובהקים: הטחת האשמות, בדיקת מכשיר הטלפון של המתלוננת ואף מניעת יציאתה מהבית בלעדיו. מדובר ברמה גבוהה של קנאה ורכושנות ומכאן החומרה שבמעשים. מעשי הנאשם לא הסתכמו רק בכך וכאשר ביקשה המתלוננת להיפרד ממנו, נהג בה באלימות ממשית וזאת במספר הזדמנויות. האירועים כללו תפיסה בצוואר, משיכה בשיער ובאוזניים מספר פעמים, אגרוף בפנים ומכה בחזה עם מכשיר הטלפון בזמן שהמתלוננת נהגה ברכב. מדובר באירועים חמורים, המבטאים בריונות וזלזול עמוק במתלוננת, בזכויותיה כאדם חופשי ובכבודה. </w:t>
      </w:r>
      <w:r w:rsidRPr="00891AD2">
        <w:rPr>
          <w:rFonts w:ascii="David" w:hAnsi="David" w:hint="cs"/>
          <w:rtl/>
        </w:rPr>
        <w:t xml:space="preserve">ביחס לעבירת הסמים אציין כי מדובר בכמויות </w:t>
      </w:r>
      <w:r>
        <w:rPr>
          <w:rFonts w:ascii="David" w:hAnsi="David" w:hint="cs"/>
          <w:rtl/>
        </w:rPr>
        <w:t xml:space="preserve">נמוכות </w:t>
      </w:r>
      <w:r w:rsidRPr="00891AD2">
        <w:rPr>
          <w:rFonts w:ascii="David" w:hAnsi="David" w:hint="cs"/>
          <w:rtl/>
        </w:rPr>
        <w:t xml:space="preserve">לצריכה עצמית, על כל המשתמע מכך, אולם מדובר בסמים קשים מסוג הרואין וקוקאין. </w:t>
      </w:r>
    </w:p>
    <w:p w14:paraId="129298BA" w14:textId="77777777" w:rsidR="00725FFD" w:rsidRPr="00891AD2" w:rsidRDefault="00725FFD" w:rsidP="00725FFD">
      <w:pPr>
        <w:pStyle w:val="a9"/>
        <w:rPr>
          <w:rFonts w:ascii="David" w:hAnsi="David"/>
          <w:rtl/>
        </w:rPr>
      </w:pPr>
    </w:p>
    <w:p w14:paraId="1CF9CA86" w14:textId="77777777" w:rsidR="00725FFD" w:rsidRDefault="00725FFD" w:rsidP="00725FFD">
      <w:pPr>
        <w:pStyle w:val="a9"/>
        <w:numPr>
          <w:ilvl w:val="0"/>
          <w:numId w:val="1"/>
        </w:numPr>
        <w:spacing w:line="360" w:lineRule="auto"/>
        <w:jc w:val="both"/>
        <w:rPr>
          <w:rFonts w:ascii="David" w:hAnsi="David"/>
        </w:rPr>
      </w:pPr>
      <w:r w:rsidRPr="00F9382D">
        <w:rPr>
          <w:rFonts w:ascii="David" w:hAnsi="David" w:hint="cs"/>
          <w:rtl/>
        </w:rPr>
        <w:t>נקודה נוספת הראויה להתייח</w:t>
      </w:r>
      <w:r>
        <w:rPr>
          <w:rFonts w:ascii="David" w:hAnsi="David" w:hint="cs"/>
          <w:rtl/>
        </w:rPr>
        <w:t xml:space="preserve">סות היא עבירת הנשק. הנאשם החזיק במחסן ביתו אקדח תופי ללא נוקר ובשל כך ייחסה לו המאשימה עבירה של החזקת חלק מהותי בנשק. עם זאת, ראיתי להבהיר דברים אלו: </w:t>
      </w:r>
    </w:p>
    <w:p w14:paraId="35DB3DF0" w14:textId="77777777" w:rsidR="00725FFD" w:rsidRPr="00891AD2" w:rsidRDefault="00725FFD" w:rsidP="00725FFD">
      <w:pPr>
        <w:pStyle w:val="a9"/>
        <w:rPr>
          <w:rFonts w:ascii="David" w:hAnsi="David"/>
          <w:rtl/>
        </w:rPr>
      </w:pPr>
    </w:p>
    <w:p w14:paraId="36E3F010"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המונחים נשק וחלק מהותי בנשק, מוגדרים </w:t>
      </w:r>
      <w:hyperlink r:id="rId25" w:history="1">
        <w:r w:rsidR="0066449B" w:rsidRPr="0066449B">
          <w:rPr>
            <w:rStyle w:val="Hyperlink"/>
            <w:rFonts w:ascii="David" w:hAnsi="David" w:hint="eastAsia"/>
            <w:color w:val="0000FF"/>
            <w:rtl/>
          </w:rPr>
          <w:t>בסעיף</w:t>
        </w:r>
        <w:r w:rsidR="0066449B" w:rsidRPr="0066449B">
          <w:rPr>
            <w:rStyle w:val="Hyperlink"/>
            <w:rFonts w:ascii="David" w:hAnsi="David"/>
            <w:color w:val="0000FF"/>
            <w:rtl/>
          </w:rPr>
          <w:t xml:space="preserve"> 144</w:t>
        </w:r>
      </w:hyperlink>
      <w:r>
        <w:rPr>
          <w:rFonts w:ascii="David" w:hAnsi="David" w:hint="cs"/>
          <w:rtl/>
        </w:rPr>
        <w:t xml:space="preserve"> לחוק כך: </w:t>
      </w:r>
    </w:p>
    <w:p w14:paraId="617D616A" w14:textId="77777777" w:rsidR="00725FFD" w:rsidRPr="00FB5F08" w:rsidRDefault="00725FFD" w:rsidP="00725FFD">
      <w:pPr>
        <w:pStyle w:val="P000"/>
        <w:spacing w:before="72"/>
        <w:ind w:left="720" w:right="1134"/>
        <w:rPr>
          <w:rStyle w:val="default"/>
          <w:rFonts w:ascii="Miriam" w:hAnsi="Miriam" w:cs="Miriam"/>
          <w:sz w:val="24"/>
          <w:szCs w:val="24"/>
        </w:rPr>
      </w:pPr>
      <w:r>
        <w:rPr>
          <w:rStyle w:val="default"/>
          <w:rFonts w:ascii="Miriam" w:hAnsi="Miriam" w:cs="Miriam" w:hint="cs"/>
          <w:sz w:val="24"/>
          <w:szCs w:val="24"/>
          <w:rtl/>
        </w:rPr>
        <w:t>144</w:t>
      </w:r>
      <w:r w:rsidRPr="00FB5F08">
        <w:rPr>
          <w:rStyle w:val="default"/>
          <w:rFonts w:ascii="Miriam" w:hAnsi="Miriam" w:cs="Miriam"/>
          <w:sz w:val="24"/>
          <w:szCs w:val="24"/>
          <w:rtl/>
        </w:rPr>
        <w:t>(ג)</w:t>
      </w:r>
      <w:r w:rsidRPr="00FB5F08">
        <w:rPr>
          <w:rStyle w:val="default"/>
          <w:rFonts w:ascii="Miriam" w:hAnsi="Miriam" w:cs="Miriam"/>
          <w:sz w:val="24"/>
          <w:szCs w:val="24"/>
          <w:rtl/>
        </w:rPr>
        <w:tab/>
        <w:t>בסעיף זה, "נשק" –</w:t>
      </w:r>
    </w:p>
    <w:p w14:paraId="220F03EA" w14:textId="77777777" w:rsidR="00725FFD" w:rsidRPr="00FB5F08" w:rsidRDefault="00725FFD" w:rsidP="00725FFD">
      <w:pPr>
        <w:pStyle w:val="P22"/>
        <w:spacing w:before="72"/>
        <w:ind w:left="1741" w:right="1134"/>
        <w:rPr>
          <w:rStyle w:val="default"/>
          <w:rFonts w:ascii="Miriam" w:hAnsi="Miriam" w:cs="Miriam"/>
          <w:sz w:val="24"/>
          <w:szCs w:val="24"/>
          <w:rtl/>
        </w:rPr>
      </w:pPr>
      <w:r w:rsidRPr="00FB5F08">
        <w:rPr>
          <w:rStyle w:val="default"/>
          <w:rFonts w:ascii="Miriam" w:hAnsi="Miriam" w:cs="Miriam"/>
          <w:sz w:val="24"/>
          <w:szCs w:val="24"/>
          <w:rtl/>
        </w:rPr>
        <w:t>(1)</w:t>
      </w:r>
      <w:r w:rsidRPr="00FB5F08">
        <w:rPr>
          <w:rStyle w:val="default"/>
          <w:rFonts w:ascii="Miriam" w:hAnsi="Miriam" w:cs="Miriam"/>
          <w:sz w:val="24"/>
          <w:szCs w:val="24"/>
          <w:rtl/>
        </w:rPr>
        <w:tab/>
        <w:t xml:space="preserve">כלי שסוגל לירות כדור, קלע, פגז, פצצה או כיוצא באלה, שבכוחם להמית אדם, וכולל חלק, אבזר ותחמושת של כלי כזה; </w:t>
      </w:r>
    </w:p>
    <w:p w14:paraId="3515EAC5" w14:textId="77777777" w:rsidR="00725FFD" w:rsidRPr="00FB5F08" w:rsidRDefault="00725FFD" w:rsidP="00725FFD">
      <w:pPr>
        <w:pStyle w:val="P22"/>
        <w:spacing w:before="72"/>
        <w:ind w:left="1741" w:right="1134"/>
        <w:rPr>
          <w:rStyle w:val="default"/>
          <w:rFonts w:ascii="Miriam" w:hAnsi="Miriam" w:cs="Miriam"/>
          <w:sz w:val="24"/>
          <w:szCs w:val="24"/>
          <w:rtl/>
        </w:rPr>
      </w:pPr>
      <w:r>
        <w:rPr>
          <w:rStyle w:val="default"/>
          <w:rFonts w:ascii="Miriam" w:hAnsi="Miriam" w:cs="Miriam" w:hint="cs"/>
          <w:sz w:val="24"/>
          <w:szCs w:val="24"/>
          <w:rtl/>
        </w:rPr>
        <w:t>...</w:t>
      </w:r>
    </w:p>
    <w:p w14:paraId="24DC5B57" w14:textId="77777777" w:rsidR="00725FFD" w:rsidRDefault="00725FFD" w:rsidP="00725FFD">
      <w:pPr>
        <w:pStyle w:val="P000"/>
        <w:spacing w:before="72"/>
        <w:ind w:left="720" w:right="1134"/>
        <w:rPr>
          <w:rStyle w:val="default"/>
          <w:rFonts w:cs="FrankRuehl"/>
          <w:rtl/>
        </w:rPr>
      </w:pPr>
      <w:r w:rsidRPr="00FB5F08">
        <w:rPr>
          <w:rStyle w:val="default"/>
          <w:rFonts w:ascii="Miriam" w:hAnsi="Miriam" w:cs="Miriam"/>
          <w:sz w:val="24"/>
          <w:szCs w:val="24"/>
          <w:rtl/>
        </w:rPr>
        <w:tab/>
        <w:t>"חלק מהותי בנשק" – חלק או אבזר כאמור בפסקאות (1) או (2) להגדרה "נשק" שהוא גוף, קנה, צינה, מכלול או סדן של כלי נשק.</w:t>
      </w:r>
    </w:p>
    <w:p w14:paraId="34A8CEEE" w14:textId="77777777" w:rsidR="00725FFD" w:rsidRDefault="00725FFD" w:rsidP="00725FFD">
      <w:pPr>
        <w:pStyle w:val="a9"/>
        <w:rPr>
          <w:rFonts w:ascii="David" w:hAnsi="David"/>
          <w:rtl/>
        </w:rPr>
      </w:pPr>
    </w:p>
    <w:p w14:paraId="4B174E63" w14:textId="77777777" w:rsidR="00725FFD" w:rsidRPr="00920B18" w:rsidRDefault="00725FFD" w:rsidP="00725FFD">
      <w:pPr>
        <w:pStyle w:val="a9"/>
        <w:numPr>
          <w:ilvl w:val="0"/>
          <w:numId w:val="1"/>
        </w:numPr>
        <w:spacing w:line="360" w:lineRule="auto"/>
        <w:jc w:val="both"/>
        <w:rPr>
          <w:rFonts w:ascii="David" w:hAnsi="David"/>
          <w:rtl/>
        </w:rPr>
      </w:pPr>
      <w:r>
        <w:rPr>
          <w:rFonts w:ascii="David" w:hAnsi="David" w:hint="cs"/>
          <w:rtl/>
        </w:rPr>
        <w:t xml:space="preserve">במקרה זה, החזיק הנאשם אקדח מושלם, אם כי ללא נוקר. לכן קשה לראות בכך, מבחינה לשונית ואף מהותית, החזקת "חלק" של נשק. יתרה מזו, מצב זה גם אינו עונה להגדרת "חלק מהותי בנשק", שהרי אין מדובר בהחזקה של </w:t>
      </w:r>
      <w:r w:rsidRPr="000E6901">
        <w:rPr>
          <w:rFonts w:ascii="Miriam" w:hAnsi="Miriam" w:cs="Miriam"/>
          <w:rtl/>
        </w:rPr>
        <w:t>"</w:t>
      </w:r>
      <w:r w:rsidRPr="000E6901">
        <w:rPr>
          <w:rStyle w:val="default"/>
          <w:rFonts w:ascii="Miriam" w:hAnsi="Miriam" w:cs="Miriam"/>
          <w:rtl/>
        </w:rPr>
        <w:t>גוף, קנה, צינה, מכלול או סדן של כלי נשק</w:t>
      </w:r>
      <w:r w:rsidRPr="000E6901">
        <w:rPr>
          <w:rFonts w:ascii="Miriam" w:hAnsi="Miriam" w:cs="Miriam"/>
          <w:rtl/>
        </w:rPr>
        <w:t>"</w:t>
      </w:r>
      <w:r>
        <w:rPr>
          <w:rFonts w:ascii="David" w:hAnsi="David" w:hint="cs"/>
          <w:rtl/>
        </w:rPr>
        <w:t xml:space="preserve"> אלא </w:t>
      </w:r>
      <w:r w:rsidRPr="00920B18">
        <w:rPr>
          <w:rFonts w:ascii="David" w:hAnsi="David" w:hint="cs"/>
          <w:u w:val="single"/>
          <w:rtl/>
        </w:rPr>
        <w:t>בכל</w:t>
      </w:r>
      <w:r w:rsidRPr="00891AD2">
        <w:rPr>
          <w:rFonts w:ascii="David" w:hAnsi="David" w:hint="cs"/>
          <w:rtl/>
        </w:rPr>
        <w:t xml:space="preserve"> </w:t>
      </w:r>
      <w:r>
        <w:rPr>
          <w:rFonts w:ascii="David" w:hAnsi="David" w:hint="cs"/>
          <w:rtl/>
        </w:rPr>
        <w:t xml:space="preserve">החלקים האלו יחדיו שהרי מדובר באקדח שלם המורכב מחלקים אלו (ותשומת הלב שנוקר אינו חלק מהותי). ודוק: אכן, לא ניתן היה לירות בנשק זה (בשל היעדר הנוקר) ואולם אין בכך לשנות מהגדרת האקדח כנשק שהרי האקדח לא יוצר ללא נוקר, אלא הוא הוצא ממנו (ויכול לשוב אליו) ונשק מוגדר </w:t>
      </w:r>
      <w:hyperlink r:id="rId26" w:history="1">
        <w:r w:rsidR="0066449B" w:rsidRPr="0066449B">
          <w:rPr>
            <w:rStyle w:val="Hyperlink"/>
            <w:rFonts w:ascii="David" w:hAnsi="David" w:hint="eastAsia"/>
            <w:color w:val="0000FF"/>
            <w:rtl/>
          </w:rPr>
          <w:t>בסעיף</w:t>
        </w:r>
        <w:r w:rsidR="0066449B" w:rsidRPr="0066449B">
          <w:rPr>
            <w:rStyle w:val="Hyperlink"/>
            <w:rFonts w:ascii="David" w:hAnsi="David"/>
            <w:color w:val="0000FF"/>
            <w:rtl/>
          </w:rPr>
          <w:t xml:space="preserve"> 144</w:t>
        </w:r>
      </w:hyperlink>
      <w:r>
        <w:rPr>
          <w:rFonts w:ascii="David" w:hAnsi="David" w:hint="cs"/>
          <w:rtl/>
        </w:rPr>
        <w:t xml:space="preserve"> ככלי </w:t>
      </w:r>
      <w:r w:rsidRPr="00920B18">
        <w:rPr>
          <w:rFonts w:ascii="Miriam" w:hAnsi="Miriam" w:cs="Miriam"/>
          <w:rtl/>
        </w:rPr>
        <w:t>"</w:t>
      </w:r>
      <w:r w:rsidRPr="00920B18">
        <w:rPr>
          <w:rStyle w:val="default"/>
          <w:rFonts w:ascii="Miriam" w:hAnsi="Miriam" w:cs="Miriam"/>
          <w:rtl/>
        </w:rPr>
        <w:t>שסוגל לירות כדור</w:t>
      </w:r>
      <w:r w:rsidRPr="00920B18">
        <w:rPr>
          <w:rFonts w:ascii="Miriam" w:hAnsi="Miriam" w:cs="Miriam"/>
          <w:rtl/>
        </w:rPr>
        <w:t>"</w:t>
      </w:r>
      <w:r>
        <w:rPr>
          <w:rFonts w:ascii="David" w:hAnsi="David" w:hint="cs"/>
          <w:rtl/>
        </w:rPr>
        <w:t xml:space="preserve"> ולא ככלי שמסוגל לעשות כן. כמו כן, בהתאם </w:t>
      </w:r>
      <w:hyperlink r:id="rId27" w:history="1">
        <w:r w:rsidR="0066449B" w:rsidRPr="0066449B">
          <w:rPr>
            <w:rStyle w:val="Hyperlink"/>
            <w:rFonts w:ascii="David" w:hAnsi="David" w:hint="eastAsia"/>
            <w:color w:val="0000FF"/>
            <w:rtl/>
          </w:rPr>
          <w:t>לסעיף</w:t>
        </w:r>
        <w:r w:rsidR="0066449B" w:rsidRPr="0066449B">
          <w:rPr>
            <w:rStyle w:val="Hyperlink"/>
            <w:rFonts w:ascii="David" w:hAnsi="David"/>
            <w:color w:val="0000FF"/>
            <w:rtl/>
          </w:rPr>
          <w:t xml:space="preserve"> 144(ג1)(1)</w:t>
        </w:r>
      </w:hyperlink>
      <w:r>
        <w:rPr>
          <w:rFonts w:ascii="David" w:hAnsi="David" w:hint="cs"/>
          <w:rtl/>
        </w:rPr>
        <w:t xml:space="preserve"> </w:t>
      </w:r>
      <w:r w:rsidRPr="00920B18">
        <w:rPr>
          <w:rFonts w:ascii="Miriam" w:hAnsi="Miriam" w:cs="Miriam"/>
          <w:rtl/>
        </w:rPr>
        <w:t>"אחת היא אם בעת שנעברה העבירה היה הנשק תקין לשימוש או לא"</w:t>
      </w:r>
      <w:r>
        <w:rPr>
          <w:rFonts w:ascii="David" w:hAnsi="David" w:hint="cs"/>
          <w:rtl/>
        </w:rPr>
        <w:t xml:space="preserve">. </w:t>
      </w:r>
    </w:p>
    <w:p w14:paraId="58270235" w14:textId="77777777" w:rsidR="00725FFD" w:rsidRDefault="00725FFD" w:rsidP="00725FFD">
      <w:pPr>
        <w:pStyle w:val="a9"/>
        <w:ind w:left="0"/>
        <w:jc w:val="both"/>
        <w:rPr>
          <w:rFonts w:ascii="David" w:hAnsi="David"/>
        </w:rPr>
      </w:pPr>
    </w:p>
    <w:p w14:paraId="6B8C87B7" w14:textId="77777777" w:rsidR="00725FFD" w:rsidRDefault="00725FFD" w:rsidP="00725FFD">
      <w:pPr>
        <w:pStyle w:val="a9"/>
        <w:numPr>
          <w:ilvl w:val="0"/>
          <w:numId w:val="1"/>
        </w:numPr>
        <w:spacing w:line="360" w:lineRule="auto"/>
        <w:jc w:val="both"/>
        <w:rPr>
          <w:rFonts w:ascii="David" w:hAnsi="David"/>
        </w:rPr>
      </w:pPr>
      <w:r w:rsidRPr="006C06ED">
        <w:rPr>
          <w:rFonts w:ascii="David" w:hAnsi="David" w:hint="cs"/>
          <w:rtl/>
        </w:rPr>
        <w:t>משכך</w:t>
      </w:r>
      <w:r>
        <w:rPr>
          <w:rFonts w:ascii="David" w:hAnsi="David" w:hint="cs"/>
          <w:rtl/>
        </w:rPr>
        <w:t>,</w:t>
      </w:r>
      <w:r w:rsidRPr="006C06ED">
        <w:rPr>
          <w:rFonts w:ascii="David" w:hAnsi="David" w:hint="cs"/>
          <w:rtl/>
        </w:rPr>
        <w:t xml:space="preserve"> דומה שניתן היה לייחס לנאשם עבירה של החזקת נשק ואפנה בעניין זה ל</w:t>
      </w:r>
      <w:hyperlink r:id="rId28" w:history="1">
        <w:r w:rsidR="00251002" w:rsidRPr="00251002">
          <w:rPr>
            <w:rFonts w:ascii="David" w:hAnsi="David"/>
            <w:color w:val="0000FF"/>
            <w:u w:val="single"/>
            <w:rtl/>
          </w:rPr>
          <w:t>עפ"ג 41707-03-22</w:t>
        </w:r>
      </w:hyperlink>
      <w:r w:rsidRPr="006C06ED">
        <w:rPr>
          <w:rFonts w:ascii="David" w:hAnsi="David"/>
          <w:rtl/>
        </w:rPr>
        <w:t xml:space="preserve"> </w:t>
      </w:r>
      <w:r w:rsidRPr="006C06ED">
        <w:rPr>
          <w:rFonts w:ascii="David" w:hAnsi="David"/>
          <w:b/>
          <w:bCs/>
          <w:rtl/>
        </w:rPr>
        <w:t>מדינת ישראל נ' אבו טראש</w:t>
      </w:r>
      <w:r w:rsidRPr="006C06ED">
        <w:rPr>
          <w:rFonts w:ascii="David" w:hAnsi="David" w:hint="cs"/>
          <w:rtl/>
        </w:rPr>
        <w:t xml:space="preserve"> (22.6.2022)</w:t>
      </w:r>
      <w:r>
        <w:rPr>
          <w:rFonts w:ascii="David" w:hAnsi="David" w:hint="cs"/>
          <w:rtl/>
        </w:rPr>
        <w:t xml:space="preserve">; להלן </w:t>
      </w:r>
      <w:r>
        <w:rPr>
          <w:rFonts w:ascii="David" w:hAnsi="David"/>
          <w:rtl/>
        </w:rPr>
        <w:t>–</w:t>
      </w:r>
      <w:r>
        <w:rPr>
          <w:rFonts w:ascii="David" w:hAnsi="David" w:hint="cs"/>
          <w:rtl/>
        </w:rPr>
        <w:t xml:space="preserve"> עניין </w:t>
      </w:r>
      <w:r w:rsidRPr="003B10B4">
        <w:rPr>
          <w:rFonts w:ascii="David" w:hAnsi="David" w:hint="cs"/>
          <w:b/>
          <w:bCs/>
          <w:rtl/>
        </w:rPr>
        <w:t>אבו טראש</w:t>
      </w:r>
      <w:r w:rsidRPr="006C06ED">
        <w:rPr>
          <w:rFonts w:ascii="David" w:hAnsi="David" w:hint="cs"/>
          <w:rtl/>
        </w:rPr>
        <w:t xml:space="preserve">) בו הורשע אדם בעבירה של החזקת נשק בשל </w:t>
      </w:r>
      <w:r>
        <w:rPr>
          <w:rFonts w:ascii="David" w:hAnsi="David" w:hint="cs"/>
          <w:rtl/>
        </w:rPr>
        <w:t xml:space="preserve">כך שהחזיק </w:t>
      </w:r>
      <w:r w:rsidRPr="006C06ED">
        <w:rPr>
          <w:rFonts w:ascii="David" w:hAnsi="David"/>
          <w:color w:val="000000"/>
          <w:rtl/>
        </w:rPr>
        <w:t>אקדח ללא פין הדק ועצר מחלק</w:t>
      </w:r>
      <w:r w:rsidRPr="006C06ED">
        <w:rPr>
          <w:rFonts w:ascii="David" w:hAnsi="David" w:hint="cs"/>
          <w:color w:val="000000"/>
          <w:rtl/>
        </w:rPr>
        <w:t xml:space="preserve"> (חסר משמעותי יותר מענייננו). </w:t>
      </w:r>
      <w:r w:rsidRPr="006C06ED">
        <w:rPr>
          <w:rFonts w:ascii="David" w:hAnsi="David" w:hint="cs"/>
          <w:rtl/>
        </w:rPr>
        <w:t xml:space="preserve">בית המשפט המחוזי ציין כי </w:t>
      </w:r>
      <w:r w:rsidRPr="00EF2EA4">
        <w:rPr>
          <w:rFonts w:ascii="Miriam" w:hAnsi="Miriam" w:cs="Miriam"/>
          <w:rtl/>
        </w:rPr>
        <w:t>"העובדה שהאקדח שהמשיב החזיק לא היה תקין, איננה משנה מהגדרת האקדח כנשק.</w:t>
      </w:r>
      <w:r w:rsidR="00251002">
        <w:rPr>
          <w:rFonts w:ascii="Miriam" w:hAnsi="Miriam" w:cs="Miriam"/>
          <w:rtl/>
        </w:rPr>
        <w:t xml:space="preserve"> </w:t>
      </w:r>
      <w:r w:rsidRPr="00251002">
        <w:rPr>
          <w:rFonts w:ascii="Miriam" w:hAnsi="Miriam" w:cs="Miriam"/>
          <w:color w:val="000000"/>
          <w:rtl/>
        </w:rPr>
        <w:t>סעיף 144(ג1)(1)</w:t>
      </w:r>
      <w:r w:rsidR="00251002">
        <w:rPr>
          <w:rFonts w:ascii="Miriam" w:hAnsi="Miriam" w:cs="Miriam"/>
          <w:rtl/>
        </w:rPr>
        <w:t xml:space="preserve"> </w:t>
      </w:r>
      <w:r w:rsidRPr="00EF2EA4">
        <w:rPr>
          <w:rFonts w:ascii="Miriam" w:hAnsi="Miriam" w:cs="Miriam"/>
          <w:rtl/>
        </w:rPr>
        <w:t>קובע מפורשות 'אחת היא אם בעת שנעברה העבירה היה הנשק תקין לשימוש או לא'. אולם, הנתון של אי תקינות הנשק יכול להשפיע על הגדרת חומרת מעשה העבירה בנסיבותיו, ועל הערכת הנזק שיכל להיגרם מביצוע העבירה, ויכול להיות לו משקל מסוים בקביעת מתחם העונש ההולם</w:t>
      </w:r>
      <w:r w:rsidRPr="00EF2EA4">
        <w:rPr>
          <w:rFonts w:ascii="Miriam" w:hAnsi="Miriam" w:cs="Miriam"/>
          <w:color w:val="000000"/>
          <w:rtl/>
        </w:rPr>
        <w:t>"</w:t>
      </w:r>
      <w:r w:rsidRPr="00EF2EA4">
        <w:rPr>
          <w:rFonts w:ascii="David" w:hAnsi="David"/>
          <w:color w:val="000000"/>
          <w:rtl/>
        </w:rPr>
        <w:t xml:space="preserve">. </w:t>
      </w:r>
      <w:r w:rsidRPr="006C06ED">
        <w:rPr>
          <w:rFonts w:ascii="David" w:hAnsi="David" w:hint="cs"/>
          <w:rtl/>
        </w:rPr>
        <w:t xml:space="preserve">כן ראו </w:t>
      </w:r>
      <w:hyperlink r:id="rId29" w:history="1">
        <w:r w:rsidR="00251002" w:rsidRPr="00251002">
          <w:rPr>
            <w:rFonts w:ascii="David" w:hAnsi="David"/>
            <w:color w:val="0000FF"/>
            <w:u w:val="single"/>
            <w:rtl/>
          </w:rPr>
          <w:t>ת"פ (מרכז) 14488-04-19</w:t>
        </w:r>
      </w:hyperlink>
      <w:r w:rsidRPr="006C06ED">
        <w:rPr>
          <w:rFonts w:ascii="David" w:hAnsi="David"/>
          <w:rtl/>
        </w:rPr>
        <w:t xml:space="preserve"> </w:t>
      </w:r>
      <w:r w:rsidRPr="006C06ED">
        <w:rPr>
          <w:rFonts w:ascii="David" w:hAnsi="David"/>
          <w:b/>
          <w:bCs/>
          <w:rtl/>
        </w:rPr>
        <w:t>מדינת ישראל נ' אבירן וקנין</w:t>
      </w:r>
      <w:r w:rsidRPr="006C06ED">
        <w:rPr>
          <w:rFonts w:ascii="David" w:hAnsi="David" w:hint="cs"/>
          <w:rtl/>
        </w:rPr>
        <w:t xml:space="preserve"> (23.2.2021), בו הורשע נאשם </w:t>
      </w:r>
      <w:r>
        <w:rPr>
          <w:rFonts w:ascii="David" w:hAnsi="David" w:hint="cs"/>
          <w:rtl/>
        </w:rPr>
        <w:t>(על פי הודאתו) ב</w:t>
      </w:r>
      <w:r w:rsidRPr="006C06ED">
        <w:rPr>
          <w:rFonts w:ascii="David" w:hAnsi="David" w:hint="cs"/>
          <w:rtl/>
        </w:rPr>
        <w:t xml:space="preserve">עבירה של החזקת נשק בשל </w:t>
      </w:r>
      <w:r>
        <w:rPr>
          <w:rFonts w:ascii="David" w:hAnsi="David" w:hint="cs"/>
          <w:rtl/>
        </w:rPr>
        <w:t xml:space="preserve">כך שהחזיק </w:t>
      </w:r>
      <w:r w:rsidRPr="006C06ED">
        <w:rPr>
          <w:rFonts w:ascii="David" w:hAnsi="David" w:hint="cs"/>
          <w:rtl/>
        </w:rPr>
        <w:t xml:space="preserve">אקדח ללא נוקר (להלן </w:t>
      </w:r>
      <w:r w:rsidRPr="006C06ED">
        <w:rPr>
          <w:rFonts w:ascii="David" w:hAnsi="David"/>
          <w:rtl/>
        </w:rPr>
        <w:t>–</w:t>
      </w:r>
      <w:r w:rsidRPr="006C06ED">
        <w:rPr>
          <w:rFonts w:ascii="David" w:hAnsi="David" w:hint="cs"/>
          <w:rtl/>
        </w:rPr>
        <w:t xml:space="preserve"> </w:t>
      </w:r>
      <w:r w:rsidRPr="006C06ED">
        <w:rPr>
          <w:rFonts w:ascii="David" w:hAnsi="David" w:hint="cs"/>
          <w:b/>
          <w:bCs/>
          <w:rtl/>
        </w:rPr>
        <w:t>עניין וקנין</w:t>
      </w:r>
      <w:r w:rsidRPr="006C06ED">
        <w:rPr>
          <w:rFonts w:ascii="David" w:hAnsi="David" w:hint="cs"/>
          <w:rtl/>
        </w:rPr>
        <w:t xml:space="preserve">). </w:t>
      </w:r>
    </w:p>
    <w:p w14:paraId="093F56DE" w14:textId="77777777" w:rsidR="00725FFD" w:rsidRPr="006C06ED" w:rsidRDefault="00725FFD" w:rsidP="00725FFD">
      <w:pPr>
        <w:pStyle w:val="a9"/>
        <w:rPr>
          <w:rFonts w:ascii="David" w:hAnsi="David"/>
          <w:rtl/>
        </w:rPr>
      </w:pPr>
    </w:p>
    <w:p w14:paraId="5DF43EF7" w14:textId="77777777" w:rsidR="00725FFD" w:rsidRPr="006C06ED" w:rsidRDefault="00725FFD" w:rsidP="00725FFD">
      <w:pPr>
        <w:pStyle w:val="a9"/>
        <w:numPr>
          <w:ilvl w:val="0"/>
          <w:numId w:val="1"/>
        </w:numPr>
        <w:spacing w:line="360" w:lineRule="auto"/>
        <w:jc w:val="both"/>
        <w:rPr>
          <w:rFonts w:ascii="David" w:hAnsi="David"/>
          <w:rtl/>
        </w:rPr>
      </w:pPr>
      <w:r>
        <w:rPr>
          <w:rFonts w:ascii="David" w:hAnsi="David" w:hint="cs"/>
          <w:rtl/>
        </w:rPr>
        <w:t>אכן</w:t>
      </w:r>
      <w:r w:rsidRPr="006C06ED">
        <w:rPr>
          <w:rFonts w:ascii="David" w:hAnsi="David" w:hint="cs"/>
          <w:rtl/>
        </w:rPr>
        <w:t xml:space="preserve">, </w:t>
      </w:r>
      <w:r>
        <w:rPr>
          <w:rFonts w:ascii="David" w:hAnsi="David" w:hint="cs"/>
          <w:rtl/>
        </w:rPr>
        <w:t xml:space="preserve">העבירות בעניין </w:t>
      </w:r>
      <w:r w:rsidRPr="00EF2EA4">
        <w:rPr>
          <w:rFonts w:ascii="David" w:hAnsi="David" w:hint="cs"/>
          <w:b/>
          <w:bCs/>
          <w:rtl/>
        </w:rPr>
        <w:t>וקנין ואבו טראש</w:t>
      </w:r>
      <w:r>
        <w:rPr>
          <w:rFonts w:ascii="David" w:hAnsi="David" w:hint="cs"/>
          <w:rtl/>
        </w:rPr>
        <w:t xml:space="preserve"> נעברו </w:t>
      </w:r>
      <w:r w:rsidRPr="006C06ED">
        <w:rPr>
          <w:rFonts w:ascii="David" w:hAnsi="David" w:hint="cs"/>
          <w:rtl/>
        </w:rPr>
        <w:t xml:space="preserve">טרם </w:t>
      </w:r>
      <w:r>
        <w:rPr>
          <w:rFonts w:ascii="David" w:hAnsi="David" w:hint="cs"/>
          <w:rtl/>
        </w:rPr>
        <w:t>ש</w:t>
      </w:r>
      <w:r w:rsidRPr="006C06ED">
        <w:rPr>
          <w:rFonts w:ascii="David" w:hAnsi="David" w:hint="cs"/>
          <w:rtl/>
        </w:rPr>
        <w:t xml:space="preserve">נכללה בחוק הגדרת המונח "חלק מהותי בנשק" (שנוספה בתיקון 145 לחוק), ואולם אין הדבר משנה את הגדרתו של כלי </w:t>
      </w:r>
      <w:r>
        <w:rPr>
          <w:rFonts w:ascii="David" w:hAnsi="David" w:hint="cs"/>
          <w:rtl/>
        </w:rPr>
        <w:t xml:space="preserve">מסוים </w:t>
      </w:r>
      <w:r w:rsidRPr="006C06ED">
        <w:rPr>
          <w:rFonts w:ascii="David" w:hAnsi="David" w:hint="cs"/>
          <w:rtl/>
        </w:rPr>
        <w:t xml:space="preserve">כנשק אם לאו, שכן תיקון זה נועד להחמיר את העונש על החזקת חלקים מסוימים שהם מהותיים ומאפשרים יצור </w:t>
      </w:r>
      <w:r>
        <w:rPr>
          <w:rFonts w:ascii="David" w:hAnsi="David" w:hint="cs"/>
          <w:rtl/>
        </w:rPr>
        <w:t xml:space="preserve">כלי </w:t>
      </w:r>
      <w:r w:rsidRPr="006C06ED">
        <w:rPr>
          <w:rFonts w:ascii="David" w:hAnsi="David" w:hint="cs"/>
          <w:rtl/>
        </w:rPr>
        <w:t>נשק מאולתר</w:t>
      </w:r>
      <w:r>
        <w:rPr>
          <w:rFonts w:ascii="David" w:hAnsi="David" w:hint="cs"/>
          <w:rtl/>
        </w:rPr>
        <w:t xml:space="preserve">. חלקים אלו </w:t>
      </w:r>
      <w:r w:rsidRPr="006C06ED">
        <w:rPr>
          <w:rFonts w:ascii="David" w:hAnsi="David" w:hint="cs"/>
          <w:rtl/>
        </w:rPr>
        <w:t xml:space="preserve">היו נחשבים </w:t>
      </w:r>
      <w:r>
        <w:rPr>
          <w:rFonts w:ascii="David" w:hAnsi="David" w:hint="cs"/>
          <w:rtl/>
        </w:rPr>
        <w:t xml:space="preserve">לפני התיקון </w:t>
      </w:r>
      <w:r w:rsidRPr="006C06ED">
        <w:rPr>
          <w:rFonts w:ascii="David" w:hAnsi="David" w:hint="cs"/>
          <w:rtl/>
        </w:rPr>
        <w:t xml:space="preserve">חלקים "רגילים" של נשק והעונש בגינם היה שלוש שנות מאסר, בעוד שכיום העונש על החזקת חלק מהותי הוא חמש שנות מאסר. </w:t>
      </w:r>
      <w:r>
        <w:rPr>
          <w:rFonts w:ascii="David" w:hAnsi="David" w:hint="cs"/>
          <w:rtl/>
        </w:rPr>
        <w:t xml:space="preserve">מדובר אפוא בתיקון המחמיר עם החזקתם של חלקים מסוימים ולא כזה שהקל באופן בו רואה המחוקק את החזקתו של נשק בו חסר חלק מסוים. </w:t>
      </w:r>
      <w:r w:rsidRPr="006C06ED">
        <w:rPr>
          <w:rFonts w:ascii="David" w:hAnsi="David" w:hint="cs"/>
          <w:rtl/>
        </w:rPr>
        <w:t xml:space="preserve">ראו: </w:t>
      </w:r>
    </w:p>
    <w:p w14:paraId="7E206C08" w14:textId="77777777" w:rsidR="00725FFD" w:rsidRDefault="00725FFD" w:rsidP="00725FFD">
      <w:pPr>
        <w:pStyle w:val="a9"/>
        <w:ind w:left="0"/>
        <w:jc w:val="both"/>
        <w:rPr>
          <w:rFonts w:ascii="David" w:hAnsi="David"/>
          <w:rtl/>
        </w:rPr>
      </w:pPr>
    </w:p>
    <w:p w14:paraId="3CDD7B19" w14:textId="77777777" w:rsidR="00725FFD" w:rsidRPr="00C51A83" w:rsidRDefault="00725FFD" w:rsidP="00725FFD">
      <w:pPr>
        <w:pStyle w:val="a9"/>
        <w:ind w:left="1134" w:right="1134"/>
        <w:jc w:val="both"/>
        <w:rPr>
          <w:rFonts w:ascii="David" w:hAnsi="David"/>
          <w:rtl/>
        </w:rPr>
      </w:pPr>
      <w:r>
        <w:rPr>
          <w:rFonts w:ascii="Miriam" w:hAnsi="Miriam" w:cs="Miriam" w:hint="cs"/>
          <w:rtl/>
        </w:rPr>
        <w:t>"</w:t>
      </w:r>
      <w:r w:rsidRPr="00FD2F85">
        <w:rPr>
          <w:rFonts w:ascii="Miriam" w:hAnsi="Miriam" w:cs="Miriam"/>
          <w:rtl/>
        </w:rPr>
        <w:t xml:space="preserve">מוצע לקבוע הבחנה בענישה בין חלקי נשק מהותיים (כמוצע </w:t>
      </w:r>
      <w:r w:rsidRPr="00FD2F85">
        <w:rPr>
          <w:rFonts w:ascii="Miriam" w:hAnsi="Miriam" w:cs="Miriam"/>
        </w:rPr>
        <w:t xml:space="preserve">– </w:t>
      </w:r>
      <w:r w:rsidRPr="00FD2F85">
        <w:rPr>
          <w:rFonts w:ascii="Miriam" w:hAnsi="Miriam" w:cs="Miriam"/>
          <w:rtl/>
        </w:rPr>
        <w:t>גוף, קנה, צינה, מכלול או סדן של כלי נשק</w:t>
      </w:r>
      <w:r>
        <w:rPr>
          <w:rFonts w:ascii="Miriam" w:hAnsi="Miriam" w:cs="Miriam" w:hint="cs"/>
          <w:rtl/>
        </w:rPr>
        <w:t>)</w:t>
      </w:r>
      <w:r w:rsidRPr="00FD2F85">
        <w:rPr>
          <w:rFonts w:ascii="Miriam" w:hAnsi="Miriam" w:cs="Miriam"/>
          <w:rtl/>
        </w:rPr>
        <w:t xml:space="preserve"> לחלקי נשק שאינם מהותיים, כך שהעונש על עבירת החזקה או הובלה של חלקי נשק מהותיים יהיה חמש שנות מאסר, ושל חלקי נשק לא מהותיים – שלוש שנות מאסר </w:t>
      </w:r>
      <w:r>
        <w:rPr>
          <w:rFonts w:ascii="Miriam" w:hAnsi="Miriam" w:cs="Miriam" w:hint="cs"/>
          <w:rtl/>
        </w:rPr>
        <w:t>...</w:t>
      </w:r>
      <w:r w:rsidRPr="00FD2F85">
        <w:rPr>
          <w:rFonts w:ascii="Miriam" w:hAnsi="Miriam" w:cs="Miriam"/>
          <w:rtl/>
        </w:rPr>
        <w:t xml:space="preserve"> תיקון זה נועד לבטא את החומרה היתרה שבביצוע עבירה בחלק של נשק שמאפשר ייצור של נשק מאולתר,</w:t>
      </w:r>
      <w:r w:rsidRPr="00FD2F85">
        <w:rPr>
          <w:rFonts w:ascii="Miriam" w:hAnsi="Miriam" w:cs="Miriam"/>
        </w:rPr>
        <w:t xml:space="preserve"> </w:t>
      </w:r>
      <w:r w:rsidRPr="00FD2F85">
        <w:rPr>
          <w:rFonts w:ascii="Miriam" w:hAnsi="Miriam" w:cs="Miriam"/>
          <w:rtl/>
        </w:rPr>
        <w:t>לעומת חלקי נשק אחרים, לנוכח חלקם המשמעותי של כלי נשק מאולתרים בתעשיית הנשק הבלתי חוקי</w:t>
      </w:r>
      <w:r>
        <w:rPr>
          <w:rFonts w:ascii="Miriam" w:hAnsi="Miriam" w:cs="Miriam" w:hint="cs"/>
          <w:rtl/>
        </w:rPr>
        <w:t>"</w:t>
      </w:r>
      <w:r w:rsidRPr="00FD2F85">
        <w:rPr>
          <w:rFonts w:ascii="Miriam" w:hAnsi="Miriam" w:cs="Miriam"/>
          <w:rtl/>
        </w:rPr>
        <w:t>.</w:t>
      </w:r>
      <w:r>
        <w:rPr>
          <w:rFonts w:ascii="Miriam" w:hAnsi="Miriam" w:cs="Miriam" w:hint="cs"/>
          <w:rtl/>
        </w:rPr>
        <w:t xml:space="preserve"> </w:t>
      </w:r>
      <w:r w:rsidRPr="00C51A83">
        <w:rPr>
          <w:rFonts w:ascii="David" w:hAnsi="David"/>
          <w:rtl/>
        </w:rPr>
        <w:t>(</w:t>
      </w:r>
      <w:r w:rsidRPr="003D5EDE">
        <w:rPr>
          <w:rFonts w:ascii="David" w:hAnsi="David"/>
          <w:b/>
          <w:bCs/>
          <w:rtl/>
        </w:rPr>
        <w:t>הצעות חוק 955</w:t>
      </w:r>
      <w:r w:rsidRPr="00C51A83">
        <w:rPr>
          <w:rFonts w:ascii="David" w:hAnsi="David"/>
          <w:rtl/>
        </w:rPr>
        <w:t xml:space="preserve"> (20.3.2023)).</w:t>
      </w:r>
    </w:p>
    <w:p w14:paraId="17C8423B"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סיכומו של דבר, ניתן היה לראות באקדח זה כנשק. ואולם, משייחסה המאשימה עבירה קלה יותר, מובן שכך יש להתייחס לדבר (לרבות שלא קיים עונש מזערי). כמו כן, בהיעדר כל עובדה אחרת בכתב האישום, יש להניח לטובת הנאשם שלא ניתן היה לעשות שימוש מהיר וזמין באקדח ומסקנה זו מלמדת על כך שפוטנציאל הנזק לא היה מידי, אם כי הוא היה קיים כמובן מבחינה טכנית (ראו למשל עניין </w:t>
      </w:r>
      <w:r w:rsidRPr="00F150FE">
        <w:rPr>
          <w:rFonts w:ascii="David" w:hAnsi="David"/>
          <w:b/>
          <w:bCs/>
          <w:rtl/>
        </w:rPr>
        <w:t>וקנין</w:t>
      </w:r>
      <w:r>
        <w:rPr>
          <w:rFonts w:ascii="David" w:hAnsi="David" w:hint="cs"/>
          <w:rtl/>
        </w:rPr>
        <w:t>, פסקה 12))</w:t>
      </w:r>
      <w:r w:rsidRPr="00F150FE">
        <w:rPr>
          <w:rFonts w:ascii="David" w:hAnsi="David"/>
          <w:rtl/>
        </w:rPr>
        <w:t>.</w:t>
      </w:r>
      <w:r>
        <w:rPr>
          <w:rFonts w:ascii="David" w:hAnsi="David" w:hint="cs"/>
          <w:rtl/>
        </w:rPr>
        <w:t xml:space="preserve"> כן </w:t>
      </w:r>
      <w:r w:rsidRPr="006C06ED">
        <w:rPr>
          <w:rFonts w:ascii="David" w:hAnsi="David" w:hint="cs"/>
          <w:rtl/>
        </w:rPr>
        <w:t xml:space="preserve">ראו הדברים שנאמרו </w:t>
      </w:r>
      <w:r>
        <w:rPr>
          <w:rFonts w:ascii="David" w:hAnsi="David" w:hint="cs"/>
          <w:rtl/>
        </w:rPr>
        <w:t xml:space="preserve">בעניין </w:t>
      </w:r>
      <w:r w:rsidRPr="006C06ED">
        <w:rPr>
          <w:rFonts w:ascii="David" w:hAnsi="David"/>
          <w:b/>
          <w:bCs/>
          <w:rtl/>
        </w:rPr>
        <w:t>אבו טראש</w:t>
      </w:r>
      <w:r w:rsidRPr="006C06ED">
        <w:rPr>
          <w:rFonts w:ascii="David" w:hAnsi="David" w:hint="cs"/>
          <w:rtl/>
        </w:rPr>
        <w:t xml:space="preserve">: </w:t>
      </w:r>
      <w:r w:rsidRPr="003B10B4">
        <w:rPr>
          <w:rFonts w:ascii="Miriam" w:hAnsi="Miriam" w:cs="Miriam"/>
          <w:rtl/>
        </w:rPr>
        <w:t>"הנתון של אי תקינות הנשק יכול להשפיע על הגדרת חומרת מעשה העבירה בנסיבותיו, ועל הערכת הנזק שיכל להיגרם מביצוע העבירה, ויכול להיות לו משקל מסוים בקביעת מתחם העונש ההולם. גם כאשר כלי הנשק שהוחזקו לא היה תקינים, הוטלו על הנאשמים עונשי מאסר משמעותיים"</w:t>
      </w:r>
      <w:r w:rsidRPr="006C06ED">
        <w:rPr>
          <w:rFonts w:ascii="David" w:hAnsi="David" w:hint="cs"/>
          <w:rtl/>
        </w:rPr>
        <w:t xml:space="preserve">. </w:t>
      </w:r>
      <w:r w:rsidRPr="00B35188">
        <w:rPr>
          <w:rFonts w:ascii="David" w:hAnsi="David" w:hint="cs"/>
          <w:rtl/>
        </w:rPr>
        <w:t>במקרה זה מדובר בחסר של חלק בודד</w:t>
      </w:r>
      <w:r>
        <w:rPr>
          <w:rFonts w:ascii="David" w:hAnsi="David" w:hint="cs"/>
          <w:rtl/>
        </w:rPr>
        <w:t xml:space="preserve">, אך השאלה אם ניתן בקלות להשלימו ולהפוך את הכלי לכזה שיכול לירות אינה ידיעה שיפוטית ובהיעדר עובדות בנושא בכתב האישום יש להניח הנחה המקלה עם הנאשם. הדברים מתחזקים לאור העבירה שבחרה המאשימה לייחס לנאשם ושבה הורשע. </w:t>
      </w:r>
    </w:p>
    <w:p w14:paraId="78A1843B" w14:textId="77777777" w:rsidR="00725FFD" w:rsidRDefault="00725FFD" w:rsidP="00725FFD">
      <w:pPr>
        <w:pStyle w:val="a9"/>
        <w:ind w:left="0"/>
        <w:jc w:val="both"/>
        <w:rPr>
          <w:rFonts w:ascii="David" w:hAnsi="David"/>
        </w:rPr>
      </w:pPr>
    </w:p>
    <w:p w14:paraId="675AD17A" w14:textId="77777777" w:rsidR="00725FFD" w:rsidRPr="00DC0826" w:rsidRDefault="00725FFD" w:rsidP="00725FFD">
      <w:pPr>
        <w:pStyle w:val="a9"/>
        <w:numPr>
          <w:ilvl w:val="0"/>
          <w:numId w:val="1"/>
        </w:numPr>
        <w:spacing w:line="360" w:lineRule="auto"/>
        <w:jc w:val="both"/>
        <w:rPr>
          <w:rFonts w:ascii="David" w:hAnsi="David"/>
        </w:rPr>
      </w:pPr>
      <w:r w:rsidRPr="00DC0826">
        <w:rPr>
          <w:rFonts w:ascii="David" w:hAnsi="David"/>
          <w:rtl/>
        </w:rPr>
        <w:t>מדיניות הענישה</w:t>
      </w:r>
      <w:r>
        <w:rPr>
          <w:rFonts w:ascii="David" w:hAnsi="David" w:hint="cs"/>
          <w:rtl/>
        </w:rPr>
        <w:t xml:space="preserve"> בעבירות נשק מחמירה ו</w:t>
      </w:r>
      <w:r w:rsidRPr="00DC0826">
        <w:rPr>
          <w:rFonts w:ascii="David" w:hAnsi="David"/>
          <w:rtl/>
        </w:rPr>
        <w:t xml:space="preserve">בית המשפט העליון קבע בשנים האחרונות בשורה ארוכה של מקרים כי על בתי המשפט לתרום תרומתם בביעור עבירות הנשק וכי יש להחמיר בענישה במקרים אלו. ראו מיני רבים: </w:t>
      </w:r>
    </w:p>
    <w:p w14:paraId="222333E0" w14:textId="77777777" w:rsidR="00725FFD" w:rsidRDefault="00725FFD" w:rsidP="00725FFD">
      <w:pPr>
        <w:pStyle w:val="a9"/>
        <w:ind w:left="1440" w:right="1418"/>
        <w:jc w:val="both"/>
        <w:rPr>
          <w:rFonts w:ascii="Miriam" w:hAnsi="Miriam" w:cs="Miriam"/>
          <w:color w:val="000000"/>
          <w:spacing w:val="10"/>
          <w:rtl/>
        </w:rPr>
      </w:pPr>
    </w:p>
    <w:p w14:paraId="3B89EA33" w14:textId="77777777" w:rsidR="00725FFD" w:rsidRDefault="00725FFD" w:rsidP="00725FFD">
      <w:pPr>
        <w:pStyle w:val="a9"/>
        <w:ind w:left="1440" w:right="1418"/>
        <w:jc w:val="both"/>
        <w:rPr>
          <w:rFonts w:ascii="David" w:hAnsi="David"/>
          <w:rtl/>
        </w:rPr>
      </w:pPr>
      <w:r>
        <w:rPr>
          <w:rFonts w:ascii="Miriam" w:hAnsi="Miriam" w:cs="Miriam"/>
          <w:color w:val="000000"/>
          <w:spacing w:val="10"/>
          <w:rtl/>
        </w:rPr>
        <w:t>"עלינו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w:t>
      </w:r>
      <w:r w:rsidR="00251002">
        <w:rPr>
          <w:rFonts w:ascii="Miriam" w:hAnsi="Miriam" w:cs="Miriam"/>
          <w:color w:val="000000"/>
          <w:spacing w:val="10"/>
          <w:rtl/>
        </w:rPr>
        <w:t xml:space="preserve"> </w:t>
      </w:r>
      <w:r>
        <w:rPr>
          <w:rFonts w:ascii="Miriam" w:hAnsi="Miriam" w:cs="Miriam"/>
          <w:color w:val="000000"/>
          <w:spacing w:val="10"/>
          <w:rtl/>
        </w:rPr>
        <w:t>חשש מפגיעה ממשית בערכים החברתיים, ואיומים משמעותיים על שלום הציבור וביטחונו"</w:t>
      </w:r>
      <w:r>
        <w:rPr>
          <w:rFonts w:ascii="Miriam" w:hAnsi="Miriam" w:cs="Miriam"/>
          <w:color w:val="000000"/>
          <w:spacing w:val="10"/>
        </w:rPr>
        <w:t>.</w:t>
      </w:r>
      <w:r>
        <w:rPr>
          <w:rFonts w:ascii="David" w:hAnsi="David"/>
          <w:rtl/>
        </w:rPr>
        <w:t xml:space="preserve"> </w:t>
      </w:r>
      <w:r>
        <w:rPr>
          <w:rFonts w:ascii="David" w:hAnsi="David" w:hint="cs"/>
          <w:rtl/>
        </w:rPr>
        <w:t>(</w:t>
      </w:r>
      <w:hyperlink r:id="rId30" w:history="1">
        <w:r w:rsidR="00251002" w:rsidRPr="00251002">
          <w:rPr>
            <w:rFonts w:ascii="David" w:hAnsi="David"/>
            <w:color w:val="0000FF"/>
            <w:u w:val="single"/>
            <w:rtl/>
          </w:rPr>
          <w:t>ע"פ 5681/23</w:t>
        </w:r>
      </w:hyperlink>
      <w:r>
        <w:rPr>
          <w:rFonts w:ascii="David" w:hAnsi="David" w:hint="cs"/>
          <w:rtl/>
        </w:rPr>
        <w:t xml:space="preserve"> </w:t>
      </w:r>
      <w:r>
        <w:rPr>
          <w:rFonts w:ascii="David" w:hAnsi="David" w:hint="cs"/>
          <w:b/>
          <w:bCs/>
          <w:rtl/>
        </w:rPr>
        <w:t>נח חווא נ' מדינת ישראל</w:t>
      </w:r>
      <w:r>
        <w:rPr>
          <w:rFonts w:ascii="David" w:hAnsi="David" w:hint="cs"/>
          <w:rtl/>
        </w:rPr>
        <w:t xml:space="preserve"> (20.12.2023)).</w:t>
      </w:r>
    </w:p>
    <w:p w14:paraId="34EA677E" w14:textId="77777777" w:rsidR="00725FFD" w:rsidRDefault="00725FFD" w:rsidP="00725FFD">
      <w:pPr>
        <w:pStyle w:val="a9"/>
        <w:ind w:left="0"/>
        <w:jc w:val="both"/>
        <w:rPr>
          <w:rFonts w:ascii="David" w:hAnsi="David"/>
        </w:rPr>
      </w:pPr>
    </w:p>
    <w:p w14:paraId="1F9112C2" w14:textId="77777777" w:rsidR="00725FFD" w:rsidRPr="008316A7" w:rsidRDefault="00725FFD" w:rsidP="00725FFD">
      <w:pPr>
        <w:pStyle w:val="a9"/>
        <w:numPr>
          <w:ilvl w:val="0"/>
          <w:numId w:val="1"/>
        </w:numPr>
        <w:spacing w:line="360" w:lineRule="auto"/>
        <w:jc w:val="both"/>
        <w:rPr>
          <w:rFonts w:ascii="David" w:hAnsi="David"/>
        </w:rPr>
      </w:pPr>
      <w:r>
        <w:rPr>
          <w:rFonts w:ascii="David" w:hAnsi="David" w:hint="cs"/>
          <w:rtl/>
        </w:rPr>
        <w:t>כאמור,</w:t>
      </w:r>
      <w:r w:rsidRPr="00AC4E10">
        <w:rPr>
          <w:rFonts w:ascii="David" w:hAnsi="David" w:hint="cs"/>
          <w:rtl/>
        </w:rPr>
        <w:t xml:space="preserve"> הנאשם לא הורשע בעבירה של החזקת נשק</w:t>
      </w:r>
      <w:r>
        <w:rPr>
          <w:rFonts w:ascii="David" w:hAnsi="David" w:hint="cs"/>
          <w:rtl/>
        </w:rPr>
        <w:t xml:space="preserve">, אלא בעבירה קלה יותר (שעונשה המרבי 5 שנות מאסר ולא 7 ואף אין בעניינה עונש מזערי כפי שקיים בעבירה של החזקת נשק), </w:t>
      </w:r>
      <w:r w:rsidRPr="00AC4E10">
        <w:rPr>
          <w:rFonts w:ascii="David" w:hAnsi="David" w:hint="cs"/>
          <w:rtl/>
        </w:rPr>
        <w:t>ו</w:t>
      </w:r>
      <w:r>
        <w:rPr>
          <w:rFonts w:ascii="David" w:hAnsi="David" w:hint="cs"/>
          <w:rtl/>
        </w:rPr>
        <w:t>אולם לאור כך שבמקרים דומים מיוחסת עבירה של החזקת נשק, אפנה למקרים אלו בשינויים המחויבים כמובן</w:t>
      </w:r>
      <w:r w:rsidRPr="00AC4E10">
        <w:rPr>
          <w:rFonts w:ascii="David" w:hAnsi="David" w:hint="cs"/>
          <w:rtl/>
        </w:rPr>
        <w:t>:</w:t>
      </w:r>
      <w:r>
        <w:rPr>
          <w:rFonts w:ascii="David" w:hAnsi="David" w:hint="cs"/>
          <w:rtl/>
        </w:rPr>
        <w:t xml:space="preserve"> </w:t>
      </w:r>
      <w:hyperlink r:id="rId31" w:history="1">
        <w:r w:rsidR="00251002" w:rsidRPr="00251002">
          <w:rPr>
            <w:rFonts w:ascii="David" w:hAnsi="David"/>
            <w:color w:val="0000FF"/>
            <w:u w:val="single"/>
            <w:rtl/>
          </w:rPr>
          <w:t>ע"פ 545/20</w:t>
        </w:r>
      </w:hyperlink>
      <w:r w:rsidR="00251002">
        <w:rPr>
          <w:rFonts w:ascii="David" w:hAnsi="David"/>
          <w:rtl/>
        </w:rPr>
        <w:t xml:space="preserve"> </w:t>
      </w:r>
      <w:r w:rsidRPr="00786130">
        <w:rPr>
          <w:rFonts w:ascii="David" w:hAnsi="David"/>
          <w:b/>
          <w:bCs/>
          <w:rtl/>
        </w:rPr>
        <w:t>פלוני</w:t>
      </w:r>
      <w:r w:rsidR="00251002">
        <w:rPr>
          <w:rFonts w:ascii="David" w:hAnsi="David"/>
          <w:b/>
          <w:bCs/>
          <w:rtl/>
        </w:rPr>
        <w:t xml:space="preserve"> </w:t>
      </w:r>
      <w:r w:rsidRPr="00786130">
        <w:rPr>
          <w:rFonts w:ascii="David" w:hAnsi="David"/>
          <w:b/>
          <w:bCs/>
          <w:rtl/>
        </w:rPr>
        <w:t>נ'</w:t>
      </w:r>
      <w:r w:rsidR="00251002">
        <w:rPr>
          <w:rFonts w:ascii="David" w:hAnsi="David"/>
          <w:b/>
          <w:bCs/>
          <w:rtl/>
        </w:rPr>
        <w:t xml:space="preserve"> </w:t>
      </w:r>
      <w:r w:rsidRPr="00786130">
        <w:rPr>
          <w:rFonts w:ascii="David" w:hAnsi="David"/>
          <w:b/>
          <w:bCs/>
          <w:rtl/>
        </w:rPr>
        <w:t>מדינת ישראל</w:t>
      </w:r>
      <w:r w:rsidR="00251002">
        <w:rPr>
          <w:rFonts w:ascii="David" w:hAnsi="David"/>
          <w:rtl/>
        </w:rPr>
        <w:t xml:space="preserve"> </w:t>
      </w:r>
      <w:r w:rsidRPr="00AC4E10">
        <w:rPr>
          <w:rFonts w:ascii="David" w:hAnsi="David" w:hint="cs"/>
          <w:rtl/>
        </w:rPr>
        <w:t>(3.5.2021)</w:t>
      </w:r>
      <w:r>
        <w:rPr>
          <w:rFonts w:ascii="David" w:hAnsi="David" w:hint="cs"/>
          <w:rtl/>
        </w:rPr>
        <w:t>,</w:t>
      </w:r>
      <w:r w:rsidRPr="00786130">
        <w:rPr>
          <w:rFonts w:ascii="David" w:hAnsi="David"/>
          <w:rtl/>
        </w:rPr>
        <w:t xml:space="preserve"> </w:t>
      </w:r>
      <w:r w:rsidRPr="00AC4E10">
        <w:rPr>
          <w:rFonts w:ascii="David" w:hAnsi="David" w:hint="cs"/>
          <w:rtl/>
        </w:rPr>
        <w:t xml:space="preserve">בו החזיק והוביל הנאשם </w:t>
      </w:r>
      <w:r w:rsidRPr="00786130">
        <w:rPr>
          <w:rFonts w:ascii="David" w:hAnsi="David"/>
          <w:rtl/>
        </w:rPr>
        <w:t xml:space="preserve">ברכב אקדח </w:t>
      </w:r>
      <w:r w:rsidRPr="00AC4E10">
        <w:rPr>
          <w:rFonts w:ascii="David" w:hAnsi="David" w:hint="cs"/>
          <w:rtl/>
        </w:rPr>
        <w:t>לא תקין ש</w:t>
      </w:r>
      <w:r w:rsidRPr="00786130">
        <w:rPr>
          <w:rFonts w:ascii="David" w:hAnsi="David"/>
          <w:rtl/>
        </w:rPr>
        <w:t>לא ניתן היה לבצע בו ירי</w:t>
      </w:r>
      <w:r w:rsidRPr="00AC4E10">
        <w:rPr>
          <w:rFonts w:ascii="David" w:hAnsi="David"/>
          <w:rtl/>
        </w:rPr>
        <w:t xml:space="preserve"> </w:t>
      </w:r>
      <w:r w:rsidRPr="00786130">
        <w:rPr>
          <w:rFonts w:ascii="David" w:hAnsi="David"/>
          <w:rtl/>
        </w:rPr>
        <w:t xml:space="preserve">ובו מחסנית ריקה, ועל גופו 50 כדורי אקדח תואמים. </w:t>
      </w:r>
      <w:r w:rsidRPr="00AC4E10">
        <w:rPr>
          <w:rFonts w:ascii="David" w:hAnsi="David" w:hint="cs"/>
          <w:rtl/>
        </w:rPr>
        <w:t xml:space="preserve">בית המשפט המחוזי </w:t>
      </w:r>
      <w:r w:rsidRPr="00786130">
        <w:rPr>
          <w:rFonts w:ascii="David" w:hAnsi="David"/>
          <w:rtl/>
        </w:rPr>
        <w:t xml:space="preserve">קבע מתחם עונש הולם הנע בין </w:t>
      </w:r>
      <w:r>
        <w:rPr>
          <w:rFonts w:ascii="David" w:hAnsi="David" w:hint="cs"/>
          <w:rtl/>
        </w:rPr>
        <w:t xml:space="preserve">10-24 </w:t>
      </w:r>
      <w:r w:rsidRPr="00786130">
        <w:rPr>
          <w:rFonts w:ascii="David" w:hAnsi="David"/>
          <w:rtl/>
        </w:rPr>
        <w:t>חודשי מאסר בפועל</w:t>
      </w:r>
      <w:r w:rsidRPr="00AC4E10">
        <w:rPr>
          <w:rFonts w:ascii="David" w:hAnsi="David" w:hint="cs"/>
          <w:rtl/>
        </w:rPr>
        <w:t xml:space="preserve">; </w:t>
      </w:r>
      <w:hyperlink r:id="rId32" w:history="1">
        <w:r w:rsidR="00251002" w:rsidRPr="00251002">
          <w:rPr>
            <w:rFonts w:ascii="David" w:hAnsi="David"/>
            <w:color w:val="0000FF"/>
            <w:u w:val="single"/>
            <w:rtl/>
          </w:rPr>
          <w:t>ע"פ 4982-15</w:t>
        </w:r>
      </w:hyperlink>
      <w:r w:rsidR="00251002">
        <w:rPr>
          <w:rFonts w:ascii="David" w:hAnsi="David"/>
          <w:rtl/>
        </w:rPr>
        <w:t xml:space="preserve"> </w:t>
      </w:r>
      <w:r w:rsidRPr="00786130">
        <w:rPr>
          <w:rFonts w:ascii="David" w:hAnsi="David"/>
          <w:b/>
          <w:bCs/>
          <w:rtl/>
        </w:rPr>
        <w:t>אחמד שחיטה</w:t>
      </w:r>
      <w:r w:rsidR="00251002">
        <w:rPr>
          <w:rFonts w:ascii="David" w:hAnsi="David"/>
          <w:b/>
          <w:bCs/>
          <w:rtl/>
        </w:rPr>
        <w:t xml:space="preserve"> </w:t>
      </w:r>
      <w:r w:rsidRPr="00786130">
        <w:rPr>
          <w:rFonts w:ascii="David" w:hAnsi="David"/>
          <w:b/>
          <w:bCs/>
          <w:rtl/>
        </w:rPr>
        <w:t>נ'</w:t>
      </w:r>
      <w:r w:rsidR="00251002">
        <w:rPr>
          <w:rFonts w:ascii="David" w:hAnsi="David"/>
          <w:b/>
          <w:bCs/>
          <w:rtl/>
        </w:rPr>
        <w:t xml:space="preserve"> </w:t>
      </w:r>
      <w:r w:rsidRPr="00786130">
        <w:rPr>
          <w:rFonts w:ascii="David" w:hAnsi="David"/>
          <w:b/>
          <w:bCs/>
          <w:rtl/>
        </w:rPr>
        <w:t>מדינת ישראל</w:t>
      </w:r>
      <w:r w:rsidR="00251002">
        <w:rPr>
          <w:rFonts w:ascii="David" w:hAnsi="David"/>
          <w:rtl/>
        </w:rPr>
        <w:t xml:space="preserve"> </w:t>
      </w:r>
      <w:r w:rsidRPr="00AC4E10">
        <w:rPr>
          <w:rFonts w:ascii="David" w:hAnsi="David" w:hint="cs"/>
          <w:rtl/>
        </w:rPr>
        <w:t xml:space="preserve">(3.9.2015) בו </w:t>
      </w:r>
      <w:r w:rsidRPr="00786130">
        <w:rPr>
          <w:rFonts w:ascii="David" w:hAnsi="David"/>
          <w:rtl/>
        </w:rPr>
        <w:t xml:space="preserve">הורשע </w:t>
      </w:r>
      <w:r w:rsidRPr="00AC4E10">
        <w:rPr>
          <w:rFonts w:ascii="David" w:hAnsi="David" w:hint="cs"/>
          <w:rtl/>
        </w:rPr>
        <w:t xml:space="preserve">נאשם </w:t>
      </w:r>
      <w:r w:rsidRPr="00786130">
        <w:rPr>
          <w:rFonts w:ascii="David" w:hAnsi="David"/>
          <w:rtl/>
        </w:rPr>
        <w:t>בנשיאת אקדח לא תקין</w:t>
      </w:r>
      <w:r w:rsidR="00251002">
        <w:rPr>
          <w:rFonts w:ascii="David" w:hAnsi="David"/>
          <w:rtl/>
        </w:rPr>
        <w:t xml:space="preserve"> </w:t>
      </w:r>
      <w:r w:rsidRPr="00786130">
        <w:rPr>
          <w:rFonts w:ascii="David" w:hAnsi="David"/>
          <w:rtl/>
        </w:rPr>
        <w:t xml:space="preserve">יחד עם מחסנית ריקה. נקבע מתחם עונש הנע בין </w:t>
      </w:r>
      <w:r>
        <w:rPr>
          <w:rFonts w:ascii="David" w:hAnsi="David" w:hint="cs"/>
          <w:rtl/>
        </w:rPr>
        <w:t>12-36</w:t>
      </w:r>
      <w:r w:rsidRPr="00786130">
        <w:rPr>
          <w:rFonts w:ascii="David" w:hAnsi="David"/>
          <w:rtl/>
        </w:rPr>
        <w:t xml:space="preserve"> חודש</w:t>
      </w:r>
      <w:r>
        <w:rPr>
          <w:rFonts w:ascii="David" w:hAnsi="David" w:hint="cs"/>
          <w:rtl/>
        </w:rPr>
        <w:t>י</w:t>
      </w:r>
      <w:r w:rsidRPr="00786130">
        <w:rPr>
          <w:rFonts w:ascii="David" w:hAnsi="David"/>
          <w:rtl/>
        </w:rPr>
        <w:t xml:space="preserve"> והוטלו על </w:t>
      </w:r>
      <w:r w:rsidRPr="00AC4E10">
        <w:rPr>
          <w:rFonts w:ascii="David" w:hAnsi="David" w:hint="cs"/>
          <w:rtl/>
        </w:rPr>
        <w:t>הנאשם</w:t>
      </w:r>
      <w:r w:rsidRPr="00786130">
        <w:rPr>
          <w:rFonts w:ascii="David" w:hAnsi="David"/>
          <w:rtl/>
        </w:rPr>
        <w:t xml:space="preserve"> 20 חודשי מאסר בפועל. בית המשפט העליון </w:t>
      </w:r>
      <w:r w:rsidRPr="00AC4E10">
        <w:rPr>
          <w:rFonts w:ascii="David" w:hAnsi="David" w:hint="cs"/>
          <w:rtl/>
        </w:rPr>
        <w:t xml:space="preserve">הפחית את העונש ל-16 חודשי מאסר תוך </w:t>
      </w:r>
      <w:r>
        <w:rPr>
          <w:rFonts w:ascii="David" w:hAnsi="David" w:hint="cs"/>
          <w:rtl/>
        </w:rPr>
        <w:t xml:space="preserve">שציין כי </w:t>
      </w:r>
      <w:r w:rsidRPr="00822F2A">
        <w:rPr>
          <w:rFonts w:ascii="Miriam" w:hAnsi="Miriam" w:cs="Miriam"/>
          <w:rtl/>
        </w:rPr>
        <w:t>"גם אם המחוקק אינו מבחין בין נשק תקין לשאינו תקין, תיתכן לכך רלבנטיות מסוימת לענין העונש"</w:t>
      </w:r>
      <w:r>
        <w:rPr>
          <w:rFonts w:ascii="David" w:hAnsi="David" w:hint="cs"/>
          <w:rtl/>
        </w:rPr>
        <w:t>;</w:t>
      </w:r>
      <w:r w:rsidRPr="00AC4E10">
        <w:rPr>
          <w:rFonts w:ascii="David" w:hAnsi="David" w:hint="cs"/>
          <w:rtl/>
        </w:rPr>
        <w:t xml:space="preserve"> </w:t>
      </w:r>
      <w:hyperlink r:id="rId33" w:history="1">
        <w:r w:rsidR="00251002" w:rsidRPr="00251002">
          <w:rPr>
            <w:rFonts w:ascii="David" w:hAnsi="David"/>
            <w:color w:val="0000FF"/>
            <w:u w:val="single"/>
            <w:rtl/>
          </w:rPr>
          <w:t>עפ"ג 41707-03-22</w:t>
        </w:r>
      </w:hyperlink>
      <w:r w:rsidRPr="00AC4E10">
        <w:rPr>
          <w:rFonts w:ascii="David" w:hAnsi="David"/>
          <w:rtl/>
        </w:rPr>
        <w:t xml:space="preserve"> </w:t>
      </w:r>
      <w:r w:rsidRPr="00AC4E10">
        <w:rPr>
          <w:rFonts w:ascii="David" w:hAnsi="David"/>
          <w:b/>
          <w:bCs/>
          <w:rtl/>
        </w:rPr>
        <w:t>מדינת ישראל נ' אחמד אבו טראש</w:t>
      </w:r>
      <w:r w:rsidRPr="00AC4E10">
        <w:rPr>
          <w:rFonts w:ascii="David" w:hAnsi="David"/>
          <w:rtl/>
        </w:rPr>
        <w:t xml:space="preserve"> </w:t>
      </w:r>
      <w:r w:rsidRPr="00AC4E10">
        <w:rPr>
          <w:rFonts w:ascii="David" w:hAnsi="David" w:hint="cs"/>
          <w:rtl/>
        </w:rPr>
        <w:t>(22.6.2022), בו הורשע נאשם בהחזקת אקדח חצי אוטומט ללא פין הדק ועצר מחלק ועונשו הוחמר ממאסר לריצוי בעבודות שירות ל</w:t>
      </w:r>
      <w:r>
        <w:rPr>
          <w:rFonts w:ascii="David" w:hAnsi="David" w:hint="cs"/>
          <w:rtl/>
        </w:rPr>
        <w:t xml:space="preserve">-10 </w:t>
      </w:r>
      <w:r w:rsidRPr="00AC4E10">
        <w:rPr>
          <w:rFonts w:ascii="David" w:hAnsi="David" w:hint="cs"/>
          <w:rtl/>
        </w:rPr>
        <w:t xml:space="preserve">חודשי מאסר בפועל; </w:t>
      </w:r>
      <w:hyperlink r:id="rId34" w:history="1">
        <w:r w:rsidR="00251002" w:rsidRPr="00251002">
          <w:rPr>
            <w:rFonts w:ascii="David" w:hAnsi="David"/>
            <w:color w:val="0000FF"/>
            <w:u w:val="single"/>
            <w:rtl/>
          </w:rPr>
          <w:t>ת"פ (באר שבע) 10251-07-22</w:t>
        </w:r>
      </w:hyperlink>
      <w:r w:rsidRPr="00AC4E10">
        <w:rPr>
          <w:rFonts w:ascii="David" w:hAnsi="David"/>
          <w:b/>
          <w:bCs/>
          <w:rtl/>
        </w:rPr>
        <w:t xml:space="preserve"> מדינת ישראל נ' פלוני</w:t>
      </w:r>
      <w:r w:rsidRPr="00AC4E10">
        <w:rPr>
          <w:rFonts w:ascii="David" w:hAnsi="David" w:hint="cs"/>
          <w:rtl/>
        </w:rPr>
        <w:t xml:space="preserve"> (6.12.2022), בו הורשע </w:t>
      </w:r>
      <w:r w:rsidRPr="00AC4E10">
        <w:rPr>
          <w:rFonts w:ascii="David" w:hAnsi="David" w:hint="cs"/>
          <w:u w:val="single"/>
          <w:rtl/>
        </w:rPr>
        <w:t>קטין</w:t>
      </w:r>
      <w:r w:rsidRPr="00AC4E10">
        <w:rPr>
          <w:rFonts w:ascii="David" w:hAnsi="David" w:hint="cs"/>
          <w:rtl/>
        </w:rPr>
        <w:t xml:space="preserve"> בעבירת החזקת </w:t>
      </w:r>
      <w:r>
        <w:rPr>
          <w:rFonts w:ascii="David" w:hAnsi="David" w:hint="cs"/>
          <w:rtl/>
        </w:rPr>
        <w:t xml:space="preserve">נשק בכך שהחזיק </w:t>
      </w:r>
      <w:r w:rsidRPr="00AC4E10">
        <w:rPr>
          <w:rFonts w:ascii="David" w:hAnsi="David" w:hint="cs"/>
          <w:rtl/>
        </w:rPr>
        <w:t xml:space="preserve">אקדח תופי ללא נוקר והוטלו עליו 12 חודשי מאסר בפועל; </w:t>
      </w:r>
      <w:hyperlink r:id="rId35" w:history="1">
        <w:r w:rsidR="00251002" w:rsidRPr="00251002">
          <w:rPr>
            <w:rFonts w:ascii="David" w:hAnsi="David"/>
            <w:color w:val="0000FF"/>
            <w:u w:val="single"/>
            <w:rtl/>
          </w:rPr>
          <w:t>ת"פ 14488-04-19</w:t>
        </w:r>
      </w:hyperlink>
      <w:r w:rsidRPr="00AC4E10">
        <w:rPr>
          <w:rFonts w:ascii="David" w:hAnsi="David"/>
          <w:rtl/>
        </w:rPr>
        <w:t xml:space="preserve"> </w:t>
      </w:r>
      <w:r w:rsidRPr="00AC4E10">
        <w:rPr>
          <w:rFonts w:ascii="David" w:hAnsi="David"/>
          <w:b/>
          <w:bCs/>
          <w:rtl/>
        </w:rPr>
        <w:t>מדינת ישראל נ' וקנין</w:t>
      </w:r>
      <w:r w:rsidRPr="00AC4E10">
        <w:rPr>
          <w:rFonts w:ascii="David" w:hAnsi="David" w:hint="cs"/>
          <w:rtl/>
        </w:rPr>
        <w:t xml:space="preserve"> (23.2.2021), בו נקבע כי בהחזקת אקדח ללא נוקר ינוע מתחם הענ</w:t>
      </w:r>
      <w:r>
        <w:rPr>
          <w:rFonts w:ascii="David" w:hAnsi="David" w:hint="cs"/>
          <w:rtl/>
        </w:rPr>
        <w:t xml:space="preserve">ישה בין 6-18 חודשי מאסר בפועל; </w:t>
      </w:r>
      <w:hyperlink r:id="rId36" w:history="1">
        <w:r w:rsidR="00251002" w:rsidRPr="00251002">
          <w:rPr>
            <w:rFonts w:ascii="David" w:hAnsi="David"/>
            <w:color w:val="0000FF"/>
            <w:u w:val="single"/>
            <w:rtl/>
          </w:rPr>
          <w:t>ת"פ (י-ם) 6999-09-22</w:t>
        </w:r>
      </w:hyperlink>
      <w:r w:rsidR="00251002">
        <w:rPr>
          <w:rFonts w:ascii="David" w:hAnsi="David"/>
          <w:rtl/>
        </w:rPr>
        <w:t xml:space="preserve"> </w:t>
      </w:r>
      <w:r w:rsidRPr="008316A7">
        <w:rPr>
          <w:rFonts w:ascii="David" w:hAnsi="David"/>
          <w:rtl/>
        </w:rPr>
        <w:t xml:space="preserve"> </w:t>
      </w:r>
      <w:r w:rsidRPr="007C2AEE">
        <w:rPr>
          <w:rFonts w:ascii="David" w:hAnsi="David"/>
          <w:b/>
          <w:bCs/>
          <w:rtl/>
        </w:rPr>
        <w:t>מדינת ישראל נ' אחמד קאסם</w:t>
      </w:r>
      <w:r>
        <w:rPr>
          <w:rFonts w:ascii="David" w:hAnsi="David" w:hint="cs"/>
          <w:rtl/>
        </w:rPr>
        <w:t xml:space="preserve"> (7.4.2023) בו הורשע נאשם בעבירה של נשיאה והחזקת חלק של נשק (ולא חלק מהותי שכן היה זה לפני תיקון 145) בכך שהחזיק שישה מכלולים של </w:t>
      </w:r>
      <w:r w:rsidRPr="008D69CE">
        <w:rPr>
          <w:rFonts w:ascii="David" w:hAnsi="David" w:hint="cs"/>
          <w:sz w:val="22"/>
          <w:szCs w:val="22"/>
        </w:rPr>
        <w:t>M</w:t>
      </w:r>
      <w:r>
        <w:rPr>
          <w:rFonts w:ascii="David" w:hAnsi="David"/>
        </w:rPr>
        <w:t>-16</w:t>
      </w:r>
      <w:r>
        <w:rPr>
          <w:rFonts w:ascii="David" w:hAnsi="David" w:hint="cs"/>
          <w:rtl/>
        </w:rPr>
        <w:t xml:space="preserve"> ו-9000 כדורים. בית משפט השלום קבע מתחם עונש הנע בין 12-24 חודשי מאסר. ערעור הנאשם נדחה. </w:t>
      </w:r>
    </w:p>
    <w:p w14:paraId="1B8968FB" w14:textId="77777777" w:rsidR="00725FFD" w:rsidRPr="008316A7" w:rsidRDefault="00725FFD" w:rsidP="00725FFD">
      <w:pPr>
        <w:pStyle w:val="a9"/>
        <w:ind w:left="0"/>
        <w:jc w:val="both"/>
        <w:rPr>
          <w:rFonts w:ascii="David" w:hAnsi="David"/>
          <w:rtl/>
        </w:rPr>
      </w:pPr>
    </w:p>
    <w:p w14:paraId="018D2A1F" w14:textId="77777777" w:rsidR="00725FFD" w:rsidRPr="00234626" w:rsidRDefault="00725FFD" w:rsidP="00725FFD">
      <w:pPr>
        <w:pStyle w:val="a9"/>
        <w:numPr>
          <w:ilvl w:val="0"/>
          <w:numId w:val="1"/>
        </w:numPr>
        <w:spacing w:line="360" w:lineRule="auto"/>
        <w:jc w:val="both"/>
        <w:rPr>
          <w:rFonts w:ascii="David" w:hAnsi="David"/>
        </w:rPr>
      </w:pPr>
      <w:r>
        <w:rPr>
          <w:rFonts w:ascii="David" w:hAnsi="David" w:hint="cs"/>
          <w:rtl/>
        </w:rPr>
        <w:t>ביחס לעבירות האלימות כלפי בת זוג אציין ש</w:t>
      </w:r>
      <w:r w:rsidRPr="00EB2F4C">
        <w:rPr>
          <w:rFonts w:ascii="David" w:hAnsi="David"/>
          <w:rtl/>
        </w:rPr>
        <w:t xml:space="preserve">מדיניות הענישה בעבירות </w:t>
      </w:r>
      <w:r>
        <w:rPr>
          <w:rFonts w:ascii="David" w:hAnsi="David" w:hint="cs"/>
          <w:rtl/>
        </w:rPr>
        <w:t>אלו</w:t>
      </w:r>
      <w:r w:rsidRPr="00EB2F4C">
        <w:rPr>
          <w:rFonts w:ascii="David" w:hAnsi="David"/>
          <w:rtl/>
        </w:rPr>
        <w:t xml:space="preserve"> מחמירה ובהיעדר נסיבות מיוחדות מוטלים לא אחת עונשי מאסר המבטאים את חומרת המעשה, המסוכנות והצורך בהגנה על הקורבן</w:t>
      </w:r>
      <w:r>
        <w:rPr>
          <w:rFonts w:ascii="David" w:hAnsi="David" w:hint="cs"/>
          <w:rtl/>
        </w:rPr>
        <w:t xml:space="preserve"> (</w:t>
      </w:r>
      <w:hyperlink r:id="rId37" w:history="1">
        <w:r w:rsidR="00251002" w:rsidRPr="00251002">
          <w:rPr>
            <w:rFonts w:ascii="David" w:hAnsi="David"/>
            <w:color w:val="0000FF"/>
            <w:u w:val="single"/>
            <w:rtl/>
          </w:rPr>
          <w:t>רע"פ 1536/20</w:t>
        </w:r>
      </w:hyperlink>
      <w:r w:rsidRPr="00EB2F4C">
        <w:rPr>
          <w:rFonts w:ascii="David" w:hAnsi="David"/>
          <w:rtl/>
        </w:rPr>
        <w:t xml:space="preserve"> </w:t>
      </w:r>
      <w:r w:rsidRPr="00361E9D">
        <w:rPr>
          <w:rFonts w:ascii="David" w:hAnsi="David"/>
          <w:b/>
          <w:bCs/>
          <w:rtl/>
        </w:rPr>
        <w:t>פלוני נ' מדינת ישראל</w:t>
      </w:r>
      <w:r>
        <w:rPr>
          <w:rFonts w:ascii="David" w:hAnsi="David"/>
          <w:rtl/>
        </w:rPr>
        <w:t xml:space="preserve"> (1.3.2020)</w:t>
      </w:r>
      <w:r>
        <w:rPr>
          <w:rFonts w:ascii="David" w:hAnsi="David" w:hint="cs"/>
          <w:rtl/>
        </w:rPr>
        <w:t xml:space="preserve">; </w:t>
      </w:r>
      <w:r w:rsidRPr="00EB2F4C">
        <w:rPr>
          <w:rFonts w:ascii="David" w:hAnsi="David"/>
          <w:rtl/>
        </w:rPr>
        <w:t>(</w:t>
      </w:r>
      <w:hyperlink r:id="rId38" w:history="1">
        <w:r w:rsidR="00251002" w:rsidRPr="00251002">
          <w:rPr>
            <w:rFonts w:ascii="David" w:hAnsi="David"/>
            <w:color w:val="0000FF"/>
            <w:u w:val="single"/>
            <w:rtl/>
          </w:rPr>
          <w:t>רע"פ 340/21</w:t>
        </w:r>
      </w:hyperlink>
      <w:r w:rsidRPr="00EB2F4C">
        <w:rPr>
          <w:rFonts w:ascii="David" w:hAnsi="David"/>
          <w:rtl/>
        </w:rPr>
        <w:t xml:space="preserve"> </w:t>
      </w:r>
      <w:r w:rsidRPr="00EB2F4C">
        <w:rPr>
          <w:rFonts w:ascii="David" w:hAnsi="David"/>
          <w:b/>
          <w:bCs/>
          <w:rtl/>
        </w:rPr>
        <w:t>מסרי נ' מדינת ישראל</w:t>
      </w:r>
      <w:r>
        <w:rPr>
          <w:rFonts w:ascii="David" w:hAnsi="David"/>
          <w:rtl/>
        </w:rPr>
        <w:t>, פסקה 10 (28.1.2021))</w:t>
      </w:r>
      <w:r>
        <w:rPr>
          <w:rFonts w:ascii="David" w:hAnsi="David" w:hint="cs"/>
          <w:rtl/>
        </w:rPr>
        <w:t xml:space="preserve">). </w:t>
      </w:r>
      <w:r w:rsidRPr="00234626">
        <w:rPr>
          <w:rFonts w:ascii="David" w:hAnsi="David" w:hint="cs"/>
          <w:rtl/>
        </w:rPr>
        <w:t xml:space="preserve">לצורך הדגמת מדיניות הענישה אפנה למקרים הבאים, בשינויים המחויבים: </w:t>
      </w:r>
      <w:hyperlink r:id="rId39" w:history="1">
        <w:r w:rsidR="00251002" w:rsidRPr="00251002">
          <w:rPr>
            <w:rFonts w:ascii="David" w:hAnsi="David"/>
            <w:color w:val="0000FF"/>
            <w:u w:val="single"/>
            <w:rtl/>
          </w:rPr>
          <w:t>רע"פ 4355/24</w:t>
        </w:r>
      </w:hyperlink>
      <w:r w:rsidRPr="00234626">
        <w:rPr>
          <w:rFonts w:ascii="David" w:hAnsi="David" w:hint="cs"/>
          <w:rtl/>
        </w:rPr>
        <w:t xml:space="preserve"> </w:t>
      </w:r>
      <w:r w:rsidRPr="00234626">
        <w:rPr>
          <w:rFonts w:ascii="David" w:hAnsi="David"/>
          <w:b/>
          <w:bCs/>
          <w:rtl/>
        </w:rPr>
        <w:t>אחמד אבו אנטילי</w:t>
      </w:r>
      <w:r w:rsidRPr="00234626">
        <w:rPr>
          <w:rFonts w:ascii="David" w:hAnsi="David" w:hint="cs"/>
          <w:b/>
          <w:bCs/>
          <w:rtl/>
        </w:rPr>
        <w:t xml:space="preserve"> נ' מדינת ישראל</w:t>
      </w:r>
      <w:r>
        <w:rPr>
          <w:rFonts w:ascii="David" w:hAnsi="David" w:hint="cs"/>
          <w:rtl/>
        </w:rPr>
        <w:t xml:space="preserve"> (23.6.2024),</w:t>
      </w:r>
      <w:r w:rsidRPr="00234626">
        <w:rPr>
          <w:rFonts w:ascii="David" w:hAnsi="David" w:hint="cs"/>
          <w:rtl/>
        </w:rPr>
        <w:t xml:space="preserve"> בו הורשע נאשם בעבירות אלימות כלפי זוגתו. באירוע אחד היכה בה באגרוף וחנק אותה. באירוע נוסף הפילה ארצה וחנק אותה עד שהתקשתה לנשום. באירועים נוספים דקר את צמיגי רכבה ואיים עליה. נקבע מתחם ענישה הנע בין 16-32 חודשי מאסר </w:t>
      </w:r>
      <w:r>
        <w:rPr>
          <w:rFonts w:ascii="David" w:hAnsi="David" w:hint="cs"/>
          <w:rtl/>
        </w:rPr>
        <w:t>ו</w:t>
      </w:r>
      <w:r w:rsidRPr="00234626">
        <w:rPr>
          <w:rFonts w:ascii="David" w:hAnsi="David" w:hint="cs"/>
          <w:rtl/>
        </w:rPr>
        <w:t xml:space="preserve">על הנאשם הוטלו 24 חודשי מאסר חרף המלצה חיובית של שירות המבחן; </w:t>
      </w:r>
      <w:hyperlink r:id="rId40" w:history="1">
        <w:r w:rsidR="00251002" w:rsidRPr="00251002">
          <w:rPr>
            <w:rFonts w:ascii="David" w:hAnsi="David"/>
            <w:color w:val="0000FF"/>
            <w:u w:val="single"/>
            <w:rtl/>
          </w:rPr>
          <w:t>רע"פ 2750/22</w:t>
        </w:r>
      </w:hyperlink>
      <w:r w:rsidRPr="00234626">
        <w:rPr>
          <w:rFonts w:ascii="David" w:hAnsi="David" w:hint="cs"/>
          <w:rtl/>
        </w:rPr>
        <w:t xml:space="preserve"> </w:t>
      </w:r>
      <w:r w:rsidRPr="00234626">
        <w:rPr>
          <w:b/>
          <w:bCs/>
          <w:rtl/>
        </w:rPr>
        <w:t>אורי אלי ליולקו</w:t>
      </w:r>
      <w:r w:rsidRPr="00234626">
        <w:rPr>
          <w:rFonts w:hint="cs"/>
          <w:b/>
          <w:bCs/>
          <w:rtl/>
        </w:rPr>
        <w:t xml:space="preserve"> נ' מדינת ישראל</w:t>
      </w:r>
      <w:r>
        <w:rPr>
          <w:rFonts w:hint="cs"/>
          <w:rtl/>
        </w:rPr>
        <w:t xml:space="preserve"> (9.5.2022), בו הורשע נאשם בעבירות איומים ואלימות כלפי פרודתו. במקרה זה, על רקע ויכוח שנסוב על חשד שהמתלוננת מקליטה אותו, היכה אותה הנאשם באמצעות הטלפון בראשה, בעט בה ובהמשך הפילה ארצה, חנק אותה ואיים עליה כי יהרגה. על הנאשם הוטלו 10 חודשי מאסר תוך שבית המשפט העליון </w:t>
      </w:r>
      <w:r w:rsidRPr="00234626">
        <w:rPr>
          <w:rFonts w:ascii="David" w:hAnsi="David" w:hint="cs"/>
          <w:rtl/>
        </w:rPr>
        <w:t xml:space="preserve">מציין כי </w:t>
      </w:r>
      <w:r w:rsidRPr="00234626">
        <w:rPr>
          <w:rFonts w:ascii="Miriam" w:hAnsi="Miriam" w:cs="Miriam"/>
          <w:rtl/>
        </w:rPr>
        <w:t>"העונש שהושת על המבקש אינו מחמיר עמו, וודאי שאין בו משום סטייה ניכרת ממדיניות הענישה הנוהגת"</w:t>
      </w:r>
      <w:r w:rsidRPr="00234626">
        <w:rPr>
          <w:rFonts w:ascii="David" w:hAnsi="David" w:hint="cs"/>
          <w:rtl/>
        </w:rPr>
        <w:t xml:space="preserve">; </w:t>
      </w:r>
      <w:hyperlink r:id="rId41" w:history="1">
        <w:r w:rsidR="00251002" w:rsidRPr="00251002">
          <w:rPr>
            <w:rFonts w:ascii="David" w:hAnsi="David"/>
            <w:color w:val="0000FF"/>
            <w:u w:val="single"/>
            <w:rtl/>
          </w:rPr>
          <w:t>רע"פ 643/24</w:t>
        </w:r>
      </w:hyperlink>
      <w:r w:rsidRPr="00234626">
        <w:rPr>
          <w:rFonts w:ascii="David" w:hAnsi="David"/>
          <w:rtl/>
        </w:rPr>
        <w:t xml:space="preserve"> </w:t>
      </w:r>
      <w:r w:rsidRPr="00234626">
        <w:rPr>
          <w:rFonts w:ascii="David" w:hAnsi="David"/>
          <w:b/>
          <w:bCs/>
          <w:rtl/>
        </w:rPr>
        <w:t>רומן חודוס נ' מדינת ישראל</w:t>
      </w:r>
      <w:r w:rsidRPr="00234626">
        <w:rPr>
          <w:rFonts w:ascii="David" w:hAnsi="David"/>
          <w:rtl/>
        </w:rPr>
        <w:t xml:space="preserve"> (29.1.2024), בו נדחתה בקשת רשות ערעור של נאשם שהורשע בעבירת תקיפת בת זוג הגורמת חבלה ותקיפה סתם ונידון ל-11 חודשי מאסר בפועל. במועד הראשון הכה את המתלוננת במכת אגרוף בפניה ובמועד נוסף משך אותה משערות ראשה והכה אותה באגרופים. נקבע כי מתחם העונש ההולם נע בין 10 חודשי מאסר בפועל לבין 24 חודשי מאסר בפועל, לצד ענישה נלווית. על אף שילובו בהליך טיפולי והמלצה חיובית של שירות המבחן, ערכאות הערעור הותירו את העונש על כנו;</w:t>
      </w:r>
      <w:r w:rsidRPr="00234626">
        <w:rPr>
          <w:rFonts w:ascii="David" w:hAnsi="David" w:hint="cs"/>
          <w:rtl/>
        </w:rPr>
        <w:t xml:space="preserve"> </w:t>
      </w:r>
      <w:hyperlink r:id="rId42" w:history="1">
        <w:r w:rsidR="00251002" w:rsidRPr="00251002">
          <w:rPr>
            <w:rFonts w:ascii="David" w:hAnsi="David"/>
            <w:color w:val="0000FF"/>
            <w:u w:val="single"/>
            <w:rtl/>
          </w:rPr>
          <w:t>רע"פ 7846/21</w:t>
        </w:r>
      </w:hyperlink>
      <w:r w:rsidRPr="00234626">
        <w:rPr>
          <w:rFonts w:ascii="David" w:hAnsi="David"/>
          <w:rtl/>
        </w:rPr>
        <w:t xml:space="preserve"> </w:t>
      </w:r>
      <w:r w:rsidRPr="00234626">
        <w:rPr>
          <w:rFonts w:ascii="David" w:hAnsi="David"/>
          <w:b/>
          <w:bCs/>
          <w:rtl/>
        </w:rPr>
        <w:t>היתם אגבאריה נ' מדינת ישראל</w:t>
      </w:r>
      <w:r w:rsidRPr="00234626">
        <w:rPr>
          <w:rFonts w:ascii="David" w:hAnsi="David"/>
          <w:rtl/>
        </w:rPr>
        <w:t xml:space="preserve"> (16.11.2021), בו נידון נאשם שהורשע בשתי עבירות איומים ושתי עבירות תקיפה סתם של בת זוגו לשמונה חודשי מאסר בפועל ועונשים נלווים. הנאשם איים על המתלוננת, תפס בחוזקה בשערה, השליך לעברה אבנים ובמועד נוסף איים עליה, בעט בה בהיותה הרה, לרבות בבטנה</w:t>
      </w:r>
      <w:r>
        <w:rPr>
          <w:rFonts w:ascii="David" w:hAnsi="David" w:hint="cs"/>
          <w:rtl/>
        </w:rPr>
        <w:t>.</w:t>
      </w:r>
    </w:p>
    <w:p w14:paraId="1F959EF0" w14:textId="77777777" w:rsidR="00725FFD" w:rsidRPr="00750D96" w:rsidRDefault="00725FFD" w:rsidP="00725FFD">
      <w:pPr>
        <w:pStyle w:val="a9"/>
        <w:rPr>
          <w:rFonts w:ascii="David" w:hAnsi="David"/>
          <w:rtl/>
        </w:rPr>
      </w:pPr>
    </w:p>
    <w:p w14:paraId="49FF0F17" w14:textId="77777777" w:rsidR="00725FFD" w:rsidRPr="008E5BEB" w:rsidRDefault="00725FFD" w:rsidP="00725FFD">
      <w:pPr>
        <w:pStyle w:val="a9"/>
        <w:numPr>
          <w:ilvl w:val="0"/>
          <w:numId w:val="1"/>
        </w:numPr>
        <w:spacing w:line="360" w:lineRule="auto"/>
        <w:jc w:val="both"/>
        <w:rPr>
          <w:rFonts w:ascii="David" w:hAnsi="David"/>
        </w:rPr>
      </w:pPr>
      <w:r>
        <w:rPr>
          <w:rFonts w:ascii="David" w:hAnsi="David"/>
          <w:color w:val="000000"/>
          <w:rtl/>
        </w:rPr>
        <w:t>לאור כל זאת, אני בדעה כי מתחם הענישה ההולם את עבירות</w:t>
      </w:r>
      <w:r>
        <w:rPr>
          <w:rFonts w:ascii="David" w:hAnsi="David" w:hint="cs"/>
          <w:color w:val="000000"/>
          <w:rtl/>
        </w:rPr>
        <w:t xml:space="preserve"> האלימות שביצע הנאשם נע בין 6-24 חודשי מאסר </w:t>
      </w:r>
      <w:r>
        <w:rPr>
          <w:rFonts w:ascii="David" w:hAnsi="David" w:hint="cs"/>
          <w:rtl/>
        </w:rPr>
        <w:t xml:space="preserve">ואילו מתחם הענישה בעבירות הנשק והסמים נע 6-18 חודשי מאסר. </w:t>
      </w:r>
    </w:p>
    <w:p w14:paraId="58F2C9A5" w14:textId="77777777" w:rsidR="00725FFD" w:rsidRPr="00391773" w:rsidRDefault="00725FFD" w:rsidP="00725FFD">
      <w:pPr>
        <w:pStyle w:val="a9"/>
        <w:rPr>
          <w:rFonts w:ascii="David" w:hAnsi="David"/>
          <w:b/>
          <w:bCs/>
          <w:color w:val="000000"/>
          <w:u w:val="single"/>
          <w:rtl/>
        </w:rPr>
      </w:pPr>
    </w:p>
    <w:p w14:paraId="752EB0D4" w14:textId="77777777" w:rsidR="00725FFD" w:rsidRDefault="00725FFD" w:rsidP="00725FFD">
      <w:pPr>
        <w:pStyle w:val="a9"/>
        <w:spacing w:line="360" w:lineRule="auto"/>
        <w:ind w:left="0"/>
        <w:jc w:val="both"/>
        <w:rPr>
          <w:rFonts w:ascii="David" w:hAnsi="David"/>
          <w:b/>
          <w:bCs/>
          <w:color w:val="000000"/>
          <w:u w:val="single"/>
          <w:rtl/>
        </w:rPr>
      </w:pPr>
    </w:p>
    <w:p w14:paraId="1B42B8D1" w14:textId="77777777" w:rsidR="00725FFD" w:rsidRDefault="00725FFD" w:rsidP="00725FFD">
      <w:pPr>
        <w:pStyle w:val="a9"/>
        <w:spacing w:line="360" w:lineRule="auto"/>
        <w:ind w:left="0"/>
        <w:jc w:val="both"/>
        <w:rPr>
          <w:rFonts w:ascii="David" w:hAnsi="David"/>
          <w:b/>
          <w:bCs/>
          <w:color w:val="000000"/>
          <w:u w:val="single"/>
          <w:rtl/>
        </w:rPr>
      </w:pPr>
    </w:p>
    <w:p w14:paraId="69B8F0E1" w14:textId="77777777" w:rsidR="00725FFD" w:rsidRDefault="00725FFD" w:rsidP="00725FFD">
      <w:pPr>
        <w:pStyle w:val="a9"/>
        <w:spacing w:line="360" w:lineRule="auto"/>
        <w:ind w:left="0"/>
        <w:jc w:val="both"/>
        <w:rPr>
          <w:rFonts w:ascii="David" w:hAnsi="David"/>
        </w:rPr>
      </w:pPr>
      <w:r>
        <w:rPr>
          <w:rFonts w:ascii="David" w:hAnsi="David"/>
          <w:b/>
          <w:bCs/>
          <w:color w:val="000000"/>
          <w:u w:val="single"/>
          <w:rtl/>
        </w:rPr>
        <w:t>קביעת עונשו של הנאשם</w:t>
      </w:r>
    </w:p>
    <w:p w14:paraId="76FDE876" w14:textId="77777777" w:rsidR="00725FFD" w:rsidRDefault="00725FFD" w:rsidP="00725FFD">
      <w:pPr>
        <w:pStyle w:val="a9"/>
        <w:ind w:left="0"/>
        <w:jc w:val="both"/>
        <w:rPr>
          <w:rFonts w:ascii="David" w:hAnsi="David"/>
        </w:rPr>
      </w:pPr>
    </w:p>
    <w:p w14:paraId="05CBF952" w14:textId="77777777" w:rsidR="00725FFD" w:rsidRDefault="00725FFD" w:rsidP="00725FFD">
      <w:pPr>
        <w:pStyle w:val="a9"/>
        <w:numPr>
          <w:ilvl w:val="0"/>
          <w:numId w:val="1"/>
        </w:numPr>
        <w:spacing w:line="360" w:lineRule="auto"/>
        <w:jc w:val="both"/>
        <w:rPr>
          <w:rFonts w:ascii="David" w:hAnsi="David"/>
        </w:rPr>
      </w:pPr>
      <w:r>
        <w:rPr>
          <w:rFonts w:ascii="David" w:hAnsi="David"/>
          <w:rtl/>
        </w:rPr>
        <w:t>על רקע מתח</w:t>
      </w:r>
      <w:r>
        <w:rPr>
          <w:rFonts w:ascii="David" w:hAnsi="David" w:hint="cs"/>
          <w:rtl/>
        </w:rPr>
        <w:t>מי</w:t>
      </w:r>
      <w:r w:rsidRPr="001E7497">
        <w:rPr>
          <w:rFonts w:ascii="David" w:hAnsi="David"/>
          <w:rtl/>
        </w:rPr>
        <w:t xml:space="preserve"> הענישה ו</w:t>
      </w:r>
      <w:r>
        <w:rPr>
          <w:rFonts w:ascii="David" w:hAnsi="David" w:hint="cs"/>
          <w:rtl/>
        </w:rPr>
        <w:t>ב</w:t>
      </w:r>
      <w:r w:rsidRPr="001E7497">
        <w:rPr>
          <w:rFonts w:ascii="David" w:hAnsi="David"/>
          <w:rtl/>
        </w:rPr>
        <w:t>היעדר סי</w:t>
      </w:r>
      <w:r>
        <w:rPr>
          <w:rFonts w:ascii="David" w:hAnsi="David"/>
          <w:rtl/>
        </w:rPr>
        <w:t>כויי שיקום המצדיקים חריגה</w:t>
      </w:r>
      <w:r>
        <w:rPr>
          <w:rFonts w:ascii="David" w:hAnsi="David" w:hint="cs"/>
          <w:rtl/>
        </w:rPr>
        <w:t xml:space="preserve"> לקולה</w:t>
      </w:r>
      <w:r w:rsidRPr="001E7497">
        <w:rPr>
          <w:rFonts w:ascii="David" w:hAnsi="David"/>
          <w:rtl/>
        </w:rPr>
        <w:t>, אין מחלוקת בין הצדדים כי העונש הראוי הוא מאסר בכליאה וכל צד טען ביחס לאורך התקופה</w:t>
      </w:r>
      <w:r>
        <w:rPr>
          <w:rFonts w:ascii="David" w:hAnsi="David" w:hint="cs"/>
          <w:rtl/>
        </w:rPr>
        <w:t xml:space="preserve">. </w:t>
      </w:r>
      <w:r w:rsidRPr="001E7497">
        <w:rPr>
          <w:rFonts w:ascii="David" w:hAnsi="David"/>
          <w:rtl/>
        </w:rPr>
        <w:t xml:space="preserve">טרם דיון בעונשו של הנאשם אציין כי יש להצר על כך שהליך זה מסתיים בדרך זו, לא כל שכן בשים לב </w:t>
      </w:r>
      <w:r>
        <w:rPr>
          <w:rFonts w:ascii="David" w:hAnsi="David" w:hint="cs"/>
          <w:rtl/>
        </w:rPr>
        <w:t>לרקע העומד בבסיס העבירות ו</w:t>
      </w:r>
      <w:r w:rsidRPr="001E7497">
        <w:rPr>
          <w:rFonts w:ascii="David" w:hAnsi="David"/>
          <w:rtl/>
        </w:rPr>
        <w:t>לעובדה שמדובר</w:t>
      </w:r>
      <w:r>
        <w:rPr>
          <w:rFonts w:ascii="David" w:hAnsi="David" w:hint="cs"/>
          <w:rtl/>
        </w:rPr>
        <w:t xml:space="preserve"> בבני זוג שככל הנראה ישובו </w:t>
      </w:r>
      <w:r>
        <w:rPr>
          <w:rFonts w:ascii="David" w:hAnsi="David"/>
          <w:color w:val="000000"/>
          <w:rtl/>
        </w:rPr>
        <w:t>לחיות יחדי</w:t>
      </w:r>
      <w:r>
        <w:rPr>
          <w:rFonts w:ascii="David" w:hAnsi="David" w:hint="cs"/>
          <w:color w:val="000000"/>
          <w:rtl/>
        </w:rPr>
        <w:t>ו. אציין ש</w:t>
      </w:r>
      <w:r w:rsidRPr="002218BB">
        <w:rPr>
          <w:rFonts w:ascii="David" w:hAnsi="David"/>
          <w:color w:val="000000"/>
          <w:rtl/>
        </w:rPr>
        <w:t>אין בפני תסקיר ולא הובאו נתונים רלוונטיים הנדרשים לצורך הכרעה, לרבות על אודות המסוכנות</w:t>
      </w:r>
      <w:r>
        <w:rPr>
          <w:rFonts w:ascii="David" w:hAnsi="David"/>
          <w:color w:val="000000"/>
          <w:rtl/>
        </w:rPr>
        <w:t xml:space="preserve"> הנשקפת מהנאשם</w:t>
      </w:r>
      <w:r>
        <w:rPr>
          <w:rFonts w:ascii="David" w:hAnsi="David" w:hint="cs"/>
          <w:color w:val="000000"/>
          <w:rtl/>
        </w:rPr>
        <w:t xml:space="preserve"> ובמיוחד האם חלה הפחתה במסוכנות הנלמדת מעובדות כתב האישום.</w:t>
      </w:r>
    </w:p>
    <w:p w14:paraId="7D287B67" w14:textId="77777777" w:rsidR="00725FFD" w:rsidRPr="00AB4CB1" w:rsidRDefault="00725FFD" w:rsidP="00725FFD">
      <w:pPr>
        <w:pStyle w:val="a9"/>
        <w:ind w:left="0"/>
        <w:jc w:val="both"/>
        <w:rPr>
          <w:rFonts w:ascii="David" w:hAnsi="David"/>
        </w:rPr>
      </w:pPr>
    </w:p>
    <w:p w14:paraId="15131C9A" w14:textId="77777777" w:rsidR="00725FFD" w:rsidRDefault="00725FFD" w:rsidP="00725FFD">
      <w:pPr>
        <w:pStyle w:val="a9"/>
        <w:numPr>
          <w:ilvl w:val="0"/>
          <w:numId w:val="1"/>
        </w:numPr>
        <w:spacing w:line="360" w:lineRule="auto"/>
        <w:jc w:val="both"/>
        <w:rPr>
          <w:rFonts w:ascii="David" w:hAnsi="David"/>
        </w:rPr>
      </w:pPr>
      <w:r>
        <w:rPr>
          <w:rFonts w:ascii="David" w:hAnsi="David"/>
          <w:color w:val="000000"/>
          <w:rtl/>
        </w:rPr>
        <w:t xml:space="preserve">בבואי לקבוע את העונש בגדרי מתחמי הענישה הבאתי בחשבון את גילו של הנאשם, כבן </w:t>
      </w:r>
      <w:r>
        <w:rPr>
          <w:rFonts w:ascii="David" w:hAnsi="David" w:hint="cs"/>
          <w:color w:val="000000"/>
          <w:rtl/>
        </w:rPr>
        <w:t>50,</w:t>
      </w:r>
      <w:r>
        <w:rPr>
          <w:rFonts w:ascii="David" w:hAnsi="David"/>
          <w:color w:val="000000"/>
          <w:rtl/>
        </w:rPr>
        <w:t xml:space="preserve"> </w:t>
      </w:r>
      <w:r>
        <w:rPr>
          <w:rFonts w:ascii="David" w:hAnsi="David" w:hint="cs"/>
          <w:rtl/>
        </w:rPr>
        <w:t>ו</w:t>
      </w:r>
      <w:r w:rsidRPr="004F0C01">
        <w:rPr>
          <w:rFonts w:ascii="David" w:hAnsi="David"/>
          <w:rtl/>
        </w:rPr>
        <w:t xml:space="preserve">את הודאתו אשר הביאה לחיסכון ממשי בזמן וחסכה בעיקר את הצורך </w:t>
      </w:r>
      <w:r>
        <w:rPr>
          <w:rFonts w:ascii="David" w:hAnsi="David" w:hint="cs"/>
          <w:rtl/>
        </w:rPr>
        <w:t xml:space="preserve">בעדות המתלוננת. </w:t>
      </w:r>
      <w:r w:rsidRPr="004F0C01">
        <w:rPr>
          <w:rFonts w:ascii="David" w:hAnsi="David"/>
          <w:rtl/>
        </w:rPr>
        <w:t>אינני מתעלם גם מהשפעת ההליך הפלילי ו"חווית המעצר" והאפשרות הסבירה שהן יצרו אצל הנאשם אפקט מרתיע מסוים אשר עשוי להביא להפחתה במסוכנות, אם כי מובן שאין מדובר בקביעה שוות ערך לזו המבוססת על הערכת גורם מקצועי, אותה כאמור אין בפניי. כן הבאתי בחשבון, במידה מסוימת, את עמדת המתלוננת אשר ביקשה להקל בעונשו.</w:t>
      </w:r>
      <w:r>
        <w:rPr>
          <w:rFonts w:ascii="David" w:hAnsi="David" w:hint="cs"/>
          <w:rtl/>
        </w:rPr>
        <w:t xml:space="preserve"> מנגד, הבאתי בחשבון את העבר הפלילי אם כי הוא אינו מכביד וכולל עבירות סמים בלבד.</w:t>
      </w:r>
    </w:p>
    <w:p w14:paraId="193CEEEE" w14:textId="77777777" w:rsidR="00725FFD" w:rsidRPr="001312DB" w:rsidRDefault="00725FFD" w:rsidP="00725FFD">
      <w:pPr>
        <w:pStyle w:val="a9"/>
        <w:rPr>
          <w:rFonts w:ascii="David" w:hAnsi="David"/>
          <w:rtl/>
        </w:rPr>
      </w:pPr>
    </w:p>
    <w:p w14:paraId="51A6CFAA"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כאמור, </w:t>
      </w:r>
      <w:r w:rsidRPr="002B3A31">
        <w:rPr>
          <w:rFonts w:ascii="David" w:hAnsi="David"/>
          <w:rtl/>
        </w:rPr>
        <w:t xml:space="preserve">על רקע גבולם התחתון של מתחמי הענישה, </w:t>
      </w:r>
      <w:r>
        <w:rPr>
          <w:rFonts w:ascii="David" w:hAnsi="David" w:hint="cs"/>
          <w:rtl/>
        </w:rPr>
        <w:t xml:space="preserve">היעדר סיכויי שיקום ומסוכנותו של הנאשם, </w:t>
      </w:r>
      <w:r w:rsidRPr="002B3A31">
        <w:rPr>
          <w:rFonts w:ascii="David" w:hAnsi="David"/>
          <w:rtl/>
        </w:rPr>
        <w:t>יש להטיל על הנאשם עונש מאסר לריצוי בפועל</w:t>
      </w:r>
      <w:r>
        <w:rPr>
          <w:rFonts w:ascii="David" w:hAnsi="David" w:hint="cs"/>
          <w:rtl/>
        </w:rPr>
        <w:t xml:space="preserve"> ולתקופה שאינה קצרה</w:t>
      </w:r>
      <w:r w:rsidRPr="002B3A31">
        <w:rPr>
          <w:rFonts w:ascii="David" w:hAnsi="David"/>
          <w:rtl/>
        </w:rPr>
        <w:t>. מדובר בתוצאה שאינה קלה עבור אדם שמעולם לא נשא עונש מאסר (ראו בנושא דו"ח הועדה הציבורית לבחינת מדיניות הענישה והטיפול בעבריינים, 2015 (המכונה "</w:t>
      </w:r>
      <w:r w:rsidRPr="002B3A31">
        <w:rPr>
          <w:rFonts w:ascii="David" w:hAnsi="David"/>
          <w:b/>
          <w:bCs/>
          <w:rtl/>
        </w:rPr>
        <w:t>דו"ח ועדת דורנר</w:t>
      </w:r>
      <w:r w:rsidRPr="002B3A31">
        <w:rPr>
          <w:rFonts w:ascii="David" w:hAnsi="David"/>
          <w:rtl/>
        </w:rPr>
        <w:t xml:space="preserve">"); </w:t>
      </w:r>
      <w:hyperlink r:id="rId43" w:history="1">
        <w:r w:rsidR="00251002" w:rsidRPr="00251002">
          <w:rPr>
            <w:rFonts w:ascii="David" w:hAnsi="David"/>
            <w:color w:val="0000FF"/>
            <w:u w:val="single"/>
            <w:rtl/>
          </w:rPr>
          <w:t>רע"פ 356/14</w:t>
        </w:r>
      </w:hyperlink>
      <w:r w:rsidRPr="002B3A31">
        <w:rPr>
          <w:rFonts w:ascii="David" w:hAnsi="David"/>
          <w:rtl/>
        </w:rPr>
        <w:t xml:space="preserve"> </w:t>
      </w:r>
      <w:r w:rsidRPr="002B3A31">
        <w:rPr>
          <w:rFonts w:ascii="David" w:hAnsi="David"/>
          <w:b/>
          <w:bCs/>
          <w:rtl/>
        </w:rPr>
        <w:t>קפרוב נ' מדינת ישראל</w:t>
      </w:r>
      <w:r w:rsidRPr="002B3A31">
        <w:rPr>
          <w:rFonts w:ascii="David" w:hAnsi="David"/>
          <w:rtl/>
        </w:rPr>
        <w:t xml:space="preserve"> (3.10.2017); פסקה 33), אך </w:t>
      </w:r>
      <w:r>
        <w:rPr>
          <w:rFonts w:ascii="David" w:hAnsi="David" w:hint="cs"/>
          <w:rtl/>
        </w:rPr>
        <w:t>עונש זה מתחייב</w:t>
      </w:r>
      <w:r w:rsidRPr="002B3A31">
        <w:rPr>
          <w:rFonts w:ascii="David" w:hAnsi="David"/>
          <w:rtl/>
        </w:rPr>
        <w:t xml:space="preserve"> לאור ריבוי האירועים</w:t>
      </w:r>
      <w:r>
        <w:rPr>
          <w:rFonts w:ascii="David" w:hAnsi="David" w:hint="cs"/>
          <w:rtl/>
        </w:rPr>
        <w:t>, מגוון העבירות</w:t>
      </w:r>
      <w:r w:rsidRPr="002B3A31">
        <w:rPr>
          <w:rFonts w:ascii="David" w:hAnsi="David"/>
          <w:rtl/>
        </w:rPr>
        <w:t xml:space="preserve"> והיעדר נתונים המצדיקים סטייה לקולה ממתחמי הענישה.</w:t>
      </w:r>
      <w:r>
        <w:rPr>
          <w:rFonts w:ascii="David" w:hAnsi="David" w:hint="cs"/>
          <w:rtl/>
        </w:rPr>
        <w:t xml:space="preserve"> </w:t>
      </w:r>
    </w:p>
    <w:p w14:paraId="0779973C" w14:textId="77777777" w:rsidR="00725FFD" w:rsidRPr="002B3A31" w:rsidRDefault="00725FFD" w:rsidP="00725FFD">
      <w:pPr>
        <w:pStyle w:val="a9"/>
        <w:rPr>
          <w:rFonts w:ascii="David" w:hAnsi="David"/>
          <w:rtl/>
        </w:rPr>
      </w:pPr>
    </w:p>
    <w:p w14:paraId="5EAB908B" w14:textId="77777777" w:rsidR="00725FFD" w:rsidRDefault="00725FFD" w:rsidP="00725FFD">
      <w:pPr>
        <w:pStyle w:val="a9"/>
        <w:numPr>
          <w:ilvl w:val="0"/>
          <w:numId w:val="1"/>
        </w:numPr>
        <w:spacing w:line="360" w:lineRule="auto"/>
        <w:jc w:val="both"/>
        <w:rPr>
          <w:rFonts w:ascii="David" w:hAnsi="David"/>
        </w:rPr>
      </w:pPr>
      <w:r w:rsidRPr="002B3A31">
        <w:rPr>
          <w:rFonts w:ascii="David" w:hAnsi="David"/>
          <w:rtl/>
        </w:rPr>
        <w:t>סיכומו של דבר, אני מטיל על הנאשם את העונשים הבאים:</w:t>
      </w:r>
    </w:p>
    <w:p w14:paraId="76D503BA" w14:textId="77777777" w:rsidR="00725FFD" w:rsidRPr="002B3A31" w:rsidRDefault="00725FFD" w:rsidP="00725FFD">
      <w:pPr>
        <w:pStyle w:val="a9"/>
        <w:jc w:val="both"/>
        <w:rPr>
          <w:rFonts w:ascii="David" w:hAnsi="David"/>
          <w:rtl/>
        </w:rPr>
      </w:pPr>
    </w:p>
    <w:p w14:paraId="64FCF19A" w14:textId="77777777" w:rsidR="00725FFD" w:rsidRPr="00AF5790" w:rsidRDefault="00725FFD" w:rsidP="00725FFD">
      <w:pPr>
        <w:pStyle w:val="a9"/>
        <w:numPr>
          <w:ilvl w:val="0"/>
          <w:numId w:val="2"/>
        </w:numPr>
        <w:spacing w:line="360" w:lineRule="auto"/>
        <w:jc w:val="both"/>
        <w:rPr>
          <w:rFonts w:ascii="David" w:hAnsi="David"/>
        </w:rPr>
      </w:pPr>
      <w:r>
        <w:rPr>
          <w:rFonts w:ascii="David" w:hAnsi="David" w:hint="cs"/>
          <w:rtl/>
        </w:rPr>
        <w:t>14 חודשי מאסר, החל מיום מעצרו- 27.6.24.</w:t>
      </w:r>
    </w:p>
    <w:p w14:paraId="56CD84AC" w14:textId="77777777" w:rsidR="00725FFD" w:rsidRDefault="00725FFD" w:rsidP="00725FFD">
      <w:pPr>
        <w:pStyle w:val="a9"/>
        <w:numPr>
          <w:ilvl w:val="0"/>
          <w:numId w:val="2"/>
        </w:numPr>
        <w:spacing w:line="360" w:lineRule="auto"/>
        <w:jc w:val="both"/>
        <w:rPr>
          <w:rFonts w:ascii="David" w:hAnsi="David"/>
        </w:rPr>
      </w:pPr>
      <w:r>
        <w:rPr>
          <w:rFonts w:ascii="David" w:hAnsi="David" w:hint="cs"/>
          <w:rtl/>
        </w:rPr>
        <w:t xml:space="preserve">מאסר על תנאי למשך 6 חודשים והתנאי הוא שלא יעבור במשך שנתיים כל עבירה לפי </w:t>
      </w:r>
      <w:hyperlink r:id="rId44" w:history="1">
        <w:r w:rsidR="0066449B" w:rsidRPr="0066449B">
          <w:rPr>
            <w:rStyle w:val="Hyperlink"/>
            <w:rFonts w:ascii="David" w:hAnsi="David" w:hint="eastAsia"/>
            <w:color w:val="0000FF"/>
            <w:rtl/>
          </w:rPr>
          <w:t>סעיף</w:t>
        </w:r>
        <w:r w:rsidR="0066449B" w:rsidRPr="0066449B">
          <w:rPr>
            <w:rStyle w:val="Hyperlink"/>
            <w:rFonts w:ascii="David" w:hAnsi="David"/>
            <w:color w:val="0000FF"/>
            <w:rtl/>
          </w:rPr>
          <w:t xml:space="preserve"> 144(א)</w:t>
        </w:r>
      </w:hyperlink>
      <w:r>
        <w:rPr>
          <w:rFonts w:ascii="David" w:hAnsi="David" w:hint="cs"/>
          <w:rtl/>
        </w:rPr>
        <w:t xml:space="preserve"> ל</w:t>
      </w:r>
      <w:hyperlink r:id="rId45" w:history="1">
        <w:r w:rsidR="00251002" w:rsidRPr="00251002">
          <w:rPr>
            <w:rFonts w:ascii="David" w:hAnsi="David"/>
            <w:color w:val="0000FF"/>
            <w:u w:val="single"/>
            <w:rtl/>
          </w:rPr>
          <w:t>חוק העונשין</w:t>
        </w:r>
      </w:hyperlink>
      <w:r>
        <w:rPr>
          <w:rFonts w:ascii="David" w:hAnsi="David" w:hint="cs"/>
          <w:rtl/>
        </w:rPr>
        <w:t xml:space="preserve"> או עבירת אלימות כלפי בן זוג. </w:t>
      </w:r>
    </w:p>
    <w:p w14:paraId="2567B19F" w14:textId="77777777" w:rsidR="00725FFD" w:rsidRDefault="00725FFD" w:rsidP="00725FFD">
      <w:pPr>
        <w:ind w:left="360"/>
        <w:jc w:val="both"/>
        <w:rPr>
          <w:rFonts w:ascii="David" w:hAnsi="David"/>
          <w:color w:val="000000"/>
          <w:rtl/>
        </w:rPr>
      </w:pPr>
    </w:p>
    <w:p w14:paraId="1615F343" w14:textId="77777777" w:rsidR="00725FFD" w:rsidRPr="001312DB" w:rsidRDefault="00251002" w:rsidP="00725FFD">
      <w:pPr>
        <w:spacing w:line="360" w:lineRule="auto"/>
        <w:ind w:left="360"/>
        <w:jc w:val="both"/>
        <w:rPr>
          <w:rFonts w:ascii="David" w:hAnsi="David"/>
          <w:color w:val="000000"/>
          <w:rtl/>
        </w:rPr>
      </w:pPr>
      <w:r w:rsidRPr="00251002">
        <w:rPr>
          <w:rFonts w:ascii="David" w:hAnsi="David"/>
          <w:color w:val="FFFFFF"/>
          <w:sz w:val="2"/>
          <w:szCs w:val="2"/>
          <w:rtl/>
        </w:rPr>
        <w:t>5129371</w:t>
      </w:r>
      <w:r w:rsidR="00725FFD" w:rsidRPr="001312DB">
        <w:rPr>
          <w:rFonts w:ascii="David" w:hAnsi="David" w:hint="cs"/>
          <w:color w:val="000000"/>
          <w:rtl/>
        </w:rPr>
        <w:t xml:space="preserve">האקדח והסמים </w:t>
      </w:r>
      <w:r w:rsidR="00725FFD">
        <w:rPr>
          <w:rFonts w:ascii="David" w:hAnsi="David"/>
          <w:color w:val="000000"/>
          <w:rtl/>
        </w:rPr>
        <w:t>–</w:t>
      </w:r>
      <w:r w:rsidR="00725FFD" w:rsidRPr="001312DB">
        <w:rPr>
          <w:rFonts w:ascii="David" w:hAnsi="David" w:hint="cs"/>
          <w:color w:val="000000"/>
          <w:rtl/>
        </w:rPr>
        <w:t xml:space="preserve"> להשמיד</w:t>
      </w:r>
      <w:r w:rsidR="00725FFD">
        <w:rPr>
          <w:rFonts w:ascii="David" w:hAnsi="David" w:hint="cs"/>
          <w:color w:val="000000"/>
          <w:rtl/>
        </w:rPr>
        <w:t xml:space="preserve"> בחלוף תקופת הערעור.</w:t>
      </w:r>
    </w:p>
    <w:p w14:paraId="6322044A" w14:textId="77777777" w:rsidR="00725FFD" w:rsidRPr="00251002" w:rsidRDefault="00251002" w:rsidP="00725FFD">
      <w:pPr>
        <w:jc w:val="both"/>
        <w:rPr>
          <w:rFonts w:ascii="David" w:hAnsi="David"/>
          <w:b/>
          <w:bCs/>
          <w:color w:val="FFFFFF"/>
          <w:sz w:val="2"/>
          <w:szCs w:val="2"/>
          <w:u w:val="single"/>
          <w:rtl/>
        </w:rPr>
      </w:pPr>
      <w:r w:rsidRPr="00251002">
        <w:rPr>
          <w:rFonts w:ascii="David" w:hAnsi="David"/>
          <w:b/>
          <w:bCs/>
          <w:color w:val="FFFFFF"/>
          <w:sz w:val="2"/>
          <w:szCs w:val="2"/>
          <w:u w:val="single"/>
          <w:rtl/>
        </w:rPr>
        <w:t>54678313</w:t>
      </w:r>
    </w:p>
    <w:p w14:paraId="2B0B7881" w14:textId="77777777" w:rsidR="00725FFD" w:rsidRPr="00431619" w:rsidRDefault="00725FFD" w:rsidP="00725FFD">
      <w:pPr>
        <w:spacing w:line="360" w:lineRule="auto"/>
        <w:jc w:val="both"/>
        <w:rPr>
          <w:rFonts w:ascii="David" w:hAnsi="David"/>
          <w:rtl/>
        </w:rPr>
      </w:pPr>
      <w:r>
        <w:rPr>
          <w:rFonts w:ascii="David" w:hAnsi="David"/>
          <w:b/>
          <w:bCs/>
          <w:color w:val="000000"/>
          <w:u w:val="single"/>
          <w:rtl/>
        </w:rPr>
        <w:t>הודעה זכות ערעור בתוך 45 ימים לבית המשפט המחוזי</w:t>
      </w:r>
      <w:r>
        <w:rPr>
          <w:rFonts w:ascii="David" w:hAnsi="David"/>
          <w:b/>
          <w:bCs/>
          <w:color w:val="000000"/>
          <w:u w:val="single"/>
        </w:rPr>
        <w:t>.</w:t>
      </w:r>
    </w:p>
    <w:p w14:paraId="721ABCBC" w14:textId="77777777" w:rsidR="00725FFD" w:rsidRPr="00967B77" w:rsidRDefault="00251002" w:rsidP="00725FFD">
      <w:pPr>
        <w:rPr>
          <w:rFonts w:ascii="David" w:hAnsi="David"/>
          <w:rtl/>
        </w:rPr>
      </w:pPr>
      <w:bookmarkStart w:id="7" w:name="Nitan"/>
      <w:r>
        <w:rPr>
          <w:rFonts w:ascii="David" w:hAnsi="David"/>
          <w:rtl/>
        </w:rPr>
        <w:t xml:space="preserve">ניתן היום,  ט' חשוון תשפ"ה, 10 נובמבר 2024, במעמד הצדדים. </w:t>
      </w:r>
      <w:bookmarkEnd w:id="7"/>
    </w:p>
    <w:p w14:paraId="06C76A44" w14:textId="77777777" w:rsidR="00725FFD" w:rsidRPr="00967B77" w:rsidRDefault="00725FFD" w:rsidP="00251002">
      <w:pPr>
        <w:jc w:val="center"/>
      </w:pPr>
      <w:r w:rsidRPr="00967B77">
        <w:rPr>
          <w:rFonts w:ascii="David" w:hAnsi="David"/>
          <w:rtl/>
        </w:rPr>
        <w:t xml:space="preserve">   </w:t>
      </w:r>
      <w:r w:rsidRPr="00967B77">
        <w:rPr>
          <w:rFonts w:ascii="David" w:hAnsi="David"/>
          <w:rtl/>
        </w:rPr>
        <w:tab/>
      </w:r>
      <w:r w:rsidRPr="00967B77">
        <w:rPr>
          <w:rFonts w:ascii="David" w:hAnsi="David"/>
          <w:rtl/>
        </w:rPr>
        <w:tab/>
      </w:r>
      <w:r w:rsidRPr="00967B77">
        <w:rPr>
          <w:rFonts w:ascii="David" w:hAnsi="David"/>
          <w:rtl/>
        </w:rPr>
        <w:tab/>
      </w:r>
      <w:r w:rsidRPr="00967B77">
        <w:rPr>
          <w:rFonts w:ascii="David" w:hAnsi="David"/>
          <w:rtl/>
        </w:rPr>
        <w:tab/>
      </w:r>
      <w:r w:rsidRPr="00967B77">
        <w:rPr>
          <w:rFonts w:ascii="David" w:hAnsi="David"/>
          <w:rtl/>
        </w:rPr>
        <w:tab/>
      </w:r>
    </w:p>
    <w:p w14:paraId="2B4470D2" w14:textId="77777777" w:rsidR="00725FFD" w:rsidRPr="00967B77" w:rsidRDefault="00725FFD" w:rsidP="00725FFD">
      <w:pPr>
        <w:jc w:val="center"/>
        <w:rPr>
          <w:rFonts w:ascii="David" w:hAnsi="David"/>
          <w:rtl/>
        </w:rPr>
      </w:pPr>
    </w:p>
    <w:p w14:paraId="7BA8F204" w14:textId="77777777" w:rsidR="00242D89" w:rsidRPr="00251002" w:rsidRDefault="00242D89" w:rsidP="00251002">
      <w:pPr>
        <w:keepNext/>
        <w:rPr>
          <w:rFonts w:ascii="David" w:hAnsi="David"/>
          <w:color w:val="000000"/>
          <w:sz w:val="22"/>
          <w:szCs w:val="22"/>
          <w:rtl/>
        </w:rPr>
      </w:pPr>
    </w:p>
    <w:p w14:paraId="1B597978" w14:textId="77777777" w:rsidR="00251002" w:rsidRPr="00251002" w:rsidRDefault="00251002" w:rsidP="00251002">
      <w:pPr>
        <w:keepNext/>
        <w:rPr>
          <w:rFonts w:ascii="David" w:hAnsi="David"/>
          <w:color w:val="000000"/>
          <w:sz w:val="22"/>
          <w:szCs w:val="22"/>
          <w:rtl/>
        </w:rPr>
      </w:pPr>
      <w:r w:rsidRPr="00251002">
        <w:rPr>
          <w:rFonts w:ascii="David" w:hAnsi="David"/>
          <w:color w:val="000000"/>
          <w:sz w:val="22"/>
          <w:szCs w:val="22"/>
          <w:rtl/>
        </w:rPr>
        <w:t>יוסי טורס 54678313</w:t>
      </w:r>
    </w:p>
    <w:p w14:paraId="5295A75E" w14:textId="77777777" w:rsidR="00251002" w:rsidRDefault="00251002" w:rsidP="00251002">
      <w:r w:rsidRPr="00251002">
        <w:rPr>
          <w:color w:val="000000"/>
          <w:rtl/>
        </w:rPr>
        <w:t>נוסח מסמך זה כפוף לשינויי ניסוח ועריכה</w:t>
      </w:r>
    </w:p>
    <w:p w14:paraId="52429285" w14:textId="77777777" w:rsidR="00251002" w:rsidRDefault="00251002" w:rsidP="00251002">
      <w:pPr>
        <w:rPr>
          <w:rtl/>
        </w:rPr>
      </w:pPr>
    </w:p>
    <w:p w14:paraId="5EFBDC32" w14:textId="77777777" w:rsidR="00251002" w:rsidRDefault="00251002" w:rsidP="00251002">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7F3B48DF" w14:textId="77777777" w:rsidR="00251002" w:rsidRPr="00251002" w:rsidRDefault="00251002" w:rsidP="00251002">
      <w:pPr>
        <w:jc w:val="center"/>
        <w:rPr>
          <w:color w:val="0000FF"/>
          <w:u w:val="single"/>
        </w:rPr>
      </w:pPr>
    </w:p>
    <w:sectPr w:rsidR="00251002" w:rsidRPr="00251002" w:rsidSect="00251002">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81DC1" w14:textId="77777777" w:rsidR="002977CC" w:rsidRDefault="002977CC" w:rsidP="00245640">
      <w:r>
        <w:separator/>
      </w:r>
    </w:p>
  </w:endnote>
  <w:endnote w:type="continuationSeparator" w:id="0">
    <w:p w14:paraId="61B57A11" w14:textId="77777777" w:rsidR="002977CC" w:rsidRDefault="002977CC" w:rsidP="0024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A5A24" w14:textId="77777777" w:rsidR="00251002" w:rsidRDefault="00251002" w:rsidP="002510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C10CF1" w14:textId="77777777" w:rsidR="00A52751" w:rsidRPr="00251002" w:rsidRDefault="00251002" w:rsidP="002510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5C75D" w14:textId="77777777" w:rsidR="00251002" w:rsidRDefault="00251002" w:rsidP="002510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5AD1">
      <w:rPr>
        <w:rFonts w:ascii="FrankRuehl" w:hAnsi="FrankRuehl" w:cs="FrankRuehl"/>
        <w:noProof/>
        <w:rtl/>
      </w:rPr>
      <w:t>1</w:t>
    </w:r>
    <w:r>
      <w:rPr>
        <w:rFonts w:ascii="FrankRuehl" w:hAnsi="FrankRuehl" w:cs="FrankRuehl"/>
        <w:rtl/>
      </w:rPr>
      <w:fldChar w:fldCharType="end"/>
    </w:r>
  </w:p>
  <w:p w14:paraId="179E1DEB" w14:textId="77777777" w:rsidR="00A52751" w:rsidRPr="00251002" w:rsidRDefault="00251002" w:rsidP="002510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37DE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191A1" w14:textId="77777777" w:rsidR="002977CC" w:rsidRDefault="002977CC" w:rsidP="00245640">
      <w:r>
        <w:separator/>
      </w:r>
    </w:p>
  </w:footnote>
  <w:footnote w:type="continuationSeparator" w:id="0">
    <w:p w14:paraId="0DD05365" w14:textId="77777777" w:rsidR="002977CC" w:rsidRDefault="002977CC" w:rsidP="00245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DA171" w14:textId="77777777" w:rsidR="00251002" w:rsidRPr="00251002" w:rsidRDefault="00251002" w:rsidP="002510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25053-07-24</w:t>
    </w:r>
    <w:r>
      <w:rPr>
        <w:rFonts w:ascii="David" w:hAnsi="David"/>
        <w:color w:val="000000"/>
        <w:sz w:val="22"/>
        <w:szCs w:val="22"/>
        <w:rtl/>
      </w:rPr>
      <w:tab/>
      <w:t xml:space="preserve"> מדינת ישראל נ' קארן טמזיאן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80676" w14:textId="77777777" w:rsidR="00251002" w:rsidRPr="00251002" w:rsidRDefault="00251002" w:rsidP="002510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25053-07-24</w:t>
    </w:r>
    <w:r>
      <w:rPr>
        <w:rFonts w:ascii="David" w:hAnsi="David"/>
        <w:color w:val="000000"/>
        <w:sz w:val="22"/>
        <w:szCs w:val="22"/>
        <w:rtl/>
      </w:rPr>
      <w:tab/>
      <w:t xml:space="preserve"> מדינת ישראל נ' קארן טמזיאן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451"/>
    <w:multiLevelType w:val="hybridMultilevel"/>
    <w:tmpl w:val="60482282"/>
    <w:lvl w:ilvl="0" w:tplc="C5EC9526">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C6A4C"/>
    <w:multiLevelType w:val="hybridMultilevel"/>
    <w:tmpl w:val="D3D8969E"/>
    <w:lvl w:ilvl="0" w:tplc="A1A828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735303">
    <w:abstractNumId w:val="0"/>
  </w:num>
  <w:num w:numId="2" w16cid:durableId="1796825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5FFD"/>
    <w:rsid w:val="00055AE3"/>
    <w:rsid w:val="001B5A3B"/>
    <w:rsid w:val="00242D89"/>
    <w:rsid w:val="00245640"/>
    <w:rsid w:val="00251002"/>
    <w:rsid w:val="002977CC"/>
    <w:rsid w:val="0066449B"/>
    <w:rsid w:val="00725FFD"/>
    <w:rsid w:val="00A52751"/>
    <w:rsid w:val="00EA5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C3CCE7"/>
  <w15:chartTrackingRefBased/>
  <w15:docId w15:val="{C5C9D208-DC18-4346-8046-288D15CE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5FF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5FFD"/>
    <w:pPr>
      <w:tabs>
        <w:tab w:val="center" w:pos="4153"/>
        <w:tab w:val="right" w:pos="8306"/>
      </w:tabs>
    </w:pPr>
  </w:style>
  <w:style w:type="character" w:customStyle="1" w:styleId="a4">
    <w:name w:val="כותרת עליונה תו"/>
    <w:link w:val="a3"/>
    <w:rsid w:val="00725FFD"/>
    <w:rPr>
      <w:rFonts w:ascii="Times New Roman" w:eastAsia="Times New Roman" w:hAnsi="Times New Roman" w:cs="David"/>
      <w:sz w:val="24"/>
      <w:szCs w:val="24"/>
    </w:rPr>
  </w:style>
  <w:style w:type="paragraph" w:styleId="a5">
    <w:name w:val="footer"/>
    <w:basedOn w:val="a"/>
    <w:link w:val="a6"/>
    <w:rsid w:val="00725FFD"/>
    <w:pPr>
      <w:tabs>
        <w:tab w:val="center" w:pos="4153"/>
        <w:tab w:val="right" w:pos="8306"/>
      </w:tabs>
    </w:pPr>
  </w:style>
  <w:style w:type="character" w:customStyle="1" w:styleId="a6">
    <w:name w:val="כותרת תחתונה תו"/>
    <w:link w:val="a5"/>
    <w:rsid w:val="00725FFD"/>
    <w:rPr>
      <w:rFonts w:ascii="Times New Roman" w:eastAsia="Times New Roman" w:hAnsi="Times New Roman" w:cs="David"/>
      <w:sz w:val="24"/>
      <w:szCs w:val="24"/>
    </w:rPr>
  </w:style>
  <w:style w:type="table" w:styleId="a7">
    <w:name w:val="Table Grid"/>
    <w:basedOn w:val="a1"/>
    <w:rsid w:val="00725FF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5FFD"/>
  </w:style>
  <w:style w:type="paragraph" w:styleId="a9">
    <w:name w:val="List Paragraph"/>
    <w:basedOn w:val="a"/>
    <w:link w:val="aa"/>
    <w:qFormat/>
    <w:rsid w:val="00725FFD"/>
    <w:pPr>
      <w:ind w:left="720"/>
      <w:contextualSpacing/>
    </w:pPr>
  </w:style>
  <w:style w:type="character" w:customStyle="1" w:styleId="aa">
    <w:name w:val="פיסקת רשימה תו"/>
    <w:link w:val="a9"/>
    <w:locked/>
    <w:rsid w:val="00725FFD"/>
    <w:rPr>
      <w:rFonts w:ascii="Times New Roman" w:eastAsia="Times New Roman" w:hAnsi="Times New Roman" w:cs="David"/>
      <w:sz w:val="24"/>
      <w:szCs w:val="24"/>
    </w:rPr>
  </w:style>
  <w:style w:type="character" w:customStyle="1" w:styleId="P00">
    <w:name w:val="P00 תו"/>
    <w:link w:val="P000"/>
    <w:locked/>
    <w:rsid w:val="00725FFD"/>
    <w:rPr>
      <w:noProof/>
      <w:szCs w:val="26"/>
      <w:lang w:eastAsia="he-IL"/>
    </w:rPr>
  </w:style>
  <w:style w:type="paragraph" w:customStyle="1" w:styleId="P000">
    <w:name w:val="P00"/>
    <w:link w:val="P00"/>
    <w:rsid w:val="00725FF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paragraph" w:customStyle="1" w:styleId="P22">
    <w:name w:val="P22"/>
    <w:basedOn w:val="P000"/>
    <w:rsid w:val="00725FFD"/>
    <w:pPr>
      <w:tabs>
        <w:tab w:val="clear" w:pos="624"/>
        <w:tab w:val="clear" w:pos="1021"/>
      </w:tabs>
      <w:ind w:right="1021"/>
    </w:pPr>
  </w:style>
  <w:style w:type="character" w:customStyle="1" w:styleId="default">
    <w:name w:val="default"/>
    <w:rsid w:val="00725FFD"/>
    <w:rPr>
      <w:rFonts w:ascii="Times New Roman" w:hAnsi="Times New Roman" w:cs="Times New Roman" w:hint="default"/>
      <w:sz w:val="26"/>
      <w:szCs w:val="26"/>
    </w:rPr>
  </w:style>
  <w:style w:type="character" w:styleId="Hyperlink">
    <w:name w:val="Hyperlink"/>
    <w:rsid w:val="002510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b.1"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70301/144" TargetMode="External"/><Relationship Id="rId39" Type="http://schemas.openxmlformats.org/officeDocument/2006/relationships/hyperlink" Target="http://www.nevo.co.il/case/3070619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30214295" TargetMode="External"/><Relationship Id="rId42" Type="http://schemas.openxmlformats.org/officeDocument/2006/relationships/hyperlink" Target="http://www.nevo.co.il/case/2809668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5601866"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27654226" TargetMode="External"/><Relationship Id="rId32" Type="http://schemas.openxmlformats.org/officeDocument/2006/relationships/hyperlink" Target="http://www.nevo.co.il/case/20446658" TargetMode="External"/><Relationship Id="rId37" Type="http://schemas.openxmlformats.org/officeDocument/2006/relationships/hyperlink" Target="http://www.nevo.co.il/case/26496248" TargetMode="External"/><Relationship Id="rId40" Type="http://schemas.openxmlformats.org/officeDocument/2006/relationships/hyperlink" Target="http://www.nevo.co.il/case/28553961"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8413605" TargetMode="External"/><Relationship Id="rId36" Type="http://schemas.openxmlformats.org/officeDocument/2006/relationships/hyperlink" Target="http://www.nevo.co.il/case/28914731" TargetMode="External"/><Relationship Id="rId49" Type="http://schemas.openxmlformats.org/officeDocument/2006/relationships/footer" Target="footer1.xml"/><Relationship Id="rId10" Type="http://schemas.openxmlformats.org/officeDocument/2006/relationships/hyperlink" Target="http://www.nevo.co.il/law/70301/144.c1.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383419" TargetMode="External"/><Relationship Id="rId44" Type="http://schemas.openxmlformats.org/officeDocument/2006/relationships/hyperlink" Target="http://www.nevo.co.il/law/70301/144.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144.c1.1" TargetMode="External"/><Relationship Id="rId30" Type="http://schemas.openxmlformats.org/officeDocument/2006/relationships/hyperlink" Target="http://www.nevo.co.il/case/29867910" TargetMode="External"/><Relationship Id="rId35" Type="http://schemas.openxmlformats.org/officeDocument/2006/relationships/hyperlink" Target="http://www.nevo.co.il/case/25601866" TargetMode="External"/><Relationship Id="rId43" Type="http://schemas.openxmlformats.org/officeDocument/2006/relationships/hyperlink" Target="http://www.nevo.co.il/case/11206078" TargetMode="External"/><Relationship Id="rId48" Type="http://schemas.openxmlformats.org/officeDocument/2006/relationships/header" Target="header2.xml"/><Relationship Id="rId8" Type="http://schemas.openxmlformats.org/officeDocument/2006/relationships/hyperlink" Target="http://www.nevo.co.il/law/70301/14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70301/382.b.1" TargetMode="External"/><Relationship Id="rId25" Type="http://schemas.openxmlformats.org/officeDocument/2006/relationships/hyperlink" Target="http://www.nevo.co.il/law/70301/144" TargetMode="External"/><Relationship Id="rId33" Type="http://schemas.openxmlformats.org/officeDocument/2006/relationships/hyperlink" Target="http://www.nevo.co.il/case/28413605" TargetMode="External"/><Relationship Id="rId38" Type="http://schemas.openxmlformats.org/officeDocument/2006/relationships/hyperlink" Target="http://www.nevo.co.il/case/2733091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3037619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2875</Words>
  <Characters>14376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17217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3276917</vt:i4>
      </vt:variant>
      <vt:variant>
        <vt:i4>108</vt:i4>
      </vt:variant>
      <vt:variant>
        <vt:i4>0</vt:i4>
      </vt:variant>
      <vt:variant>
        <vt:i4>5</vt:i4>
      </vt:variant>
      <vt:variant>
        <vt:lpwstr>http://www.nevo.co.il/case/11206078</vt:lpwstr>
      </vt:variant>
      <vt:variant>
        <vt:lpwstr/>
      </vt:variant>
      <vt:variant>
        <vt:i4>3932275</vt:i4>
      </vt:variant>
      <vt:variant>
        <vt:i4>105</vt:i4>
      </vt:variant>
      <vt:variant>
        <vt:i4>0</vt:i4>
      </vt:variant>
      <vt:variant>
        <vt:i4>5</vt:i4>
      </vt:variant>
      <vt:variant>
        <vt:lpwstr>http://www.nevo.co.il/case/28096684</vt:lpwstr>
      </vt:variant>
      <vt:variant>
        <vt:lpwstr/>
      </vt:variant>
      <vt:variant>
        <vt:i4>4128882</vt:i4>
      </vt:variant>
      <vt:variant>
        <vt:i4>102</vt:i4>
      </vt:variant>
      <vt:variant>
        <vt:i4>0</vt:i4>
      </vt:variant>
      <vt:variant>
        <vt:i4>5</vt:i4>
      </vt:variant>
      <vt:variant>
        <vt:lpwstr>http://www.nevo.co.il/case/30376199</vt:lpwstr>
      </vt:variant>
      <vt:variant>
        <vt:lpwstr/>
      </vt:variant>
      <vt:variant>
        <vt:i4>3276912</vt:i4>
      </vt:variant>
      <vt:variant>
        <vt:i4>99</vt:i4>
      </vt:variant>
      <vt:variant>
        <vt:i4>0</vt:i4>
      </vt:variant>
      <vt:variant>
        <vt:i4>5</vt:i4>
      </vt:variant>
      <vt:variant>
        <vt:lpwstr>http://www.nevo.co.il/case/28553961</vt:lpwstr>
      </vt:variant>
      <vt:variant>
        <vt:lpwstr/>
      </vt:variant>
      <vt:variant>
        <vt:i4>3866741</vt:i4>
      </vt:variant>
      <vt:variant>
        <vt:i4>96</vt:i4>
      </vt:variant>
      <vt:variant>
        <vt:i4>0</vt:i4>
      </vt:variant>
      <vt:variant>
        <vt:i4>5</vt:i4>
      </vt:variant>
      <vt:variant>
        <vt:lpwstr>http://www.nevo.co.il/case/30706197</vt:lpwstr>
      </vt:variant>
      <vt:variant>
        <vt:lpwstr/>
      </vt:variant>
      <vt:variant>
        <vt:i4>3145849</vt:i4>
      </vt:variant>
      <vt:variant>
        <vt:i4>93</vt:i4>
      </vt:variant>
      <vt:variant>
        <vt:i4>0</vt:i4>
      </vt:variant>
      <vt:variant>
        <vt:i4>5</vt:i4>
      </vt:variant>
      <vt:variant>
        <vt:lpwstr>http://www.nevo.co.il/case/27330910</vt:lpwstr>
      </vt:variant>
      <vt:variant>
        <vt:lpwstr/>
      </vt:variant>
      <vt:variant>
        <vt:i4>3407993</vt:i4>
      </vt:variant>
      <vt:variant>
        <vt:i4>90</vt:i4>
      </vt:variant>
      <vt:variant>
        <vt:i4>0</vt:i4>
      </vt:variant>
      <vt:variant>
        <vt:i4>5</vt:i4>
      </vt:variant>
      <vt:variant>
        <vt:lpwstr>http://www.nevo.co.il/case/26496248</vt:lpwstr>
      </vt:variant>
      <vt:variant>
        <vt:lpwstr/>
      </vt:variant>
      <vt:variant>
        <vt:i4>3932282</vt:i4>
      </vt:variant>
      <vt:variant>
        <vt:i4>87</vt:i4>
      </vt:variant>
      <vt:variant>
        <vt:i4>0</vt:i4>
      </vt:variant>
      <vt:variant>
        <vt:i4>5</vt:i4>
      </vt:variant>
      <vt:variant>
        <vt:lpwstr>http://www.nevo.co.il/case/28914731</vt:lpwstr>
      </vt:variant>
      <vt:variant>
        <vt:lpwstr/>
      </vt:variant>
      <vt:variant>
        <vt:i4>3342457</vt:i4>
      </vt:variant>
      <vt:variant>
        <vt:i4>84</vt:i4>
      </vt:variant>
      <vt:variant>
        <vt:i4>0</vt:i4>
      </vt:variant>
      <vt:variant>
        <vt:i4>5</vt:i4>
      </vt:variant>
      <vt:variant>
        <vt:lpwstr>http://www.nevo.co.il/case/25601866</vt:lpwstr>
      </vt:variant>
      <vt:variant>
        <vt:lpwstr/>
      </vt:variant>
      <vt:variant>
        <vt:i4>3932279</vt:i4>
      </vt:variant>
      <vt:variant>
        <vt:i4>81</vt:i4>
      </vt:variant>
      <vt:variant>
        <vt:i4>0</vt:i4>
      </vt:variant>
      <vt:variant>
        <vt:i4>5</vt:i4>
      </vt:variant>
      <vt:variant>
        <vt:lpwstr>http://www.nevo.co.il/case/30214295</vt:lpwstr>
      </vt:variant>
      <vt:variant>
        <vt:lpwstr/>
      </vt:variant>
      <vt:variant>
        <vt:i4>3473531</vt:i4>
      </vt:variant>
      <vt:variant>
        <vt:i4>78</vt:i4>
      </vt:variant>
      <vt:variant>
        <vt:i4>0</vt:i4>
      </vt:variant>
      <vt:variant>
        <vt:i4>5</vt:i4>
      </vt:variant>
      <vt:variant>
        <vt:lpwstr>http://www.nevo.co.il/case/28413605</vt:lpwstr>
      </vt:variant>
      <vt:variant>
        <vt:lpwstr/>
      </vt:variant>
      <vt:variant>
        <vt:i4>3473526</vt:i4>
      </vt:variant>
      <vt:variant>
        <vt:i4>75</vt:i4>
      </vt:variant>
      <vt:variant>
        <vt:i4>0</vt:i4>
      </vt:variant>
      <vt:variant>
        <vt:i4>5</vt:i4>
      </vt:variant>
      <vt:variant>
        <vt:lpwstr>http://www.nevo.co.il/case/20446658</vt:lpwstr>
      </vt:variant>
      <vt:variant>
        <vt:lpwstr/>
      </vt:variant>
      <vt:variant>
        <vt:i4>3342462</vt:i4>
      </vt:variant>
      <vt:variant>
        <vt:i4>72</vt:i4>
      </vt:variant>
      <vt:variant>
        <vt:i4>0</vt:i4>
      </vt:variant>
      <vt:variant>
        <vt:i4>5</vt:i4>
      </vt:variant>
      <vt:variant>
        <vt:lpwstr>http://www.nevo.co.il/case/26383419</vt:lpwstr>
      </vt:variant>
      <vt:variant>
        <vt:lpwstr/>
      </vt:variant>
      <vt:variant>
        <vt:i4>3932274</vt:i4>
      </vt:variant>
      <vt:variant>
        <vt:i4>69</vt:i4>
      </vt:variant>
      <vt:variant>
        <vt:i4>0</vt:i4>
      </vt:variant>
      <vt:variant>
        <vt:i4>5</vt:i4>
      </vt:variant>
      <vt:variant>
        <vt:lpwstr>http://www.nevo.co.il/case/29867910</vt:lpwstr>
      </vt:variant>
      <vt:variant>
        <vt:lpwstr/>
      </vt:variant>
      <vt:variant>
        <vt:i4>3342457</vt:i4>
      </vt:variant>
      <vt:variant>
        <vt:i4>66</vt:i4>
      </vt:variant>
      <vt:variant>
        <vt:i4>0</vt:i4>
      </vt:variant>
      <vt:variant>
        <vt:i4>5</vt:i4>
      </vt:variant>
      <vt:variant>
        <vt:lpwstr>http://www.nevo.co.il/case/25601866</vt:lpwstr>
      </vt:variant>
      <vt:variant>
        <vt:lpwstr/>
      </vt:variant>
      <vt:variant>
        <vt:i4>3473531</vt:i4>
      </vt:variant>
      <vt:variant>
        <vt:i4>63</vt:i4>
      </vt:variant>
      <vt:variant>
        <vt:i4>0</vt:i4>
      </vt:variant>
      <vt:variant>
        <vt:i4>5</vt:i4>
      </vt:variant>
      <vt:variant>
        <vt:lpwstr>http://www.nevo.co.il/case/28413605</vt:lpwstr>
      </vt:variant>
      <vt:variant>
        <vt:lpwstr/>
      </vt:variant>
      <vt:variant>
        <vt:i4>5177373</vt:i4>
      </vt:variant>
      <vt:variant>
        <vt:i4>60</vt:i4>
      </vt:variant>
      <vt:variant>
        <vt:i4>0</vt:i4>
      </vt:variant>
      <vt:variant>
        <vt:i4>5</vt:i4>
      </vt:variant>
      <vt:variant>
        <vt:lpwstr>http://www.nevo.co.il/law/70301/144.c1.1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3276916</vt:i4>
      </vt:variant>
      <vt:variant>
        <vt:i4>51</vt:i4>
      </vt:variant>
      <vt:variant>
        <vt:i4>0</vt:i4>
      </vt:variant>
      <vt:variant>
        <vt:i4>5</vt:i4>
      </vt:variant>
      <vt:variant>
        <vt:lpwstr>http://www.nevo.co.il/case/27654226</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7143478</vt:i4>
      </vt:variant>
      <vt:variant>
        <vt:i4>30</vt:i4>
      </vt:variant>
      <vt:variant>
        <vt:i4>0</vt:i4>
      </vt:variant>
      <vt:variant>
        <vt:i4>5</vt:i4>
      </vt:variant>
      <vt:variant>
        <vt:lpwstr>http://www.nevo.co.il/law/70301/382.b.1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7143478</vt:i4>
      </vt:variant>
      <vt:variant>
        <vt:i4>18</vt:i4>
      </vt:variant>
      <vt:variant>
        <vt:i4>0</vt:i4>
      </vt:variant>
      <vt:variant>
        <vt:i4>5</vt:i4>
      </vt:variant>
      <vt:variant>
        <vt:lpwstr>http://www.nevo.co.il/law/70301/382.b.1</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5177373</vt:i4>
      </vt:variant>
      <vt:variant>
        <vt:i4>9</vt:i4>
      </vt:variant>
      <vt:variant>
        <vt:i4>0</vt:i4>
      </vt:variant>
      <vt:variant>
        <vt:i4>5</vt:i4>
      </vt:variant>
      <vt:variant>
        <vt:lpwstr>http://www.nevo.co.il/law/70301/144.c1.1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25053</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קארן טמזיאן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20241110</vt:lpwstr>
  </property>
  <property fmtid="{D5CDD505-2E9C-101B-9397-08002B2CF9AE}" pid="13" name="TYPE_N_DATE">
    <vt:lpwstr>38020241110</vt:lpwstr>
  </property>
  <property fmtid="{D5CDD505-2E9C-101B-9397-08002B2CF9AE}" pid="14" name="CASESLISTTMP1">
    <vt:lpwstr>27654226;28413605:2;25601866:2;29867910;26383419;20446658;30214295;28914731;26496248;27330910;30706197;28553961;30376199;28096684;11206078</vt:lpwstr>
  </property>
  <property fmtid="{D5CDD505-2E9C-101B-9397-08002B2CF9AE}" pid="15" name="WORDNUMPAGES">
    <vt:lpwstr>8</vt:lpwstr>
  </property>
  <property fmtid="{D5CDD505-2E9C-101B-9397-08002B2CF9AE}" pid="16" name="TYPE_ABS_DATE">
    <vt:lpwstr>380020241110</vt:lpwstr>
  </property>
  <property fmtid="{D5CDD505-2E9C-101B-9397-08002B2CF9AE}" pid="17" name="ISABSTRACT">
    <vt:lpwstr>Y</vt:lpwstr>
  </property>
  <property fmtid="{D5CDD505-2E9C-101B-9397-08002B2CF9AE}" pid="18" name="LAWLISTTMP1">
    <vt:lpwstr>70301/382.b.1;379;192;144.a:2;144:2;144.c1.1</vt:lpwstr>
  </property>
  <property fmtid="{D5CDD505-2E9C-101B-9397-08002B2CF9AE}" pid="19" name="LAWLISTTMP2">
    <vt:lpwstr>4216/007.a;007.c</vt:lpwstr>
  </property>
</Properties>
</file>