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C500ED" w:rsidRPr="008E66EF" w14:paraId="0FB11D77" w14:textId="77777777" w:rsidTr="002A1F04">
        <w:trPr>
          <w:trHeight w:hRule="exact" w:val="418"/>
          <w:jc w:val="center"/>
        </w:trPr>
        <w:tc>
          <w:tcPr>
            <w:tcW w:w="8721" w:type="dxa"/>
            <w:gridSpan w:val="2"/>
          </w:tcPr>
          <w:p w14:paraId="3F648E3A" w14:textId="77777777" w:rsidR="00C500ED" w:rsidRPr="008E66EF" w:rsidRDefault="00C500ED" w:rsidP="00687480">
            <w:pPr>
              <w:pStyle w:val="a4"/>
              <w:jc w:val="center"/>
              <w:rPr>
                <w:rFonts w:ascii="Tahoma" w:hAnsi="Tahoma" w:cs="Tahoma"/>
                <w:color w:val="000080"/>
                <w:rtl/>
              </w:rPr>
            </w:pPr>
            <w:r w:rsidRPr="008E66EF">
              <w:rPr>
                <w:rFonts w:ascii="Tahoma" w:hAnsi="Tahoma" w:cs="Tahoma"/>
                <w:b/>
                <w:bCs/>
                <w:color w:val="000080"/>
                <w:rtl/>
              </w:rPr>
              <w:t>בית משפט השלום בבאר שבע</w:t>
            </w:r>
          </w:p>
        </w:tc>
      </w:tr>
      <w:tr w:rsidR="00C500ED" w:rsidRPr="008E66EF" w14:paraId="6CE738F2" w14:textId="77777777" w:rsidTr="002A1F04">
        <w:trPr>
          <w:trHeight w:val="337"/>
          <w:jc w:val="center"/>
        </w:trPr>
        <w:tc>
          <w:tcPr>
            <w:tcW w:w="5058" w:type="dxa"/>
          </w:tcPr>
          <w:p w14:paraId="18C42245" w14:textId="77777777" w:rsidR="00C500ED" w:rsidRPr="008E66EF" w:rsidRDefault="00C500ED" w:rsidP="00687480">
            <w:pPr>
              <w:rPr>
                <w:rFonts w:cs="FrankRuehl"/>
                <w:sz w:val="28"/>
                <w:szCs w:val="28"/>
                <w:rtl/>
              </w:rPr>
            </w:pPr>
            <w:r w:rsidRPr="008E66EF">
              <w:rPr>
                <w:rFonts w:cs="FrankRuehl"/>
                <w:sz w:val="28"/>
                <w:szCs w:val="28"/>
                <w:rtl/>
              </w:rPr>
              <w:t>ת"פ</w:t>
            </w:r>
            <w:r w:rsidRPr="008E66EF">
              <w:rPr>
                <w:rFonts w:cs="FrankRuehl" w:hint="cs"/>
                <w:sz w:val="28"/>
                <w:szCs w:val="28"/>
                <w:rtl/>
              </w:rPr>
              <w:t xml:space="preserve"> </w:t>
            </w:r>
            <w:r w:rsidRPr="008E66EF">
              <w:rPr>
                <w:rFonts w:cs="FrankRuehl"/>
                <w:sz w:val="28"/>
                <w:szCs w:val="28"/>
                <w:rtl/>
              </w:rPr>
              <w:t>56936-07-24</w:t>
            </w:r>
            <w:r w:rsidRPr="008E66EF">
              <w:rPr>
                <w:rFonts w:cs="FrankRuehl" w:hint="cs"/>
                <w:sz w:val="28"/>
                <w:szCs w:val="28"/>
                <w:rtl/>
              </w:rPr>
              <w:t xml:space="preserve"> </w:t>
            </w:r>
            <w:r w:rsidRPr="008E66EF">
              <w:rPr>
                <w:rFonts w:cs="FrankRuehl"/>
                <w:sz w:val="28"/>
                <w:szCs w:val="28"/>
                <w:rtl/>
              </w:rPr>
              <w:t>מדינת ישראל נ' אבו עמרה(עציר)</w:t>
            </w:r>
          </w:p>
          <w:p w14:paraId="376361D8" w14:textId="77777777" w:rsidR="00C500ED" w:rsidRPr="008E66EF" w:rsidRDefault="00C500ED" w:rsidP="00687480">
            <w:pPr>
              <w:pStyle w:val="a4"/>
              <w:rPr>
                <w:rFonts w:cs="FrankRuehl"/>
                <w:sz w:val="28"/>
                <w:szCs w:val="28"/>
                <w:rtl/>
              </w:rPr>
            </w:pPr>
          </w:p>
        </w:tc>
        <w:tc>
          <w:tcPr>
            <w:tcW w:w="3663" w:type="dxa"/>
          </w:tcPr>
          <w:p w14:paraId="7AAD7ED2" w14:textId="77777777" w:rsidR="00C500ED" w:rsidRPr="008E66EF" w:rsidRDefault="00C500ED" w:rsidP="00687480">
            <w:pPr>
              <w:pStyle w:val="a4"/>
              <w:jc w:val="right"/>
              <w:rPr>
                <w:rFonts w:cs="FrankRuehl"/>
                <w:sz w:val="28"/>
                <w:szCs w:val="28"/>
                <w:rtl/>
              </w:rPr>
            </w:pPr>
          </w:p>
        </w:tc>
      </w:tr>
    </w:tbl>
    <w:p w14:paraId="7D808316" w14:textId="77777777" w:rsidR="00C500ED" w:rsidRPr="008E66EF" w:rsidRDefault="00C500ED" w:rsidP="00C500ED">
      <w:pPr>
        <w:pStyle w:val="a4"/>
        <w:rPr>
          <w:rtl/>
        </w:rPr>
      </w:pPr>
      <w:r w:rsidRPr="008E66EF">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C500ED" w:rsidRPr="008E66EF" w14:paraId="4EF861AC" w14:textId="77777777" w:rsidTr="00C500ED">
        <w:trPr>
          <w:trHeight w:val="295"/>
          <w:jc w:val="center"/>
        </w:trPr>
        <w:tc>
          <w:tcPr>
            <w:tcW w:w="923" w:type="dxa"/>
            <w:tcBorders>
              <w:top w:val="nil"/>
              <w:left w:val="nil"/>
              <w:bottom w:val="nil"/>
              <w:right w:val="nil"/>
            </w:tcBorders>
            <w:shd w:val="clear" w:color="auto" w:fill="auto"/>
          </w:tcPr>
          <w:p w14:paraId="4631E7D7" w14:textId="77777777" w:rsidR="00C500ED" w:rsidRPr="008E66EF" w:rsidRDefault="00C500ED" w:rsidP="00C500ED">
            <w:pPr>
              <w:jc w:val="both"/>
              <w:rPr>
                <w:rFonts w:ascii="David" w:hAnsi="David"/>
                <w:sz w:val="26"/>
                <w:szCs w:val="26"/>
              </w:rPr>
            </w:pPr>
            <w:r w:rsidRPr="008E66EF">
              <w:rPr>
                <w:rFonts w:ascii="David" w:hAnsi="David" w:hint="cs"/>
                <w:sz w:val="26"/>
                <w:szCs w:val="26"/>
                <w:rtl/>
              </w:rPr>
              <w:t>ל</w:t>
            </w:r>
            <w:r w:rsidRPr="008E66EF">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397FEE6" w14:textId="77777777" w:rsidR="00C500ED" w:rsidRPr="008E66EF" w:rsidRDefault="00C500ED" w:rsidP="00687480">
            <w:pPr>
              <w:rPr>
                <w:rFonts w:ascii="David" w:hAnsi="David"/>
                <w:b/>
                <w:bCs/>
                <w:sz w:val="26"/>
                <w:szCs w:val="26"/>
                <w:rtl/>
              </w:rPr>
            </w:pPr>
            <w:r w:rsidRPr="008E66EF">
              <w:rPr>
                <w:rFonts w:ascii="David" w:hAnsi="David"/>
                <w:b/>
                <w:bCs/>
                <w:sz w:val="26"/>
                <w:szCs w:val="26"/>
                <w:rtl/>
              </w:rPr>
              <w:t>כבוד השופט, סגן הנשיא  אבישי כהן</w:t>
            </w:r>
          </w:p>
          <w:p w14:paraId="791A5E38" w14:textId="77777777" w:rsidR="00C500ED" w:rsidRPr="008E66EF" w:rsidRDefault="00C500ED" w:rsidP="00687480">
            <w:pPr>
              <w:rPr>
                <w:rFonts w:ascii="David" w:hAnsi="David"/>
                <w:sz w:val="26"/>
                <w:szCs w:val="26"/>
                <w:rtl/>
              </w:rPr>
            </w:pPr>
          </w:p>
          <w:p w14:paraId="039D920B" w14:textId="77777777" w:rsidR="00C500ED" w:rsidRPr="008E66EF" w:rsidRDefault="00C500ED" w:rsidP="00C500ED">
            <w:pPr>
              <w:jc w:val="both"/>
              <w:rPr>
                <w:rFonts w:ascii="David" w:hAnsi="David"/>
                <w:sz w:val="26"/>
                <w:szCs w:val="26"/>
              </w:rPr>
            </w:pPr>
          </w:p>
        </w:tc>
      </w:tr>
      <w:tr w:rsidR="00C500ED" w:rsidRPr="008E66EF" w14:paraId="0F1036FF" w14:textId="77777777" w:rsidTr="00C500ED">
        <w:trPr>
          <w:trHeight w:val="355"/>
          <w:jc w:val="center"/>
        </w:trPr>
        <w:tc>
          <w:tcPr>
            <w:tcW w:w="923" w:type="dxa"/>
            <w:tcBorders>
              <w:top w:val="nil"/>
              <w:left w:val="nil"/>
              <w:bottom w:val="nil"/>
              <w:right w:val="nil"/>
            </w:tcBorders>
            <w:shd w:val="clear" w:color="auto" w:fill="auto"/>
          </w:tcPr>
          <w:p w14:paraId="29C7EDBC" w14:textId="77777777" w:rsidR="00C500ED" w:rsidRPr="008E66EF" w:rsidRDefault="00C500ED" w:rsidP="00C500ED">
            <w:pPr>
              <w:jc w:val="both"/>
              <w:rPr>
                <w:rFonts w:ascii="David" w:hAnsi="David"/>
                <w:sz w:val="26"/>
                <w:szCs w:val="26"/>
              </w:rPr>
            </w:pPr>
            <w:bookmarkStart w:id="0" w:name="FirstAppellant"/>
            <w:bookmarkStart w:id="1" w:name="FirstLawyer"/>
            <w:bookmarkStart w:id="2" w:name="LastJudge"/>
            <w:bookmarkEnd w:id="2"/>
            <w:r w:rsidRPr="008E66EF">
              <w:rPr>
                <w:rFonts w:ascii="David" w:hAnsi="David"/>
                <w:sz w:val="26"/>
                <w:szCs w:val="26"/>
                <w:rtl/>
              </w:rPr>
              <w:t>בעניין:</w:t>
            </w:r>
          </w:p>
        </w:tc>
        <w:tc>
          <w:tcPr>
            <w:tcW w:w="3219" w:type="dxa"/>
            <w:tcBorders>
              <w:top w:val="nil"/>
              <w:left w:val="nil"/>
              <w:bottom w:val="nil"/>
              <w:right w:val="nil"/>
            </w:tcBorders>
            <w:shd w:val="clear" w:color="auto" w:fill="auto"/>
          </w:tcPr>
          <w:p w14:paraId="75F80E80" w14:textId="77777777" w:rsidR="00C500ED" w:rsidRPr="008E66EF" w:rsidRDefault="00C500ED" w:rsidP="00C500ED">
            <w:pPr>
              <w:suppressLineNumbers/>
            </w:pPr>
            <w:r w:rsidRPr="008E66EF">
              <w:rPr>
                <w:rFonts w:ascii="Arial" w:hAnsi="Arial" w:hint="cs"/>
                <w:b/>
                <w:bCs/>
                <w:sz w:val="26"/>
                <w:szCs w:val="26"/>
                <w:rtl/>
              </w:rPr>
              <w:t>ה</w:t>
            </w:r>
            <w:r w:rsidRPr="008E66EF">
              <w:rPr>
                <w:rFonts w:ascii="Arial" w:hAnsi="Arial"/>
                <w:b/>
                <w:bCs/>
                <w:sz w:val="26"/>
                <w:szCs w:val="26"/>
                <w:rtl/>
              </w:rPr>
              <w:t>מאשימה</w:t>
            </w:r>
          </w:p>
          <w:p w14:paraId="48513019" w14:textId="77777777" w:rsidR="00C500ED" w:rsidRPr="008E66EF" w:rsidRDefault="00C500ED" w:rsidP="00687480">
            <w:pPr>
              <w:rPr>
                <w:rFonts w:ascii="David" w:hAnsi="David"/>
                <w:sz w:val="26"/>
                <w:szCs w:val="26"/>
              </w:rPr>
            </w:pPr>
          </w:p>
        </w:tc>
        <w:tc>
          <w:tcPr>
            <w:tcW w:w="4678" w:type="dxa"/>
            <w:tcBorders>
              <w:top w:val="nil"/>
              <w:left w:val="nil"/>
              <w:bottom w:val="nil"/>
              <w:right w:val="nil"/>
            </w:tcBorders>
            <w:shd w:val="clear" w:color="auto" w:fill="auto"/>
            <w:vAlign w:val="center"/>
          </w:tcPr>
          <w:p w14:paraId="6DAF02A0" w14:textId="77777777" w:rsidR="00C500ED" w:rsidRPr="008E66EF" w:rsidRDefault="00C500ED" w:rsidP="00C500ED">
            <w:pPr>
              <w:suppressLineNumbers/>
              <w:rPr>
                <w:rFonts w:ascii="Arial" w:hAnsi="Arial"/>
                <w:b/>
                <w:bCs/>
                <w:sz w:val="26"/>
                <w:szCs w:val="26"/>
                <w:rtl/>
              </w:rPr>
            </w:pPr>
            <w:r w:rsidRPr="008E66EF">
              <w:rPr>
                <w:rFonts w:ascii="Arial" w:hAnsi="Arial"/>
                <w:b/>
                <w:bCs/>
                <w:sz w:val="26"/>
                <w:szCs w:val="26"/>
                <w:rtl/>
              </w:rPr>
              <w:t>מדינת ישראל</w:t>
            </w:r>
            <w:r w:rsidRPr="008E66EF">
              <w:rPr>
                <w:rFonts w:ascii="Arial" w:hAnsi="Arial" w:hint="cs"/>
                <w:b/>
                <w:bCs/>
                <w:sz w:val="26"/>
                <w:szCs w:val="26"/>
                <w:rtl/>
              </w:rPr>
              <w:t xml:space="preserve"> </w:t>
            </w:r>
          </w:p>
          <w:p w14:paraId="6E04A244" w14:textId="77777777" w:rsidR="00C500ED" w:rsidRPr="008E66EF" w:rsidRDefault="00C500ED" w:rsidP="00C500ED">
            <w:pPr>
              <w:suppressLineNumbers/>
            </w:pPr>
            <w:r w:rsidRPr="008E66EF">
              <w:rPr>
                <w:rFonts w:ascii="Arial" w:hAnsi="Arial"/>
                <w:b/>
                <w:bCs/>
                <w:sz w:val="26"/>
                <w:szCs w:val="26"/>
                <w:rtl/>
              </w:rPr>
              <w:t>ע"י ב"כ עו"ד</w:t>
            </w:r>
            <w:r w:rsidRPr="008E66EF">
              <w:rPr>
                <w:rFonts w:ascii="Arial" w:hAnsi="Arial" w:hint="cs"/>
                <w:b/>
                <w:bCs/>
                <w:sz w:val="26"/>
                <w:szCs w:val="26"/>
                <w:rtl/>
              </w:rPr>
              <w:t xml:space="preserve"> כרמית כהן</w:t>
            </w:r>
          </w:p>
          <w:p w14:paraId="42D20B81" w14:textId="77777777" w:rsidR="00C500ED" w:rsidRPr="008E66EF" w:rsidRDefault="00C500ED" w:rsidP="00687480">
            <w:pPr>
              <w:rPr>
                <w:rFonts w:ascii="David" w:hAnsi="David"/>
                <w:sz w:val="26"/>
                <w:szCs w:val="26"/>
              </w:rPr>
            </w:pPr>
          </w:p>
        </w:tc>
      </w:tr>
      <w:bookmarkEnd w:id="0"/>
      <w:bookmarkEnd w:id="1"/>
      <w:tr w:rsidR="00C500ED" w:rsidRPr="008E66EF" w14:paraId="15583C48" w14:textId="77777777" w:rsidTr="00C500ED">
        <w:trPr>
          <w:trHeight w:val="355"/>
          <w:jc w:val="center"/>
        </w:trPr>
        <w:tc>
          <w:tcPr>
            <w:tcW w:w="923" w:type="dxa"/>
            <w:tcBorders>
              <w:top w:val="nil"/>
              <w:left w:val="nil"/>
              <w:bottom w:val="nil"/>
              <w:right w:val="nil"/>
            </w:tcBorders>
            <w:shd w:val="clear" w:color="auto" w:fill="auto"/>
          </w:tcPr>
          <w:p w14:paraId="7C1A9406" w14:textId="77777777" w:rsidR="00C500ED" w:rsidRPr="008E66EF" w:rsidRDefault="00C500ED" w:rsidP="00C500ED">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2AD9DA5" w14:textId="77777777" w:rsidR="00C500ED" w:rsidRPr="008E66EF" w:rsidRDefault="00C500ED" w:rsidP="00C500ED">
            <w:pPr>
              <w:jc w:val="center"/>
              <w:rPr>
                <w:rFonts w:ascii="David" w:hAnsi="David"/>
                <w:b/>
                <w:bCs/>
                <w:sz w:val="26"/>
                <w:szCs w:val="26"/>
                <w:rtl/>
              </w:rPr>
            </w:pPr>
            <w:r w:rsidRPr="008E66EF">
              <w:rPr>
                <w:rFonts w:ascii="David" w:hAnsi="David"/>
                <w:b/>
                <w:bCs/>
                <w:sz w:val="26"/>
                <w:szCs w:val="26"/>
                <w:rtl/>
              </w:rPr>
              <w:t>נגד</w:t>
            </w:r>
          </w:p>
          <w:p w14:paraId="79859955" w14:textId="77777777" w:rsidR="00C500ED" w:rsidRPr="008E66EF" w:rsidRDefault="00C500ED" w:rsidP="00C500ED">
            <w:pPr>
              <w:jc w:val="both"/>
              <w:rPr>
                <w:rFonts w:ascii="David" w:hAnsi="David"/>
                <w:sz w:val="26"/>
                <w:szCs w:val="26"/>
              </w:rPr>
            </w:pPr>
          </w:p>
        </w:tc>
      </w:tr>
      <w:tr w:rsidR="00C500ED" w:rsidRPr="008E66EF" w14:paraId="2BFC2474" w14:textId="77777777" w:rsidTr="00C500ED">
        <w:trPr>
          <w:trHeight w:val="355"/>
          <w:jc w:val="center"/>
        </w:trPr>
        <w:tc>
          <w:tcPr>
            <w:tcW w:w="923" w:type="dxa"/>
            <w:tcBorders>
              <w:top w:val="nil"/>
              <w:left w:val="nil"/>
              <w:bottom w:val="nil"/>
              <w:right w:val="nil"/>
            </w:tcBorders>
            <w:shd w:val="clear" w:color="auto" w:fill="auto"/>
          </w:tcPr>
          <w:p w14:paraId="750D46EF" w14:textId="77777777" w:rsidR="00C500ED" w:rsidRPr="008E66EF" w:rsidRDefault="00C500ED" w:rsidP="00687480">
            <w:pPr>
              <w:rPr>
                <w:rFonts w:ascii="David" w:hAnsi="David"/>
                <w:sz w:val="26"/>
                <w:szCs w:val="26"/>
                <w:rtl/>
              </w:rPr>
            </w:pPr>
          </w:p>
        </w:tc>
        <w:tc>
          <w:tcPr>
            <w:tcW w:w="3219" w:type="dxa"/>
            <w:tcBorders>
              <w:top w:val="nil"/>
              <w:left w:val="nil"/>
              <w:bottom w:val="nil"/>
              <w:right w:val="nil"/>
            </w:tcBorders>
            <w:shd w:val="clear" w:color="auto" w:fill="auto"/>
          </w:tcPr>
          <w:p w14:paraId="1967222F" w14:textId="77777777" w:rsidR="00C500ED" w:rsidRPr="008E66EF" w:rsidRDefault="00C500ED" w:rsidP="00687480">
            <w:pPr>
              <w:rPr>
                <w:rFonts w:ascii="Arial" w:hAnsi="Arial"/>
                <w:b/>
                <w:bCs/>
                <w:sz w:val="26"/>
                <w:szCs w:val="26"/>
                <w:rtl/>
              </w:rPr>
            </w:pPr>
            <w:r w:rsidRPr="008E66EF">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4971328" w14:textId="77777777" w:rsidR="00C500ED" w:rsidRPr="008E66EF" w:rsidRDefault="00C500ED" w:rsidP="00C500ED">
            <w:pPr>
              <w:suppressLineNumbers/>
            </w:pPr>
            <w:r w:rsidRPr="008E66EF">
              <w:rPr>
                <w:rFonts w:ascii="Arial" w:hAnsi="Arial"/>
                <w:b/>
                <w:bCs/>
                <w:sz w:val="26"/>
                <w:szCs w:val="26"/>
                <w:rtl/>
              </w:rPr>
              <w:t xml:space="preserve">אטראד אבו עמרה (עציר) – הובא </w:t>
            </w:r>
            <w:r w:rsidRPr="008E66EF">
              <w:rPr>
                <w:rFonts w:ascii="Arial" w:hAnsi="Arial" w:hint="cs"/>
                <w:b/>
                <w:bCs/>
                <w:sz w:val="26"/>
                <w:szCs w:val="26"/>
                <w:rtl/>
              </w:rPr>
              <w:t>ע"י שב"ס</w:t>
            </w:r>
            <w:r w:rsidRPr="008E66EF">
              <w:rPr>
                <w:rFonts w:ascii="Arial" w:hAnsi="Arial"/>
                <w:b/>
                <w:bCs/>
                <w:sz w:val="26"/>
                <w:szCs w:val="26"/>
                <w:rtl/>
              </w:rPr>
              <w:br/>
              <w:t>ע"י ב"כ עו"</w:t>
            </w:r>
            <w:r w:rsidRPr="008E66EF">
              <w:rPr>
                <w:rFonts w:ascii="Arial" w:hAnsi="Arial" w:hint="cs"/>
                <w:b/>
                <w:bCs/>
                <w:sz w:val="26"/>
                <w:szCs w:val="26"/>
                <w:rtl/>
              </w:rPr>
              <w:t>ד יוסי לין ועו"ד עידו פורת</w:t>
            </w:r>
          </w:p>
          <w:p w14:paraId="52C6B435" w14:textId="77777777" w:rsidR="00C500ED" w:rsidRPr="008E66EF" w:rsidRDefault="00C500ED" w:rsidP="00687480">
            <w:pPr>
              <w:rPr>
                <w:rFonts w:ascii="David" w:hAnsi="David"/>
                <w:sz w:val="26"/>
                <w:szCs w:val="26"/>
              </w:rPr>
            </w:pPr>
          </w:p>
        </w:tc>
      </w:tr>
    </w:tbl>
    <w:p w14:paraId="030F4FC2" w14:textId="77777777" w:rsidR="008E66EF" w:rsidRPr="008E66EF" w:rsidRDefault="008E66EF" w:rsidP="008E66EF">
      <w:pPr>
        <w:spacing w:before="120" w:after="120" w:line="240" w:lineRule="exact"/>
        <w:ind w:left="283" w:hanging="283"/>
        <w:jc w:val="both"/>
        <w:rPr>
          <w:rFonts w:ascii="FrankRuehl" w:hAnsi="FrankRuehl" w:cs="FrankRuehl"/>
          <w:rtl/>
        </w:rPr>
      </w:pPr>
    </w:p>
    <w:p w14:paraId="7D73823D" w14:textId="77777777" w:rsidR="002A1F04" w:rsidRPr="002A1F04" w:rsidRDefault="002A1F04" w:rsidP="002A1F04">
      <w:pPr>
        <w:spacing w:before="120" w:after="120" w:line="240" w:lineRule="exact"/>
        <w:ind w:left="283" w:hanging="283"/>
        <w:jc w:val="both"/>
        <w:rPr>
          <w:rFonts w:ascii="FrankRuehl" w:hAnsi="FrankRuehl" w:cs="FrankRuehl"/>
          <w:rtl/>
        </w:rPr>
      </w:pPr>
      <w:bookmarkStart w:id="3" w:name="LawTable"/>
      <w:bookmarkEnd w:id="3"/>
      <w:r w:rsidRPr="002A1F04">
        <w:rPr>
          <w:rFonts w:ascii="FrankRuehl" w:hAnsi="FrankRuehl" w:cs="FrankRuehl"/>
          <w:rtl/>
        </w:rPr>
        <w:t xml:space="preserve">חקיקה שאוזכרה: </w:t>
      </w:r>
    </w:p>
    <w:p w14:paraId="53586A47" w14:textId="77777777" w:rsidR="002A1F04" w:rsidRPr="002A1F04" w:rsidRDefault="002A1F04" w:rsidP="002A1F04">
      <w:pPr>
        <w:spacing w:before="120" w:after="120" w:line="240" w:lineRule="exact"/>
        <w:ind w:left="283" w:hanging="283"/>
        <w:jc w:val="both"/>
        <w:rPr>
          <w:rFonts w:ascii="FrankRuehl" w:hAnsi="FrankRuehl" w:cs="FrankRuehl"/>
          <w:color w:val="0000FF"/>
          <w:rtl/>
        </w:rPr>
      </w:pPr>
      <w:hyperlink r:id="rId7" w:history="1">
        <w:r w:rsidRPr="002A1F04">
          <w:rPr>
            <w:rStyle w:val="Hyperlink"/>
            <w:rFonts w:ascii="FrankRuehl" w:hAnsi="FrankRuehl" w:cs="FrankRuehl"/>
            <w:u w:val="none"/>
            <w:rtl/>
          </w:rPr>
          <w:t>פקודת הסמים המסוכנים [נוסח חדש], תשל"ג-1973</w:t>
        </w:r>
      </w:hyperlink>
      <w:r w:rsidRPr="002A1F04">
        <w:rPr>
          <w:rFonts w:ascii="FrankRuehl" w:hAnsi="FrankRuehl" w:cs="FrankRuehl"/>
          <w:color w:val="0000FF"/>
          <w:rtl/>
        </w:rPr>
        <w:t xml:space="preserve">: סע'  </w:t>
      </w:r>
      <w:hyperlink r:id="rId8" w:history="1">
        <w:r w:rsidRPr="002A1F04">
          <w:rPr>
            <w:rStyle w:val="Hyperlink"/>
            <w:rFonts w:ascii="FrankRuehl" w:hAnsi="FrankRuehl" w:cs="FrankRuehl"/>
            <w:u w:val="none"/>
          </w:rPr>
          <w:t xml:space="preserve">7 </w:t>
        </w:r>
      </w:hyperlink>
      <w:r w:rsidRPr="002A1F04">
        <w:rPr>
          <w:rFonts w:ascii="FrankRuehl" w:hAnsi="FrankRuehl" w:cs="FrankRuehl"/>
          <w:color w:val="0000FF"/>
          <w:rtl/>
        </w:rPr>
        <w:t xml:space="preserve">(א), </w:t>
      </w:r>
      <w:hyperlink r:id="rId9" w:history="1">
        <w:r w:rsidRPr="002A1F04">
          <w:rPr>
            <w:rStyle w:val="Hyperlink"/>
            <w:rFonts w:ascii="FrankRuehl" w:hAnsi="FrankRuehl" w:cs="FrankRuehl"/>
            <w:u w:val="none"/>
          </w:rPr>
          <w:t xml:space="preserve">7 </w:t>
        </w:r>
      </w:hyperlink>
      <w:r w:rsidRPr="002A1F04">
        <w:rPr>
          <w:rFonts w:ascii="FrankRuehl" w:hAnsi="FrankRuehl" w:cs="FrankRuehl"/>
          <w:color w:val="0000FF"/>
          <w:rtl/>
        </w:rPr>
        <w:t>(ג)</w:t>
      </w:r>
    </w:p>
    <w:p w14:paraId="01F209FA" w14:textId="77777777" w:rsidR="002A1F04" w:rsidRPr="002A1F04" w:rsidRDefault="002A1F04" w:rsidP="002A1F04">
      <w:pPr>
        <w:spacing w:before="120" w:after="120" w:line="240" w:lineRule="exact"/>
        <w:ind w:left="283" w:hanging="283"/>
        <w:jc w:val="both"/>
        <w:rPr>
          <w:rFonts w:ascii="FrankRuehl" w:hAnsi="FrankRuehl" w:cs="FrankRuehl"/>
          <w:color w:val="0000FF"/>
          <w:rtl/>
        </w:rPr>
      </w:pPr>
      <w:hyperlink r:id="rId10" w:history="1">
        <w:r w:rsidRPr="002A1F04">
          <w:rPr>
            <w:rStyle w:val="Hyperlink"/>
            <w:rFonts w:ascii="FrankRuehl" w:hAnsi="FrankRuehl" w:cs="FrankRuehl"/>
            <w:u w:val="none"/>
            <w:rtl/>
          </w:rPr>
          <w:t>פקודת סדר הדין הפלילי (מעצר וחיפוש) [נוסח חדש], תשכ"ט-1969</w:t>
        </w:r>
      </w:hyperlink>
      <w:r w:rsidRPr="002A1F04">
        <w:rPr>
          <w:rFonts w:ascii="FrankRuehl" w:hAnsi="FrankRuehl" w:cs="FrankRuehl"/>
          <w:color w:val="0000FF"/>
          <w:rtl/>
        </w:rPr>
        <w:t xml:space="preserve">: סע'  </w:t>
      </w:r>
      <w:hyperlink r:id="rId11" w:history="1">
        <w:r w:rsidRPr="002A1F04">
          <w:rPr>
            <w:rStyle w:val="Hyperlink"/>
            <w:rFonts w:ascii="FrankRuehl" w:hAnsi="FrankRuehl" w:cs="FrankRuehl"/>
            <w:u w:val="none"/>
          </w:rPr>
          <w:t>39</w:t>
        </w:r>
      </w:hyperlink>
    </w:p>
    <w:p w14:paraId="3D7569AD" w14:textId="77777777" w:rsidR="002A1F04" w:rsidRPr="002A1F04" w:rsidRDefault="002A1F04" w:rsidP="002A1F04">
      <w:pPr>
        <w:spacing w:before="120" w:after="120" w:line="240" w:lineRule="exact"/>
        <w:ind w:left="283" w:hanging="283"/>
        <w:jc w:val="both"/>
        <w:rPr>
          <w:rFonts w:ascii="FrankRuehl" w:hAnsi="FrankRuehl" w:cs="FrankRuehl"/>
          <w:color w:val="0000FF"/>
          <w:rtl/>
        </w:rPr>
      </w:pPr>
      <w:hyperlink r:id="rId12" w:history="1">
        <w:r w:rsidRPr="002A1F04">
          <w:rPr>
            <w:rStyle w:val="Hyperlink"/>
            <w:rFonts w:ascii="FrankRuehl" w:hAnsi="FrankRuehl" w:cs="FrankRuehl"/>
            <w:u w:val="none"/>
            <w:rtl/>
          </w:rPr>
          <w:t>חוק העונשין, תשל"ז-1977</w:t>
        </w:r>
      </w:hyperlink>
      <w:r w:rsidRPr="002A1F04">
        <w:rPr>
          <w:rFonts w:ascii="FrankRuehl" w:hAnsi="FrankRuehl" w:cs="FrankRuehl"/>
          <w:color w:val="0000FF"/>
          <w:rtl/>
        </w:rPr>
        <w:t xml:space="preserve">: סע'  </w:t>
      </w:r>
      <w:hyperlink r:id="rId13" w:history="1">
        <w:r w:rsidRPr="002A1F04">
          <w:rPr>
            <w:rStyle w:val="Hyperlink"/>
            <w:rFonts w:ascii="FrankRuehl" w:hAnsi="FrankRuehl" w:cs="FrankRuehl"/>
            <w:u w:val="none"/>
          </w:rPr>
          <w:t xml:space="preserve">40 </w:t>
        </w:r>
        <w:r w:rsidRPr="002A1F04">
          <w:rPr>
            <w:rStyle w:val="Hyperlink"/>
            <w:rFonts w:ascii="FrankRuehl" w:hAnsi="FrankRuehl" w:cs="FrankRuehl"/>
            <w:u w:val="none"/>
            <w:rtl/>
          </w:rPr>
          <w:t>ט</w:t>
        </w:r>
        <w:r w:rsidRPr="002A1F04">
          <w:rPr>
            <w:rStyle w:val="Hyperlink"/>
            <w:rFonts w:ascii="FrankRuehl" w:hAnsi="FrankRuehl" w:cs="FrankRuehl"/>
            <w:u w:val="none"/>
          </w:rPr>
          <w:t>'</w:t>
        </w:r>
      </w:hyperlink>
    </w:p>
    <w:p w14:paraId="5C63F1FB" w14:textId="77777777" w:rsidR="008E66EF" w:rsidRPr="002A1F04" w:rsidRDefault="008E66EF" w:rsidP="002A1F04">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500ED" w14:paraId="09CDA382" w14:textId="77777777" w:rsidTr="00C500ED">
        <w:trPr>
          <w:trHeight w:val="355"/>
          <w:jc w:val="center"/>
        </w:trPr>
        <w:tc>
          <w:tcPr>
            <w:tcW w:w="8820" w:type="dxa"/>
            <w:tcBorders>
              <w:top w:val="nil"/>
              <w:left w:val="nil"/>
              <w:bottom w:val="nil"/>
              <w:right w:val="nil"/>
            </w:tcBorders>
            <w:shd w:val="clear" w:color="auto" w:fill="auto"/>
          </w:tcPr>
          <w:p w14:paraId="01471CC1" w14:textId="77777777" w:rsidR="008E66EF" w:rsidRPr="008E66EF" w:rsidRDefault="008E66EF" w:rsidP="008E66EF">
            <w:pPr>
              <w:jc w:val="center"/>
              <w:rPr>
                <w:rFonts w:ascii="David" w:hAnsi="David"/>
                <w:b/>
                <w:bCs/>
                <w:sz w:val="32"/>
                <w:szCs w:val="32"/>
                <w:u w:val="single"/>
                <w:rtl/>
              </w:rPr>
            </w:pPr>
            <w:bookmarkStart w:id="5" w:name="PsakDin" w:colFirst="0" w:colLast="0"/>
            <w:r w:rsidRPr="008E66EF">
              <w:rPr>
                <w:rFonts w:ascii="David" w:hAnsi="David"/>
                <w:b/>
                <w:bCs/>
                <w:sz w:val="32"/>
                <w:szCs w:val="32"/>
                <w:u w:val="single"/>
                <w:rtl/>
              </w:rPr>
              <w:t>גזר דין</w:t>
            </w:r>
          </w:p>
          <w:p w14:paraId="2026C12D" w14:textId="77777777" w:rsidR="00C500ED" w:rsidRPr="008E66EF" w:rsidRDefault="00C500ED" w:rsidP="008E66EF">
            <w:pPr>
              <w:jc w:val="center"/>
              <w:rPr>
                <w:rFonts w:ascii="David" w:hAnsi="David"/>
                <w:bCs/>
                <w:sz w:val="32"/>
                <w:szCs w:val="32"/>
                <w:u w:val="single"/>
                <w:rtl/>
              </w:rPr>
            </w:pPr>
          </w:p>
        </w:tc>
      </w:tr>
      <w:bookmarkEnd w:id="5"/>
    </w:tbl>
    <w:p w14:paraId="31066E22" w14:textId="77777777" w:rsidR="00C500ED" w:rsidRPr="000F2247" w:rsidRDefault="00C500ED" w:rsidP="00C500ED">
      <w:pPr>
        <w:rPr>
          <w:rFonts w:ascii="Arial" w:hAnsi="Arial"/>
          <w:b/>
          <w:bCs/>
          <w:sz w:val="26"/>
          <w:szCs w:val="26"/>
          <w:rtl/>
        </w:rPr>
      </w:pPr>
    </w:p>
    <w:p w14:paraId="5EBBDD83" w14:textId="77777777" w:rsidR="00C500ED" w:rsidRDefault="00C500ED" w:rsidP="00C500ED">
      <w:pPr>
        <w:pStyle w:val="aa"/>
        <w:numPr>
          <w:ilvl w:val="0"/>
          <w:numId w:val="2"/>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הורשע על פי הודאתו בעובדות כתב האישום המתוקן בעבירה של  </w:t>
      </w:r>
      <w:r>
        <w:rPr>
          <w:rFonts w:ascii="David" w:hAnsi="David" w:cs="David"/>
          <w:b/>
          <w:bCs/>
          <w:sz w:val="24"/>
          <w:szCs w:val="24"/>
          <w:rtl/>
        </w:rPr>
        <w:t>החזקת סם מסוכן שלא לצריכה עצמית</w:t>
      </w:r>
      <w:r>
        <w:rPr>
          <w:rFonts w:ascii="David" w:hAnsi="David" w:cs="David"/>
          <w:sz w:val="24"/>
          <w:szCs w:val="24"/>
          <w:rtl/>
        </w:rPr>
        <w:t xml:space="preserve">, לפי סעיף </w:t>
      </w:r>
      <w:hyperlink r:id="rId14" w:history="1">
        <w:r w:rsidR="002A1F04" w:rsidRPr="002A1F04">
          <w:rPr>
            <w:rStyle w:val="Hyperlink"/>
            <w:rFonts w:ascii="David" w:hAnsi="David" w:cs="David"/>
            <w:color w:val="0000FF"/>
            <w:sz w:val="24"/>
            <w:szCs w:val="24"/>
            <w:rtl/>
          </w:rPr>
          <w:t>7 (א)</w:t>
        </w:r>
      </w:hyperlink>
      <w:r>
        <w:rPr>
          <w:rFonts w:ascii="David" w:hAnsi="David" w:cs="David"/>
          <w:sz w:val="24"/>
          <w:szCs w:val="24"/>
          <w:rtl/>
        </w:rPr>
        <w:t xml:space="preserve"> ביחד עם סעיף </w:t>
      </w:r>
      <w:hyperlink r:id="rId15" w:history="1">
        <w:r w:rsidR="002A1F04" w:rsidRPr="002A1F04">
          <w:rPr>
            <w:rStyle w:val="Hyperlink"/>
            <w:rFonts w:ascii="David" w:hAnsi="David" w:cs="David"/>
            <w:color w:val="0000FF"/>
            <w:sz w:val="24"/>
            <w:szCs w:val="24"/>
            <w:rtl/>
          </w:rPr>
          <w:t>7 (ג)</w:t>
        </w:r>
      </w:hyperlink>
      <w:r>
        <w:rPr>
          <w:rFonts w:ascii="David" w:hAnsi="David" w:cs="David"/>
          <w:sz w:val="24"/>
          <w:szCs w:val="24"/>
          <w:rtl/>
        </w:rPr>
        <w:t xml:space="preserve"> רישא ל</w:t>
      </w:r>
      <w:hyperlink r:id="rId16" w:history="1">
        <w:r w:rsidR="008E66EF" w:rsidRPr="008E66EF">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 (להלן: "פקודת הסמים). </w:t>
      </w:r>
    </w:p>
    <w:p w14:paraId="682DD3E6" w14:textId="77777777" w:rsidR="00C500ED" w:rsidRDefault="00C500ED" w:rsidP="00C500ED">
      <w:pPr>
        <w:pStyle w:val="aa"/>
        <w:numPr>
          <w:ilvl w:val="0"/>
          <w:numId w:val="2"/>
        </w:numPr>
        <w:spacing w:line="360" w:lineRule="auto"/>
        <w:jc w:val="both"/>
        <w:rPr>
          <w:rFonts w:ascii="David" w:hAnsi="David" w:cs="David"/>
          <w:sz w:val="24"/>
          <w:szCs w:val="24"/>
          <w:rtl/>
        </w:rPr>
      </w:pPr>
      <w:r>
        <w:rPr>
          <w:rFonts w:ascii="David" w:hAnsi="David" w:cs="David"/>
          <w:sz w:val="24"/>
          <w:szCs w:val="24"/>
          <w:rtl/>
        </w:rPr>
        <w:t>על פי עובדות כתב האישום המתוקן, בתאריך 04.07.24 בסמוך לשעה 19:45 החזיק הנאשם ברכב מסוג סקודה אוקטביה בתוך מגירה מתחת להגה בסם מסוכן מסוג קטמין במשקל 1.0529 גרם ומתחת לכיסא הנהג החזיק 20 פלטות סם מסוכן מסוג חשיש עטופות בניילון נצמד במשקל כולל של 2 ק"ג. באותן נסיבות, החזיק הנאשם בכסף מזומן בסך של 5,077.5 ₪.</w:t>
      </w:r>
    </w:p>
    <w:p w14:paraId="412716E4" w14:textId="77777777" w:rsidR="00C500ED" w:rsidRDefault="00C500ED" w:rsidP="00C500ED">
      <w:pPr>
        <w:pStyle w:val="aa"/>
        <w:numPr>
          <w:ilvl w:val="0"/>
          <w:numId w:val="2"/>
        </w:numPr>
        <w:spacing w:line="360" w:lineRule="auto"/>
        <w:jc w:val="both"/>
        <w:rPr>
          <w:rFonts w:ascii="David" w:hAnsi="David" w:cs="David"/>
          <w:sz w:val="24"/>
          <w:szCs w:val="24"/>
        </w:rPr>
      </w:pPr>
      <w:bookmarkStart w:id="7" w:name="ABSTRACT_END"/>
      <w:bookmarkEnd w:id="7"/>
      <w:r>
        <w:rPr>
          <w:rFonts w:ascii="David" w:hAnsi="David" w:cs="David"/>
          <w:sz w:val="24"/>
          <w:szCs w:val="24"/>
          <w:rtl/>
        </w:rPr>
        <w:t xml:space="preserve"> בתאריך 29.01.25 הציגו הצדדים הסדר דיוני לפיו הוגש כתב אישום מתוקן, הנאשם הודה והורשע בכתב האישום המתוקן, כאשר בעניינו של הנאשם לא הציגו הצדדים הסכמה לעניין העונש, הצדדים טענו בפני.  </w:t>
      </w:r>
    </w:p>
    <w:p w14:paraId="13A5F7BB" w14:textId="77777777" w:rsidR="00C500ED" w:rsidRDefault="00C500ED" w:rsidP="00C500ED">
      <w:pPr>
        <w:pStyle w:val="aa"/>
        <w:spacing w:line="360" w:lineRule="auto"/>
        <w:jc w:val="both"/>
        <w:rPr>
          <w:rFonts w:ascii="David" w:hAnsi="David" w:cs="David"/>
          <w:sz w:val="24"/>
          <w:szCs w:val="24"/>
        </w:rPr>
      </w:pPr>
    </w:p>
    <w:p w14:paraId="611D7EAC" w14:textId="77777777" w:rsidR="00C500ED" w:rsidRDefault="00C500ED" w:rsidP="00C500ED">
      <w:pPr>
        <w:spacing w:line="360" w:lineRule="auto"/>
        <w:jc w:val="both"/>
        <w:rPr>
          <w:rFonts w:ascii="David" w:hAnsi="David"/>
          <w:bCs/>
          <w:u w:val="single"/>
        </w:rPr>
      </w:pPr>
      <w:r>
        <w:rPr>
          <w:rFonts w:ascii="David" w:hAnsi="David"/>
          <w:bCs/>
          <w:u w:val="single"/>
          <w:rtl/>
        </w:rPr>
        <w:t>ראיות טיעוני הצדדים</w:t>
      </w:r>
    </w:p>
    <w:p w14:paraId="43918019" w14:textId="77777777" w:rsidR="00C500ED" w:rsidRDefault="00C500ED" w:rsidP="00C500ED">
      <w:pPr>
        <w:pStyle w:val="aa"/>
        <w:numPr>
          <w:ilvl w:val="0"/>
          <w:numId w:val="2"/>
        </w:numPr>
        <w:spacing w:line="360" w:lineRule="auto"/>
        <w:jc w:val="both"/>
        <w:rPr>
          <w:rFonts w:ascii="David" w:hAnsi="David" w:cs="David"/>
          <w:sz w:val="24"/>
          <w:szCs w:val="24"/>
          <w:rtl/>
        </w:rPr>
      </w:pPr>
      <w:r>
        <w:rPr>
          <w:rFonts w:ascii="David" w:hAnsi="David" w:cs="David"/>
          <w:b/>
          <w:bCs/>
          <w:sz w:val="24"/>
          <w:szCs w:val="24"/>
          <w:rtl/>
        </w:rPr>
        <w:t>ב"כ המאשימה</w:t>
      </w:r>
      <w:r>
        <w:rPr>
          <w:rFonts w:ascii="David" w:hAnsi="David" w:cs="David"/>
          <w:sz w:val="24"/>
          <w:szCs w:val="24"/>
          <w:rtl/>
        </w:rPr>
        <w:t xml:space="preserve"> הגישה טיעוניה בכתב (ת/3) וכן צירפה גיליון רישום פלילי ורישום תעבורתי של הנאשם (ת/1 ו- ת/2). במסגרת הטיעונים בכתב עמדה המאשימה על נסיבות ביצוע </w:t>
      </w:r>
      <w:r>
        <w:rPr>
          <w:rFonts w:ascii="David" w:hAnsi="David" w:cs="David"/>
          <w:sz w:val="24"/>
          <w:szCs w:val="24"/>
          <w:rtl/>
        </w:rPr>
        <w:lastRenderedPageBreak/>
        <w:t xml:space="preserve">העבירה, הערכים המוגנים שנפגעו ומידת הפגיעה בהם, המאשימה ציינה מדיניות הענישה המחמירה שיש לנקוט כלפי אלו העוסקים בתחום עבירות הסמים והדגישה את כמות הסמים שנמצא כי הנאשם החזיק, האופן בו הוחזקו הסמים, ארוזים ומוכנים להפצה. המאשימה עתרה למתחם ענישה הנע בין 10ל 24 חודשי מאסר בפועל תוך שהפנתה לפסיקה, המאשימה ציינה כי הנאשם בעל עבר פלילי קודם הכולל עבירות בתחום הסמים. יש לזקוף לזכותו עצם ההודאה במיוחס לו אך לנוכח חומרת העבירה יש להעדיף שיקולי הגמול וההרתעה על פני האינטרס האישי של הנאשם תוך שהדגישה שלא הוגש תסקיר בעניינו ולא החל בהליך טיפולי כלשהו המצדיק סטייה לקולא ממתחם הענישה. </w:t>
      </w:r>
    </w:p>
    <w:p w14:paraId="3FEC2356" w14:textId="77777777" w:rsidR="00C500ED" w:rsidRDefault="00C500ED" w:rsidP="00C500ED">
      <w:pPr>
        <w:pStyle w:val="aa"/>
        <w:spacing w:line="360" w:lineRule="auto"/>
        <w:jc w:val="both"/>
        <w:rPr>
          <w:rFonts w:ascii="David" w:hAnsi="David" w:cs="David"/>
          <w:sz w:val="24"/>
          <w:szCs w:val="24"/>
        </w:rPr>
      </w:pPr>
      <w:r>
        <w:rPr>
          <w:rFonts w:ascii="David" w:hAnsi="David" w:cs="David"/>
          <w:sz w:val="24"/>
          <w:szCs w:val="24"/>
          <w:rtl/>
        </w:rPr>
        <w:t xml:space="preserve">בנוסף עתרה המאשימה לחילוט הרכב מכוח </w:t>
      </w:r>
      <w:hyperlink r:id="rId17" w:history="1">
        <w:r w:rsidR="002A1F04" w:rsidRPr="002A1F04">
          <w:rPr>
            <w:rStyle w:val="Hyperlink"/>
            <w:rFonts w:ascii="David" w:hAnsi="David" w:cs="David"/>
            <w:color w:val="0000FF"/>
            <w:sz w:val="24"/>
            <w:szCs w:val="24"/>
            <w:rtl/>
          </w:rPr>
          <w:t>סעיף 39</w:t>
        </w:r>
      </w:hyperlink>
      <w:r>
        <w:rPr>
          <w:rFonts w:ascii="David" w:hAnsi="David" w:cs="David"/>
          <w:sz w:val="24"/>
          <w:szCs w:val="24"/>
          <w:rtl/>
        </w:rPr>
        <w:t xml:space="preserve"> לפקודת סדר הדין הפלילי, שלגישתה מדובר ברכב שהיה בשימושו שעה שנתפס נוהג ברכב ובו הסמים. </w:t>
      </w:r>
    </w:p>
    <w:p w14:paraId="6114756E" w14:textId="77777777" w:rsidR="00C500ED" w:rsidRDefault="00C500ED" w:rsidP="00C500ED">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בסופו של טיעון עתרה המאשימה למיקום עונשו של הנאשם באמצע המתחם לו עתרה בצירוף הטלת ענישה נלווית הכוללת בין היתר קנס משמעותי ופסילת רישיון נהיגה, חילוט כסף מזומן שנתפס ברכב וכן חילוט הרכב. </w:t>
      </w:r>
    </w:p>
    <w:p w14:paraId="68E9D8F9" w14:textId="77777777" w:rsidR="00C500ED" w:rsidRDefault="00C500ED" w:rsidP="00C500ED">
      <w:pPr>
        <w:pStyle w:val="aa"/>
        <w:numPr>
          <w:ilvl w:val="0"/>
          <w:numId w:val="2"/>
        </w:numPr>
        <w:spacing w:line="360" w:lineRule="auto"/>
        <w:jc w:val="both"/>
        <w:rPr>
          <w:rFonts w:ascii="David" w:hAnsi="David" w:cs="David"/>
          <w:sz w:val="24"/>
          <w:szCs w:val="24"/>
        </w:rPr>
      </w:pPr>
      <w:r>
        <w:rPr>
          <w:rFonts w:ascii="David" w:hAnsi="David" w:cs="David"/>
          <w:b/>
          <w:bCs/>
          <w:sz w:val="24"/>
          <w:szCs w:val="24"/>
          <w:rtl/>
        </w:rPr>
        <w:t>ב"כ הנאשם</w:t>
      </w:r>
      <w:r>
        <w:rPr>
          <w:rFonts w:ascii="David" w:hAnsi="David" w:cs="David"/>
          <w:sz w:val="24"/>
          <w:szCs w:val="24"/>
          <w:rtl/>
        </w:rPr>
        <w:t>, הדגיש כי הנאשם הודה בכתב אישום מתוקן באופן משמעותי, בעבירה אחת של החזקת סם שלא לצריכה עצמית. ב"כ הנאשם ציין כי בשל פרק הזמן הארוך בו מצוי הנאשם במעצר לא התבקש תסקיר שירות המבחן, שכן לגישתו אין בעצם קבלת תסקיר כדי להואיל במקרה זה. ב"כ הנאשם עמד על נסיבותיו האישיות של הנאשם, נשוי, אשתו נמצאת בהריון, הנאשם החל משנת 2018 מצוי בתעסוקה סדירה, הנאשם מתמודד עם מצב רפואי מורכב. הוא הדגיש כי הנאשם הודה במיוחס לו, ביקש שבית המשפט ינהג בו במידת הרחמים ולא יחמיר בעונשו, הדגיש שאין מדובר בסמים קשים. בנוגע להחזקת סם קטמין ציין שמדובר בכמות מזערית. לגישת ב"כ הנאשם מתחם העונש בנסיבות תיק זה הינו החל ממספר חודשי מאסר בודדים תוך שהפנה לפסיקה. בין היתר הפנה למספר גזר דין שניתנו על ידי. בהתייחס למיקום עונשו של הנאשם, ציין שהנאשם אומנם בעל עבר פלילי, אך מדובר בהרשעות ישנות והחל משנת 2018 לא הסתבך בפלילים. לגבי הקנס ביקש שיוטל קנס מידתי, לגבי פסילה בפועל ציין שהטלת פסילה בפועל תפגע ביכולתו של הנאשם להשתלב בתעסוקה וכי במקרה זה ניתן להסתפק בפסילה על תנאי בלבד.</w:t>
      </w:r>
    </w:p>
    <w:p w14:paraId="6E35A464" w14:textId="77777777" w:rsidR="00C500ED" w:rsidRDefault="00C500ED" w:rsidP="00C500ED">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 </w:t>
      </w:r>
      <w:r>
        <w:rPr>
          <w:rFonts w:ascii="David" w:hAnsi="David" w:cs="David" w:hint="cs"/>
          <w:b/>
          <w:bCs/>
          <w:sz w:val="24"/>
          <w:szCs w:val="24"/>
          <w:rtl/>
        </w:rPr>
        <w:t xml:space="preserve">ביחס לחילוט הרכב, </w:t>
      </w:r>
      <w:r>
        <w:rPr>
          <w:rFonts w:ascii="David" w:hAnsi="David" w:cs="David" w:hint="cs"/>
          <w:sz w:val="24"/>
          <w:szCs w:val="24"/>
          <w:rtl/>
        </w:rPr>
        <w:t xml:space="preserve"> פירט בטיעוניו כי הרכב אינו רשום על שם הנאשם, ולפי טענת הנאשם רכש את הרכב מאחר והרכב נמצא ברשות אשתו והיא זו שרכשה את הרכב. לגישת ב"כ הנאשם על בית המשפט לנהוג במידתיות בעת בחינת סוגית החילוט ובמקרה זה אין כל פרופורציה בין חומרת העבירה, יתר רכיבי הענישה ושווי הרכב העומד על כ 200,000 ₪. </w:t>
      </w:r>
    </w:p>
    <w:p w14:paraId="1AF08BAA" w14:textId="77777777" w:rsidR="00C500ED" w:rsidRDefault="00C500ED" w:rsidP="00C500ED">
      <w:pPr>
        <w:pStyle w:val="aa"/>
        <w:numPr>
          <w:ilvl w:val="0"/>
          <w:numId w:val="2"/>
        </w:numPr>
        <w:spacing w:line="360" w:lineRule="auto"/>
        <w:jc w:val="both"/>
        <w:rPr>
          <w:rFonts w:ascii="David" w:hAnsi="David" w:cs="David"/>
          <w:sz w:val="24"/>
          <w:szCs w:val="24"/>
        </w:rPr>
      </w:pPr>
      <w:r>
        <w:rPr>
          <w:rFonts w:ascii="David" w:hAnsi="David" w:cs="David"/>
          <w:sz w:val="24"/>
          <w:szCs w:val="24"/>
          <w:rtl/>
        </w:rPr>
        <w:t>הנאשם בדברו לפני גזירת עונשו, הביע צער על מעשיו והבטיח שלא ישוב על מעשיו.</w:t>
      </w:r>
    </w:p>
    <w:p w14:paraId="192AABA3" w14:textId="77777777" w:rsidR="00C500ED" w:rsidRDefault="00C500ED" w:rsidP="00C500ED">
      <w:pPr>
        <w:spacing w:line="360" w:lineRule="auto"/>
        <w:jc w:val="both"/>
        <w:rPr>
          <w:rFonts w:ascii="David" w:hAnsi="David"/>
          <w:bCs/>
          <w:u w:val="single"/>
          <w:rtl/>
        </w:rPr>
      </w:pPr>
      <w:r>
        <w:rPr>
          <w:rFonts w:ascii="David" w:hAnsi="David"/>
          <w:bCs/>
          <w:u w:val="single"/>
          <w:rtl/>
        </w:rPr>
        <w:t>דיון –</w:t>
      </w:r>
    </w:p>
    <w:p w14:paraId="15074C82" w14:textId="77777777" w:rsidR="00C500ED" w:rsidRDefault="00C500ED" w:rsidP="00C500ED">
      <w:pPr>
        <w:spacing w:line="360" w:lineRule="auto"/>
        <w:jc w:val="both"/>
        <w:rPr>
          <w:rFonts w:ascii="David" w:hAnsi="David"/>
          <w:bCs/>
          <w:u w:val="single"/>
          <w:rtl/>
        </w:rPr>
      </w:pPr>
      <w:r>
        <w:rPr>
          <w:rFonts w:ascii="David" w:hAnsi="David"/>
          <w:bCs/>
          <w:u w:val="single"/>
          <w:rtl/>
        </w:rPr>
        <w:t xml:space="preserve">קביעת מתחם העונש ההולם </w:t>
      </w:r>
    </w:p>
    <w:p w14:paraId="540EC4DB" w14:textId="77777777" w:rsidR="00C500ED" w:rsidRDefault="00C500ED" w:rsidP="00C500ED">
      <w:pPr>
        <w:pStyle w:val="a"/>
        <w:numPr>
          <w:ilvl w:val="0"/>
          <w:numId w:val="0"/>
        </w:numPr>
        <w:tabs>
          <w:tab w:val="left" w:pos="720"/>
        </w:tabs>
        <w:ind w:left="720"/>
        <w:jc w:val="both"/>
        <w:rPr>
          <w:rtl/>
        </w:rPr>
      </w:pPr>
      <w:r>
        <w:rPr>
          <w:rFonts w:hint="cs"/>
          <w:rtl/>
        </w:rPr>
        <w:t xml:space="preserve">המלחמה בנגע הסמים הינה קשה ובלתי פוסקת, </w:t>
      </w:r>
      <w:r>
        <w:rPr>
          <w:rFonts w:hint="cs"/>
          <w:b/>
          <w:bCs/>
          <w:rtl/>
        </w:rPr>
        <w:t xml:space="preserve">עבירת החזקת סם שלא לצריכה עצמית פוגעת בערכים חברתיים של </w:t>
      </w:r>
      <w:r>
        <w:rPr>
          <w:rFonts w:hint="cs"/>
          <w:rtl/>
        </w:rPr>
        <w:t xml:space="preserve">הגנה על הציבור בכללותו מפני הנזקים הישירים והעקיפים </w:t>
      </w:r>
      <w:r>
        <w:rPr>
          <w:rFonts w:hint="cs"/>
          <w:rtl/>
        </w:rPr>
        <w:lastRenderedPageBreak/>
        <w:t xml:space="preserve">אשר נגרמים עקב השימוש בסמים וזאת לצד הנזקים הכלכליים והחברתיים הנגרמים עקב שימוש בסמים.  </w:t>
      </w:r>
      <w:r>
        <w:rPr>
          <w:rFonts w:hint="cs"/>
          <w:b/>
          <w:bCs/>
          <w:rtl/>
        </w:rPr>
        <w:t>מידת הפגיעה בערך המוגן</w:t>
      </w:r>
      <w:r>
        <w:rPr>
          <w:rFonts w:hint="cs"/>
          <w:rtl/>
        </w:rPr>
        <w:t xml:space="preserve">  בעבירה של החזקת סם שלא לצריכה עצמית הינה ברף הבינוני, בשים לב לכמות הסמים וסוגי הסמים שנתפסו. על הצורך להילחם בנגע הסמים וחומרת הענישה שיש לנקוט כלפי המעורבים במערך הפצת הסמים, דובר רבות בפסיקה. </w:t>
      </w:r>
    </w:p>
    <w:p w14:paraId="55A2F726" w14:textId="77777777" w:rsidR="00C500ED" w:rsidRDefault="00C500ED" w:rsidP="00C500ED">
      <w:pPr>
        <w:pStyle w:val="a"/>
        <w:numPr>
          <w:ilvl w:val="0"/>
          <w:numId w:val="0"/>
        </w:numPr>
        <w:tabs>
          <w:tab w:val="left" w:pos="720"/>
        </w:tabs>
        <w:ind w:left="720"/>
        <w:jc w:val="both"/>
        <w:rPr>
          <w:rtl/>
        </w:rPr>
      </w:pPr>
      <w:r>
        <w:rPr>
          <w:rFonts w:hint="cs"/>
          <w:rtl/>
        </w:rPr>
        <w:t>ראה הנאמר ב</w:t>
      </w:r>
      <w:hyperlink r:id="rId18" w:history="1">
        <w:r w:rsidR="008E66EF" w:rsidRPr="008E66EF">
          <w:rPr>
            <w:color w:val="0000FF"/>
            <w:u w:val="single"/>
            <w:rtl/>
          </w:rPr>
          <w:t>ע"פ 211/09</w:t>
        </w:r>
      </w:hyperlink>
      <w:r>
        <w:rPr>
          <w:rFonts w:hint="cs"/>
          <w:rtl/>
        </w:rPr>
        <w:t xml:space="preserve"> </w:t>
      </w:r>
      <w:r>
        <w:rPr>
          <w:rFonts w:hint="cs"/>
          <w:b/>
          <w:bCs/>
          <w:rtl/>
        </w:rPr>
        <w:t xml:space="preserve">אזולאי נ' מדינת ישראל( 22.06.10) : </w:t>
      </w:r>
    </w:p>
    <w:p w14:paraId="67F054BA" w14:textId="77777777" w:rsidR="00C500ED" w:rsidRDefault="00C500ED" w:rsidP="00C500ED">
      <w:pPr>
        <w:pStyle w:val="a"/>
        <w:numPr>
          <w:ilvl w:val="0"/>
          <w:numId w:val="0"/>
        </w:numPr>
        <w:tabs>
          <w:tab w:val="left" w:pos="720"/>
        </w:tabs>
        <w:ind w:left="720"/>
        <w:jc w:val="both"/>
        <w:rPr>
          <w:rtl/>
        </w:rPr>
      </w:pPr>
      <w:r>
        <w:rPr>
          <w:rFonts w:hint="cs"/>
          <w:rtl/>
        </w:rPr>
        <w:t>"</w:t>
      </w:r>
      <w:r w:rsidR="008E66EF">
        <w:rPr>
          <w:rFonts w:hint="cs"/>
          <w:rtl/>
        </w:rPr>
        <w:t xml:space="preserve"> </w:t>
      </w:r>
      <w:r>
        <w:rPr>
          <w:rFonts w:hint="cs"/>
          <w:b/>
          <w:b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hint="cs"/>
          <w:rtl/>
        </w:rPr>
        <w:t xml:space="preserve">." </w:t>
      </w:r>
    </w:p>
    <w:p w14:paraId="09EF614E" w14:textId="77777777" w:rsidR="00C500ED" w:rsidRDefault="00C500ED" w:rsidP="00C500ED">
      <w:pPr>
        <w:numPr>
          <w:ilvl w:val="0"/>
          <w:numId w:val="2"/>
        </w:numPr>
        <w:spacing w:after="160" w:line="360" w:lineRule="auto"/>
        <w:jc w:val="both"/>
        <w:rPr>
          <w:rtl/>
        </w:rPr>
      </w:pPr>
      <w:r>
        <w:rPr>
          <w:rFonts w:ascii="David" w:hAnsi="David"/>
          <w:rtl/>
        </w:rPr>
        <w:t xml:space="preserve">במסגרת </w:t>
      </w:r>
      <w:r>
        <w:rPr>
          <w:rFonts w:ascii="David" w:hAnsi="David"/>
          <w:b/>
          <w:bCs/>
          <w:rtl/>
        </w:rPr>
        <w:t xml:space="preserve">הנסיבות הקשורות בביצוע העבירה </w:t>
      </w:r>
      <w:r>
        <w:rPr>
          <w:rFonts w:ascii="David" w:hAnsi="David"/>
          <w:rtl/>
        </w:rPr>
        <w:t xml:space="preserve">(סעיף </w:t>
      </w:r>
      <w:hyperlink r:id="rId19" w:history="1">
        <w:r w:rsidR="002A1F04" w:rsidRPr="002A1F04">
          <w:rPr>
            <w:rStyle w:val="Hyperlink"/>
            <w:rFonts w:ascii="David" w:hAnsi="David"/>
            <w:color w:val="0000FF"/>
            <w:rtl/>
          </w:rPr>
          <w:t>40 ט'</w:t>
        </w:r>
      </w:hyperlink>
      <w:r>
        <w:rPr>
          <w:rFonts w:ascii="David" w:hAnsi="David"/>
          <w:rtl/>
        </w:rPr>
        <w:t xml:space="preserve"> לחוק), יש לתת את הדעת לכך שהנאשם נמצא מחזיק ברכב, שני סמים שונים במשקלים שונים, חשיש במשקל 2 ק"ג וסם מסוג קטמין במשקל 1.0259 גרם. ביחס לסם החשיש מדובר בסוג סם </w:t>
      </w:r>
      <w:r>
        <w:rPr>
          <w:rtl/>
        </w:rPr>
        <w:t xml:space="preserve">המוגדר כסם "קל" יחסית ואשר הענישה לגביו פחותה יותר ביחס לסמים אחרים. עם זאת, אין להתעלם מהנזק ומהסיכון הרב הטמון בעבירת החזקה שלא לצריכה עצמית. יש לציין גם כמות הסמים שהוחזקו ואופן החזקת הסם, מחולק ל 20 פלטות. </w:t>
      </w:r>
    </w:p>
    <w:p w14:paraId="3F7498DF" w14:textId="77777777" w:rsidR="00C500ED" w:rsidRDefault="00C500ED" w:rsidP="00C500ED">
      <w:pPr>
        <w:spacing w:line="360" w:lineRule="auto"/>
        <w:ind w:left="720"/>
        <w:jc w:val="both"/>
      </w:pPr>
      <w:r>
        <w:rPr>
          <w:rtl/>
        </w:rPr>
        <w:t>ביחס לסם קטמין יש להדגיש שמדובר בסם הרדמה סינטטי שתופעות הלוואי שלו קשות, ראה הנאמר באשר לטיבו של סם זה ב</w:t>
      </w:r>
      <w:hyperlink r:id="rId20" w:history="1">
        <w:r w:rsidR="008E66EF" w:rsidRPr="008E66EF">
          <w:rPr>
            <w:color w:val="0000FF"/>
            <w:u w:val="single"/>
            <w:rtl/>
          </w:rPr>
          <w:t>ת"פ (מחוזי-מרכז) 1352-08-22</w:t>
        </w:r>
      </w:hyperlink>
      <w:r>
        <w:rPr>
          <w:rtl/>
        </w:rPr>
        <w:t xml:space="preserve"> </w:t>
      </w:r>
      <w:r>
        <w:rPr>
          <w:b/>
          <w:bCs/>
          <w:rtl/>
        </w:rPr>
        <w:t>מדינת ישראל נ' אסייה</w:t>
      </w:r>
      <w:r>
        <w:rPr>
          <w:rtl/>
        </w:rPr>
        <w:t xml:space="preserve"> (10.08.23) : "ס</w:t>
      </w:r>
      <w:r>
        <w:rPr>
          <w:b/>
          <w:bCs/>
          <w:rtl/>
        </w:rPr>
        <w:t>ם הקטמין, אף הוא נכלל בקבוצת הסמים הקשים, מכונה "סם המועדונים" או "סם האונס", לרוב נעדר טעם, צבע וריח וגורם לתופעות לוואי חמורות</w:t>
      </w:r>
      <w:r>
        <w:rPr>
          <w:rtl/>
        </w:rPr>
        <w:t>". מכאן עולה שמדובר בסם הנמנה על הסמים הקשים והוא בעל תופעות לוואי הרסניות. עם זאת, מדובר בכמות מינורית של גרם אחד בלבד.</w:t>
      </w:r>
    </w:p>
    <w:p w14:paraId="77196AF1" w14:textId="77777777" w:rsidR="00C500ED" w:rsidRDefault="00C500ED" w:rsidP="00C500ED">
      <w:pPr>
        <w:pStyle w:val="aa"/>
        <w:numPr>
          <w:ilvl w:val="0"/>
          <w:numId w:val="2"/>
        </w:numPr>
        <w:spacing w:line="360" w:lineRule="auto"/>
        <w:jc w:val="both"/>
        <w:rPr>
          <w:rFonts w:ascii="David" w:hAnsi="David" w:cs="David"/>
          <w:b/>
          <w:bCs/>
          <w:sz w:val="24"/>
          <w:szCs w:val="24"/>
        </w:rPr>
      </w:pPr>
      <w:r>
        <w:rPr>
          <w:rFonts w:ascii="David" w:hAnsi="David" w:cs="David"/>
          <w:b/>
          <w:bCs/>
          <w:sz w:val="24"/>
          <w:szCs w:val="24"/>
          <w:rtl/>
        </w:rPr>
        <w:t>בחינת מדיניות הענישה הנוהגת בעבירות של החזקת סם מסוכן שלא לצריכה עצמית  מעלה שהוטלו על נאשמים עונשים במנעד רחב כמפורט להלן:</w:t>
      </w:r>
    </w:p>
    <w:p w14:paraId="252887C7" w14:textId="77777777" w:rsidR="00C500ED" w:rsidRDefault="008E66EF" w:rsidP="00C500ED">
      <w:pPr>
        <w:pStyle w:val="a"/>
        <w:numPr>
          <w:ilvl w:val="1"/>
          <w:numId w:val="2"/>
        </w:numPr>
        <w:tabs>
          <w:tab w:val="left" w:pos="720"/>
        </w:tabs>
        <w:jc w:val="both"/>
      </w:pPr>
      <w:hyperlink r:id="rId21" w:history="1">
        <w:r w:rsidRPr="008E66EF">
          <w:rPr>
            <w:b/>
            <w:bCs/>
            <w:color w:val="0000FF"/>
            <w:u w:val="single"/>
            <w:rtl/>
          </w:rPr>
          <w:t>רע"פ  636/21</w:t>
        </w:r>
      </w:hyperlink>
      <w:r w:rsidR="00C500ED">
        <w:rPr>
          <w:rFonts w:hint="cs"/>
          <w:b/>
          <w:bCs/>
          <w:u w:val="single"/>
          <w:rtl/>
        </w:rPr>
        <w:t xml:space="preserve"> ברוך לוי נ' מדינת ישראל</w:t>
      </w:r>
      <w:r w:rsidR="00C500ED">
        <w:rPr>
          <w:rFonts w:hint="cs"/>
          <w:u w:val="single"/>
          <w:rtl/>
        </w:rPr>
        <w:t xml:space="preserve"> (16.02.21) </w:t>
      </w:r>
      <w:r w:rsidR="00C500ED">
        <w:rPr>
          <w:rFonts w:hint="cs"/>
          <w:rtl/>
        </w:rPr>
        <w:t xml:space="preserve">– עבירה של החזקת סם מסוג חשיש במשקל כולל של כ-760 גרם, </w:t>
      </w:r>
      <w:r w:rsidR="00C500ED">
        <w:rPr>
          <w:rFonts w:hint="cs"/>
          <w:b/>
          <w:bCs/>
          <w:rtl/>
        </w:rPr>
        <w:t>בית משפט השלום קבע כי מתחם העונש ההולם נע בין 6 חודשי מאסר בפועל לריצוי בדרך של עבודות שירות ועד 12 חודשי מאסר בפועל,</w:t>
      </w:r>
      <w:r w:rsidR="00C500ED">
        <w:rPr>
          <w:rFonts w:hint="cs"/>
          <w:rtl/>
        </w:rPr>
        <w:t xml:space="preserve"> נוכח שיקולי שיקום סטה בית משפט השלום ממתחם הענישה שנקבע והשית על הנאשם 4 חודשי מאסר בפועל שירוצו בעבודת שירות בצירוף ענישה נלווית. ערעור ובקשת רשות ערעור שהגיש הנאשם נדחו. </w:t>
      </w:r>
    </w:p>
    <w:p w14:paraId="1EEDAA3F" w14:textId="77777777" w:rsidR="00C500ED" w:rsidRDefault="008E66EF" w:rsidP="00C500ED">
      <w:pPr>
        <w:pStyle w:val="a"/>
        <w:numPr>
          <w:ilvl w:val="1"/>
          <w:numId w:val="2"/>
        </w:numPr>
        <w:tabs>
          <w:tab w:val="left" w:pos="720"/>
        </w:tabs>
        <w:jc w:val="both"/>
      </w:pPr>
      <w:hyperlink r:id="rId22" w:history="1">
        <w:r w:rsidRPr="008E66EF">
          <w:rPr>
            <w:b/>
            <w:bCs/>
            <w:color w:val="0000FF"/>
            <w:u w:val="single"/>
            <w:rtl/>
          </w:rPr>
          <w:t>רע"פ 7570/21</w:t>
        </w:r>
      </w:hyperlink>
      <w:r w:rsidR="00C500ED">
        <w:rPr>
          <w:rFonts w:hint="cs"/>
          <w:b/>
          <w:bCs/>
          <w:u w:val="single"/>
          <w:rtl/>
        </w:rPr>
        <w:t xml:space="preserve"> אבו סוילם נ' מדינת ישראל (11.11.21)</w:t>
      </w:r>
      <w:r w:rsidR="00C500ED">
        <w:rPr>
          <w:rFonts w:hint="cs"/>
          <w:rtl/>
        </w:rPr>
        <w:t xml:space="preserve">  עבירה של סם מסוג קנביס במשקל של למעלה מ-4 ק"ג,  בית משפט השלום קבע מתחם ענישה הנע בין 8 ל 24 חודשי מאסר בפועל, הנאשם נעדר עבר פלילי, הוגש בעניינו תסקיר חיובי, נדון ל-8 חודשי מאסר בפועל , ערעור ובקשת רשות ערעור שהגישו נדחו. </w:t>
      </w:r>
    </w:p>
    <w:p w14:paraId="1EA8FB45" w14:textId="77777777" w:rsidR="00C500ED" w:rsidRDefault="008E66EF" w:rsidP="00C500ED">
      <w:pPr>
        <w:pStyle w:val="a"/>
        <w:numPr>
          <w:ilvl w:val="1"/>
          <w:numId w:val="2"/>
        </w:numPr>
        <w:tabs>
          <w:tab w:val="left" w:pos="720"/>
        </w:tabs>
        <w:jc w:val="both"/>
        <w:rPr>
          <w:rtl/>
        </w:rPr>
      </w:pPr>
      <w:hyperlink r:id="rId23" w:history="1">
        <w:r w:rsidRPr="008E66EF">
          <w:rPr>
            <w:b/>
            <w:bCs/>
            <w:color w:val="0000FF"/>
            <w:u w:val="single"/>
            <w:rtl/>
          </w:rPr>
          <w:t>רע"פ 1830/16</w:t>
        </w:r>
      </w:hyperlink>
      <w:r w:rsidR="00C500ED">
        <w:rPr>
          <w:rFonts w:hint="cs"/>
          <w:b/>
          <w:bCs/>
          <w:u w:val="single"/>
          <w:rtl/>
        </w:rPr>
        <w:t xml:space="preserve"> רקיבי נ' מדינת ישראל (11.04.16)</w:t>
      </w:r>
      <w:r w:rsidR="00C500ED">
        <w:rPr>
          <w:rFonts w:hint="cs"/>
          <w:rtl/>
        </w:rPr>
        <w:t xml:space="preserve">  עבירה של החזקת סם מסוג חשיש במשקל 2.3 ק"ג מחולק לעטיפות שונות. בית משפט השלום קבע מתחם ענישה הנע בין 6 ל-15 חודשי מאסר בפועל, הנאשם נדון ל 8 חודשי מאסר בפועל ערעור ובקשת רשות ערעור שהגיש נדחו. </w:t>
      </w:r>
    </w:p>
    <w:p w14:paraId="53BC4B60" w14:textId="77777777" w:rsidR="00C500ED" w:rsidRDefault="008E66EF" w:rsidP="00C500ED">
      <w:pPr>
        <w:pStyle w:val="a"/>
        <w:numPr>
          <w:ilvl w:val="1"/>
          <w:numId w:val="2"/>
        </w:numPr>
        <w:tabs>
          <w:tab w:val="left" w:pos="720"/>
        </w:tabs>
        <w:jc w:val="both"/>
      </w:pPr>
      <w:hyperlink r:id="rId24" w:history="1">
        <w:r w:rsidRPr="008E66EF">
          <w:rPr>
            <w:b/>
            <w:bCs/>
            <w:color w:val="0000FF"/>
            <w:u w:val="single"/>
            <w:rtl/>
          </w:rPr>
          <w:t>עפ"ג (ב"ש) 24043-04-17</w:t>
        </w:r>
      </w:hyperlink>
      <w:r w:rsidR="00C500ED">
        <w:rPr>
          <w:rFonts w:hint="cs"/>
          <w:b/>
          <w:bCs/>
          <w:u w:val="single"/>
          <w:rtl/>
        </w:rPr>
        <w:t xml:space="preserve"> אל קשכר נ' מדינת ישראל (14.06.17)</w:t>
      </w:r>
      <w:r w:rsidR="00C500ED">
        <w:rPr>
          <w:rFonts w:hint="cs"/>
          <w:rtl/>
        </w:rPr>
        <w:t xml:space="preserve">)  הנאשם הורשע בהתאם להודאתו בעבירה של החזקת סם שלא לצריכה עצמית, בכך שהחזיק שקית שהכילה סם מסוג קנבוס במשקל של 922.40 גרם, וניסה להשליכה מהחלון בעת שכרזו לו שוטרים. </w:t>
      </w:r>
      <w:r w:rsidR="00C500ED">
        <w:rPr>
          <w:rFonts w:hint="cs"/>
          <w:b/>
          <w:bCs/>
          <w:rtl/>
        </w:rPr>
        <w:t>בית משפט השלום קבע מתחם עונש שנע בין 6 חודשי מאסר ל- 12 חודשים,</w:t>
      </w:r>
      <w:r w:rsidR="00C500ED">
        <w:rPr>
          <w:rFonts w:hint="cs"/>
          <w:rtl/>
        </w:rPr>
        <w:t xml:space="preserve"> וגזר על הנאשם בעל עבר פלילי בתחום הסמים, עונש מאסר בפועל למשך 7 חודשים. ערעור שהגיש הנאשם על חומרת העונש נדחה.</w:t>
      </w:r>
    </w:p>
    <w:p w14:paraId="79A47C63" w14:textId="77777777" w:rsidR="00C500ED" w:rsidRDefault="00C500ED" w:rsidP="00C500ED">
      <w:pPr>
        <w:pStyle w:val="a"/>
        <w:numPr>
          <w:ilvl w:val="0"/>
          <w:numId w:val="0"/>
        </w:numPr>
        <w:tabs>
          <w:tab w:val="left" w:pos="720"/>
        </w:tabs>
        <w:ind w:left="720"/>
        <w:jc w:val="both"/>
        <w:rPr>
          <w:b/>
          <w:bCs/>
          <w:rtl/>
        </w:rPr>
      </w:pPr>
      <w:r>
        <w:rPr>
          <w:rFonts w:hint="cs"/>
          <w:rtl/>
        </w:rPr>
        <w:t>לאור כל המפורט לעיל, בהתחשב בנסיבות תיק זה , אני קובע כי מתחם הענישה ההולם נע החל מ-</w:t>
      </w:r>
      <w:r>
        <w:rPr>
          <w:rFonts w:hint="cs"/>
          <w:b/>
          <w:bCs/>
          <w:rtl/>
        </w:rPr>
        <w:t>8 חודשי מאסר בפועל שיכול וירוצו בעבודת שירות  ועד 18 חודשי מאסר בפועל</w:t>
      </w:r>
      <w:r>
        <w:rPr>
          <w:rFonts w:hint="cs"/>
          <w:rtl/>
        </w:rPr>
        <w:t xml:space="preserve">. </w:t>
      </w:r>
    </w:p>
    <w:p w14:paraId="3644CBFD" w14:textId="77777777" w:rsidR="00C500ED" w:rsidRDefault="00C500ED" w:rsidP="00C500ED">
      <w:pPr>
        <w:pStyle w:val="a"/>
        <w:numPr>
          <w:ilvl w:val="0"/>
          <w:numId w:val="0"/>
        </w:numPr>
        <w:tabs>
          <w:tab w:val="left" w:pos="720"/>
        </w:tabs>
        <w:ind w:left="720"/>
        <w:jc w:val="both"/>
        <w:rPr>
          <w:b/>
          <w:bCs/>
        </w:rPr>
      </w:pPr>
    </w:p>
    <w:p w14:paraId="085283A7" w14:textId="77777777" w:rsidR="00C500ED" w:rsidRDefault="00C500ED" w:rsidP="00C500ED">
      <w:pPr>
        <w:pStyle w:val="aa"/>
        <w:numPr>
          <w:ilvl w:val="0"/>
          <w:numId w:val="2"/>
        </w:numPr>
        <w:spacing w:line="360" w:lineRule="auto"/>
        <w:jc w:val="both"/>
        <w:rPr>
          <w:rFonts w:ascii="David" w:hAnsi="David" w:cs="David"/>
          <w:bCs/>
          <w:sz w:val="24"/>
          <w:szCs w:val="24"/>
          <w:u w:val="single"/>
          <w:rtl/>
        </w:rPr>
      </w:pPr>
      <w:r>
        <w:rPr>
          <w:rFonts w:ascii="David" w:hAnsi="David" w:cs="David"/>
          <w:bCs/>
          <w:sz w:val="24"/>
          <w:szCs w:val="24"/>
          <w:u w:val="single"/>
          <w:rtl/>
        </w:rPr>
        <w:t>גזירת העונש המתאים לנאשם</w:t>
      </w:r>
    </w:p>
    <w:p w14:paraId="60914FDE" w14:textId="77777777" w:rsidR="00C500ED" w:rsidRDefault="00C500ED" w:rsidP="00C500ED">
      <w:pPr>
        <w:spacing w:line="360" w:lineRule="auto"/>
        <w:ind w:left="720"/>
        <w:jc w:val="both"/>
        <w:rPr>
          <w:rFonts w:ascii="David" w:hAnsi="David"/>
          <w:b/>
          <w:rtl/>
        </w:rPr>
      </w:pPr>
      <w:r>
        <w:rPr>
          <w:rFonts w:ascii="David" w:hAnsi="David"/>
          <w:b/>
          <w:rtl/>
        </w:rPr>
        <w:t xml:space="preserve">הנאשם בן 34, לחובתו הרשעות קודמות ישנות יותר לרבות בעבירות ממין העניין, הרשעות בעבירות על פקודת הסמים מסוג פשע, הנאשם אף ריצה מאסרים קודמים בגין עבירות אלו. במסגרת תיק המעצר, הנאשם מצוי במעצר החל מחודש יולי 2024, יש לתת משקל לכך שהנאשם הודה במיוחס לו, הביע חרטה וקיבל אחריות מלאה על מעשיו. </w:t>
      </w:r>
    </w:p>
    <w:p w14:paraId="41B1EC50" w14:textId="77777777" w:rsidR="00C500ED" w:rsidRDefault="00C500ED" w:rsidP="00C500ED">
      <w:pPr>
        <w:spacing w:line="360" w:lineRule="auto"/>
        <w:ind w:left="720"/>
        <w:jc w:val="both"/>
        <w:rPr>
          <w:rFonts w:ascii="David" w:hAnsi="David"/>
          <w:b/>
          <w:rtl/>
        </w:rPr>
      </w:pPr>
      <w:r>
        <w:rPr>
          <w:rFonts w:ascii="David" w:hAnsi="David"/>
          <w:b/>
          <w:rtl/>
        </w:rPr>
        <w:t xml:space="preserve">אין חולק בנוגע לחומרת העבירה במקרה זה, בשים לב לכמות הסם שהוחזק וסוג הסמים.  יש לתת משקל לכך שלחובת הנאשם הרשעות קודמות בתחום הסמים, אולם נוכח נסיבות תיק זה ובשים לב לכך שהנאשם לא הסתבך בפלילים במשך תקופה שלמעלה מ-5 שנים וכן הצליח לנהל אורח חיים נורמטיבי ויצרני גם אם לתקופה קצרה, לפיכך מצאתי שיש למקם עונשו של הנאשם בשליש התחתון של המתחם אולם לא בתחתיתו. </w:t>
      </w:r>
    </w:p>
    <w:p w14:paraId="61C38BC8" w14:textId="77777777" w:rsidR="00C500ED" w:rsidRDefault="00C500ED" w:rsidP="00C500ED">
      <w:pPr>
        <w:spacing w:line="360" w:lineRule="auto"/>
        <w:ind w:left="720"/>
        <w:jc w:val="both"/>
        <w:rPr>
          <w:rFonts w:ascii="David" w:hAnsi="David"/>
          <w:b/>
          <w:rtl/>
        </w:rPr>
      </w:pPr>
    </w:p>
    <w:p w14:paraId="25D665E1" w14:textId="77777777" w:rsidR="00C500ED" w:rsidRDefault="00C500ED" w:rsidP="00C500ED">
      <w:pPr>
        <w:spacing w:line="360" w:lineRule="auto"/>
        <w:ind w:left="720"/>
        <w:jc w:val="both"/>
        <w:rPr>
          <w:rFonts w:ascii="David" w:hAnsi="David"/>
          <w:b/>
          <w:rtl/>
        </w:rPr>
      </w:pPr>
      <w:r>
        <w:rPr>
          <w:rFonts w:ascii="David" w:hAnsi="David"/>
          <w:b/>
          <w:rtl/>
        </w:rPr>
        <w:t xml:space="preserve">בנוגע לרכיב הפסילה בפועל, אציין ששקלתי נסיבות ביצוע העבירה כאשר הסמים הוחזקו ברכב, שעה שהנאשם נהג ברכב. לחובת הנאשם עבר תעבורתי עשיר הכולל עונשי פסילה בפועל לתקופות לא קצרות ולמרות האמור הנאשם בחר לנהוג ברכב ולהוביל בו סמים. בנסיבות אלו מצאתי כי אין זה המקרה להסתפק בפסילה על תנאי בלבד ויש להטיל אף רכיב של פסילה בפועל, אולם אתחשב בתקופת הפסילה באופן שהנאשם יוכל לשקם דרכיו בעתיד. </w:t>
      </w:r>
    </w:p>
    <w:p w14:paraId="2D0F23A2" w14:textId="77777777" w:rsidR="00C500ED" w:rsidRDefault="00C500ED" w:rsidP="00C500ED">
      <w:pPr>
        <w:spacing w:line="360" w:lineRule="auto"/>
        <w:ind w:left="720"/>
        <w:jc w:val="both"/>
        <w:rPr>
          <w:rFonts w:ascii="David" w:hAnsi="David"/>
          <w:b/>
          <w:rtl/>
        </w:rPr>
      </w:pPr>
    </w:p>
    <w:p w14:paraId="38D6CEDA" w14:textId="77777777" w:rsidR="00C500ED" w:rsidRDefault="00C500ED" w:rsidP="00C500ED">
      <w:pPr>
        <w:spacing w:line="360" w:lineRule="auto"/>
        <w:jc w:val="both"/>
        <w:rPr>
          <w:rFonts w:ascii="David" w:hAnsi="David"/>
          <w:b/>
          <w:bCs/>
          <w:rtl/>
        </w:rPr>
      </w:pPr>
      <w:r>
        <w:rPr>
          <w:rFonts w:ascii="David" w:hAnsi="David"/>
          <w:b/>
          <w:bCs/>
          <w:u w:val="single"/>
          <w:rtl/>
        </w:rPr>
        <w:t xml:space="preserve">חילוט הרכב והכסף המזומן </w:t>
      </w:r>
    </w:p>
    <w:p w14:paraId="23CA423C" w14:textId="77777777" w:rsidR="00C500ED" w:rsidRDefault="00C500ED" w:rsidP="00C500ED">
      <w:pPr>
        <w:pStyle w:val="aa"/>
        <w:numPr>
          <w:ilvl w:val="0"/>
          <w:numId w:val="2"/>
        </w:numPr>
        <w:spacing w:after="0" w:line="360" w:lineRule="auto"/>
        <w:jc w:val="both"/>
        <w:rPr>
          <w:rFonts w:ascii="David" w:hAnsi="David" w:cs="David"/>
          <w:b/>
          <w:sz w:val="24"/>
          <w:szCs w:val="24"/>
          <w:rtl/>
        </w:rPr>
      </w:pPr>
      <w:r>
        <w:rPr>
          <w:rFonts w:ascii="David" w:hAnsi="David" w:cs="David"/>
          <w:b/>
          <w:sz w:val="24"/>
          <w:szCs w:val="24"/>
          <w:rtl/>
        </w:rPr>
        <w:t xml:space="preserve">כפי שצוין לעיל, המאשימה ביקשה לחלט את הרכב וכספים שנתפסו. בקשת החילוט נשענת על </w:t>
      </w:r>
      <w:hyperlink r:id="rId25" w:history="1">
        <w:r w:rsidR="002A1F04" w:rsidRPr="002A1F04">
          <w:rPr>
            <w:rStyle w:val="Hyperlink"/>
            <w:rFonts w:ascii="David" w:hAnsi="David" w:cs="David"/>
            <w:b/>
            <w:color w:val="0000FF"/>
            <w:sz w:val="24"/>
            <w:szCs w:val="24"/>
            <w:rtl/>
          </w:rPr>
          <w:t>סעיף 39</w:t>
        </w:r>
      </w:hyperlink>
      <w:r>
        <w:rPr>
          <w:rFonts w:ascii="David" w:hAnsi="David" w:cs="David"/>
          <w:b/>
          <w:sz w:val="24"/>
          <w:szCs w:val="24"/>
          <w:rtl/>
        </w:rPr>
        <w:t xml:space="preserve"> ל</w:t>
      </w:r>
      <w:hyperlink r:id="rId26" w:history="1">
        <w:r w:rsidR="008E66EF" w:rsidRPr="008E66EF">
          <w:rPr>
            <w:rFonts w:ascii="David" w:hAnsi="David" w:cs="David"/>
            <w:b/>
            <w:color w:val="0000FF"/>
            <w:sz w:val="24"/>
            <w:szCs w:val="24"/>
            <w:u w:val="single"/>
            <w:rtl/>
          </w:rPr>
          <w:t>פקודת סדר הדין הפלילי (מעצר וחיפוש)</w:t>
        </w:r>
      </w:hyperlink>
      <w:r>
        <w:rPr>
          <w:rFonts w:ascii="David" w:hAnsi="David" w:cs="David"/>
          <w:b/>
          <w:sz w:val="24"/>
          <w:szCs w:val="24"/>
          <w:rtl/>
        </w:rPr>
        <w:t xml:space="preserve">[נוסח חדש], התשכ"ט-1969. </w:t>
      </w:r>
    </w:p>
    <w:p w14:paraId="215BC4C0" w14:textId="77777777" w:rsidR="00C500ED" w:rsidRDefault="00C500ED" w:rsidP="00C500ED">
      <w:pPr>
        <w:spacing w:line="360" w:lineRule="auto"/>
        <w:ind w:left="720"/>
        <w:jc w:val="both"/>
        <w:rPr>
          <w:rFonts w:ascii="David" w:hAnsi="David"/>
          <w:b/>
        </w:rPr>
      </w:pPr>
      <w:r>
        <w:rPr>
          <w:rFonts w:ascii="David" w:hAnsi="David"/>
          <w:b/>
          <w:rtl/>
        </w:rPr>
        <w:t xml:space="preserve">אין חולק כי הכסף והסמים הוחזקו בתוך הרכב וכי הרכב שימש לביצוע העבירה. </w:t>
      </w:r>
    </w:p>
    <w:p w14:paraId="5897C221" w14:textId="77777777" w:rsidR="00C500ED" w:rsidRDefault="00C500ED" w:rsidP="00C500ED">
      <w:pPr>
        <w:spacing w:line="360" w:lineRule="auto"/>
        <w:ind w:left="720"/>
        <w:jc w:val="both"/>
        <w:rPr>
          <w:rFonts w:ascii="David" w:hAnsi="David"/>
          <w:b/>
          <w:rtl/>
        </w:rPr>
      </w:pPr>
      <w:r>
        <w:rPr>
          <w:rFonts w:ascii="David" w:hAnsi="David"/>
          <w:b/>
          <w:rtl/>
        </w:rPr>
        <w:t xml:space="preserve">יש לציין שהרכב אינו רשום על שם הנאשם אך אציין שברכב בו נהג הנאשם נמצאו סמים מסוכנים שלא לצריכה עצמית, אופן החזקת הסמים וכמות הסמים בהתאם לנסיבות המתוארות בכתב האישום, מבססים ההנחה שהסמים יועדו להפצה, וכפועל יוצא מכך עתיד היה הנאשם להפיק רווח כלכלי. בהקשר זה נקבע כבר על ידי בית המשפט, כי החזקת סם שלא לצריכה עצמית על פי העונש שקבע המחוקק, היא אחותה, ניתן לומר – תאומתה, של עבירת הסחר בסמים. (ראה </w:t>
      </w:r>
      <w:hyperlink r:id="rId27" w:history="1">
        <w:r w:rsidR="008E66EF" w:rsidRPr="008E66EF">
          <w:rPr>
            <w:rFonts w:ascii="David" w:hAnsi="David"/>
            <w:b/>
            <w:color w:val="0000FF"/>
            <w:u w:val="single"/>
            <w:rtl/>
          </w:rPr>
          <w:t>רע"פ 2557/12</w:t>
        </w:r>
      </w:hyperlink>
      <w:r>
        <w:rPr>
          <w:rFonts w:ascii="David" w:hAnsi="David"/>
          <w:b/>
          <w:rtl/>
        </w:rPr>
        <w:t xml:space="preserve"> </w:t>
      </w:r>
      <w:r>
        <w:rPr>
          <w:rFonts w:ascii="David" w:hAnsi="David"/>
          <w:b/>
          <w:bCs/>
          <w:rtl/>
        </w:rPr>
        <w:t>תמם פרדי נ' מדינת ישראל</w:t>
      </w:r>
      <w:r>
        <w:rPr>
          <w:rFonts w:ascii="David" w:hAnsi="David"/>
          <w:b/>
          <w:rtl/>
        </w:rPr>
        <w:t xml:space="preserve"> (5.4.12)).</w:t>
      </w:r>
    </w:p>
    <w:p w14:paraId="50FF57A9" w14:textId="77777777" w:rsidR="00C500ED" w:rsidRDefault="00C500ED" w:rsidP="00C500ED">
      <w:pPr>
        <w:spacing w:line="360" w:lineRule="auto"/>
        <w:ind w:left="720"/>
        <w:jc w:val="both"/>
        <w:rPr>
          <w:rFonts w:ascii="David" w:hAnsi="David"/>
          <w:b/>
          <w:rtl/>
        </w:rPr>
      </w:pPr>
      <w:r>
        <w:rPr>
          <w:rFonts w:ascii="David" w:hAnsi="David"/>
          <w:b/>
          <w:rtl/>
        </w:rPr>
        <w:t>לאור האמור, בהעדר כל טענה לסתור לעניין סכום הכסף שנתפס, יש בנסיבות כדי ללמד על זיקה ישירה בין הסמים שנתפסו ברכב לבין סכום הכסף המזומן ולפיכך באתי למסקנה כי יש להורות על חילוטו.</w:t>
      </w:r>
    </w:p>
    <w:p w14:paraId="6ED2C8E8" w14:textId="77777777" w:rsidR="00C500ED" w:rsidRDefault="00C500ED" w:rsidP="00C500ED">
      <w:pPr>
        <w:spacing w:line="360" w:lineRule="auto"/>
        <w:ind w:left="720"/>
        <w:jc w:val="both"/>
        <w:rPr>
          <w:rFonts w:ascii="David" w:hAnsi="David"/>
          <w:b/>
          <w:rtl/>
        </w:rPr>
      </w:pPr>
      <w:r>
        <w:rPr>
          <w:rFonts w:ascii="David" w:hAnsi="David"/>
          <w:b/>
          <w:rtl/>
        </w:rPr>
        <w:t>שונה הדבר ביחס לרכב בו נתפסו הסמים. נטען על ידי ההגנה כי עניין הבעלות ברכב אינה מבוררת עד תום וכי הרכב אינו בבעלותו של הנאשם. הגם שעניין הבעלות מהווה אחד התנאים לחילוט הרכב, הרי שטענה זו נטענה בשפה רפה, לא הוצגו מסמכים מאמתים מצד הנאשם ואין בה כדי להצדיק הימנעות מחילוט הרכב שעה שהנאשם נתפס נוהג ברכב ובו הסמים.</w:t>
      </w:r>
    </w:p>
    <w:p w14:paraId="2772564E" w14:textId="77777777" w:rsidR="00C500ED" w:rsidRDefault="00C500ED" w:rsidP="00C500ED">
      <w:pPr>
        <w:spacing w:line="360" w:lineRule="auto"/>
        <w:ind w:left="720"/>
        <w:jc w:val="both"/>
        <w:rPr>
          <w:rFonts w:ascii="David" w:hAnsi="David"/>
          <w:b/>
          <w:rtl/>
        </w:rPr>
      </w:pPr>
      <w:r>
        <w:rPr>
          <w:rFonts w:ascii="David" w:hAnsi="David"/>
          <w:b/>
          <w:rtl/>
        </w:rPr>
        <w:t xml:space="preserve">עם זאת, מצאתי כי מקרה זה אינו מצדיק את חילוט הרכב בשל עיקרון המידתיות. </w:t>
      </w:r>
      <w:hyperlink r:id="rId28" w:history="1">
        <w:r w:rsidR="002A1F04" w:rsidRPr="002A1F04">
          <w:rPr>
            <w:rStyle w:val="Hyperlink"/>
            <w:rFonts w:ascii="David" w:hAnsi="David"/>
            <w:b/>
            <w:color w:val="0000FF"/>
            <w:rtl/>
          </w:rPr>
          <w:t>סעיף 39</w:t>
        </w:r>
      </w:hyperlink>
      <w:r>
        <w:rPr>
          <w:rFonts w:ascii="David" w:hAnsi="David"/>
          <w:b/>
          <w:rtl/>
        </w:rPr>
        <w:t xml:space="preserve"> לפסד"פ מותיר את שיקול הדעת לבית המשפט בשאלת החילוט. ככל הוראה עונשית, יש להעניק להוראת חוק זו פרשנות מצמצמת, שכן נועדה לפגוע במעורבים במעשה הפלילי עצמו ולא באלה שאין להם זיקה אליו או שזיקתם רופפת. עוד נקבע כי בית המשפט נדרש גם לשאלה של מידתיות בין חילוט הרכוש לבין מהות וטיב העבירות (ר' </w:t>
      </w:r>
      <w:hyperlink r:id="rId29" w:history="1">
        <w:r w:rsidR="008E66EF" w:rsidRPr="008E66EF">
          <w:rPr>
            <w:rFonts w:ascii="David" w:hAnsi="David"/>
            <w:b/>
            <w:color w:val="0000FF"/>
            <w:u w:val="single"/>
            <w:rtl/>
          </w:rPr>
          <w:t>ע"פ 1982/93</w:t>
        </w:r>
      </w:hyperlink>
      <w:r>
        <w:rPr>
          <w:rFonts w:ascii="David" w:hAnsi="David"/>
          <w:b/>
          <w:rtl/>
        </w:rPr>
        <w:t xml:space="preserve"> </w:t>
      </w:r>
      <w:r>
        <w:rPr>
          <w:rFonts w:ascii="David" w:hAnsi="David"/>
          <w:bCs/>
          <w:rtl/>
        </w:rPr>
        <w:t>בנק לאומי לישראל בע"מ נגד מדינת ישראל</w:t>
      </w:r>
      <w:r>
        <w:rPr>
          <w:rFonts w:ascii="David" w:hAnsi="David"/>
          <w:b/>
          <w:rtl/>
        </w:rPr>
        <w:t xml:space="preserve">, ר' </w:t>
      </w:r>
      <w:hyperlink r:id="rId30" w:history="1">
        <w:r w:rsidR="008E66EF" w:rsidRPr="008E66EF">
          <w:rPr>
            <w:rFonts w:ascii="David" w:hAnsi="David"/>
            <w:b/>
            <w:color w:val="0000FF"/>
            <w:u w:val="single"/>
            <w:rtl/>
          </w:rPr>
          <w:t>ת"פ (קריות) 42812-08-10</w:t>
        </w:r>
      </w:hyperlink>
      <w:r>
        <w:rPr>
          <w:rFonts w:ascii="David" w:hAnsi="David"/>
          <w:b/>
          <w:rtl/>
        </w:rPr>
        <w:t xml:space="preserve"> </w:t>
      </w:r>
      <w:r>
        <w:rPr>
          <w:rFonts w:ascii="David" w:hAnsi="David"/>
          <w:bCs/>
          <w:rtl/>
        </w:rPr>
        <w:t>מדינת ישראל נגד נפתלייב</w:t>
      </w:r>
      <w:r>
        <w:rPr>
          <w:rFonts w:ascii="David" w:hAnsi="David"/>
          <w:b/>
          <w:rtl/>
        </w:rPr>
        <w:t xml:space="preserve">). </w:t>
      </w:r>
    </w:p>
    <w:p w14:paraId="6865C912" w14:textId="77777777" w:rsidR="00C500ED" w:rsidRDefault="00C500ED" w:rsidP="00C500ED">
      <w:pPr>
        <w:spacing w:line="360" w:lineRule="auto"/>
        <w:ind w:left="720"/>
        <w:jc w:val="both"/>
        <w:rPr>
          <w:rFonts w:ascii="David" w:hAnsi="David"/>
          <w:b/>
          <w:rtl/>
        </w:rPr>
      </w:pPr>
      <w:r>
        <w:rPr>
          <w:rFonts w:ascii="David" w:hAnsi="David"/>
          <w:b/>
          <w:rtl/>
        </w:rPr>
        <w:t xml:space="preserve">על בית המשפט להביא בין כלל הנתונים את שווי הרכב, כאשר בנסיבות העניין שבפני מדובר ברכב ששוויו עולה עשרות מונים על הרווח הכספי שניתן היה לקבל מהפצת הסמים שנתפסו בשים לב לכמות הסמים וסוג הסם. חילוט הרכב במקרה שבפני, נוכח שוויו עלול להביא לתוצאה עונשית בלתי מידתית. </w:t>
      </w:r>
      <w:r>
        <w:rPr>
          <w:rFonts w:ascii="David" w:hAnsi="David" w:hint="cs"/>
          <w:b/>
          <w:rtl/>
        </w:rPr>
        <w:t xml:space="preserve">עם זאת, ולצורך הרתעת היחיד והרבים, יובהר כי בית המשפט מוצא לנכון בבחינת "אין עונשין אלא אם כי מזהירין" כי במקרים דומים בהם ייעשה שימוש ברכב לצורך הובלת סמים, לא יהסס בית המשפט לחלט רכבים גם אלו בעלי שווי כספי רב והדבר יבוצע על מנת להרתיע מביצוע עבירות חוזרות על פקודת הסמים שעניינן הפצת הסם. </w:t>
      </w:r>
    </w:p>
    <w:p w14:paraId="23DFB678" w14:textId="77777777" w:rsidR="00C500ED" w:rsidRDefault="00C500ED" w:rsidP="00C500ED">
      <w:pPr>
        <w:spacing w:line="360" w:lineRule="auto"/>
        <w:ind w:left="720"/>
        <w:jc w:val="both"/>
        <w:rPr>
          <w:rFonts w:ascii="David" w:hAnsi="David"/>
          <w:b/>
          <w:rtl/>
        </w:rPr>
      </w:pPr>
      <w:r>
        <w:rPr>
          <w:rFonts w:ascii="David" w:hAnsi="David" w:hint="cs"/>
          <w:b/>
          <w:rtl/>
        </w:rPr>
        <w:t>במקרה שבפני ו</w:t>
      </w:r>
      <w:r>
        <w:rPr>
          <w:rFonts w:ascii="David" w:hAnsi="David"/>
          <w:b/>
          <w:rtl/>
        </w:rPr>
        <w:t xml:space="preserve">נוכח כל האמור לעיל, מצאתי להימנע מחילוט הרכב. חלף כך, מצאתי להטיל קנס כספי ברף גבוה שישקף </w:t>
      </w:r>
      <w:r>
        <w:rPr>
          <w:rFonts w:ascii="David" w:hAnsi="David" w:hint="cs"/>
          <w:b/>
          <w:rtl/>
        </w:rPr>
        <w:t>את שוויו היחסי של הרכב וכן את ה</w:t>
      </w:r>
      <w:r>
        <w:rPr>
          <w:rFonts w:ascii="David" w:hAnsi="David"/>
          <w:b/>
          <w:rtl/>
        </w:rPr>
        <w:t xml:space="preserve">רווח </w:t>
      </w:r>
      <w:r>
        <w:rPr>
          <w:rFonts w:ascii="David" w:hAnsi="David" w:hint="cs"/>
          <w:b/>
          <w:rtl/>
        </w:rPr>
        <w:t>ה</w:t>
      </w:r>
      <w:r>
        <w:rPr>
          <w:rFonts w:ascii="David" w:hAnsi="David"/>
          <w:b/>
          <w:rtl/>
        </w:rPr>
        <w:t xml:space="preserve">כלכלי </w:t>
      </w:r>
      <w:r>
        <w:rPr>
          <w:rFonts w:ascii="David" w:hAnsi="David" w:hint="cs"/>
          <w:b/>
          <w:rtl/>
        </w:rPr>
        <w:t>ה</w:t>
      </w:r>
      <w:r>
        <w:rPr>
          <w:rFonts w:ascii="David" w:hAnsi="David"/>
          <w:b/>
          <w:rtl/>
        </w:rPr>
        <w:t xml:space="preserve">פסול בגין הפצת הסמים.   </w:t>
      </w:r>
    </w:p>
    <w:p w14:paraId="5867E7E5" w14:textId="77777777" w:rsidR="00C500ED" w:rsidRDefault="00C500ED" w:rsidP="00C500ED">
      <w:pPr>
        <w:spacing w:line="360" w:lineRule="auto"/>
        <w:ind w:left="720"/>
        <w:jc w:val="both"/>
        <w:rPr>
          <w:rFonts w:ascii="David" w:hAnsi="David"/>
          <w:b/>
          <w:rtl/>
        </w:rPr>
      </w:pPr>
    </w:p>
    <w:p w14:paraId="25380EEA" w14:textId="77777777" w:rsidR="00C500ED" w:rsidRDefault="00C500ED" w:rsidP="00C500ED">
      <w:pPr>
        <w:numPr>
          <w:ilvl w:val="0"/>
          <w:numId w:val="2"/>
        </w:numPr>
        <w:spacing w:after="160" w:line="360" w:lineRule="auto"/>
        <w:jc w:val="both"/>
        <w:rPr>
          <w:rFonts w:ascii="David" w:hAnsi="David"/>
          <w:rtl/>
        </w:rPr>
      </w:pPr>
      <w:r>
        <w:rPr>
          <w:rFonts w:ascii="David" w:hAnsi="David"/>
          <w:b/>
          <w:bCs/>
          <w:u w:val="single"/>
          <w:rtl/>
        </w:rPr>
        <w:t>אשר על-כן, אני גוזר על הנאשם את העונשים הבאים</w:t>
      </w:r>
      <w:r>
        <w:rPr>
          <w:rFonts w:ascii="David" w:hAnsi="David"/>
          <w:rtl/>
        </w:rPr>
        <w:t>:</w:t>
      </w:r>
    </w:p>
    <w:p w14:paraId="72A0EEDC" w14:textId="77777777" w:rsidR="00C500ED" w:rsidRDefault="00C500ED" w:rsidP="00C500ED">
      <w:pPr>
        <w:spacing w:line="360" w:lineRule="auto"/>
        <w:ind w:left="360"/>
        <w:jc w:val="both"/>
        <w:rPr>
          <w:rFonts w:ascii="David" w:hAnsi="David"/>
          <w:rtl/>
        </w:rPr>
      </w:pPr>
      <w:r>
        <w:rPr>
          <w:rFonts w:ascii="David" w:hAnsi="David" w:hint="cs"/>
          <w:b/>
          <w:bCs/>
          <w:rtl/>
        </w:rPr>
        <w:t>א.</w:t>
      </w:r>
      <w:r>
        <w:rPr>
          <w:rFonts w:ascii="David" w:hAnsi="David"/>
          <w:b/>
          <w:bCs/>
          <w:rtl/>
        </w:rPr>
        <w:tab/>
        <w:t>11 חודשי מאסר בפועל</w:t>
      </w:r>
      <w:r>
        <w:rPr>
          <w:rFonts w:ascii="David" w:hAnsi="David"/>
          <w:rtl/>
        </w:rPr>
        <w:t xml:space="preserve"> בניכוי ימי מעצרו. </w:t>
      </w:r>
    </w:p>
    <w:p w14:paraId="22F8758B" w14:textId="77777777" w:rsidR="00C500ED" w:rsidRDefault="00C500ED" w:rsidP="00C500ED">
      <w:pPr>
        <w:spacing w:line="360" w:lineRule="auto"/>
        <w:ind w:left="720" w:hanging="360"/>
        <w:jc w:val="both"/>
        <w:rPr>
          <w:rFonts w:ascii="David" w:hAnsi="David"/>
          <w:rtl/>
        </w:rPr>
      </w:pPr>
    </w:p>
    <w:p w14:paraId="30C226A5" w14:textId="77777777" w:rsidR="00C500ED" w:rsidRDefault="00C500ED" w:rsidP="00C500ED">
      <w:pPr>
        <w:spacing w:line="360" w:lineRule="auto"/>
        <w:ind w:left="720" w:hanging="360"/>
        <w:jc w:val="both"/>
        <w:rPr>
          <w:rFonts w:ascii="David" w:hAnsi="David"/>
          <w:rtl/>
        </w:rPr>
      </w:pPr>
      <w:r>
        <w:rPr>
          <w:rFonts w:ascii="David" w:hAnsi="David" w:hint="cs"/>
          <w:rtl/>
        </w:rPr>
        <w:t>ב.</w:t>
      </w:r>
      <w:r>
        <w:rPr>
          <w:rFonts w:ascii="David" w:hAnsi="David"/>
          <w:rtl/>
        </w:rPr>
        <w:tab/>
        <w:t>7 חודשים מאסר על תנאי למשך 3 שנים מיום שחרורו שלא יעבור עבירה על פקודת הסמים מסוג פשע.</w:t>
      </w:r>
    </w:p>
    <w:p w14:paraId="235156EB" w14:textId="77777777" w:rsidR="00C500ED" w:rsidRDefault="00C500ED" w:rsidP="00C500ED">
      <w:pPr>
        <w:spacing w:line="360" w:lineRule="auto"/>
        <w:ind w:left="720" w:hanging="360"/>
        <w:jc w:val="both"/>
        <w:rPr>
          <w:rFonts w:ascii="David" w:hAnsi="David"/>
          <w:rtl/>
        </w:rPr>
      </w:pPr>
    </w:p>
    <w:p w14:paraId="02803A16" w14:textId="77777777" w:rsidR="00C500ED" w:rsidRDefault="00C500ED" w:rsidP="00C500ED">
      <w:pPr>
        <w:spacing w:line="360" w:lineRule="auto"/>
        <w:ind w:left="720" w:hanging="360"/>
        <w:jc w:val="both"/>
        <w:rPr>
          <w:rFonts w:ascii="David" w:hAnsi="David"/>
          <w:rtl/>
        </w:rPr>
      </w:pPr>
      <w:r>
        <w:rPr>
          <w:rFonts w:ascii="David" w:hAnsi="David" w:hint="cs"/>
          <w:rtl/>
        </w:rPr>
        <w:t>ג.</w:t>
      </w:r>
      <w:r>
        <w:rPr>
          <w:rFonts w:ascii="David" w:hAnsi="David"/>
          <w:rtl/>
        </w:rPr>
        <w:tab/>
        <w:t xml:space="preserve">3 חודשים מאסר על תנאי למשך 3 שנים מיום שחרורו שלא יעבור עבירה על </w:t>
      </w:r>
      <w:hyperlink r:id="rId31" w:history="1">
        <w:r w:rsidR="008E66EF" w:rsidRPr="008E66EF">
          <w:rPr>
            <w:rFonts w:ascii="David" w:hAnsi="David"/>
            <w:color w:val="0000FF"/>
            <w:u w:val="single"/>
            <w:rtl/>
          </w:rPr>
          <w:t>פקודת הסמים המסוכנים</w:t>
        </w:r>
      </w:hyperlink>
      <w:r>
        <w:rPr>
          <w:rFonts w:ascii="David" w:hAnsi="David"/>
          <w:rtl/>
        </w:rPr>
        <w:t xml:space="preserve"> מסוג עוון. </w:t>
      </w:r>
    </w:p>
    <w:p w14:paraId="0C4100C3" w14:textId="77777777" w:rsidR="00C500ED" w:rsidRDefault="00C500ED" w:rsidP="00C500ED">
      <w:pPr>
        <w:spacing w:line="360" w:lineRule="auto"/>
        <w:ind w:left="720" w:hanging="360"/>
        <w:jc w:val="both"/>
        <w:rPr>
          <w:rFonts w:ascii="David" w:hAnsi="David"/>
          <w:rtl/>
        </w:rPr>
      </w:pPr>
    </w:p>
    <w:p w14:paraId="34C6F71C" w14:textId="77777777" w:rsidR="00C500ED" w:rsidRDefault="00C500ED" w:rsidP="00C500ED">
      <w:pPr>
        <w:spacing w:line="360" w:lineRule="auto"/>
        <w:ind w:left="720" w:hanging="360"/>
        <w:jc w:val="both"/>
        <w:rPr>
          <w:rFonts w:ascii="David" w:hAnsi="David"/>
          <w:rtl/>
        </w:rPr>
      </w:pPr>
      <w:r>
        <w:rPr>
          <w:rFonts w:ascii="David" w:hAnsi="David" w:hint="cs"/>
          <w:rtl/>
        </w:rPr>
        <w:t>ד.</w:t>
      </w:r>
      <w:r>
        <w:rPr>
          <w:rFonts w:ascii="David" w:hAnsi="David"/>
          <w:rtl/>
        </w:rPr>
        <w:tab/>
        <w:t xml:space="preserve">קנס בסך </w:t>
      </w:r>
      <w:r>
        <w:rPr>
          <w:rFonts w:ascii="David" w:hAnsi="David" w:hint="cs"/>
          <w:rtl/>
        </w:rPr>
        <w:t>85</w:t>
      </w:r>
      <w:r>
        <w:rPr>
          <w:rFonts w:ascii="David" w:hAnsi="David"/>
          <w:rtl/>
        </w:rPr>
        <w:t>,000 ₪</w:t>
      </w:r>
      <w:r>
        <w:rPr>
          <w:rFonts w:ascii="David" w:hAnsi="David" w:hint="cs"/>
          <w:rtl/>
        </w:rPr>
        <w:t xml:space="preserve"> או 6 חודשי מאסר חלף כך. </w:t>
      </w:r>
      <w:r>
        <w:rPr>
          <w:rFonts w:ascii="David" w:hAnsi="David"/>
          <w:rtl/>
        </w:rPr>
        <w:t>הקנס ישולם ב</w:t>
      </w:r>
      <w:r>
        <w:rPr>
          <w:rFonts w:ascii="David" w:hAnsi="David" w:hint="cs"/>
          <w:rtl/>
        </w:rPr>
        <w:t>-17</w:t>
      </w:r>
      <w:r>
        <w:rPr>
          <w:rFonts w:ascii="David" w:hAnsi="David"/>
          <w:rtl/>
        </w:rPr>
        <w:t xml:space="preserve"> תשלומים חודשים שווים ורצופים, החל מיום 01.05.25. ובראשון לכל חודש שאחריו עד סיום מלוא התשלום.</w:t>
      </w:r>
    </w:p>
    <w:p w14:paraId="5002B578" w14:textId="77777777" w:rsidR="00C500ED" w:rsidRDefault="00C500ED" w:rsidP="00C500ED">
      <w:pPr>
        <w:spacing w:line="360" w:lineRule="auto"/>
        <w:ind w:firstLine="720"/>
        <w:jc w:val="both"/>
      </w:pPr>
      <w:r>
        <w:rPr>
          <w:rFonts w:hint="cs"/>
          <w:rtl/>
        </w:rPr>
        <w:t xml:space="preserve">את הקנס ניתן לשלם באחת מהדרכים הבאות: </w:t>
      </w:r>
    </w:p>
    <w:p w14:paraId="12F8920D" w14:textId="77777777" w:rsidR="00C500ED" w:rsidRDefault="00C500ED" w:rsidP="00C500ED">
      <w:pPr>
        <w:numPr>
          <w:ilvl w:val="0"/>
          <w:numId w:val="3"/>
        </w:numPr>
        <w:spacing w:line="360" w:lineRule="auto"/>
        <w:jc w:val="both"/>
      </w:pPr>
      <w:r>
        <w:rPr>
          <w:rFonts w:hint="cs"/>
          <w:rtl/>
        </w:rPr>
        <w:t xml:space="preserve">בכרטיס אשראי – באתר המקוון של רשות האכיפה והגבייה, </w:t>
      </w:r>
      <w:hyperlink r:id="rId32" w:history="1">
        <w:r>
          <w:rPr>
            <w:rStyle w:val="Hyperlink"/>
          </w:rPr>
          <w:t>www.eca.gov.il</w:t>
        </w:r>
      </w:hyperlink>
      <w:r>
        <w:t xml:space="preserve"> </w:t>
      </w:r>
      <w:r>
        <w:rPr>
          <w:rFonts w:hint="cs"/>
          <w:rtl/>
        </w:rPr>
        <w:t>.</w:t>
      </w:r>
    </w:p>
    <w:p w14:paraId="6507C999" w14:textId="77777777" w:rsidR="00C500ED" w:rsidRDefault="00C500ED" w:rsidP="00C500ED">
      <w:pPr>
        <w:numPr>
          <w:ilvl w:val="0"/>
          <w:numId w:val="3"/>
        </w:numPr>
        <w:spacing w:line="360" w:lineRule="auto"/>
        <w:jc w:val="both"/>
      </w:pPr>
      <w:r>
        <w:rPr>
          <w:rFonts w:hint="cs"/>
          <w:rtl/>
        </w:rPr>
        <w:t>מוקד שירות טלפוני בשרות עצמי (מרכז גבייה)</w:t>
      </w:r>
      <w:r w:rsidR="008E66EF">
        <w:rPr>
          <w:rFonts w:hint="cs"/>
          <w:rtl/>
        </w:rPr>
        <w:t xml:space="preserve"> </w:t>
      </w:r>
      <w:r>
        <w:rPr>
          <w:rFonts w:hint="cs"/>
          <w:rtl/>
        </w:rPr>
        <w:t xml:space="preserve"> – בטלפון 35592* או בטלפון 073-2055000.</w:t>
      </w:r>
    </w:p>
    <w:p w14:paraId="76CDDA5B" w14:textId="77777777" w:rsidR="00C500ED" w:rsidRDefault="00C500ED" w:rsidP="00C500ED">
      <w:pPr>
        <w:numPr>
          <w:ilvl w:val="0"/>
          <w:numId w:val="3"/>
        </w:numPr>
        <w:spacing w:line="360" w:lineRule="auto"/>
        <w:jc w:val="both"/>
      </w:pPr>
      <w:r>
        <w:rPr>
          <w:rFonts w:hint="cs"/>
          <w:rtl/>
        </w:rPr>
        <w:t>במזומן בכל סניף של בנק הדואר – בהצגת תעודת זהות בלבד (אין צורך בהצגת בשוברי תשלום).</w:t>
      </w:r>
    </w:p>
    <w:p w14:paraId="523EC4DA" w14:textId="77777777" w:rsidR="00C500ED" w:rsidRDefault="00C500ED" w:rsidP="00C500ED">
      <w:pPr>
        <w:spacing w:line="360" w:lineRule="auto"/>
        <w:ind w:left="1080"/>
        <w:jc w:val="both"/>
        <w:rPr>
          <w:rtl/>
        </w:rPr>
      </w:pPr>
    </w:p>
    <w:p w14:paraId="4D12B955" w14:textId="77777777" w:rsidR="00C500ED" w:rsidRDefault="00C500ED" w:rsidP="00C500ED">
      <w:pPr>
        <w:spacing w:line="360" w:lineRule="auto"/>
        <w:ind w:left="720" w:hanging="360"/>
        <w:jc w:val="both"/>
        <w:rPr>
          <w:rFonts w:ascii="David" w:hAnsi="David"/>
          <w:rtl/>
        </w:rPr>
      </w:pPr>
      <w:r>
        <w:rPr>
          <w:rFonts w:ascii="David" w:hAnsi="David" w:hint="cs"/>
          <w:rtl/>
        </w:rPr>
        <w:t>ה.</w:t>
      </w:r>
      <w:r>
        <w:rPr>
          <w:rFonts w:ascii="David" w:hAnsi="David"/>
          <w:rtl/>
        </w:rPr>
        <w:tab/>
      </w:r>
      <w:r>
        <w:rPr>
          <w:rFonts w:ascii="David" w:hAnsi="David" w:hint="cs"/>
          <w:rtl/>
        </w:rPr>
        <w:t>מורה על חילוט סך של 5,077.50 ₪ לטובת קרן החילוט למלחמה בסמים.</w:t>
      </w:r>
    </w:p>
    <w:p w14:paraId="625CDF6C" w14:textId="77777777" w:rsidR="00C500ED" w:rsidRDefault="00C500ED" w:rsidP="00C500ED">
      <w:pPr>
        <w:spacing w:line="360" w:lineRule="auto"/>
        <w:ind w:left="720" w:hanging="360"/>
        <w:jc w:val="both"/>
        <w:rPr>
          <w:rFonts w:ascii="David" w:hAnsi="David"/>
          <w:rtl/>
        </w:rPr>
      </w:pPr>
    </w:p>
    <w:p w14:paraId="1FF42181" w14:textId="77777777" w:rsidR="00C500ED" w:rsidRDefault="00C500ED" w:rsidP="00C500ED">
      <w:pPr>
        <w:spacing w:line="360" w:lineRule="auto"/>
        <w:ind w:left="720" w:hanging="360"/>
        <w:jc w:val="both"/>
        <w:rPr>
          <w:rFonts w:ascii="David" w:hAnsi="David"/>
          <w:rtl/>
        </w:rPr>
      </w:pPr>
      <w:r>
        <w:rPr>
          <w:rFonts w:ascii="David" w:hAnsi="David" w:hint="cs"/>
          <w:rtl/>
        </w:rPr>
        <w:t>ו.</w:t>
      </w:r>
      <w:r>
        <w:rPr>
          <w:rFonts w:ascii="David" w:hAnsi="David"/>
          <w:rtl/>
        </w:rPr>
        <w:tab/>
        <w:t xml:space="preserve">התחייבות על סך 5,000 ₪ להימנע מביצוע כל עבירה על </w:t>
      </w:r>
      <w:hyperlink r:id="rId33" w:history="1">
        <w:r w:rsidR="008E66EF" w:rsidRPr="008E66EF">
          <w:rPr>
            <w:rFonts w:ascii="David" w:hAnsi="David"/>
            <w:color w:val="0000FF"/>
            <w:u w:val="single"/>
            <w:rtl/>
          </w:rPr>
          <w:t>פקודת הסמים המסוכנים</w:t>
        </w:r>
      </w:hyperlink>
      <w:r>
        <w:rPr>
          <w:rFonts w:ascii="David" w:hAnsi="David"/>
          <w:rtl/>
        </w:rPr>
        <w:t xml:space="preserve"> למשך שנתיים מיום שחרורו.</w:t>
      </w:r>
      <w:r>
        <w:rPr>
          <w:rFonts w:ascii="David" w:hAnsi="David" w:hint="cs"/>
          <w:rtl/>
        </w:rPr>
        <w:t xml:space="preserve"> </w:t>
      </w:r>
      <w:r>
        <w:rPr>
          <w:rFonts w:ascii="David" w:hAnsi="David" w:hint="cs"/>
          <w:b/>
          <w:bCs/>
          <w:rtl/>
        </w:rPr>
        <w:t>[ההתחייבות תוצהר לפרוטוקול]</w:t>
      </w:r>
      <w:r>
        <w:rPr>
          <w:rFonts w:ascii="David" w:hAnsi="David" w:hint="cs"/>
          <w:rtl/>
        </w:rPr>
        <w:t>.</w:t>
      </w:r>
    </w:p>
    <w:p w14:paraId="73B62196" w14:textId="77777777" w:rsidR="00C500ED" w:rsidRPr="00A33311" w:rsidRDefault="00C500ED" w:rsidP="00C500ED">
      <w:pPr>
        <w:spacing w:line="360" w:lineRule="auto"/>
        <w:ind w:left="720" w:hanging="360"/>
        <w:jc w:val="both"/>
        <w:rPr>
          <w:rFonts w:ascii="David" w:hAnsi="David"/>
          <w:rtl/>
        </w:rPr>
      </w:pPr>
    </w:p>
    <w:p w14:paraId="2D335B86" w14:textId="77777777" w:rsidR="00C500ED" w:rsidRDefault="00C500ED" w:rsidP="00C500ED">
      <w:pPr>
        <w:spacing w:line="360" w:lineRule="auto"/>
        <w:ind w:left="720" w:hanging="360"/>
        <w:jc w:val="both"/>
        <w:rPr>
          <w:rFonts w:ascii="David" w:hAnsi="David"/>
          <w:rtl/>
        </w:rPr>
      </w:pPr>
      <w:r>
        <w:rPr>
          <w:rFonts w:ascii="David" w:hAnsi="David" w:hint="cs"/>
          <w:rtl/>
        </w:rPr>
        <w:t>ז.</w:t>
      </w:r>
      <w:r>
        <w:rPr>
          <w:rFonts w:ascii="David" w:hAnsi="David"/>
          <w:rtl/>
        </w:rPr>
        <w:tab/>
        <w:t>פסילת רישיון נהיגה בפועל לתקופה של 6 חודשים</w:t>
      </w:r>
      <w:r>
        <w:rPr>
          <w:rFonts w:ascii="David" w:hAnsi="David" w:hint="cs"/>
          <w:rtl/>
        </w:rPr>
        <w:t xml:space="preserve"> מיום שחרורו. מובהר לנאשם כי עליו להפקיד את רישיון הנהיגה במזכירות בית המשפט מיד עם שחרורו הואיל והפסילה תיכנס לתוקף מיד עם שחרורו מהמאסר, אולם לא תימנה כל זמן שרישיון הנהיגה לא יופקד במזכירות בית המשפט.</w:t>
      </w:r>
    </w:p>
    <w:p w14:paraId="264AEA0A" w14:textId="77777777" w:rsidR="00C500ED" w:rsidRDefault="00C500ED" w:rsidP="00C500ED">
      <w:pPr>
        <w:spacing w:line="360" w:lineRule="auto"/>
        <w:ind w:left="360"/>
        <w:jc w:val="both"/>
        <w:rPr>
          <w:rFonts w:ascii="David" w:hAnsi="David"/>
          <w:rtl/>
        </w:rPr>
      </w:pPr>
    </w:p>
    <w:p w14:paraId="23014A9D" w14:textId="77777777" w:rsidR="00C500ED" w:rsidRDefault="00C500ED" w:rsidP="00C500ED">
      <w:pPr>
        <w:spacing w:line="360" w:lineRule="auto"/>
        <w:ind w:left="720" w:hanging="360"/>
        <w:jc w:val="both"/>
        <w:rPr>
          <w:rFonts w:ascii="David" w:hAnsi="David"/>
          <w:rtl/>
        </w:rPr>
      </w:pPr>
      <w:r>
        <w:rPr>
          <w:rFonts w:ascii="David" w:hAnsi="David" w:hint="cs"/>
          <w:rtl/>
        </w:rPr>
        <w:t>ח.</w:t>
      </w:r>
      <w:r>
        <w:rPr>
          <w:rFonts w:ascii="David" w:hAnsi="David"/>
          <w:rtl/>
        </w:rPr>
        <w:tab/>
        <w:t xml:space="preserve">פסילת רישיון נהיגה על תנאי למשך 6 חודשים לתקופה של שנתיים החל מיום שחרורו, ככל ויעבור עבירה כלשהיא על </w:t>
      </w:r>
      <w:hyperlink r:id="rId34" w:history="1">
        <w:r w:rsidR="008E66EF" w:rsidRPr="008E66EF">
          <w:rPr>
            <w:rFonts w:ascii="David" w:hAnsi="David"/>
            <w:color w:val="0000FF"/>
            <w:u w:val="single"/>
            <w:rtl/>
          </w:rPr>
          <w:t>פקודת הסמים המסוכנים</w:t>
        </w:r>
      </w:hyperlink>
      <w:r>
        <w:rPr>
          <w:rFonts w:ascii="David" w:hAnsi="David"/>
          <w:rtl/>
        </w:rPr>
        <w:t>.</w:t>
      </w:r>
    </w:p>
    <w:p w14:paraId="03983FBB" w14:textId="77777777" w:rsidR="00C500ED" w:rsidRDefault="00C500ED" w:rsidP="00C500ED">
      <w:pPr>
        <w:spacing w:line="360" w:lineRule="auto"/>
        <w:jc w:val="both"/>
        <w:rPr>
          <w:rFonts w:ascii="David" w:hAnsi="David"/>
          <w:rtl/>
        </w:rPr>
      </w:pPr>
    </w:p>
    <w:p w14:paraId="02D1A27C" w14:textId="77777777" w:rsidR="00C500ED" w:rsidRDefault="00C500ED" w:rsidP="00C500ED">
      <w:pPr>
        <w:spacing w:line="360" w:lineRule="auto"/>
        <w:jc w:val="both"/>
        <w:rPr>
          <w:rFonts w:ascii="David" w:hAnsi="David"/>
          <w:b/>
          <w:bCs/>
          <w:rtl/>
        </w:rPr>
      </w:pPr>
      <w:r w:rsidRPr="00A33311">
        <w:rPr>
          <w:rFonts w:ascii="David" w:hAnsi="David"/>
          <w:b/>
          <w:bCs/>
          <w:rtl/>
        </w:rPr>
        <w:t xml:space="preserve">מוצג הסמים, יושמדו. </w:t>
      </w:r>
    </w:p>
    <w:p w14:paraId="3F530F57" w14:textId="77777777" w:rsidR="00C500ED" w:rsidRDefault="00C500ED" w:rsidP="00C500ED">
      <w:pPr>
        <w:spacing w:line="360" w:lineRule="auto"/>
        <w:jc w:val="both"/>
        <w:rPr>
          <w:rFonts w:ascii="David" w:hAnsi="David"/>
          <w:b/>
          <w:bCs/>
          <w:rtl/>
        </w:rPr>
      </w:pPr>
    </w:p>
    <w:p w14:paraId="70806175" w14:textId="77777777" w:rsidR="00C500ED" w:rsidRDefault="008E66EF" w:rsidP="00C500ED">
      <w:pPr>
        <w:spacing w:line="360" w:lineRule="auto"/>
        <w:jc w:val="both"/>
        <w:rPr>
          <w:rFonts w:ascii="David" w:hAnsi="David"/>
          <w:rtl/>
        </w:rPr>
      </w:pPr>
      <w:r w:rsidRPr="008E66EF">
        <w:rPr>
          <w:rFonts w:ascii="David" w:hAnsi="David"/>
          <w:b/>
          <w:bCs/>
          <w:color w:val="FFFFFF"/>
          <w:sz w:val="2"/>
          <w:szCs w:val="2"/>
          <w:rtl/>
        </w:rPr>
        <w:t>5129371</w:t>
      </w:r>
      <w:r w:rsidR="00C500ED">
        <w:rPr>
          <w:rFonts w:ascii="David" w:hAnsi="David"/>
          <w:b/>
          <w:bCs/>
          <w:rtl/>
        </w:rPr>
        <w:t xml:space="preserve">הודעה זכות ערעור לבית-המשפט המחוזי תוך 45 ימים. </w:t>
      </w:r>
    </w:p>
    <w:p w14:paraId="0827C915" w14:textId="77777777" w:rsidR="00C500ED" w:rsidRPr="008E66EF" w:rsidRDefault="008E66EF" w:rsidP="00C500ED">
      <w:pPr>
        <w:rPr>
          <w:rFonts w:ascii="Arial" w:hAnsi="Arial"/>
          <w:b/>
          <w:bCs/>
          <w:color w:val="FFFFFF"/>
          <w:sz w:val="2"/>
          <w:szCs w:val="2"/>
          <w:rtl/>
        </w:rPr>
      </w:pPr>
      <w:r w:rsidRPr="008E66EF">
        <w:rPr>
          <w:rFonts w:ascii="Arial" w:hAnsi="Arial"/>
          <w:b/>
          <w:bCs/>
          <w:color w:val="FFFFFF"/>
          <w:sz w:val="2"/>
          <w:szCs w:val="2"/>
          <w:rtl/>
        </w:rPr>
        <w:t>54678313</w:t>
      </w:r>
    </w:p>
    <w:p w14:paraId="7959DC9A" w14:textId="77777777" w:rsidR="00C500ED" w:rsidRDefault="00C500ED" w:rsidP="00C500ED">
      <w:pPr>
        <w:rPr>
          <w:rFonts w:ascii="Arial" w:hAnsi="Arial"/>
          <w:b/>
          <w:bCs/>
          <w:sz w:val="26"/>
          <w:szCs w:val="26"/>
          <w:rtl/>
        </w:rPr>
      </w:pPr>
    </w:p>
    <w:p w14:paraId="07710612" w14:textId="77777777" w:rsidR="00C500ED" w:rsidRPr="000F2247" w:rsidRDefault="008E66EF" w:rsidP="00C500E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שבט תשפ"ה, 26 פברואר 2025, בהעדר הצדדים. </w:t>
      </w:r>
      <w:bookmarkEnd w:id="8"/>
      <w:r w:rsidR="00C500ED">
        <w:rPr>
          <w:rFonts w:ascii="Arial" w:hAnsi="Arial"/>
          <w:b/>
          <w:bCs/>
          <w:sz w:val="26"/>
          <w:szCs w:val="26"/>
          <w:rtl/>
        </w:rPr>
        <w:tab/>
      </w:r>
      <w:r w:rsidR="00C500ED">
        <w:rPr>
          <w:rFonts w:ascii="Arial" w:hAnsi="Arial"/>
          <w:b/>
          <w:bCs/>
          <w:sz w:val="26"/>
          <w:szCs w:val="26"/>
          <w:rtl/>
        </w:rPr>
        <w:tab/>
      </w:r>
      <w:r w:rsidR="00C500ED">
        <w:rPr>
          <w:rFonts w:ascii="Arial" w:hAnsi="Arial"/>
          <w:b/>
          <w:bCs/>
          <w:sz w:val="26"/>
          <w:szCs w:val="26"/>
          <w:rtl/>
        </w:rPr>
        <w:tab/>
      </w:r>
      <w:r w:rsidR="00C500ED">
        <w:rPr>
          <w:rFonts w:ascii="Arial" w:hAnsi="Arial"/>
          <w:b/>
          <w:bCs/>
          <w:sz w:val="26"/>
          <w:szCs w:val="26"/>
          <w:rtl/>
        </w:rPr>
        <w:tab/>
      </w:r>
      <w:r w:rsidR="00C500ED">
        <w:rPr>
          <w:rFonts w:ascii="Arial" w:hAnsi="Arial"/>
          <w:b/>
          <w:bCs/>
          <w:sz w:val="26"/>
          <w:szCs w:val="26"/>
          <w:rtl/>
        </w:rPr>
        <w:tab/>
      </w:r>
      <w:r w:rsidR="00C500ED">
        <w:rPr>
          <w:rFonts w:ascii="Arial" w:hAnsi="Arial"/>
          <w:b/>
          <w:bCs/>
          <w:sz w:val="26"/>
          <w:szCs w:val="26"/>
          <w:rtl/>
        </w:rPr>
        <w:tab/>
      </w:r>
      <w:r w:rsidR="00C500ED">
        <w:rPr>
          <w:rFonts w:ascii="Arial" w:hAnsi="Arial"/>
          <w:b/>
          <w:bCs/>
          <w:sz w:val="26"/>
          <w:szCs w:val="26"/>
          <w:rtl/>
        </w:rPr>
        <w:tab/>
      </w:r>
      <w:r w:rsidR="00C500ED">
        <w:rPr>
          <w:rFonts w:ascii="Arial" w:hAnsi="Arial" w:hint="cs"/>
          <w:b/>
          <w:bCs/>
          <w:sz w:val="26"/>
          <w:szCs w:val="26"/>
          <w:rtl/>
        </w:rPr>
        <w:t xml:space="preserve">         </w:t>
      </w:r>
    </w:p>
    <w:p w14:paraId="1602996A" w14:textId="77777777" w:rsidR="008E66EF" w:rsidRDefault="008E66EF" w:rsidP="008E66EF">
      <w:pPr>
        <w:rPr>
          <w:rtl/>
        </w:rPr>
      </w:pPr>
    </w:p>
    <w:p w14:paraId="7CC425CF" w14:textId="77777777" w:rsidR="008E66EF" w:rsidRDefault="008E66EF" w:rsidP="008E66EF">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0BEB8025" w14:textId="77777777" w:rsidR="002A1F04" w:rsidRPr="002A1F04" w:rsidRDefault="002A1F04" w:rsidP="002A1F04">
      <w:pPr>
        <w:keepNext/>
        <w:rPr>
          <w:rFonts w:ascii="David" w:hAnsi="David"/>
          <w:color w:val="000000"/>
          <w:sz w:val="22"/>
          <w:szCs w:val="22"/>
          <w:rtl/>
        </w:rPr>
      </w:pPr>
    </w:p>
    <w:p w14:paraId="649FCE5A" w14:textId="77777777" w:rsidR="002A1F04" w:rsidRPr="002A1F04" w:rsidRDefault="002A1F04" w:rsidP="002A1F04">
      <w:pPr>
        <w:keepNext/>
        <w:rPr>
          <w:rFonts w:ascii="David" w:hAnsi="David"/>
          <w:color w:val="000000"/>
          <w:sz w:val="22"/>
          <w:szCs w:val="22"/>
          <w:rtl/>
        </w:rPr>
      </w:pPr>
      <w:r w:rsidRPr="002A1F04">
        <w:rPr>
          <w:rFonts w:ascii="David" w:hAnsi="David"/>
          <w:color w:val="000000"/>
          <w:sz w:val="22"/>
          <w:szCs w:val="22"/>
          <w:rtl/>
        </w:rPr>
        <w:t>אבישי כהן 54678313-/</w:t>
      </w:r>
    </w:p>
    <w:p w14:paraId="61BC3466" w14:textId="77777777" w:rsidR="008E66EF" w:rsidRPr="008E66EF" w:rsidRDefault="002A1F04" w:rsidP="002A1F04">
      <w:pPr>
        <w:rPr>
          <w:color w:val="0000FF"/>
          <w:u w:val="single"/>
        </w:rPr>
      </w:pPr>
      <w:r w:rsidRPr="002A1F04">
        <w:rPr>
          <w:color w:val="000000"/>
          <w:u w:val="single"/>
          <w:rtl/>
        </w:rPr>
        <w:t>נוסח מסמך זה כפוף לשינויי ניסוח ועריכה</w:t>
      </w:r>
    </w:p>
    <w:sectPr w:rsidR="008E66EF" w:rsidRPr="008E66EF" w:rsidSect="002A1F04">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281D7" w14:textId="77777777" w:rsidR="00597E71" w:rsidRDefault="00597E71" w:rsidP="005E4BED">
      <w:r>
        <w:separator/>
      </w:r>
    </w:p>
  </w:endnote>
  <w:endnote w:type="continuationSeparator" w:id="0">
    <w:p w14:paraId="3BB19F5B" w14:textId="77777777" w:rsidR="00597E71" w:rsidRDefault="00597E71" w:rsidP="005E4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878F7" w14:textId="77777777" w:rsidR="002A1F04" w:rsidRDefault="002A1F04" w:rsidP="002A1F04">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4265507B" w14:textId="77777777" w:rsidR="00687480" w:rsidRPr="002A1F04" w:rsidRDefault="002A1F04" w:rsidP="002A1F04">
    <w:pPr>
      <w:pStyle w:val="a6"/>
      <w:pBdr>
        <w:top w:val="single" w:sz="4" w:space="1" w:color="auto"/>
        <w:between w:val="single" w:sz="4" w:space="0" w:color="auto"/>
      </w:pBdr>
      <w:spacing w:after="60"/>
      <w:jc w:val="center"/>
      <w:rPr>
        <w:rFonts w:ascii="FrankRuehl" w:hAnsi="FrankRuehl" w:cs="FrankRuehl"/>
        <w:color w:val="000000"/>
      </w:rPr>
    </w:pPr>
    <w:r w:rsidRPr="002A1F0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1E6A1" w14:textId="77777777" w:rsidR="002A1F04" w:rsidRDefault="002A1F04" w:rsidP="002A1F04">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D1B3D">
      <w:rPr>
        <w:rFonts w:ascii="FrankRuehl" w:hAnsi="FrankRuehl" w:cs="FrankRuehl"/>
        <w:noProof/>
        <w:rtl/>
      </w:rPr>
      <w:t>1</w:t>
    </w:r>
    <w:r>
      <w:rPr>
        <w:rFonts w:ascii="FrankRuehl" w:hAnsi="FrankRuehl" w:cs="FrankRuehl"/>
        <w:rtl/>
      </w:rPr>
      <w:fldChar w:fldCharType="end"/>
    </w:r>
  </w:p>
  <w:p w14:paraId="44C98315" w14:textId="77777777" w:rsidR="00687480" w:rsidRPr="002A1F04" w:rsidRDefault="002A1F04" w:rsidP="002A1F04">
    <w:pPr>
      <w:pStyle w:val="a6"/>
      <w:pBdr>
        <w:top w:val="single" w:sz="4" w:space="1" w:color="auto"/>
        <w:between w:val="single" w:sz="4" w:space="0" w:color="auto"/>
      </w:pBdr>
      <w:spacing w:after="60"/>
      <w:jc w:val="center"/>
      <w:rPr>
        <w:rFonts w:ascii="FrankRuehl" w:hAnsi="FrankRuehl" w:cs="FrankRuehl"/>
        <w:color w:val="000000"/>
      </w:rPr>
    </w:pPr>
    <w:r w:rsidRPr="002A1F04">
      <w:rPr>
        <w:rFonts w:ascii="FrankRuehl" w:hAnsi="FrankRuehl" w:cs="FrankRuehl"/>
        <w:color w:val="000000"/>
      </w:rPr>
      <w:pict w14:anchorId="06FC9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D17F6" w14:textId="77777777" w:rsidR="00597E71" w:rsidRDefault="00597E71" w:rsidP="005E4BED">
      <w:r>
        <w:separator/>
      </w:r>
    </w:p>
  </w:footnote>
  <w:footnote w:type="continuationSeparator" w:id="0">
    <w:p w14:paraId="06781F4B" w14:textId="77777777" w:rsidR="00597E71" w:rsidRDefault="00597E71" w:rsidP="005E4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F1BAD" w14:textId="77777777" w:rsidR="008E66EF" w:rsidRPr="002A1F04" w:rsidRDefault="002A1F04" w:rsidP="002A1F04">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56936-07-24</w:t>
    </w:r>
    <w:r>
      <w:rPr>
        <w:rFonts w:ascii="David" w:hAnsi="David"/>
        <w:color w:val="000000"/>
        <w:sz w:val="22"/>
        <w:szCs w:val="22"/>
        <w:rtl/>
      </w:rPr>
      <w:tab/>
      <w:t xml:space="preserve"> מדינת ישראל נ' אטראד אבו עמרה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B450D" w14:textId="77777777" w:rsidR="008E66EF" w:rsidRPr="002A1F04" w:rsidRDefault="002A1F04" w:rsidP="002A1F04">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56936-07-24</w:t>
    </w:r>
    <w:r>
      <w:rPr>
        <w:rFonts w:ascii="David" w:hAnsi="David"/>
        <w:color w:val="000000"/>
        <w:sz w:val="22"/>
        <w:szCs w:val="22"/>
        <w:rtl/>
      </w:rPr>
      <w:tab/>
      <w:t xml:space="preserve"> מדינת ישראל נ' אטראד אבו עמרה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C5E6DF5"/>
    <w:multiLevelType w:val="hybridMultilevel"/>
    <w:tmpl w:val="734C89DE"/>
    <w:lvl w:ilvl="0" w:tplc="51CA0740">
      <w:start w:val="1"/>
      <w:numFmt w:val="decimal"/>
      <w:pStyle w:val="a"/>
      <w:lvlText w:val="%1."/>
      <w:lvlJc w:val="left"/>
      <w:pPr>
        <w:tabs>
          <w:tab w:val="num" w:pos="720"/>
        </w:tabs>
        <w:ind w:left="720" w:hanging="720"/>
      </w:pPr>
      <w:rPr>
        <w:rFonts w:cs="Times New Roman"/>
      </w:rPr>
    </w:lvl>
    <w:lvl w:ilvl="1" w:tplc="9BDE36B6">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43542A63"/>
    <w:multiLevelType w:val="hybridMultilevel"/>
    <w:tmpl w:val="CA1640AA"/>
    <w:lvl w:ilvl="0" w:tplc="0C521A14">
      <w:start w:val="1"/>
      <w:numFmt w:val="decimal"/>
      <w:lvlText w:val="%1."/>
      <w:lvlJc w:val="left"/>
      <w:pPr>
        <w:ind w:left="720" w:hanging="360"/>
      </w:pPr>
      <w:rPr>
        <w:b/>
        <w:bCs/>
      </w:rPr>
    </w:lvl>
    <w:lvl w:ilvl="1" w:tplc="9D2640FC">
      <w:start w:val="1"/>
      <w:numFmt w:val="hebrew1"/>
      <w:lvlText w:val="%2."/>
      <w:lvlJc w:val="left"/>
      <w:pPr>
        <w:ind w:left="1440" w:hanging="360"/>
      </w:pPr>
      <w:rPr>
        <w:rFonts w:ascii="David" w:eastAsia="Calibri" w:hAnsi="David" w:cs="David"/>
        <w:b/>
        <w:bCs/>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404257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84820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4605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500ED"/>
    <w:rsid w:val="002A1F04"/>
    <w:rsid w:val="00322869"/>
    <w:rsid w:val="004521D6"/>
    <w:rsid w:val="00597E71"/>
    <w:rsid w:val="005E4BED"/>
    <w:rsid w:val="00687480"/>
    <w:rsid w:val="006D1B3D"/>
    <w:rsid w:val="008E66EF"/>
    <w:rsid w:val="00C500ED"/>
    <w:rsid w:val="00C62B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A1079E"/>
  <w15:chartTrackingRefBased/>
  <w15:docId w15:val="{4A71C43E-EB9C-47A4-8938-57B46BCB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C500ED"/>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C500ED"/>
    <w:pPr>
      <w:tabs>
        <w:tab w:val="center" w:pos="4153"/>
        <w:tab w:val="right" w:pos="8306"/>
      </w:tabs>
    </w:pPr>
  </w:style>
  <w:style w:type="character" w:customStyle="1" w:styleId="a5">
    <w:name w:val="כותרת עליונה תו"/>
    <w:link w:val="a4"/>
    <w:rsid w:val="00C500ED"/>
    <w:rPr>
      <w:rFonts w:ascii="Times New Roman" w:eastAsia="Times New Roman" w:hAnsi="Times New Roman" w:cs="David"/>
      <w:sz w:val="24"/>
      <w:szCs w:val="24"/>
    </w:rPr>
  </w:style>
  <w:style w:type="paragraph" w:styleId="a6">
    <w:name w:val="footer"/>
    <w:basedOn w:val="a0"/>
    <w:link w:val="a7"/>
    <w:rsid w:val="00C500ED"/>
    <w:pPr>
      <w:tabs>
        <w:tab w:val="center" w:pos="4153"/>
        <w:tab w:val="right" w:pos="8306"/>
      </w:tabs>
    </w:pPr>
  </w:style>
  <w:style w:type="character" w:customStyle="1" w:styleId="a7">
    <w:name w:val="כותרת תחתונה תו"/>
    <w:link w:val="a6"/>
    <w:rsid w:val="00C500ED"/>
    <w:rPr>
      <w:rFonts w:ascii="Times New Roman" w:eastAsia="Times New Roman" w:hAnsi="Times New Roman" w:cs="David"/>
      <w:sz w:val="24"/>
      <w:szCs w:val="24"/>
    </w:rPr>
  </w:style>
  <w:style w:type="table" w:styleId="a8">
    <w:name w:val="Table Grid"/>
    <w:basedOn w:val="a2"/>
    <w:rsid w:val="00C500E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C500ED"/>
  </w:style>
  <w:style w:type="paragraph" w:styleId="aa">
    <w:name w:val="List Paragraph"/>
    <w:basedOn w:val="a0"/>
    <w:qFormat/>
    <w:rsid w:val="00C500ED"/>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C500ED"/>
    <w:pPr>
      <w:numPr>
        <w:numId w:val="1"/>
      </w:numPr>
      <w:spacing w:after="120" w:line="360" w:lineRule="auto"/>
    </w:pPr>
    <w:rPr>
      <w:rFonts w:ascii="David" w:hAnsi="David"/>
      <w:color w:val="000000"/>
    </w:rPr>
  </w:style>
  <w:style w:type="character" w:styleId="Hyperlink">
    <w:name w:val="Hyperlink"/>
    <w:rsid w:val="00C500E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case/5698919" TargetMode="External"/><Relationship Id="rId26" Type="http://schemas.openxmlformats.org/officeDocument/2006/relationships/hyperlink" Target="http://www.nevo.co.il/law/74918" TargetMode="External"/><Relationship Id="rId39" Type="http://schemas.openxmlformats.org/officeDocument/2006/relationships/footer" Target="footer2.xml"/><Relationship Id="rId21" Type="http://schemas.openxmlformats.org/officeDocument/2006/relationships/hyperlink" Target="http://www.nevo.co.il/case/27361147" TargetMode="External"/><Relationship Id="rId34" Type="http://schemas.openxmlformats.org/officeDocument/2006/relationships/hyperlink" Target="http://www.nevo.co.il/law/421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8818888" TargetMode="External"/><Relationship Id="rId29" Type="http://schemas.openxmlformats.org/officeDocument/2006/relationships/hyperlink" Target="http://www.nevo.co.il/case/1791409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918/39" TargetMode="External"/><Relationship Id="rId24" Type="http://schemas.openxmlformats.org/officeDocument/2006/relationships/hyperlink" Target="http://www.nevo.co.il/case/22535152" TargetMode="External"/><Relationship Id="rId32" Type="http://schemas.openxmlformats.org/officeDocument/2006/relationships/hyperlink" Target="http://www.eca.gov.il"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1017469" TargetMode="External"/><Relationship Id="rId28" Type="http://schemas.openxmlformats.org/officeDocument/2006/relationships/hyperlink" Target="http://www.nevo.co.il/law/74918/39" TargetMode="External"/><Relationship Id="rId36" Type="http://schemas.openxmlformats.org/officeDocument/2006/relationships/header" Target="header1.xml"/><Relationship Id="rId10" Type="http://schemas.openxmlformats.org/officeDocument/2006/relationships/hyperlink" Target="http://www.nevo.co.il/law/74918" TargetMode="External"/><Relationship Id="rId19" Type="http://schemas.openxmlformats.org/officeDocument/2006/relationships/hyperlink" Target="http://www.nevo.co.il/law/70301/40i"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8075551" TargetMode="External"/><Relationship Id="rId27" Type="http://schemas.openxmlformats.org/officeDocument/2006/relationships/hyperlink" Target="http://www.nevo.co.il/case/5580841" TargetMode="External"/><Relationship Id="rId30" Type="http://schemas.openxmlformats.org/officeDocument/2006/relationships/hyperlink" Target="http://www.nevo.co.il/case/4211674"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4918/39" TargetMode="External"/><Relationship Id="rId25" Type="http://schemas.openxmlformats.org/officeDocument/2006/relationships/hyperlink" Target="http://www.nevo.co.il/law/74918/39" TargetMode="External"/><Relationship Id="rId33" Type="http://schemas.openxmlformats.org/officeDocument/2006/relationships/hyperlink" Target="http://www.nevo.co.il/law/421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2292</Words>
  <Characters>11463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13728</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7864368</vt:i4>
      </vt:variant>
      <vt:variant>
        <vt:i4>75</vt:i4>
      </vt:variant>
      <vt:variant>
        <vt:i4>0</vt:i4>
      </vt:variant>
      <vt:variant>
        <vt:i4>5</vt:i4>
      </vt:variant>
      <vt:variant>
        <vt:lpwstr>http://www.eca.gov.il/</vt:lpwstr>
      </vt:variant>
      <vt:variant>
        <vt:lpwstr/>
      </vt:variant>
      <vt:variant>
        <vt:i4>8257637</vt:i4>
      </vt:variant>
      <vt:variant>
        <vt:i4>72</vt:i4>
      </vt:variant>
      <vt:variant>
        <vt:i4>0</vt:i4>
      </vt:variant>
      <vt:variant>
        <vt:i4>5</vt:i4>
      </vt:variant>
      <vt:variant>
        <vt:lpwstr>http://www.nevo.co.il/law/4216</vt:lpwstr>
      </vt:variant>
      <vt:variant>
        <vt:lpwstr/>
      </vt:variant>
      <vt:variant>
        <vt:i4>3604592</vt:i4>
      </vt:variant>
      <vt:variant>
        <vt:i4>69</vt:i4>
      </vt:variant>
      <vt:variant>
        <vt:i4>0</vt:i4>
      </vt:variant>
      <vt:variant>
        <vt:i4>5</vt:i4>
      </vt:variant>
      <vt:variant>
        <vt:lpwstr>http://www.nevo.co.il/case/4211674</vt:lpwstr>
      </vt:variant>
      <vt:variant>
        <vt:lpwstr/>
      </vt:variant>
      <vt:variant>
        <vt:i4>3473522</vt:i4>
      </vt:variant>
      <vt:variant>
        <vt:i4>66</vt:i4>
      </vt:variant>
      <vt:variant>
        <vt:i4>0</vt:i4>
      </vt:variant>
      <vt:variant>
        <vt:i4>5</vt:i4>
      </vt:variant>
      <vt:variant>
        <vt:lpwstr>http://www.nevo.co.il/case/17914099</vt:lpwstr>
      </vt:variant>
      <vt:variant>
        <vt:lpwstr/>
      </vt:variant>
      <vt:variant>
        <vt:i4>6881381</vt:i4>
      </vt:variant>
      <vt:variant>
        <vt:i4>63</vt:i4>
      </vt:variant>
      <vt:variant>
        <vt:i4>0</vt:i4>
      </vt:variant>
      <vt:variant>
        <vt:i4>5</vt:i4>
      </vt:variant>
      <vt:variant>
        <vt:lpwstr>http://www.nevo.co.il/law/74918/39</vt:lpwstr>
      </vt:variant>
      <vt:variant>
        <vt:lpwstr/>
      </vt:variant>
      <vt:variant>
        <vt:i4>3407989</vt:i4>
      </vt:variant>
      <vt:variant>
        <vt:i4>60</vt:i4>
      </vt:variant>
      <vt:variant>
        <vt:i4>0</vt:i4>
      </vt:variant>
      <vt:variant>
        <vt:i4>5</vt:i4>
      </vt:variant>
      <vt:variant>
        <vt:lpwstr>http://www.nevo.co.il/case/5580841</vt:lpwstr>
      </vt:variant>
      <vt:variant>
        <vt:lpwstr/>
      </vt:variant>
      <vt:variant>
        <vt:i4>8323182</vt:i4>
      </vt:variant>
      <vt:variant>
        <vt:i4>57</vt:i4>
      </vt:variant>
      <vt:variant>
        <vt:i4>0</vt:i4>
      </vt:variant>
      <vt:variant>
        <vt:i4>5</vt:i4>
      </vt:variant>
      <vt:variant>
        <vt:lpwstr>http://www.nevo.co.il/law/74918</vt:lpwstr>
      </vt:variant>
      <vt:variant>
        <vt:lpwstr/>
      </vt:variant>
      <vt:variant>
        <vt:i4>6881381</vt:i4>
      </vt:variant>
      <vt:variant>
        <vt:i4>54</vt:i4>
      </vt:variant>
      <vt:variant>
        <vt:i4>0</vt:i4>
      </vt:variant>
      <vt:variant>
        <vt:i4>5</vt:i4>
      </vt:variant>
      <vt:variant>
        <vt:lpwstr>http://www.nevo.co.il/law/74918/39</vt:lpwstr>
      </vt:variant>
      <vt:variant>
        <vt:lpwstr/>
      </vt:variant>
      <vt:variant>
        <vt:i4>3604596</vt:i4>
      </vt:variant>
      <vt:variant>
        <vt:i4>51</vt:i4>
      </vt:variant>
      <vt:variant>
        <vt:i4>0</vt:i4>
      </vt:variant>
      <vt:variant>
        <vt:i4>5</vt:i4>
      </vt:variant>
      <vt:variant>
        <vt:lpwstr>http://www.nevo.co.il/case/22535152</vt:lpwstr>
      </vt:variant>
      <vt:variant>
        <vt:lpwstr/>
      </vt:variant>
      <vt:variant>
        <vt:i4>3342448</vt:i4>
      </vt:variant>
      <vt:variant>
        <vt:i4>48</vt:i4>
      </vt:variant>
      <vt:variant>
        <vt:i4>0</vt:i4>
      </vt:variant>
      <vt:variant>
        <vt:i4>5</vt:i4>
      </vt:variant>
      <vt:variant>
        <vt:lpwstr>http://www.nevo.co.il/case/21017469</vt:lpwstr>
      </vt:variant>
      <vt:variant>
        <vt:lpwstr/>
      </vt:variant>
      <vt:variant>
        <vt:i4>3276926</vt:i4>
      </vt:variant>
      <vt:variant>
        <vt:i4>45</vt:i4>
      </vt:variant>
      <vt:variant>
        <vt:i4>0</vt:i4>
      </vt:variant>
      <vt:variant>
        <vt:i4>5</vt:i4>
      </vt:variant>
      <vt:variant>
        <vt:lpwstr>http://www.nevo.co.il/case/28075551</vt:lpwstr>
      </vt:variant>
      <vt:variant>
        <vt:lpwstr/>
      </vt:variant>
      <vt:variant>
        <vt:i4>3407988</vt:i4>
      </vt:variant>
      <vt:variant>
        <vt:i4>42</vt:i4>
      </vt:variant>
      <vt:variant>
        <vt:i4>0</vt:i4>
      </vt:variant>
      <vt:variant>
        <vt:i4>5</vt:i4>
      </vt:variant>
      <vt:variant>
        <vt:lpwstr>http://www.nevo.co.il/case/27361147</vt:lpwstr>
      </vt:variant>
      <vt:variant>
        <vt:lpwstr/>
      </vt:variant>
      <vt:variant>
        <vt:i4>3801205</vt:i4>
      </vt:variant>
      <vt:variant>
        <vt:i4>39</vt:i4>
      </vt:variant>
      <vt:variant>
        <vt:i4>0</vt:i4>
      </vt:variant>
      <vt:variant>
        <vt:i4>5</vt:i4>
      </vt:variant>
      <vt:variant>
        <vt:lpwstr>http://www.nevo.co.il/case/28818888</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3932283</vt:i4>
      </vt:variant>
      <vt:variant>
        <vt:i4>33</vt:i4>
      </vt:variant>
      <vt:variant>
        <vt:i4>0</vt:i4>
      </vt:variant>
      <vt:variant>
        <vt:i4>5</vt:i4>
      </vt:variant>
      <vt:variant>
        <vt:lpwstr>http://www.nevo.co.il/case/5698919</vt:lpwstr>
      </vt:variant>
      <vt:variant>
        <vt:lpwstr/>
      </vt:variant>
      <vt:variant>
        <vt:i4>6881381</vt:i4>
      </vt:variant>
      <vt:variant>
        <vt:i4>30</vt:i4>
      </vt:variant>
      <vt:variant>
        <vt:i4>0</vt:i4>
      </vt:variant>
      <vt:variant>
        <vt:i4>5</vt:i4>
      </vt:variant>
      <vt:variant>
        <vt:lpwstr>http://www.nevo.co.il/law/74918/39</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6881381</vt:i4>
      </vt:variant>
      <vt:variant>
        <vt:i4>12</vt:i4>
      </vt:variant>
      <vt:variant>
        <vt:i4>0</vt:i4>
      </vt:variant>
      <vt:variant>
        <vt:i4>5</vt:i4>
      </vt:variant>
      <vt:variant>
        <vt:lpwstr>http://www.nevo.co.il/law/74918/39</vt:lpwstr>
      </vt:variant>
      <vt:variant>
        <vt:lpwstr/>
      </vt:variant>
      <vt:variant>
        <vt:i4>8323182</vt:i4>
      </vt:variant>
      <vt:variant>
        <vt:i4>9</vt:i4>
      </vt:variant>
      <vt:variant>
        <vt:i4>0</vt:i4>
      </vt:variant>
      <vt:variant>
        <vt:i4>5</vt:i4>
      </vt:variant>
      <vt:variant>
        <vt:lpwstr>http://www.nevo.co.il/law/74918</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2025-04-23T01:58:00Z</dcterms:created>
  <dcterms:modified xsi:type="dcterms:W3CDTF">2025-04-23T01:58:00Z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56936</vt:lpwstr>
  </property>
  <property fmtid="{D5CDD505-2E9C-101B-9397-08002B2CF9AE}" pid="6" name="NEWPARTB">
    <vt:lpwstr>07</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אטראד אבו עמרה </vt:lpwstr>
  </property>
  <property fmtid="{D5CDD505-2E9C-101B-9397-08002B2CF9AE}" pid="10" name="LAWYER">
    <vt:lpwstr>כרמית כהן;יוסי לין;עידו פורת</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20250226</vt:lpwstr>
  </property>
  <property fmtid="{D5CDD505-2E9C-101B-9397-08002B2CF9AE}" pid="14" name="TYPE_N_DATE">
    <vt:lpwstr>38020250226</vt:lpwstr>
  </property>
  <property fmtid="{D5CDD505-2E9C-101B-9397-08002B2CF9AE}" pid="15" name="CASESLISTTMP1">
    <vt:lpwstr>5698919;28818888;27361147;28075551;21017469;22535152;5580841;17914099;4211674</vt:lpwstr>
  </property>
  <property fmtid="{D5CDD505-2E9C-101B-9397-08002B2CF9AE}" pid="16" name="WORDNUMPAGES">
    <vt:lpwstr>7</vt:lpwstr>
  </property>
  <property fmtid="{D5CDD505-2E9C-101B-9397-08002B2CF9AE}" pid="17" name="TYPE_ABS_DATE">
    <vt:lpwstr>380020250226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vt:lpwstr>
  </property>
  <property fmtid="{D5CDD505-2E9C-101B-9397-08002B2CF9AE}" pid="36" name="LAWLISTTMP2">
    <vt:lpwstr>74918/039:3</vt:lpwstr>
  </property>
  <property fmtid="{D5CDD505-2E9C-101B-9397-08002B2CF9AE}" pid="37" name="LAWLISTTMP3">
    <vt:lpwstr>70301/040i</vt:lpwstr>
  </property>
  <property fmtid="{D5CDD505-2E9C-101B-9397-08002B2CF9AE}" pid="38" name="ISABSTRACT">
    <vt:lpwstr>Y</vt:lpwstr>
  </property>
</Properties>
</file>