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54432" w:rsidRPr="00681A9D" w14:paraId="1596B9E9" w14:textId="77777777" w:rsidTr="00143D43">
        <w:trPr>
          <w:trHeight w:hRule="exact" w:val="418"/>
          <w:jc w:val="center"/>
        </w:trPr>
        <w:tc>
          <w:tcPr>
            <w:tcW w:w="8721" w:type="dxa"/>
            <w:gridSpan w:val="2"/>
          </w:tcPr>
          <w:p w14:paraId="28CE837A" w14:textId="77777777" w:rsidR="00E54432" w:rsidRPr="00681A9D" w:rsidRDefault="00E54432" w:rsidP="00707012">
            <w:pPr>
              <w:pStyle w:val="a3"/>
              <w:jc w:val="center"/>
              <w:rPr>
                <w:rFonts w:ascii="Tahoma" w:hAnsi="Tahoma" w:cs="Tahoma"/>
                <w:color w:val="000080"/>
                <w:rtl/>
              </w:rPr>
            </w:pPr>
            <w:bookmarkStart w:id="0" w:name="LastJudge"/>
            <w:r w:rsidRPr="00681A9D">
              <w:rPr>
                <w:rFonts w:ascii="Tahoma" w:hAnsi="Tahoma" w:cs="Tahoma"/>
                <w:b/>
                <w:bCs/>
                <w:color w:val="000080"/>
                <w:rtl/>
              </w:rPr>
              <w:t>בית משפט השלום בעכו</w:t>
            </w:r>
          </w:p>
        </w:tc>
      </w:tr>
      <w:tr w:rsidR="00E54432" w:rsidRPr="00681A9D" w14:paraId="38C961DC" w14:textId="77777777" w:rsidTr="00143D43">
        <w:trPr>
          <w:trHeight w:val="337"/>
          <w:jc w:val="center"/>
        </w:trPr>
        <w:tc>
          <w:tcPr>
            <w:tcW w:w="5057" w:type="dxa"/>
          </w:tcPr>
          <w:p w14:paraId="5266EA46" w14:textId="77777777" w:rsidR="00E54432" w:rsidRPr="00681A9D" w:rsidRDefault="00E54432" w:rsidP="00707012">
            <w:pPr>
              <w:rPr>
                <w:rFonts w:cs="FrankRuehl"/>
                <w:sz w:val="28"/>
                <w:szCs w:val="28"/>
                <w:rtl/>
              </w:rPr>
            </w:pPr>
            <w:r w:rsidRPr="00681A9D">
              <w:rPr>
                <w:rFonts w:cs="FrankRuehl"/>
                <w:sz w:val="28"/>
                <w:szCs w:val="28"/>
                <w:rtl/>
              </w:rPr>
              <w:t>ת"פ</w:t>
            </w:r>
            <w:r w:rsidRPr="00681A9D">
              <w:rPr>
                <w:rFonts w:cs="FrankRuehl" w:hint="cs"/>
                <w:sz w:val="28"/>
                <w:szCs w:val="28"/>
                <w:rtl/>
              </w:rPr>
              <w:t xml:space="preserve"> </w:t>
            </w:r>
            <w:r w:rsidRPr="00681A9D">
              <w:rPr>
                <w:rFonts w:cs="FrankRuehl"/>
                <w:sz w:val="28"/>
                <w:szCs w:val="28"/>
                <w:rtl/>
              </w:rPr>
              <w:t>79589-07-24</w:t>
            </w:r>
            <w:r w:rsidRPr="00681A9D">
              <w:rPr>
                <w:rFonts w:cs="FrankRuehl" w:hint="cs"/>
                <w:sz w:val="28"/>
                <w:szCs w:val="28"/>
                <w:rtl/>
              </w:rPr>
              <w:t xml:space="preserve"> </w:t>
            </w:r>
            <w:r w:rsidRPr="00681A9D">
              <w:rPr>
                <w:rFonts w:cs="FrankRuehl"/>
                <w:sz w:val="28"/>
                <w:szCs w:val="28"/>
                <w:rtl/>
              </w:rPr>
              <w:t>מדינת ישראל נ' זכור(עציר)</w:t>
            </w:r>
          </w:p>
          <w:p w14:paraId="513655F9" w14:textId="77777777" w:rsidR="00E54432" w:rsidRPr="00681A9D" w:rsidRDefault="00E54432" w:rsidP="00707012">
            <w:pPr>
              <w:pStyle w:val="a3"/>
              <w:rPr>
                <w:rFonts w:cs="FrankRuehl"/>
                <w:sz w:val="28"/>
                <w:szCs w:val="28"/>
                <w:rtl/>
              </w:rPr>
            </w:pPr>
          </w:p>
        </w:tc>
        <w:tc>
          <w:tcPr>
            <w:tcW w:w="3664" w:type="dxa"/>
          </w:tcPr>
          <w:p w14:paraId="2C8D036E" w14:textId="77777777" w:rsidR="00E54432" w:rsidRPr="00681A9D" w:rsidRDefault="00E54432" w:rsidP="00707012">
            <w:pPr>
              <w:pStyle w:val="a3"/>
              <w:jc w:val="right"/>
              <w:rPr>
                <w:rFonts w:cs="FrankRuehl"/>
                <w:sz w:val="28"/>
                <w:szCs w:val="28"/>
                <w:rtl/>
              </w:rPr>
            </w:pPr>
          </w:p>
        </w:tc>
      </w:tr>
    </w:tbl>
    <w:p w14:paraId="20BC1907" w14:textId="77777777" w:rsidR="00E54432" w:rsidRPr="00681A9D" w:rsidRDefault="00E54432" w:rsidP="00143D43">
      <w:pPr>
        <w:pStyle w:val="a3"/>
        <w:rPr>
          <w:rtl/>
        </w:rPr>
      </w:pPr>
      <w:r w:rsidRPr="00681A9D">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54432" w:rsidRPr="00681A9D" w14:paraId="6D1D75A5" w14:textId="77777777" w:rsidTr="00E54432">
        <w:trPr>
          <w:trHeight w:val="295"/>
          <w:jc w:val="center"/>
        </w:trPr>
        <w:tc>
          <w:tcPr>
            <w:tcW w:w="923" w:type="dxa"/>
            <w:tcBorders>
              <w:top w:val="nil"/>
              <w:left w:val="nil"/>
              <w:bottom w:val="nil"/>
              <w:right w:val="nil"/>
            </w:tcBorders>
            <w:shd w:val="clear" w:color="auto" w:fill="auto"/>
          </w:tcPr>
          <w:p w14:paraId="6B18EECB" w14:textId="77777777" w:rsidR="00E54432" w:rsidRPr="00681A9D" w:rsidRDefault="00E54432" w:rsidP="00E54432">
            <w:pPr>
              <w:jc w:val="both"/>
              <w:rPr>
                <w:rFonts w:ascii="David" w:hAnsi="David"/>
                <w:sz w:val="26"/>
                <w:szCs w:val="26"/>
              </w:rPr>
            </w:pPr>
            <w:r w:rsidRPr="00681A9D">
              <w:rPr>
                <w:rFonts w:ascii="David" w:hAnsi="David" w:hint="cs"/>
                <w:sz w:val="26"/>
                <w:szCs w:val="26"/>
                <w:rtl/>
              </w:rPr>
              <w:t>ל</w:t>
            </w:r>
            <w:r w:rsidRPr="00681A9D">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368DC600" w14:textId="77777777" w:rsidR="00E54432" w:rsidRPr="00681A9D" w:rsidRDefault="00E54432" w:rsidP="00707012">
            <w:pPr>
              <w:rPr>
                <w:rFonts w:ascii="David" w:hAnsi="David"/>
                <w:b/>
                <w:bCs/>
                <w:sz w:val="26"/>
                <w:szCs w:val="26"/>
                <w:rtl/>
              </w:rPr>
            </w:pPr>
            <w:r w:rsidRPr="00681A9D">
              <w:rPr>
                <w:rFonts w:ascii="David" w:hAnsi="David"/>
                <w:b/>
                <w:bCs/>
                <w:sz w:val="26"/>
                <w:szCs w:val="26"/>
                <w:rtl/>
              </w:rPr>
              <w:t>כבוד השופטת  ענבל הוכמן-אמויאל</w:t>
            </w:r>
          </w:p>
          <w:p w14:paraId="77F1C956" w14:textId="77777777" w:rsidR="00E54432" w:rsidRPr="00681A9D" w:rsidRDefault="00E54432" w:rsidP="00707012">
            <w:pPr>
              <w:rPr>
                <w:rFonts w:ascii="David" w:hAnsi="David"/>
                <w:sz w:val="26"/>
                <w:szCs w:val="26"/>
                <w:rtl/>
              </w:rPr>
            </w:pPr>
          </w:p>
          <w:p w14:paraId="11C5D232" w14:textId="77777777" w:rsidR="00E54432" w:rsidRPr="00681A9D" w:rsidRDefault="00E54432" w:rsidP="00E54432">
            <w:pPr>
              <w:jc w:val="both"/>
              <w:rPr>
                <w:rFonts w:ascii="David" w:hAnsi="David"/>
                <w:sz w:val="26"/>
                <w:szCs w:val="26"/>
              </w:rPr>
            </w:pPr>
          </w:p>
        </w:tc>
      </w:tr>
      <w:tr w:rsidR="00E54432" w:rsidRPr="00681A9D" w14:paraId="4B22FDA5" w14:textId="77777777" w:rsidTr="00E54432">
        <w:trPr>
          <w:trHeight w:val="355"/>
          <w:jc w:val="center"/>
        </w:trPr>
        <w:tc>
          <w:tcPr>
            <w:tcW w:w="923" w:type="dxa"/>
            <w:tcBorders>
              <w:top w:val="nil"/>
              <w:left w:val="nil"/>
              <w:bottom w:val="nil"/>
              <w:right w:val="nil"/>
            </w:tcBorders>
            <w:shd w:val="clear" w:color="auto" w:fill="auto"/>
          </w:tcPr>
          <w:p w14:paraId="1E371E99" w14:textId="77777777" w:rsidR="00E54432" w:rsidRPr="00681A9D" w:rsidRDefault="00E54432" w:rsidP="00E54432">
            <w:pPr>
              <w:jc w:val="both"/>
              <w:rPr>
                <w:rFonts w:ascii="David" w:hAnsi="David"/>
                <w:sz w:val="26"/>
                <w:szCs w:val="26"/>
              </w:rPr>
            </w:pPr>
            <w:bookmarkStart w:id="1" w:name="FirstAppellant"/>
            <w:r w:rsidRPr="00681A9D">
              <w:rPr>
                <w:rFonts w:ascii="David" w:hAnsi="David"/>
                <w:sz w:val="26"/>
                <w:szCs w:val="26"/>
                <w:rtl/>
              </w:rPr>
              <w:t>בעניין:</w:t>
            </w:r>
          </w:p>
        </w:tc>
        <w:tc>
          <w:tcPr>
            <w:tcW w:w="3219" w:type="dxa"/>
            <w:tcBorders>
              <w:top w:val="nil"/>
              <w:left w:val="nil"/>
              <w:bottom w:val="nil"/>
              <w:right w:val="nil"/>
            </w:tcBorders>
            <w:shd w:val="clear" w:color="auto" w:fill="auto"/>
          </w:tcPr>
          <w:p w14:paraId="439D9D89" w14:textId="77777777" w:rsidR="00E54432" w:rsidRPr="00681A9D" w:rsidRDefault="00E54432" w:rsidP="00E54432">
            <w:pPr>
              <w:suppressLineNumbers/>
            </w:pPr>
            <w:r w:rsidRPr="00681A9D">
              <w:rPr>
                <w:rFonts w:ascii="Arial" w:hAnsi="Arial" w:hint="cs"/>
                <w:b/>
                <w:bCs/>
                <w:sz w:val="26"/>
                <w:szCs w:val="26"/>
                <w:rtl/>
              </w:rPr>
              <w:t>ה</w:t>
            </w:r>
            <w:r w:rsidRPr="00681A9D">
              <w:rPr>
                <w:rFonts w:ascii="Arial" w:hAnsi="Arial"/>
                <w:b/>
                <w:bCs/>
                <w:sz w:val="26"/>
                <w:szCs w:val="26"/>
                <w:rtl/>
              </w:rPr>
              <w:t>מאשימה</w:t>
            </w:r>
          </w:p>
          <w:p w14:paraId="10B17554" w14:textId="77777777" w:rsidR="00E54432" w:rsidRPr="00681A9D" w:rsidRDefault="00E54432" w:rsidP="00707012">
            <w:pPr>
              <w:rPr>
                <w:rFonts w:ascii="David" w:hAnsi="David"/>
                <w:sz w:val="26"/>
                <w:szCs w:val="26"/>
              </w:rPr>
            </w:pPr>
          </w:p>
        </w:tc>
        <w:tc>
          <w:tcPr>
            <w:tcW w:w="4678" w:type="dxa"/>
            <w:tcBorders>
              <w:top w:val="nil"/>
              <w:left w:val="nil"/>
              <w:bottom w:val="nil"/>
              <w:right w:val="nil"/>
            </w:tcBorders>
            <w:shd w:val="clear" w:color="auto" w:fill="auto"/>
            <w:vAlign w:val="center"/>
          </w:tcPr>
          <w:p w14:paraId="02EEC1DB" w14:textId="77777777" w:rsidR="00E54432" w:rsidRPr="00681A9D" w:rsidRDefault="00E54432" w:rsidP="00E54432">
            <w:pPr>
              <w:suppressLineNumbers/>
            </w:pPr>
            <w:r w:rsidRPr="00681A9D">
              <w:rPr>
                <w:rFonts w:ascii="Arial" w:hAnsi="Arial"/>
                <w:b/>
                <w:bCs/>
                <w:sz w:val="26"/>
                <w:szCs w:val="26"/>
                <w:rtl/>
              </w:rPr>
              <w:t>מדינת ישראל</w:t>
            </w:r>
            <w:r w:rsidRPr="00681A9D">
              <w:rPr>
                <w:rFonts w:ascii="Arial" w:hAnsi="Arial" w:hint="cs"/>
                <w:b/>
                <w:bCs/>
                <w:sz w:val="26"/>
                <w:szCs w:val="26"/>
                <w:rtl/>
              </w:rPr>
              <w:t xml:space="preserve"> -שלוחת עכו</w:t>
            </w:r>
          </w:p>
          <w:p w14:paraId="1C8F93BA" w14:textId="77777777" w:rsidR="00E54432" w:rsidRPr="00681A9D" w:rsidRDefault="00E54432" w:rsidP="00707012">
            <w:pPr>
              <w:rPr>
                <w:rFonts w:ascii="David" w:hAnsi="David"/>
                <w:sz w:val="26"/>
                <w:szCs w:val="26"/>
              </w:rPr>
            </w:pPr>
          </w:p>
        </w:tc>
      </w:tr>
      <w:bookmarkEnd w:id="1"/>
      <w:tr w:rsidR="00E54432" w:rsidRPr="00681A9D" w14:paraId="229513E8" w14:textId="77777777" w:rsidTr="00E54432">
        <w:trPr>
          <w:trHeight w:val="355"/>
          <w:jc w:val="center"/>
        </w:trPr>
        <w:tc>
          <w:tcPr>
            <w:tcW w:w="923" w:type="dxa"/>
            <w:tcBorders>
              <w:top w:val="nil"/>
              <w:left w:val="nil"/>
              <w:bottom w:val="nil"/>
              <w:right w:val="nil"/>
            </w:tcBorders>
            <w:shd w:val="clear" w:color="auto" w:fill="auto"/>
          </w:tcPr>
          <w:p w14:paraId="186980D4" w14:textId="77777777" w:rsidR="00E54432" w:rsidRPr="00681A9D" w:rsidRDefault="00E54432" w:rsidP="00E5443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2800F59" w14:textId="77777777" w:rsidR="00E54432" w:rsidRPr="00681A9D" w:rsidRDefault="00E54432" w:rsidP="00E54432">
            <w:pPr>
              <w:jc w:val="center"/>
              <w:rPr>
                <w:rFonts w:ascii="David" w:hAnsi="David"/>
                <w:b/>
                <w:bCs/>
                <w:sz w:val="26"/>
                <w:szCs w:val="26"/>
                <w:rtl/>
              </w:rPr>
            </w:pPr>
          </w:p>
          <w:p w14:paraId="25D98401" w14:textId="77777777" w:rsidR="00E54432" w:rsidRPr="00681A9D" w:rsidRDefault="00E54432" w:rsidP="00E54432">
            <w:pPr>
              <w:jc w:val="center"/>
              <w:rPr>
                <w:rFonts w:ascii="David" w:hAnsi="David"/>
                <w:b/>
                <w:bCs/>
                <w:sz w:val="26"/>
                <w:szCs w:val="26"/>
                <w:rtl/>
              </w:rPr>
            </w:pPr>
            <w:r w:rsidRPr="00681A9D">
              <w:rPr>
                <w:rFonts w:ascii="David" w:hAnsi="David"/>
                <w:b/>
                <w:bCs/>
                <w:sz w:val="26"/>
                <w:szCs w:val="26"/>
                <w:rtl/>
              </w:rPr>
              <w:t>נגד</w:t>
            </w:r>
          </w:p>
          <w:p w14:paraId="24A9D675" w14:textId="77777777" w:rsidR="00E54432" w:rsidRPr="00681A9D" w:rsidRDefault="00E54432" w:rsidP="00E54432">
            <w:pPr>
              <w:jc w:val="both"/>
              <w:rPr>
                <w:rFonts w:ascii="David" w:hAnsi="David"/>
                <w:sz w:val="26"/>
                <w:szCs w:val="26"/>
              </w:rPr>
            </w:pPr>
          </w:p>
        </w:tc>
      </w:tr>
      <w:tr w:rsidR="00E54432" w:rsidRPr="00681A9D" w14:paraId="46B1E3BF" w14:textId="77777777" w:rsidTr="00E54432">
        <w:trPr>
          <w:trHeight w:val="355"/>
          <w:jc w:val="center"/>
        </w:trPr>
        <w:tc>
          <w:tcPr>
            <w:tcW w:w="923" w:type="dxa"/>
            <w:tcBorders>
              <w:top w:val="nil"/>
              <w:left w:val="nil"/>
              <w:bottom w:val="nil"/>
              <w:right w:val="nil"/>
            </w:tcBorders>
            <w:shd w:val="clear" w:color="auto" w:fill="auto"/>
          </w:tcPr>
          <w:p w14:paraId="4C29771C" w14:textId="77777777" w:rsidR="00E54432" w:rsidRPr="00681A9D" w:rsidRDefault="00E54432" w:rsidP="00707012">
            <w:pPr>
              <w:rPr>
                <w:rFonts w:ascii="David" w:hAnsi="David"/>
                <w:sz w:val="26"/>
                <w:szCs w:val="26"/>
                <w:rtl/>
              </w:rPr>
            </w:pPr>
          </w:p>
        </w:tc>
        <w:tc>
          <w:tcPr>
            <w:tcW w:w="3219" w:type="dxa"/>
            <w:tcBorders>
              <w:top w:val="nil"/>
              <w:left w:val="nil"/>
              <w:bottom w:val="nil"/>
              <w:right w:val="nil"/>
            </w:tcBorders>
            <w:shd w:val="clear" w:color="auto" w:fill="auto"/>
          </w:tcPr>
          <w:p w14:paraId="6DCB401D" w14:textId="77777777" w:rsidR="00E54432" w:rsidRPr="00681A9D" w:rsidRDefault="00E54432" w:rsidP="00707012">
            <w:pPr>
              <w:rPr>
                <w:rFonts w:ascii="Arial" w:hAnsi="Arial"/>
                <w:b/>
                <w:bCs/>
                <w:sz w:val="26"/>
                <w:szCs w:val="26"/>
                <w:rtl/>
              </w:rPr>
            </w:pPr>
            <w:r w:rsidRPr="00681A9D">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9679BA9" w14:textId="77777777" w:rsidR="00E54432" w:rsidRPr="00681A9D" w:rsidRDefault="00E54432" w:rsidP="00E54432">
            <w:pPr>
              <w:suppressLineNumbers/>
            </w:pPr>
            <w:r w:rsidRPr="00681A9D">
              <w:rPr>
                <w:rFonts w:ascii="Arial" w:hAnsi="Arial"/>
                <w:b/>
                <w:bCs/>
                <w:sz w:val="26"/>
                <w:szCs w:val="26"/>
                <w:rtl/>
              </w:rPr>
              <w:t>חוסאם זכור (עציר)</w:t>
            </w:r>
            <w:r w:rsidRPr="00681A9D">
              <w:rPr>
                <w:rFonts w:ascii="Arial" w:hAnsi="Arial" w:hint="cs"/>
                <w:b/>
                <w:bCs/>
                <w:sz w:val="26"/>
                <w:szCs w:val="26"/>
                <w:rtl/>
              </w:rPr>
              <w:t xml:space="preserve"> </w:t>
            </w:r>
          </w:p>
          <w:p w14:paraId="06CB7771" w14:textId="77777777" w:rsidR="00E54432" w:rsidRPr="00681A9D" w:rsidRDefault="00E54432" w:rsidP="00707012">
            <w:pPr>
              <w:rPr>
                <w:rFonts w:ascii="David" w:hAnsi="David"/>
                <w:sz w:val="26"/>
                <w:szCs w:val="26"/>
              </w:rPr>
            </w:pPr>
          </w:p>
        </w:tc>
      </w:tr>
    </w:tbl>
    <w:p w14:paraId="317AEAFB" w14:textId="77777777" w:rsidR="00143D43" w:rsidRPr="00143D43" w:rsidRDefault="00143D43" w:rsidP="00143D43">
      <w:pPr>
        <w:spacing w:before="120" w:after="120" w:line="240" w:lineRule="exact"/>
        <w:ind w:left="283" w:hanging="283"/>
        <w:jc w:val="both"/>
        <w:rPr>
          <w:rFonts w:ascii="FrankRuehl" w:hAnsi="FrankRuehl" w:cs="FrankRuehl"/>
          <w:rtl/>
        </w:rPr>
      </w:pPr>
      <w:bookmarkStart w:id="2" w:name="LawTable"/>
      <w:bookmarkEnd w:id="0"/>
      <w:bookmarkEnd w:id="2"/>
    </w:p>
    <w:p w14:paraId="53957BCB" w14:textId="77777777" w:rsidR="00143D43" w:rsidRPr="00143D43" w:rsidRDefault="00143D43" w:rsidP="00143D43">
      <w:pPr>
        <w:spacing w:before="120" w:after="120" w:line="240" w:lineRule="exact"/>
        <w:ind w:left="283" w:hanging="283"/>
        <w:jc w:val="both"/>
        <w:rPr>
          <w:rFonts w:ascii="FrankRuehl" w:hAnsi="FrankRuehl" w:cs="FrankRuehl"/>
          <w:rtl/>
        </w:rPr>
      </w:pPr>
      <w:r w:rsidRPr="00143D43">
        <w:rPr>
          <w:rFonts w:ascii="FrankRuehl" w:hAnsi="FrankRuehl" w:cs="FrankRuehl"/>
          <w:rtl/>
        </w:rPr>
        <w:t xml:space="preserve">חקיקה שאוזכרה: </w:t>
      </w:r>
    </w:p>
    <w:p w14:paraId="28BB0811" w14:textId="77777777" w:rsidR="00143D43" w:rsidRPr="00143D43" w:rsidRDefault="00143D43" w:rsidP="00143D43">
      <w:pPr>
        <w:spacing w:before="120" w:after="120" w:line="240" w:lineRule="exact"/>
        <w:ind w:left="283" w:hanging="283"/>
        <w:jc w:val="both"/>
        <w:rPr>
          <w:rFonts w:ascii="FrankRuehl" w:hAnsi="FrankRuehl" w:cs="FrankRuehl"/>
          <w:color w:val="0000FF"/>
          <w:rtl/>
        </w:rPr>
      </w:pPr>
      <w:hyperlink r:id="rId7" w:history="1">
        <w:r w:rsidRPr="00143D43">
          <w:rPr>
            <w:rStyle w:val="Hyperlink"/>
            <w:rFonts w:ascii="FrankRuehl" w:hAnsi="FrankRuehl" w:cs="FrankRuehl"/>
            <w:u w:val="none"/>
            <w:rtl/>
          </w:rPr>
          <w:t>פקודת הסמים המסוכנים [נוסח חדש], תשל"ג-1973</w:t>
        </w:r>
      </w:hyperlink>
      <w:r w:rsidRPr="00143D43">
        <w:rPr>
          <w:rFonts w:ascii="FrankRuehl" w:hAnsi="FrankRuehl" w:cs="FrankRuehl"/>
          <w:color w:val="0000FF"/>
          <w:rtl/>
        </w:rPr>
        <w:t xml:space="preserve">: סע'  </w:t>
      </w:r>
      <w:hyperlink r:id="rId8" w:history="1">
        <w:r w:rsidRPr="00143D43">
          <w:rPr>
            <w:rStyle w:val="Hyperlink"/>
            <w:rFonts w:ascii="FrankRuehl" w:hAnsi="FrankRuehl" w:cs="FrankRuehl"/>
            <w:u w:val="none"/>
          </w:rPr>
          <w:t>7</w:t>
        </w:r>
      </w:hyperlink>
      <w:r w:rsidRPr="00143D43">
        <w:rPr>
          <w:rFonts w:ascii="FrankRuehl" w:hAnsi="FrankRuehl" w:cs="FrankRuehl"/>
          <w:color w:val="0000FF"/>
          <w:rtl/>
        </w:rPr>
        <w:t xml:space="preserve">(א), </w:t>
      </w:r>
      <w:hyperlink r:id="rId9" w:history="1">
        <w:r w:rsidRPr="00143D43">
          <w:rPr>
            <w:rStyle w:val="Hyperlink"/>
            <w:rFonts w:ascii="FrankRuehl" w:hAnsi="FrankRuehl" w:cs="FrankRuehl"/>
            <w:u w:val="none"/>
          </w:rPr>
          <w:t>7</w:t>
        </w:r>
      </w:hyperlink>
      <w:r w:rsidRPr="00143D43">
        <w:rPr>
          <w:rFonts w:ascii="FrankRuehl" w:hAnsi="FrankRuehl" w:cs="FrankRuehl"/>
          <w:color w:val="0000FF"/>
          <w:rtl/>
        </w:rPr>
        <w:t>(ג)</w:t>
      </w:r>
    </w:p>
    <w:p w14:paraId="2A314E8A" w14:textId="77777777" w:rsidR="00143D43" w:rsidRPr="00143D43" w:rsidRDefault="00143D43" w:rsidP="00143D43">
      <w:pPr>
        <w:spacing w:before="120" w:after="120" w:line="240" w:lineRule="exact"/>
        <w:ind w:left="283" w:hanging="283"/>
        <w:jc w:val="both"/>
        <w:rPr>
          <w:rFonts w:ascii="FrankRuehl" w:hAnsi="FrankRuehl" w:cs="FrankRuehl"/>
          <w:color w:val="0000FF"/>
          <w:rtl/>
        </w:rPr>
      </w:pPr>
      <w:hyperlink r:id="rId10" w:history="1">
        <w:r w:rsidRPr="00143D43">
          <w:rPr>
            <w:rStyle w:val="Hyperlink"/>
            <w:rFonts w:ascii="FrankRuehl" w:hAnsi="FrankRuehl" w:cs="FrankRuehl"/>
            <w:u w:val="none"/>
            <w:rtl/>
          </w:rPr>
          <w:t>חוק העונשין, תשל"ז-1977</w:t>
        </w:r>
      </w:hyperlink>
      <w:r w:rsidRPr="00143D43">
        <w:rPr>
          <w:rFonts w:ascii="FrankRuehl" w:hAnsi="FrankRuehl" w:cs="FrankRuehl"/>
          <w:color w:val="0000FF"/>
          <w:rtl/>
        </w:rPr>
        <w:t xml:space="preserve">: סע'  </w:t>
      </w:r>
      <w:hyperlink r:id="rId11" w:history="1">
        <w:r w:rsidRPr="00143D43">
          <w:rPr>
            <w:rStyle w:val="Hyperlink"/>
            <w:rFonts w:ascii="FrankRuehl" w:hAnsi="FrankRuehl" w:cs="FrankRuehl"/>
            <w:u w:val="none"/>
          </w:rPr>
          <w:t>40</w:t>
        </w:r>
        <w:r w:rsidRPr="00143D43">
          <w:rPr>
            <w:rStyle w:val="Hyperlink"/>
            <w:rFonts w:ascii="FrankRuehl" w:hAnsi="FrankRuehl" w:cs="FrankRuehl"/>
            <w:u w:val="none"/>
            <w:rtl/>
          </w:rPr>
          <w:t>ב</w:t>
        </w:r>
        <w:r w:rsidRPr="00143D43">
          <w:rPr>
            <w:rStyle w:val="Hyperlink"/>
            <w:rFonts w:ascii="FrankRuehl" w:hAnsi="FrankRuehl" w:cs="FrankRuehl"/>
            <w:u w:val="none"/>
          </w:rPr>
          <w:t>'</w:t>
        </w:r>
      </w:hyperlink>
      <w:r w:rsidRPr="00143D43">
        <w:rPr>
          <w:rFonts w:ascii="FrankRuehl" w:hAnsi="FrankRuehl" w:cs="FrankRuehl"/>
          <w:color w:val="0000FF"/>
          <w:rtl/>
        </w:rPr>
        <w:t xml:space="preserve">, </w:t>
      </w:r>
      <w:hyperlink r:id="rId12" w:history="1">
        <w:r w:rsidRPr="00143D43">
          <w:rPr>
            <w:rStyle w:val="Hyperlink"/>
            <w:rFonts w:ascii="FrankRuehl" w:hAnsi="FrankRuehl" w:cs="FrankRuehl"/>
            <w:u w:val="none"/>
          </w:rPr>
          <w:t>40</w:t>
        </w:r>
        <w:r w:rsidRPr="00143D43">
          <w:rPr>
            <w:rStyle w:val="Hyperlink"/>
            <w:rFonts w:ascii="FrankRuehl" w:hAnsi="FrankRuehl" w:cs="FrankRuehl"/>
            <w:u w:val="none"/>
            <w:rtl/>
          </w:rPr>
          <w:t>ג</w:t>
        </w:r>
        <w:r w:rsidRPr="00143D43">
          <w:rPr>
            <w:rStyle w:val="Hyperlink"/>
            <w:rFonts w:ascii="FrankRuehl" w:hAnsi="FrankRuehl" w:cs="FrankRuehl"/>
            <w:u w:val="none"/>
          </w:rPr>
          <w:t>'</w:t>
        </w:r>
      </w:hyperlink>
      <w:r w:rsidRPr="00143D43">
        <w:rPr>
          <w:rFonts w:ascii="FrankRuehl" w:hAnsi="FrankRuehl" w:cs="FrankRuehl"/>
          <w:color w:val="0000FF"/>
          <w:rtl/>
        </w:rPr>
        <w:t xml:space="preserve">(א), </w:t>
      </w:r>
      <w:hyperlink r:id="rId13" w:history="1">
        <w:r w:rsidRPr="00143D43">
          <w:rPr>
            <w:rStyle w:val="Hyperlink"/>
            <w:rFonts w:ascii="FrankRuehl" w:hAnsi="FrankRuehl" w:cs="FrankRuehl"/>
            <w:u w:val="none"/>
          </w:rPr>
          <w:t>40</w:t>
        </w:r>
        <w:r w:rsidRPr="00143D43">
          <w:rPr>
            <w:rStyle w:val="Hyperlink"/>
            <w:rFonts w:ascii="FrankRuehl" w:hAnsi="FrankRuehl" w:cs="FrankRuehl"/>
            <w:u w:val="none"/>
            <w:rtl/>
          </w:rPr>
          <w:t>ט</w:t>
        </w:r>
        <w:r w:rsidRPr="00143D43">
          <w:rPr>
            <w:rStyle w:val="Hyperlink"/>
            <w:rFonts w:ascii="FrankRuehl" w:hAnsi="FrankRuehl" w:cs="FrankRuehl"/>
            <w:u w:val="none"/>
          </w:rPr>
          <w:t>'</w:t>
        </w:r>
      </w:hyperlink>
      <w:r w:rsidRPr="00143D43">
        <w:rPr>
          <w:rFonts w:ascii="FrankRuehl" w:hAnsi="FrankRuehl" w:cs="FrankRuehl"/>
          <w:color w:val="0000FF"/>
          <w:rtl/>
        </w:rPr>
        <w:t xml:space="preserve">, </w:t>
      </w:r>
      <w:hyperlink r:id="rId14" w:history="1">
        <w:r w:rsidRPr="00143D43">
          <w:rPr>
            <w:rStyle w:val="Hyperlink"/>
            <w:rFonts w:ascii="FrankRuehl" w:hAnsi="FrankRuehl" w:cs="FrankRuehl"/>
            <w:u w:val="none"/>
          </w:rPr>
          <w:t>40</w:t>
        </w:r>
        <w:r w:rsidRPr="00143D43">
          <w:rPr>
            <w:rStyle w:val="Hyperlink"/>
            <w:rFonts w:ascii="FrankRuehl" w:hAnsi="FrankRuehl" w:cs="FrankRuehl"/>
            <w:u w:val="none"/>
            <w:rtl/>
          </w:rPr>
          <w:t>יא</w:t>
        </w:r>
      </w:hyperlink>
    </w:p>
    <w:p w14:paraId="409EE038" w14:textId="77777777" w:rsidR="00E54432" w:rsidRPr="00143D43" w:rsidRDefault="00E54432" w:rsidP="00143D43">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54432" w14:paraId="42791319" w14:textId="77777777" w:rsidTr="00E54432">
        <w:trPr>
          <w:trHeight w:val="355"/>
          <w:jc w:val="center"/>
        </w:trPr>
        <w:tc>
          <w:tcPr>
            <w:tcW w:w="8820" w:type="dxa"/>
            <w:tcBorders>
              <w:top w:val="nil"/>
              <w:left w:val="nil"/>
              <w:bottom w:val="nil"/>
              <w:right w:val="nil"/>
            </w:tcBorders>
            <w:shd w:val="clear" w:color="auto" w:fill="auto"/>
          </w:tcPr>
          <w:p w14:paraId="2A0CA740" w14:textId="77777777" w:rsidR="00E54432" w:rsidRPr="00E54432" w:rsidRDefault="00E54432" w:rsidP="00E54432">
            <w:pPr>
              <w:jc w:val="center"/>
              <w:rPr>
                <w:rFonts w:ascii="David" w:hAnsi="David"/>
                <w:sz w:val="32"/>
                <w:szCs w:val="32"/>
                <w:u w:val="single"/>
              </w:rPr>
            </w:pPr>
            <w:bookmarkStart w:id="4" w:name="PsakDin"/>
            <w:r w:rsidRPr="00E54432">
              <w:rPr>
                <w:rFonts w:ascii="David" w:hAnsi="David"/>
                <w:b/>
                <w:bCs/>
                <w:sz w:val="32"/>
                <w:szCs w:val="32"/>
                <w:u w:val="single"/>
                <w:rtl/>
              </w:rPr>
              <w:t>גזר דין</w:t>
            </w:r>
            <w:bookmarkEnd w:id="4"/>
          </w:p>
        </w:tc>
      </w:tr>
    </w:tbl>
    <w:p w14:paraId="39DE7F8C" w14:textId="77777777" w:rsidR="00E54432" w:rsidRDefault="00E54432" w:rsidP="00E54432">
      <w:pPr>
        <w:rPr>
          <w:rFonts w:ascii="Arial" w:hAnsi="Arial"/>
          <w:b/>
          <w:bCs/>
          <w:sz w:val="26"/>
          <w:szCs w:val="26"/>
          <w:rtl/>
        </w:rPr>
      </w:pPr>
    </w:p>
    <w:p w14:paraId="27CFF30E" w14:textId="77777777" w:rsidR="00E54432" w:rsidRDefault="00E54432" w:rsidP="00E54432">
      <w:pPr>
        <w:spacing w:line="360" w:lineRule="auto"/>
        <w:jc w:val="both"/>
        <w:rPr>
          <w:rFonts w:ascii="David" w:hAnsi="David"/>
          <w:rtl/>
        </w:rPr>
      </w:pPr>
    </w:p>
    <w:p w14:paraId="6FAC27B7" w14:textId="77777777" w:rsidR="00E54432" w:rsidRDefault="00E54432" w:rsidP="00E54432">
      <w:pPr>
        <w:spacing w:line="360" w:lineRule="auto"/>
        <w:jc w:val="both"/>
        <w:rPr>
          <w:rFonts w:ascii="David" w:hAnsi="David"/>
          <w:rtl/>
        </w:rPr>
      </w:pPr>
      <w:bookmarkStart w:id="5" w:name="ABSTRACT_START"/>
      <w:bookmarkEnd w:id="5"/>
      <w:r>
        <w:rPr>
          <w:rFonts w:ascii="David" w:hAnsi="David"/>
          <w:rtl/>
        </w:rPr>
        <w:t xml:space="preserve">הנאשם הורשע ע"פ הודאתו בעובדות כתב אישום מתוקן, לפיו ביום 25.7.24 במסגרת חיפוש נתפסו  כ- 15 גר' סמים קשים בחזקתו, ועל כן הוא הורשע בביצוע עבירה לפי </w:t>
      </w:r>
      <w:hyperlink r:id="rId15" w:history="1">
        <w:r w:rsidR="00143D43" w:rsidRPr="00143D43">
          <w:rPr>
            <w:rStyle w:val="Hyperlink"/>
            <w:rFonts w:ascii="David" w:hAnsi="David"/>
            <w:rtl/>
          </w:rPr>
          <w:t>סעיף 7(א)</w:t>
        </w:r>
      </w:hyperlink>
      <w:r>
        <w:rPr>
          <w:rFonts w:ascii="David" w:hAnsi="David"/>
          <w:rtl/>
        </w:rPr>
        <w:t xml:space="preserve"> ו- </w:t>
      </w:r>
      <w:hyperlink r:id="rId16" w:history="1">
        <w:r w:rsidR="00143D43" w:rsidRPr="00143D43">
          <w:rPr>
            <w:rStyle w:val="Hyperlink"/>
            <w:rFonts w:ascii="David" w:hAnsi="David"/>
            <w:rtl/>
          </w:rPr>
          <w:t>7(ג)</w:t>
        </w:r>
      </w:hyperlink>
      <w:r>
        <w:rPr>
          <w:rFonts w:ascii="David" w:hAnsi="David"/>
          <w:rtl/>
        </w:rPr>
        <w:t xml:space="preserve"> רישא ל</w:t>
      </w:r>
      <w:hyperlink r:id="rId17" w:history="1">
        <w:r w:rsidR="00681A9D" w:rsidRPr="00681A9D">
          <w:rPr>
            <w:rFonts w:ascii="David" w:hAnsi="David"/>
            <w:color w:val="0000FF"/>
            <w:u w:val="single"/>
            <w:rtl/>
          </w:rPr>
          <w:t>פקודת הסמים המסוכנים</w:t>
        </w:r>
      </w:hyperlink>
      <w:r>
        <w:rPr>
          <w:rFonts w:ascii="David" w:hAnsi="David"/>
          <w:rtl/>
        </w:rPr>
        <w:t xml:space="preserve"> [נוסח חדש], תשל"ג- 1973.</w:t>
      </w:r>
    </w:p>
    <w:p w14:paraId="3A7C8A32" w14:textId="77777777" w:rsidR="00E54432" w:rsidRDefault="00E54432" w:rsidP="00E54432">
      <w:pPr>
        <w:spacing w:line="360" w:lineRule="auto"/>
        <w:jc w:val="both"/>
        <w:rPr>
          <w:rFonts w:ascii="David" w:hAnsi="David"/>
          <w:rtl/>
        </w:rPr>
      </w:pPr>
    </w:p>
    <w:p w14:paraId="56CE7D99" w14:textId="77777777" w:rsidR="00E54432" w:rsidRDefault="00E54432" w:rsidP="00E54432">
      <w:pPr>
        <w:spacing w:line="360" w:lineRule="auto"/>
        <w:jc w:val="both"/>
        <w:rPr>
          <w:rFonts w:ascii="David" w:hAnsi="David"/>
          <w:b/>
          <w:bCs/>
          <w:rtl/>
        </w:rPr>
      </w:pPr>
      <w:bookmarkStart w:id="6" w:name="ABSTRACT_END"/>
      <w:bookmarkEnd w:id="6"/>
      <w:r>
        <w:rPr>
          <w:rFonts w:ascii="David" w:hAnsi="David"/>
          <w:b/>
          <w:bCs/>
          <w:rtl/>
        </w:rPr>
        <w:t>האישום וההליך</w:t>
      </w:r>
    </w:p>
    <w:p w14:paraId="4AB543D4" w14:textId="77777777" w:rsidR="00E54432" w:rsidRDefault="00E54432" w:rsidP="00E54432">
      <w:pPr>
        <w:pStyle w:val="a9"/>
        <w:numPr>
          <w:ilvl w:val="0"/>
          <w:numId w:val="1"/>
        </w:numPr>
        <w:bidi/>
        <w:spacing w:line="360" w:lineRule="auto"/>
        <w:jc w:val="both"/>
        <w:rPr>
          <w:rFonts w:ascii="David" w:hAnsi="David" w:cs="David"/>
          <w:rtl/>
        </w:rPr>
      </w:pPr>
      <w:r>
        <w:rPr>
          <w:rFonts w:ascii="David" w:hAnsi="David" w:cs="David"/>
          <w:rtl/>
        </w:rPr>
        <w:t>כתב האישום הוגש ביום 31.7.24. בד בבד, הוגשה בקשה לעצור את הנאשם עד תום ההליכים נגדו והנאשם עצור מאז.</w:t>
      </w:r>
    </w:p>
    <w:p w14:paraId="26F7EF6A" w14:textId="77777777" w:rsidR="00E54432" w:rsidRDefault="00E54432" w:rsidP="00E54432">
      <w:pPr>
        <w:spacing w:line="360" w:lineRule="auto"/>
        <w:ind w:left="720"/>
        <w:jc w:val="both"/>
        <w:rPr>
          <w:rFonts w:ascii="David" w:hAnsi="David"/>
          <w:rtl/>
        </w:rPr>
      </w:pPr>
      <w:r>
        <w:rPr>
          <w:rFonts w:ascii="David" w:hAnsi="David"/>
          <w:rtl/>
        </w:rPr>
        <w:t xml:space="preserve">ביום 25.11.24 הודיעו הצדדים כי הגיעו להסדר דיוני, לפיו יתוקן כתב האישום, הנאשם יודה ויורשע בכתב האישום המתוקן והצדדים יטענו לעונש באופן חופשי. </w:t>
      </w:r>
    </w:p>
    <w:p w14:paraId="10A86F5B" w14:textId="77777777" w:rsidR="00E54432" w:rsidRDefault="00E54432" w:rsidP="00E54432">
      <w:pPr>
        <w:pStyle w:val="a9"/>
        <w:numPr>
          <w:ilvl w:val="0"/>
          <w:numId w:val="1"/>
        </w:numPr>
        <w:bidi/>
        <w:spacing w:line="360" w:lineRule="auto"/>
        <w:jc w:val="both"/>
        <w:rPr>
          <w:rFonts w:ascii="David" w:hAnsi="David" w:cs="David"/>
          <w:rtl/>
        </w:rPr>
      </w:pPr>
      <w:r>
        <w:rPr>
          <w:rFonts w:ascii="David" w:hAnsi="David" w:cs="David"/>
          <w:rtl/>
        </w:rPr>
        <w:t>ע"פ כתב האישום המתוקן (</w:t>
      </w:r>
      <w:r>
        <w:rPr>
          <w:rFonts w:ascii="David" w:hAnsi="David" w:cs="David"/>
          <w:b/>
          <w:bCs/>
          <w:rtl/>
        </w:rPr>
        <w:t>במ/1</w:t>
      </w:r>
      <w:r>
        <w:rPr>
          <w:rFonts w:ascii="David" w:hAnsi="David" w:cs="David"/>
          <w:rtl/>
        </w:rPr>
        <w:t>), ביום 25.7.24 ערכו שוטרים חיפוש בדירתו של הנאשם. במהלך החיפוש ניסה הנאשם לברוח מן השוטרים ואלו נאלצו להפעיל כוח סביר על מנת לעצור אותו, תוך שהוא מתנגד למעצרו. בנסיבות אלה, לאחר חיפוש על גופו של הנאשם, נמצאו סמים אשר הוסלקו באזור חלציו כמפורט להלן:</w:t>
      </w:r>
      <w:r>
        <w:rPr>
          <w:rFonts w:ascii="David" w:hAnsi="David" w:cs="David"/>
        </w:rPr>
        <w:t xml:space="preserve"> </w:t>
      </w:r>
      <w:r>
        <w:rPr>
          <w:rFonts w:ascii="David" w:hAnsi="David" w:cs="David"/>
          <w:rtl/>
        </w:rPr>
        <w:t xml:space="preserve">12.1183 גר' סם מסוכן מסוג קוקאין וכן 3.0343 גר' סם מסוכן מסוג הרואין. </w:t>
      </w:r>
    </w:p>
    <w:p w14:paraId="28C4B23A" w14:textId="77777777" w:rsidR="00E54432" w:rsidRDefault="00E54432" w:rsidP="00E54432">
      <w:pPr>
        <w:pStyle w:val="a9"/>
        <w:bidi/>
        <w:spacing w:line="360" w:lineRule="auto"/>
        <w:ind w:left="720"/>
        <w:jc w:val="both"/>
        <w:rPr>
          <w:rFonts w:ascii="David" w:hAnsi="David" w:cs="David"/>
          <w:rtl/>
        </w:rPr>
      </w:pPr>
    </w:p>
    <w:p w14:paraId="1CF62F71" w14:textId="77777777" w:rsidR="00E54432" w:rsidRDefault="00E54432" w:rsidP="00E54432">
      <w:pPr>
        <w:pStyle w:val="a9"/>
        <w:bidi/>
        <w:spacing w:line="360" w:lineRule="auto"/>
        <w:ind w:left="720"/>
        <w:jc w:val="both"/>
        <w:rPr>
          <w:rFonts w:ascii="David" w:hAnsi="David" w:cs="David"/>
          <w:rtl/>
        </w:rPr>
      </w:pPr>
    </w:p>
    <w:p w14:paraId="2B86C9C2" w14:textId="77777777" w:rsidR="00E54432" w:rsidRDefault="00E54432" w:rsidP="00E54432">
      <w:pPr>
        <w:pStyle w:val="a9"/>
        <w:bidi/>
        <w:spacing w:line="360" w:lineRule="auto"/>
        <w:ind w:left="720"/>
        <w:jc w:val="both"/>
        <w:rPr>
          <w:rFonts w:ascii="David" w:hAnsi="David" w:cs="David"/>
          <w:rtl/>
        </w:rPr>
      </w:pPr>
    </w:p>
    <w:p w14:paraId="6CF6EACB" w14:textId="77777777" w:rsidR="00E54432" w:rsidRDefault="00E54432" w:rsidP="00E54432">
      <w:pPr>
        <w:spacing w:line="360" w:lineRule="auto"/>
        <w:jc w:val="both"/>
        <w:rPr>
          <w:rFonts w:ascii="David" w:hAnsi="David"/>
          <w:b/>
          <w:bCs/>
        </w:rPr>
      </w:pPr>
      <w:r>
        <w:rPr>
          <w:rFonts w:ascii="David" w:hAnsi="David"/>
          <w:b/>
          <w:bCs/>
          <w:rtl/>
        </w:rPr>
        <w:t>ראיות וטיעונים לעונש מטעם המאשימה</w:t>
      </w:r>
    </w:p>
    <w:p w14:paraId="579A6D59" w14:textId="77777777" w:rsidR="00E54432" w:rsidRDefault="00E54432" w:rsidP="00E54432">
      <w:pPr>
        <w:pStyle w:val="a9"/>
        <w:numPr>
          <w:ilvl w:val="0"/>
          <w:numId w:val="1"/>
        </w:numPr>
        <w:bidi/>
        <w:spacing w:line="360" w:lineRule="auto"/>
        <w:jc w:val="both"/>
        <w:rPr>
          <w:rFonts w:ascii="David" w:hAnsi="David" w:cs="David"/>
          <w:rtl/>
        </w:rPr>
      </w:pPr>
      <w:r>
        <w:rPr>
          <w:rFonts w:ascii="David" w:hAnsi="David" w:cs="David"/>
          <w:rtl/>
        </w:rPr>
        <w:t>המאשימה הגישה את גיליון ההרשעות הקודמות של הנאשם (</w:t>
      </w:r>
      <w:r>
        <w:rPr>
          <w:rFonts w:ascii="David" w:hAnsi="David" w:cs="David"/>
          <w:b/>
          <w:bCs/>
          <w:rtl/>
        </w:rPr>
        <w:t>ת/1</w:t>
      </w:r>
      <w:r>
        <w:rPr>
          <w:rFonts w:ascii="David" w:hAnsi="David" w:cs="David"/>
          <w:rtl/>
        </w:rPr>
        <w:t>) ממנו עולה כי לנאשם 13 הרשעות קודמות על טיבן אעמוד בהמשך.</w:t>
      </w:r>
    </w:p>
    <w:p w14:paraId="5A61D60F" w14:textId="77777777" w:rsidR="00E54432" w:rsidRDefault="00E54432" w:rsidP="00E54432">
      <w:pPr>
        <w:pStyle w:val="a9"/>
        <w:numPr>
          <w:ilvl w:val="0"/>
          <w:numId w:val="1"/>
        </w:numPr>
        <w:bidi/>
        <w:spacing w:line="360" w:lineRule="auto"/>
        <w:jc w:val="both"/>
        <w:rPr>
          <w:rFonts w:ascii="David" w:hAnsi="David" w:cs="David"/>
          <w:rtl/>
        </w:rPr>
      </w:pPr>
      <w:r>
        <w:rPr>
          <w:rFonts w:ascii="David" w:hAnsi="David" w:cs="David"/>
          <w:rtl/>
        </w:rPr>
        <w:t>בטיעוניה בכתב (</w:t>
      </w:r>
      <w:r>
        <w:rPr>
          <w:rFonts w:ascii="David" w:hAnsi="David" w:cs="David"/>
          <w:b/>
          <w:bCs/>
          <w:rtl/>
        </w:rPr>
        <w:t>ת/2</w:t>
      </w:r>
      <w:r>
        <w:rPr>
          <w:rFonts w:ascii="David" w:hAnsi="David" w:cs="David"/>
          <w:rtl/>
        </w:rPr>
        <w:t xml:space="preserve">) טענה המאשימה, כי הנאשם פגע בערכים מוגנים של הגנה על שלום הציבור במובן הרחב, שכן נגע הסמים הנו מחולל פשיעה על כל גווניה, לרבות אלימות, רכוש, תעבורה ועוד. כמו כן נטען, כי נגרמת פגיעה למשתמשים עצמם וכן לרוכשים מן הנאשם את הסם. </w:t>
      </w:r>
    </w:p>
    <w:p w14:paraId="765DD869" w14:textId="77777777" w:rsidR="00E54432" w:rsidRDefault="00E54432" w:rsidP="00E54432">
      <w:pPr>
        <w:pStyle w:val="a9"/>
        <w:numPr>
          <w:ilvl w:val="0"/>
          <w:numId w:val="1"/>
        </w:numPr>
        <w:bidi/>
        <w:spacing w:line="360" w:lineRule="auto"/>
        <w:jc w:val="both"/>
        <w:rPr>
          <w:rFonts w:ascii="David" w:hAnsi="David" w:cs="David"/>
        </w:rPr>
      </w:pPr>
      <w:r>
        <w:rPr>
          <w:rFonts w:ascii="David" w:hAnsi="David" w:cs="David"/>
          <w:rtl/>
        </w:rPr>
        <w:t>המאשימה טענה כי בתיק זה מתקיימות מספר נסיבות חמורות, לרבות העובדה כי הסמים הנם מסוג הסמים הקשים וכן נוכח העבודה כי הנאשם הפריע לשוטרים במהלך מעצרו- הגם שהוראות החיקוק נמחקו מכתב האישום המתוקן במסגרת ההסדר הדיוני.</w:t>
      </w:r>
    </w:p>
    <w:p w14:paraId="0944219E" w14:textId="77777777" w:rsidR="00E54432" w:rsidRDefault="00E54432" w:rsidP="00E54432">
      <w:pPr>
        <w:pStyle w:val="a9"/>
        <w:numPr>
          <w:ilvl w:val="0"/>
          <w:numId w:val="1"/>
        </w:numPr>
        <w:bidi/>
        <w:spacing w:line="360" w:lineRule="auto"/>
        <w:jc w:val="both"/>
        <w:rPr>
          <w:rFonts w:ascii="David" w:hAnsi="David" w:cs="David"/>
        </w:rPr>
      </w:pPr>
      <w:r>
        <w:rPr>
          <w:rFonts w:ascii="David" w:hAnsi="David" w:cs="David"/>
          <w:rtl/>
        </w:rPr>
        <w:t>לאור האמור, המאשימה טוענת למתחם שנע בין 18-36 חודשי מאסר ומבקשת לגזור את עונשו של הנאשם ברף העליון. כמו כן מבקשת המאשימה להטיל על הנאשם מאסר מותנה, פסילת רישיון נהיגה הן בפועל והן על תנאי וכן קנס. בנוסף עותרת המאשימה להשמדת המוצגים.</w:t>
      </w:r>
    </w:p>
    <w:p w14:paraId="15CA6C6A" w14:textId="77777777" w:rsidR="00E54432" w:rsidRDefault="00E54432" w:rsidP="00E54432">
      <w:pPr>
        <w:pStyle w:val="a9"/>
        <w:numPr>
          <w:ilvl w:val="0"/>
          <w:numId w:val="1"/>
        </w:numPr>
        <w:bidi/>
        <w:spacing w:line="360" w:lineRule="auto"/>
        <w:jc w:val="both"/>
        <w:rPr>
          <w:rFonts w:ascii="David" w:hAnsi="David" w:cs="David"/>
        </w:rPr>
      </w:pPr>
      <w:r>
        <w:rPr>
          <w:rFonts w:ascii="David" w:hAnsi="David" w:cs="David"/>
          <w:rtl/>
        </w:rPr>
        <w:t>המאשימה הפנתה לפסיקה אליה אתייחס בהמשך.</w:t>
      </w:r>
    </w:p>
    <w:p w14:paraId="11ADD2F6" w14:textId="77777777" w:rsidR="00E54432" w:rsidRDefault="00E54432" w:rsidP="00E54432">
      <w:pPr>
        <w:spacing w:line="360" w:lineRule="auto"/>
        <w:jc w:val="both"/>
        <w:rPr>
          <w:rFonts w:ascii="David" w:hAnsi="David"/>
        </w:rPr>
      </w:pPr>
    </w:p>
    <w:p w14:paraId="5482E089" w14:textId="77777777" w:rsidR="00E54432" w:rsidRDefault="00E54432" w:rsidP="00E54432">
      <w:pPr>
        <w:spacing w:line="360" w:lineRule="auto"/>
        <w:jc w:val="both"/>
        <w:rPr>
          <w:rFonts w:ascii="David" w:hAnsi="David"/>
          <w:b/>
          <w:bCs/>
        </w:rPr>
      </w:pPr>
      <w:r>
        <w:rPr>
          <w:rFonts w:ascii="David" w:hAnsi="David"/>
          <w:b/>
          <w:bCs/>
          <w:rtl/>
        </w:rPr>
        <w:t>טיעוני הנאשם לעונש</w:t>
      </w:r>
    </w:p>
    <w:p w14:paraId="3BECD850" w14:textId="77777777" w:rsidR="00E54432" w:rsidRDefault="00E54432" w:rsidP="00E54432">
      <w:pPr>
        <w:pStyle w:val="a9"/>
        <w:numPr>
          <w:ilvl w:val="0"/>
          <w:numId w:val="1"/>
        </w:numPr>
        <w:bidi/>
        <w:spacing w:line="360" w:lineRule="auto"/>
        <w:jc w:val="both"/>
        <w:rPr>
          <w:rFonts w:ascii="David" w:hAnsi="David" w:cs="David"/>
          <w:rtl/>
        </w:rPr>
      </w:pPr>
      <w:r>
        <w:rPr>
          <w:rFonts w:ascii="David" w:hAnsi="David" w:cs="David"/>
          <w:rtl/>
        </w:rPr>
        <w:t>לטענת ב"כ הנאשם, נשללה כל אפשרות לכך כי הסמים הוחזקו למטרת סחר. לטענתו, הנאשם מכור לסמים שנים רבות והוא מתקשה לגייס את הכוחות הדרושים לצורך השתלבות בהליך גמילה וטיפול. אף בתיק זה שוחרר הנאשם לחלופת מעצר בקהילה טיפולית, אולם לאחר זמן קצר חזר למעצר.</w:t>
      </w:r>
    </w:p>
    <w:p w14:paraId="08334829" w14:textId="77777777" w:rsidR="00E54432" w:rsidRDefault="00E54432" w:rsidP="00E54432">
      <w:pPr>
        <w:pStyle w:val="a9"/>
        <w:bidi/>
        <w:spacing w:line="360" w:lineRule="auto"/>
        <w:ind w:left="720"/>
        <w:jc w:val="both"/>
        <w:rPr>
          <w:rFonts w:ascii="David" w:hAnsi="David" w:cs="David"/>
          <w:rtl/>
        </w:rPr>
      </w:pPr>
      <w:r>
        <w:rPr>
          <w:rFonts w:ascii="David" w:hAnsi="David" w:cs="David"/>
          <w:rtl/>
        </w:rPr>
        <w:t xml:space="preserve">ב"כ הנאשם טען כי המתחם בנסיבות תיק זה הנן בין 6-18 חודשי מאסר. לאור הודייתו בהזדמנות הראשונה וכן לאור העובדה כי הרשעותיו מהשנים האחרונות אינן בעבירות סמים, טעו הסניגור כי יש לגזור את עונשו של הנאשם בתחתית המתחם. </w:t>
      </w:r>
    </w:p>
    <w:p w14:paraId="3264113B" w14:textId="77777777" w:rsidR="00E54432" w:rsidRDefault="00E54432" w:rsidP="00E54432">
      <w:pPr>
        <w:spacing w:line="360" w:lineRule="auto"/>
        <w:ind w:left="720"/>
        <w:jc w:val="both"/>
        <w:rPr>
          <w:rFonts w:ascii="David" w:hAnsi="David"/>
        </w:rPr>
      </w:pPr>
      <w:r>
        <w:rPr>
          <w:rFonts w:ascii="David" w:hAnsi="David"/>
          <w:rtl/>
        </w:rPr>
        <w:t xml:space="preserve">ב"כ הנאשם הפנה לפסיקה, אליה אתייחס בהמשך. </w:t>
      </w:r>
    </w:p>
    <w:p w14:paraId="43F5D116" w14:textId="77777777" w:rsidR="00E54432" w:rsidRDefault="00E54432" w:rsidP="00E54432">
      <w:pPr>
        <w:spacing w:line="360" w:lineRule="auto"/>
        <w:jc w:val="both"/>
        <w:rPr>
          <w:rFonts w:ascii="David" w:hAnsi="David"/>
          <w:rtl/>
        </w:rPr>
      </w:pPr>
    </w:p>
    <w:p w14:paraId="48630BDD" w14:textId="77777777" w:rsidR="00E54432" w:rsidRDefault="00E54432" w:rsidP="00E54432">
      <w:pPr>
        <w:spacing w:line="360" w:lineRule="auto"/>
        <w:jc w:val="both"/>
        <w:rPr>
          <w:rFonts w:ascii="David" w:hAnsi="David"/>
          <w:b/>
          <w:bCs/>
          <w:rtl/>
        </w:rPr>
      </w:pPr>
      <w:r>
        <w:rPr>
          <w:rFonts w:ascii="David" w:hAnsi="David"/>
          <w:b/>
          <w:bCs/>
          <w:rtl/>
        </w:rPr>
        <w:lastRenderedPageBreak/>
        <w:t>דברי הנאשם</w:t>
      </w:r>
    </w:p>
    <w:p w14:paraId="1ACAF315" w14:textId="77777777" w:rsidR="00E54432" w:rsidRDefault="00E54432" w:rsidP="00E54432">
      <w:pPr>
        <w:pStyle w:val="a9"/>
        <w:numPr>
          <w:ilvl w:val="0"/>
          <w:numId w:val="1"/>
        </w:numPr>
        <w:bidi/>
        <w:spacing w:line="360" w:lineRule="auto"/>
        <w:jc w:val="both"/>
        <w:rPr>
          <w:rFonts w:ascii="David" w:hAnsi="David" w:cs="David"/>
          <w:rtl/>
        </w:rPr>
      </w:pPr>
      <w:r>
        <w:rPr>
          <w:rFonts w:ascii="David" w:hAnsi="David" w:cs="David"/>
          <w:rtl/>
        </w:rPr>
        <w:t xml:space="preserve">הנאשם בדברו האחרון התנצל ולקח אחריות על העבירה (עמ' 15, ש' 31). </w:t>
      </w:r>
    </w:p>
    <w:p w14:paraId="76DC1F47" w14:textId="77777777" w:rsidR="00E54432" w:rsidRDefault="00E54432" w:rsidP="00E54432">
      <w:pPr>
        <w:spacing w:line="360" w:lineRule="auto"/>
        <w:jc w:val="both"/>
        <w:rPr>
          <w:rFonts w:ascii="David" w:hAnsi="David"/>
          <w:rtl/>
        </w:rPr>
      </w:pPr>
    </w:p>
    <w:p w14:paraId="75A8DEE6" w14:textId="77777777" w:rsidR="00E54432" w:rsidRDefault="00E54432" w:rsidP="00E54432">
      <w:pPr>
        <w:spacing w:line="360" w:lineRule="auto"/>
        <w:jc w:val="both"/>
        <w:rPr>
          <w:rFonts w:ascii="David" w:hAnsi="David"/>
          <w:b/>
          <w:bCs/>
          <w:rtl/>
        </w:rPr>
      </w:pPr>
      <w:r>
        <w:rPr>
          <w:rFonts w:ascii="David" w:hAnsi="David"/>
          <w:b/>
          <w:bCs/>
          <w:rtl/>
        </w:rPr>
        <w:t>דיון והכרעה</w:t>
      </w:r>
    </w:p>
    <w:p w14:paraId="6A7C2459" w14:textId="77777777" w:rsidR="00E54432" w:rsidRDefault="00E54432" w:rsidP="00E54432">
      <w:pPr>
        <w:pStyle w:val="a9"/>
        <w:numPr>
          <w:ilvl w:val="0"/>
          <w:numId w:val="1"/>
        </w:numPr>
        <w:bidi/>
        <w:spacing w:line="360" w:lineRule="auto"/>
        <w:jc w:val="both"/>
        <w:rPr>
          <w:rFonts w:ascii="David" w:hAnsi="David" w:cs="David"/>
          <w:rtl/>
        </w:rPr>
      </w:pPr>
      <w:r>
        <w:rPr>
          <w:rFonts w:ascii="David" w:hAnsi="David" w:cs="David"/>
          <w:rtl/>
        </w:rPr>
        <w:t>בהתאם לתיקון 113</w:t>
      </w:r>
      <w:r w:rsidR="00681A9D">
        <w:rPr>
          <w:rFonts w:ascii="David" w:hAnsi="David" w:cs="David"/>
          <w:rtl/>
        </w:rPr>
        <w:t xml:space="preserve"> </w:t>
      </w:r>
      <w:hyperlink r:id="rId18" w:history="1">
        <w:r w:rsidR="00143D43" w:rsidRPr="00143D43">
          <w:rPr>
            <w:rStyle w:val="Hyperlink"/>
            <w:rFonts w:ascii="David" w:hAnsi="David" w:cs="David"/>
            <w:rtl/>
          </w:rPr>
          <w:t>וסעיף 40ב'</w:t>
        </w:r>
      </w:hyperlink>
      <w:r w:rsidR="00681A9D">
        <w:rPr>
          <w:rFonts w:ascii="David" w:hAnsi="David" w:cs="David"/>
          <w:rtl/>
        </w:rPr>
        <w:t xml:space="preserve"> </w:t>
      </w:r>
      <w:r>
        <w:rPr>
          <w:rFonts w:ascii="David" w:hAnsi="David" w:cs="David"/>
          <w:rtl/>
        </w:rPr>
        <w:t>ל</w:t>
      </w:r>
      <w:hyperlink r:id="rId19" w:history="1">
        <w:r w:rsidR="00681A9D" w:rsidRPr="00681A9D">
          <w:rPr>
            <w:rFonts w:ascii="David" w:hAnsi="David" w:cs="David"/>
            <w:color w:val="0000FF"/>
            <w:u w:val="single"/>
            <w:rtl/>
          </w:rPr>
          <w:t>חוק העונשין</w:t>
        </w:r>
      </w:hyperlink>
      <w:r>
        <w:rPr>
          <w:rFonts w:ascii="David" w:hAnsi="David" w:cs="David"/>
          <w:rtl/>
        </w:rPr>
        <w:t>, העיקרון המנחה בענישה הוא קיומו של יחס הולם בין חומרת מעשה העבירה, בנסיבותיו, ומידת אשמו של הנאשם, לבין סוג ומידת העונש שיוטל עליו. בהתאם</w:t>
      </w:r>
      <w:r w:rsidR="00681A9D">
        <w:rPr>
          <w:rFonts w:ascii="David" w:hAnsi="David" w:cs="David"/>
          <w:rtl/>
        </w:rPr>
        <w:t xml:space="preserve"> </w:t>
      </w:r>
      <w:hyperlink r:id="rId20" w:history="1">
        <w:r w:rsidR="00143D43" w:rsidRPr="00143D43">
          <w:rPr>
            <w:rStyle w:val="Hyperlink"/>
            <w:rFonts w:ascii="David" w:hAnsi="David" w:cs="David"/>
            <w:rtl/>
          </w:rPr>
          <w:t>לסעיף 40ג'(א)</w:t>
        </w:r>
      </w:hyperlink>
      <w:r w:rsidR="00681A9D">
        <w:rPr>
          <w:rFonts w:ascii="David" w:hAnsi="David" w:cs="David"/>
          <w:rtl/>
        </w:rPr>
        <w:t xml:space="preserve"> </w:t>
      </w:r>
      <w:r>
        <w:rPr>
          <w:rFonts w:ascii="David" w:hAnsi="David" w:cs="David"/>
          <w:rtl/>
        </w:rPr>
        <w:t>לחוק, בקביעת מתחם הענישה יש לקחת בחשבון את הערך החברתי שנפגע מביצוע העבירה, מידת הפגיעה בו, מדיניות הענישה הנוהגת והנסיבות הקשורות בביצוע העבירה, כמפורט</w:t>
      </w:r>
      <w:r w:rsidR="00681A9D">
        <w:rPr>
          <w:rFonts w:ascii="David" w:hAnsi="David" w:cs="David"/>
          <w:rtl/>
        </w:rPr>
        <w:t xml:space="preserve"> </w:t>
      </w:r>
      <w:hyperlink r:id="rId21" w:history="1">
        <w:r w:rsidR="00143D43" w:rsidRPr="00143D43">
          <w:rPr>
            <w:rStyle w:val="Hyperlink"/>
            <w:rFonts w:ascii="David" w:hAnsi="David" w:cs="David"/>
            <w:rtl/>
          </w:rPr>
          <w:t>בסעיף 40ט'</w:t>
        </w:r>
      </w:hyperlink>
      <w:r w:rsidR="00681A9D">
        <w:rPr>
          <w:rFonts w:ascii="David" w:hAnsi="David" w:cs="David"/>
          <w:rtl/>
        </w:rPr>
        <w:t xml:space="preserve"> </w:t>
      </w:r>
      <w:r>
        <w:rPr>
          <w:rFonts w:ascii="David" w:hAnsi="David" w:cs="David"/>
          <w:rtl/>
        </w:rPr>
        <w:t xml:space="preserve">לחוק. בגזירת העונש המתאים בתוך מתחם הענישה, יתחשב ביהמ"ש בנסיבות שאינן קשורות בביצוע העבירה, בהתאם לאמור </w:t>
      </w:r>
      <w:hyperlink r:id="rId22" w:history="1">
        <w:r w:rsidR="00143D43" w:rsidRPr="00143D43">
          <w:rPr>
            <w:rStyle w:val="Hyperlink"/>
            <w:rFonts w:ascii="David" w:hAnsi="David" w:cs="David"/>
            <w:rtl/>
          </w:rPr>
          <w:t>בסעיף 40יא</w:t>
        </w:r>
      </w:hyperlink>
      <w:r>
        <w:rPr>
          <w:rFonts w:ascii="David" w:hAnsi="David" w:cs="David"/>
          <w:rtl/>
        </w:rPr>
        <w:t xml:space="preserve"> לחוק.</w:t>
      </w:r>
    </w:p>
    <w:p w14:paraId="378B61D8" w14:textId="77777777" w:rsidR="00E54432" w:rsidRDefault="00E54432" w:rsidP="00E54432">
      <w:pPr>
        <w:pStyle w:val="a9"/>
        <w:bidi/>
        <w:spacing w:line="360" w:lineRule="auto"/>
        <w:ind w:left="720"/>
        <w:jc w:val="both"/>
        <w:rPr>
          <w:rFonts w:ascii="David" w:hAnsi="David" w:cs="David"/>
          <w:rtl/>
        </w:rPr>
      </w:pPr>
    </w:p>
    <w:p w14:paraId="79356A71" w14:textId="77777777" w:rsidR="00E54432" w:rsidRDefault="00E54432" w:rsidP="00E54432">
      <w:pPr>
        <w:spacing w:line="360" w:lineRule="auto"/>
        <w:jc w:val="both"/>
        <w:rPr>
          <w:rFonts w:ascii="David" w:hAnsi="David"/>
          <w:b/>
          <w:bCs/>
          <w:color w:val="000000"/>
          <w:u w:val="single"/>
        </w:rPr>
      </w:pPr>
      <w:r>
        <w:rPr>
          <w:rFonts w:ascii="David" w:hAnsi="David"/>
          <w:b/>
          <w:bCs/>
          <w:color w:val="000000"/>
          <w:u w:val="single"/>
          <w:rtl/>
        </w:rPr>
        <w:t>קביעת מתחם העונש ההולם</w:t>
      </w:r>
    </w:p>
    <w:p w14:paraId="11415C20" w14:textId="77777777" w:rsidR="00E54432" w:rsidRDefault="00E54432" w:rsidP="00E54432">
      <w:pPr>
        <w:pStyle w:val="a9"/>
        <w:numPr>
          <w:ilvl w:val="0"/>
          <w:numId w:val="1"/>
        </w:numPr>
        <w:bidi/>
        <w:spacing w:line="360" w:lineRule="auto"/>
        <w:jc w:val="both"/>
        <w:rPr>
          <w:rFonts w:ascii="David" w:hAnsi="David" w:cs="David"/>
          <w:b/>
          <w:bCs/>
          <w:color w:val="000000"/>
          <w:u w:val="single"/>
          <w:rtl/>
        </w:rPr>
      </w:pPr>
      <w:r>
        <w:rPr>
          <w:rFonts w:ascii="David" w:hAnsi="David" w:cs="David"/>
          <w:b/>
          <w:bCs/>
          <w:color w:val="000000"/>
          <w:u w:val="single"/>
          <w:rtl/>
        </w:rPr>
        <w:t>הערכים המוגנים</w:t>
      </w:r>
    </w:p>
    <w:p w14:paraId="137800D5" w14:textId="77777777" w:rsidR="00E54432" w:rsidRDefault="00E54432" w:rsidP="00E54432">
      <w:pPr>
        <w:spacing w:line="360" w:lineRule="auto"/>
        <w:ind w:left="720"/>
        <w:jc w:val="both"/>
        <w:rPr>
          <w:rFonts w:ascii="David" w:hAnsi="David"/>
          <w:color w:val="000000"/>
          <w:rtl/>
        </w:rPr>
      </w:pPr>
      <w:r>
        <w:rPr>
          <w:rFonts w:ascii="David" w:hAnsi="David"/>
          <w:color w:val="000000"/>
          <w:rtl/>
        </w:rPr>
        <w:t xml:space="preserve">הערך המוגן בעבירות בעבירות סמים הנו שמירה על בריאות הציבור והגנה על ביטחון הציבור. אין חולק כי נגע הסמים פוגע לא רק במשתמש עצמו, אלא גם בכלל החברה אשר נאלצת לספוג את המחירים הנובעים מהצורך לקיים את ההתמכרות- בדמות עבירות רכוש ואלימות. </w:t>
      </w:r>
    </w:p>
    <w:p w14:paraId="7DC4B09C" w14:textId="77777777" w:rsidR="00E54432" w:rsidRDefault="00E54432" w:rsidP="00E54432">
      <w:pPr>
        <w:spacing w:line="360" w:lineRule="auto"/>
        <w:jc w:val="both"/>
        <w:rPr>
          <w:rFonts w:ascii="David" w:hAnsi="David"/>
          <w:rtl/>
        </w:rPr>
      </w:pPr>
    </w:p>
    <w:p w14:paraId="7DB84A94" w14:textId="77777777" w:rsidR="00E54432" w:rsidRDefault="00E54432" w:rsidP="00E54432">
      <w:pPr>
        <w:pStyle w:val="a9"/>
        <w:numPr>
          <w:ilvl w:val="0"/>
          <w:numId w:val="1"/>
        </w:numPr>
        <w:bidi/>
        <w:spacing w:before="240" w:beforeAutospacing="0" w:after="240" w:afterAutospacing="0" w:line="360" w:lineRule="auto"/>
        <w:ind w:right="360"/>
        <w:jc w:val="both"/>
        <w:rPr>
          <w:rFonts w:ascii="David" w:hAnsi="David" w:cs="David"/>
          <w:b/>
          <w:bCs/>
          <w:color w:val="000000"/>
          <w:u w:val="single"/>
          <w:rtl/>
        </w:rPr>
      </w:pPr>
      <w:r>
        <w:rPr>
          <w:rFonts w:ascii="David" w:hAnsi="David" w:cs="David"/>
          <w:b/>
          <w:bCs/>
          <w:color w:val="000000"/>
          <w:u w:val="single"/>
          <w:rtl/>
        </w:rPr>
        <w:t>מדיניות הענישה הנוהגת</w:t>
      </w:r>
    </w:p>
    <w:p w14:paraId="2211FDFD" w14:textId="77777777" w:rsidR="00E54432" w:rsidRDefault="00E54432" w:rsidP="00E54432">
      <w:pPr>
        <w:spacing w:line="360" w:lineRule="auto"/>
        <w:ind w:left="720"/>
        <w:jc w:val="both"/>
        <w:rPr>
          <w:rFonts w:ascii="David" w:hAnsi="David"/>
          <w:rtl/>
        </w:rPr>
      </w:pPr>
      <w:r>
        <w:rPr>
          <w:rFonts w:ascii="David" w:hAnsi="David"/>
          <w:rtl/>
        </w:rPr>
        <w:t xml:space="preserve">בעבירות סמים, מטבע הדברים ישנה קשת רחבה של ענישה ויש להבחין בין סוג הסמים שנתפסו וכמותם. להלן אסקור מספר פסקי דין שנסיבותיהם דומות לענייננו, חלקם חמורים יותר וחלקם חמורים פחות. כמו כן עיינתי בפסיקה שהגישו הצדדים (שאותה ניתן לאתר במאגרים) ואתייחס לחלקה. </w:t>
      </w:r>
    </w:p>
    <w:p w14:paraId="27498DE1" w14:textId="77777777" w:rsidR="00E54432" w:rsidRDefault="00E54432" w:rsidP="00E54432">
      <w:pPr>
        <w:spacing w:line="360" w:lineRule="auto"/>
        <w:ind w:left="720"/>
        <w:jc w:val="both"/>
        <w:rPr>
          <w:rFonts w:ascii="David" w:hAnsi="David"/>
          <w:rtl/>
        </w:rPr>
      </w:pPr>
      <w:r>
        <w:rPr>
          <w:rFonts w:ascii="David" w:hAnsi="David"/>
          <w:rtl/>
        </w:rPr>
        <w:t xml:space="preserve">ניתן לאבחן בין מקרים בהם נתפסו סמים קשים בכמויות שמעל כמה עשרות גרמים, שאז נקבע מתחם שבין 3-5 שנות מאסר, לבין </w:t>
      </w:r>
      <w:r>
        <w:rPr>
          <w:rFonts w:ascii="David" w:hAnsi="David"/>
          <w:color w:val="000000"/>
          <w:rtl/>
        </w:rPr>
        <w:t>במקרים בהם הוחזקו סמים קשים בכמויות נמוכות יותר, בסדרי גודל של מספר גרמים ועד כ-30 גרם, במקרים אלה נוהגת מדיניות ענישה מקילה יותר.</w:t>
      </w:r>
    </w:p>
    <w:p w14:paraId="4BD4C8B4" w14:textId="77777777" w:rsidR="00E54432" w:rsidRDefault="00681A9D" w:rsidP="00E54432">
      <w:pPr>
        <w:pStyle w:val="a9"/>
        <w:bidi/>
        <w:spacing w:before="240" w:beforeAutospacing="0" w:after="240" w:afterAutospacing="0" w:line="360" w:lineRule="atLeast"/>
        <w:ind w:left="720" w:hanging="84"/>
        <w:jc w:val="both"/>
        <w:rPr>
          <w:rFonts w:ascii="David" w:hAnsi="David" w:cs="David"/>
          <w:color w:val="000000"/>
          <w:rtl/>
        </w:rPr>
      </w:pPr>
      <w:hyperlink r:id="rId23" w:history="1">
        <w:r w:rsidRPr="00681A9D">
          <w:rPr>
            <w:rFonts w:ascii="David" w:hAnsi="David" w:cs="David"/>
            <w:color w:val="0000FF"/>
            <w:u w:val="single"/>
            <w:rtl/>
          </w:rPr>
          <w:t>רע"פ 2472/15</w:t>
        </w:r>
      </w:hyperlink>
      <w:r>
        <w:rPr>
          <w:rFonts w:ascii="David" w:hAnsi="David" w:cs="David"/>
          <w:rtl/>
        </w:rPr>
        <w:t xml:space="preserve"> </w:t>
      </w:r>
      <w:r w:rsidR="00E54432">
        <w:rPr>
          <w:rFonts w:ascii="David" w:hAnsi="David" w:cs="David"/>
          <w:b/>
          <w:bCs/>
          <w:rtl/>
        </w:rPr>
        <w:t>יאן שורצמן נ' מדינת ישראל</w:t>
      </w:r>
      <w:r>
        <w:rPr>
          <w:rFonts w:ascii="David" w:hAnsi="David" w:cs="David"/>
          <w:rtl/>
        </w:rPr>
        <w:t xml:space="preserve"> </w:t>
      </w:r>
      <w:r w:rsidR="00E54432">
        <w:rPr>
          <w:rFonts w:ascii="David" w:hAnsi="David" w:cs="David"/>
          <w:rtl/>
        </w:rPr>
        <w:t>(‏21.5.2015): המבקש הורשע בהחזקת</w:t>
      </w:r>
      <w:r>
        <w:rPr>
          <w:rFonts w:ascii="David" w:hAnsi="David" w:cs="David"/>
          <w:rtl/>
        </w:rPr>
        <w:t xml:space="preserve"> </w:t>
      </w:r>
      <w:r w:rsidR="00E54432">
        <w:rPr>
          <w:rFonts w:ascii="David" w:hAnsi="David" w:cs="David"/>
          <w:rtl/>
        </w:rPr>
        <w:t xml:space="preserve">4 יחידות של סם מסוכן מסוג קוקאין, במשקל כולל של 1.4115 גרם, ו-19 יחידות של סם </w:t>
      </w:r>
      <w:r w:rsidR="00E54432">
        <w:rPr>
          <w:rFonts w:ascii="David" w:hAnsi="David" w:cs="David"/>
          <w:color w:val="000000"/>
          <w:rtl/>
        </w:rPr>
        <w:t>מסוכן מסוג הרואין, במשקל כולל של 17.3204 גרם, שלא לצריכה עצמית.</w:t>
      </w:r>
      <w:r>
        <w:rPr>
          <w:rFonts w:ascii="David" w:hAnsi="David" w:cs="David"/>
          <w:color w:val="000000"/>
          <w:rtl/>
        </w:rPr>
        <w:t xml:space="preserve"> </w:t>
      </w:r>
      <w:r w:rsidR="00E54432">
        <w:rPr>
          <w:rFonts w:ascii="David" w:hAnsi="David" w:cs="David"/>
          <w:color w:val="000000"/>
          <w:rtl/>
        </w:rPr>
        <w:t xml:space="preserve">בערכאת הערעור נקבע מתחם שבין </w:t>
      </w:r>
      <w:r w:rsidR="00E54432">
        <w:rPr>
          <w:rFonts w:ascii="David" w:hAnsi="David" w:cs="David"/>
          <w:b/>
          <w:bCs/>
          <w:color w:val="000000"/>
          <w:rtl/>
        </w:rPr>
        <w:t xml:space="preserve"> 12-24 חודשי מאסר</w:t>
      </w:r>
      <w:r w:rsidR="00E54432">
        <w:rPr>
          <w:rFonts w:ascii="David" w:hAnsi="David" w:cs="David"/>
          <w:color w:val="000000"/>
          <w:rtl/>
        </w:rPr>
        <w:t xml:space="preserve"> ונקבע כי העונש המתאים הנו </w:t>
      </w:r>
      <w:r w:rsidR="00E54432">
        <w:rPr>
          <w:rFonts w:ascii="David" w:hAnsi="David" w:cs="David"/>
          <w:b/>
          <w:bCs/>
          <w:color w:val="000000"/>
          <w:rtl/>
        </w:rPr>
        <w:t>20</w:t>
      </w:r>
      <w:r w:rsidR="00E54432">
        <w:rPr>
          <w:rFonts w:ascii="David" w:hAnsi="David" w:cs="David"/>
          <w:color w:val="000000"/>
          <w:rtl/>
        </w:rPr>
        <w:t xml:space="preserve"> חודשי מאסר כן הופעל מאסר על תנאי שבית משפט השלום נמנע מלהפעיל והעמיד את העונש על 24 חודשי מאסר לריצוי בפועל. בקשת רשות ערעור נדחתה. </w:t>
      </w:r>
    </w:p>
    <w:p w14:paraId="3D2484AC" w14:textId="77777777" w:rsidR="00E54432" w:rsidRDefault="00681A9D" w:rsidP="00E54432">
      <w:pPr>
        <w:pStyle w:val="a9"/>
        <w:bidi/>
        <w:spacing w:before="240" w:beforeAutospacing="0" w:after="240" w:afterAutospacing="0" w:line="360" w:lineRule="atLeast"/>
        <w:ind w:left="720" w:hanging="84"/>
        <w:jc w:val="both"/>
        <w:rPr>
          <w:rFonts w:ascii="David" w:hAnsi="David" w:cs="David"/>
          <w:color w:val="000000"/>
          <w:rtl/>
        </w:rPr>
      </w:pPr>
      <w:hyperlink r:id="rId24" w:history="1">
        <w:r w:rsidRPr="00681A9D">
          <w:rPr>
            <w:rFonts w:ascii="David" w:hAnsi="David" w:cs="David"/>
            <w:color w:val="0000FF"/>
            <w:u w:val="single"/>
            <w:rtl/>
          </w:rPr>
          <w:t>ע"פ 9910/17</w:t>
        </w:r>
      </w:hyperlink>
      <w:r w:rsidR="00E54432">
        <w:rPr>
          <w:rFonts w:ascii="David" w:hAnsi="David" w:cs="David"/>
          <w:color w:val="000000"/>
          <w:rtl/>
        </w:rPr>
        <w:t xml:space="preserve"> ‏</w:t>
      </w:r>
      <w:r w:rsidR="00E54432">
        <w:rPr>
          <w:rFonts w:ascii="David" w:hAnsi="David" w:cs="David"/>
          <w:b/>
          <w:bCs/>
          <w:color w:val="000000"/>
          <w:rtl/>
        </w:rPr>
        <w:t>אלבטינה גריפולינה נ' מדינת ישראל</w:t>
      </w:r>
      <w:r w:rsidR="00E54432">
        <w:rPr>
          <w:rFonts w:ascii="David" w:hAnsi="David" w:cs="David"/>
          <w:color w:val="000000"/>
          <w:rtl/>
        </w:rPr>
        <w:t xml:space="preserve"> (3.5.18), ביהמ"ש גזר על הנאשם, שהחזיק 21 גר' קוקאין, </w:t>
      </w:r>
      <w:r w:rsidR="00E54432">
        <w:rPr>
          <w:rFonts w:ascii="David" w:hAnsi="David" w:cs="David"/>
          <w:b/>
          <w:bCs/>
          <w:color w:val="000000"/>
          <w:rtl/>
        </w:rPr>
        <w:t>24</w:t>
      </w:r>
      <w:r w:rsidR="00E54432">
        <w:rPr>
          <w:rFonts w:ascii="David" w:hAnsi="David" w:cs="David"/>
          <w:color w:val="000000"/>
          <w:rtl/>
        </w:rPr>
        <w:t xml:space="preserve"> חודשי מאסר בפועל, כאשר המתחם שנקבע נע בין</w:t>
      </w:r>
      <w:r w:rsidR="00E54432">
        <w:rPr>
          <w:rFonts w:ascii="David" w:hAnsi="David" w:cs="David"/>
          <w:b/>
          <w:bCs/>
          <w:color w:val="000000"/>
          <w:rtl/>
        </w:rPr>
        <w:t xml:space="preserve"> 15-36 חודשי מאסר. </w:t>
      </w:r>
      <w:r w:rsidR="00E54432">
        <w:rPr>
          <w:rFonts w:ascii="David" w:hAnsi="David" w:cs="David"/>
          <w:color w:val="000000"/>
          <w:rtl/>
        </w:rPr>
        <w:t>יש לציין כי מדובר בתיק שהתנהל בביהמ"ש המחוזי כערכאה ראשונה.</w:t>
      </w:r>
    </w:p>
    <w:p w14:paraId="3D0287D0" w14:textId="77777777" w:rsidR="00E54432" w:rsidRDefault="00681A9D" w:rsidP="00E54432">
      <w:pPr>
        <w:spacing w:before="100" w:line="360" w:lineRule="auto"/>
        <w:ind w:left="651"/>
        <w:jc w:val="both"/>
        <w:rPr>
          <w:rFonts w:ascii="David" w:hAnsi="David"/>
          <w:rtl/>
        </w:rPr>
      </w:pPr>
      <w:hyperlink r:id="rId25" w:history="1">
        <w:r w:rsidRPr="00681A9D">
          <w:rPr>
            <w:rFonts w:ascii="David" w:hAnsi="David"/>
            <w:color w:val="0000FF"/>
            <w:u w:val="single"/>
            <w:rtl/>
          </w:rPr>
          <w:t>עפ"ג (י-ם) 18766-07-18</w:t>
        </w:r>
      </w:hyperlink>
      <w:r>
        <w:rPr>
          <w:rFonts w:ascii="David" w:hAnsi="David"/>
          <w:rtl/>
        </w:rPr>
        <w:t xml:space="preserve"> </w:t>
      </w:r>
      <w:r w:rsidR="00E54432">
        <w:rPr>
          <w:rFonts w:ascii="David" w:hAnsi="David"/>
          <w:rtl/>
        </w:rPr>
        <w:t xml:space="preserve"> </w:t>
      </w:r>
      <w:r w:rsidR="00E54432">
        <w:rPr>
          <w:rFonts w:ascii="David" w:hAnsi="David"/>
          <w:b/>
          <w:bCs/>
          <w:rtl/>
        </w:rPr>
        <w:t>סאמי אבו נאב נ' מדינת ישראל</w:t>
      </w:r>
      <w:r w:rsidR="00E54432">
        <w:rPr>
          <w:rFonts w:ascii="David" w:hAnsi="David"/>
          <w:rtl/>
        </w:rPr>
        <w:t xml:space="preserve"> (9.10.18)- הוגש על ידי התביעה. המערער הורשע באחזקת 27 גר' קוקאין, ביהמ"ש קבע מתחם של </w:t>
      </w:r>
      <w:r w:rsidR="00E54432">
        <w:rPr>
          <w:rFonts w:ascii="David" w:hAnsi="David"/>
          <w:b/>
          <w:bCs/>
          <w:rtl/>
        </w:rPr>
        <w:t>10-36</w:t>
      </w:r>
      <w:r w:rsidR="00E54432">
        <w:rPr>
          <w:rFonts w:ascii="David" w:hAnsi="David"/>
          <w:rtl/>
        </w:rPr>
        <w:t xml:space="preserve"> </w:t>
      </w:r>
      <w:r w:rsidR="00E54432">
        <w:rPr>
          <w:rFonts w:ascii="David" w:hAnsi="David"/>
          <w:b/>
          <w:bCs/>
          <w:rtl/>
        </w:rPr>
        <w:t>חודשי מאסר</w:t>
      </w:r>
      <w:r w:rsidR="00E54432">
        <w:rPr>
          <w:rFonts w:ascii="David" w:hAnsi="David"/>
          <w:rtl/>
        </w:rPr>
        <w:t xml:space="preserve"> והטיל עליו </w:t>
      </w:r>
      <w:r w:rsidR="00E54432">
        <w:rPr>
          <w:rFonts w:ascii="David" w:hAnsi="David"/>
          <w:b/>
          <w:bCs/>
          <w:rtl/>
        </w:rPr>
        <w:t>16</w:t>
      </w:r>
      <w:r w:rsidR="00E54432">
        <w:rPr>
          <w:rFonts w:ascii="David" w:hAnsi="David"/>
          <w:rtl/>
        </w:rPr>
        <w:t xml:space="preserve"> חודשי מאסר בפעול וענישה נלווית, הערעור נדחה.</w:t>
      </w:r>
      <w:r w:rsidR="00E54432">
        <w:rPr>
          <w:rFonts w:ascii="David" w:hAnsi="David"/>
          <w:color w:val="000000"/>
          <w:rtl/>
        </w:rPr>
        <w:t xml:space="preserve"> </w:t>
      </w:r>
    </w:p>
    <w:p w14:paraId="2520FB6C" w14:textId="77777777" w:rsidR="00E54432" w:rsidRDefault="00E54432" w:rsidP="00E54432">
      <w:pPr>
        <w:pStyle w:val="a9"/>
        <w:bidi/>
        <w:spacing w:before="240" w:beforeAutospacing="0" w:after="240" w:afterAutospacing="0" w:line="360" w:lineRule="atLeast"/>
        <w:ind w:left="720" w:hanging="84"/>
        <w:jc w:val="both"/>
        <w:rPr>
          <w:rFonts w:ascii="David" w:hAnsi="David" w:cs="David"/>
          <w:color w:val="000000"/>
          <w:rtl/>
        </w:rPr>
      </w:pPr>
      <w:r>
        <w:rPr>
          <w:rFonts w:ascii="David" w:hAnsi="David" w:cs="David"/>
          <w:color w:val="000000"/>
          <w:rtl/>
        </w:rPr>
        <w:t>רע"פ 1425/15‏</w:t>
      </w:r>
      <w:r>
        <w:rPr>
          <w:rFonts w:ascii="David" w:hAnsi="David" w:cs="David"/>
          <w:b/>
          <w:bCs/>
          <w:color w:val="000000"/>
          <w:rtl/>
        </w:rPr>
        <w:t xml:space="preserve"> פרוספר טבול נ' מדינת ישראל</w:t>
      </w:r>
      <w:r>
        <w:rPr>
          <w:rFonts w:ascii="David" w:hAnsi="David" w:cs="David"/>
          <w:color w:val="000000"/>
          <w:rtl/>
        </w:rPr>
        <w:t xml:space="preserve"> (5.3.15)- הוגש ע"י ההגנה. המערער הורשע באחזקת 38 גר' קוקאין, ערכאת הערעור החמירה בעונשו והטילה עליו </w:t>
      </w:r>
      <w:r>
        <w:rPr>
          <w:rFonts w:ascii="David" w:hAnsi="David" w:cs="David"/>
          <w:b/>
          <w:bCs/>
          <w:color w:val="000000"/>
          <w:rtl/>
        </w:rPr>
        <w:t>12</w:t>
      </w:r>
      <w:r>
        <w:rPr>
          <w:rFonts w:ascii="David" w:hAnsi="David" w:cs="David"/>
          <w:color w:val="000000"/>
          <w:rtl/>
        </w:rPr>
        <w:t xml:space="preserve"> </w:t>
      </w:r>
      <w:r>
        <w:rPr>
          <w:rFonts w:ascii="David" w:hAnsi="David" w:cs="David"/>
          <w:b/>
          <w:bCs/>
          <w:color w:val="000000"/>
          <w:rtl/>
        </w:rPr>
        <w:t>חודשי מאסר</w:t>
      </w:r>
      <w:r>
        <w:rPr>
          <w:rFonts w:ascii="David" w:hAnsi="David" w:cs="David"/>
          <w:color w:val="000000"/>
          <w:rtl/>
        </w:rPr>
        <w:t xml:space="preserve">, תוך שהיא מציינת כי העונש הנו מקל רק לאור העובדה כי ערכאת הערר לא תמצה את הדין עם הנאשם. בקשת רשות ערעור נדחתה. </w:t>
      </w:r>
    </w:p>
    <w:p w14:paraId="7D5A354C" w14:textId="77777777" w:rsidR="00E54432" w:rsidRDefault="00E54432" w:rsidP="00E54432">
      <w:pPr>
        <w:pStyle w:val="a9"/>
        <w:bidi/>
        <w:spacing w:before="240" w:beforeAutospacing="0" w:after="240" w:afterAutospacing="0" w:line="360" w:lineRule="atLeast"/>
        <w:ind w:left="720" w:hanging="84"/>
        <w:jc w:val="both"/>
        <w:rPr>
          <w:rFonts w:ascii="David" w:hAnsi="David" w:cs="David"/>
          <w:color w:val="000000"/>
          <w:rtl/>
        </w:rPr>
      </w:pPr>
    </w:p>
    <w:p w14:paraId="08BBA75D" w14:textId="77777777" w:rsidR="00E54432" w:rsidRDefault="00E54432" w:rsidP="00E54432">
      <w:pPr>
        <w:pStyle w:val="a9"/>
        <w:numPr>
          <w:ilvl w:val="0"/>
          <w:numId w:val="1"/>
        </w:numPr>
        <w:bidi/>
        <w:spacing w:line="360" w:lineRule="auto"/>
        <w:jc w:val="both"/>
        <w:rPr>
          <w:rFonts w:ascii="David" w:hAnsi="David" w:cs="David"/>
          <w:b/>
          <w:bCs/>
          <w:u w:val="single"/>
          <w:rtl/>
        </w:rPr>
      </w:pPr>
      <w:r>
        <w:rPr>
          <w:rFonts w:ascii="David" w:hAnsi="David" w:cs="David"/>
          <w:b/>
          <w:bCs/>
          <w:u w:val="single"/>
          <w:rtl/>
        </w:rPr>
        <w:t>חומרת העבירות, נסיבות ביצוע העבירה ומידת אשמו של הנאשם</w:t>
      </w:r>
    </w:p>
    <w:p w14:paraId="22104CEA" w14:textId="77777777" w:rsidR="00E54432" w:rsidRDefault="00E54432" w:rsidP="00E54432">
      <w:pPr>
        <w:spacing w:line="360" w:lineRule="auto"/>
        <w:ind w:left="720"/>
        <w:jc w:val="both"/>
        <w:rPr>
          <w:rFonts w:ascii="David" w:hAnsi="David"/>
        </w:rPr>
      </w:pPr>
      <w:r>
        <w:rPr>
          <w:rFonts w:ascii="David" w:hAnsi="David"/>
          <w:rtl/>
        </w:rPr>
        <w:t xml:space="preserve">הנאשם הנו האשם הבלעדי בביצוע העבירות. </w:t>
      </w:r>
    </w:p>
    <w:p w14:paraId="66637456" w14:textId="77777777" w:rsidR="00E54432" w:rsidRDefault="00E54432" w:rsidP="00E54432">
      <w:pPr>
        <w:spacing w:line="360" w:lineRule="auto"/>
        <w:ind w:left="720"/>
        <w:jc w:val="both"/>
        <w:rPr>
          <w:rFonts w:ascii="David" w:hAnsi="David"/>
          <w:color w:val="000000"/>
          <w:rtl/>
        </w:rPr>
      </w:pPr>
      <w:r>
        <w:rPr>
          <w:rFonts w:ascii="David" w:hAnsi="David"/>
          <w:rtl/>
        </w:rPr>
        <w:t xml:space="preserve">מבחינת נסיבות ביצוע העבירה, התחשבתי לחומרא בכך כי הוא החזיק בסמים קשים- ראו למשל </w:t>
      </w:r>
      <w:hyperlink r:id="rId26" w:history="1">
        <w:r w:rsidR="00681A9D" w:rsidRPr="00681A9D">
          <w:rPr>
            <w:rFonts w:ascii="David" w:hAnsi="David"/>
            <w:color w:val="0000FF"/>
            <w:u w:val="single"/>
            <w:rtl/>
          </w:rPr>
          <w:t>ע"פ 972/11</w:t>
        </w:r>
      </w:hyperlink>
      <w:r w:rsidR="00681A9D">
        <w:rPr>
          <w:rFonts w:ascii="David" w:hAnsi="David"/>
          <w:color w:val="000000"/>
        </w:rPr>
        <w:t xml:space="preserve"> </w:t>
      </w:r>
      <w:r>
        <w:rPr>
          <w:rFonts w:ascii="David" w:hAnsi="David"/>
          <w:b/>
          <w:bCs/>
          <w:color w:val="000000"/>
          <w:rtl/>
        </w:rPr>
        <w:t xml:space="preserve">מדינת ישראל נ' יניב יונה </w:t>
      </w:r>
      <w:r>
        <w:rPr>
          <w:rFonts w:ascii="David" w:hAnsi="David"/>
          <w:color w:val="000000"/>
          <w:rtl/>
        </w:rPr>
        <w:t xml:space="preserve">(4.7.12) בפסקה 4 לגבי </w:t>
      </w:r>
      <w:r>
        <w:rPr>
          <w:rFonts w:ascii="David" w:hAnsi="David"/>
          <w:color w:val="000000"/>
          <w:u w:val="single"/>
          <w:rtl/>
        </w:rPr>
        <w:t>קוקאין</w:t>
      </w:r>
      <w:r>
        <w:rPr>
          <w:rFonts w:ascii="David" w:hAnsi="David"/>
          <w:color w:val="000000"/>
          <w:rtl/>
        </w:rPr>
        <w:t xml:space="preserve"> וכן </w:t>
      </w:r>
      <w:hyperlink r:id="rId27" w:history="1">
        <w:r w:rsidR="00681A9D" w:rsidRPr="00681A9D">
          <w:rPr>
            <w:rFonts w:ascii="David" w:hAnsi="David"/>
            <w:color w:val="0000FF"/>
            <w:u w:val="single"/>
            <w:rtl/>
          </w:rPr>
          <w:t>ע"פ 3920/00</w:t>
        </w:r>
      </w:hyperlink>
      <w:r>
        <w:rPr>
          <w:rFonts w:ascii="David" w:hAnsi="David"/>
          <w:color w:val="000000"/>
          <w:rtl/>
        </w:rPr>
        <w:t xml:space="preserve"> </w:t>
      </w:r>
      <w:r>
        <w:rPr>
          <w:rFonts w:ascii="David" w:hAnsi="David"/>
          <w:b/>
          <w:bCs/>
          <w:color w:val="000000"/>
          <w:rtl/>
        </w:rPr>
        <w:t>פלונית נ' מדינת ישראל</w:t>
      </w:r>
      <w:r>
        <w:rPr>
          <w:rFonts w:ascii="David" w:hAnsi="David"/>
          <w:color w:val="000000"/>
          <w:rtl/>
        </w:rPr>
        <w:t xml:space="preserve"> (12.1.03) בפסקה 19 לגבי </w:t>
      </w:r>
      <w:r>
        <w:rPr>
          <w:rFonts w:ascii="David" w:hAnsi="David"/>
          <w:color w:val="000000"/>
          <w:u w:val="single"/>
          <w:rtl/>
        </w:rPr>
        <w:t>הרואין</w:t>
      </w:r>
      <w:r>
        <w:rPr>
          <w:rFonts w:ascii="David" w:hAnsi="David"/>
          <w:color w:val="000000"/>
          <w:rtl/>
        </w:rPr>
        <w:t>, שם נקבע כי בעניינו של סם זה יש לקבוע עונשים הקרובים למקסימום.</w:t>
      </w:r>
    </w:p>
    <w:p w14:paraId="10730473" w14:textId="77777777" w:rsidR="00E54432" w:rsidRDefault="00E54432" w:rsidP="00E54432">
      <w:pPr>
        <w:spacing w:line="360" w:lineRule="auto"/>
        <w:ind w:left="720"/>
        <w:jc w:val="both"/>
        <w:rPr>
          <w:rFonts w:ascii="David" w:hAnsi="David"/>
          <w:color w:val="000000"/>
          <w:rtl/>
        </w:rPr>
      </w:pPr>
    </w:p>
    <w:p w14:paraId="277E7743" w14:textId="77777777" w:rsidR="00E54432" w:rsidRDefault="00E54432" w:rsidP="00E54432">
      <w:pPr>
        <w:spacing w:line="360" w:lineRule="auto"/>
        <w:ind w:left="720"/>
        <w:jc w:val="both"/>
        <w:rPr>
          <w:rFonts w:ascii="David" w:hAnsi="David"/>
          <w:color w:val="000000"/>
          <w:rtl/>
        </w:rPr>
      </w:pPr>
      <w:r>
        <w:rPr>
          <w:rFonts w:ascii="David" w:hAnsi="David"/>
          <w:color w:val="000000"/>
          <w:rtl/>
        </w:rPr>
        <w:t>הכמות שנתפסה הינה ברף בינוני.</w:t>
      </w:r>
    </w:p>
    <w:p w14:paraId="39B203C1" w14:textId="77777777" w:rsidR="00E54432" w:rsidRDefault="00E54432" w:rsidP="00E54432">
      <w:pPr>
        <w:spacing w:line="360" w:lineRule="auto"/>
        <w:ind w:left="720"/>
        <w:jc w:val="both"/>
        <w:rPr>
          <w:rFonts w:ascii="David" w:hAnsi="David"/>
          <w:rtl/>
        </w:rPr>
      </w:pPr>
    </w:p>
    <w:p w14:paraId="7D46E8B6" w14:textId="77777777" w:rsidR="00E54432" w:rsidRDefault="00E54432" w:rsidP="00E54432">
      <w:pPr>
        <w:spacing w:line="360" w:lineRule="auto"/>
        <w:ind w:left="720"/>
        <w:jc w:val="both"/>
        <w:rPr>
          <w:rFonts w:ascii="David" w:hAnsi="David"/>
          <w:rtl/>
        </w:rPr>
      </w:pPr>
      <w:r>
        <w:rPr>
          <w:rFonts w:ascii="David" w:hAnsi="David"/>
          <w:rtl/>
        </w:rPr>
        <w:t xml:space="preserve">עוד התחשבתי לחומרא בתכנון המוקדם שקדם לעבירה הנלמדת מעצם אחזקת כמות גדולה של סמים וכן העובדה כי הסמים נתפסו בשקיות חלוקה, דבר המעיד על אפשרות למכור את הסמים. נסיבה זו יש בה גם כדי להעיד על פוטנציאל הנזק מביצוע העבירה, הגם שלאור תפיסת הסמים הנזק לא התממש. </w:t>
      </w:r>
    </w:p>
    <w:p w14:paraId="245A9A03" w14:textId="77777777" w:rsidR="00E54432" w:rsidRDefault="00E54432" w:rsidP="00E54432">
      <w:pPr>
        <w:spacing w:line="360" w:lineRule="auto"/>
        <w:ind w:left="720"/>
        <w:jc w:val="both"/>
        <w:rPr>
          <w:rFonts w:ascii="David" w:hAnsi="David"/>
          <w:rtl/>
        </w:rPr>
      </w:pPr>
    </w:p>
    <w:p w14:paraId="42D31D5C" w14:textId="77777777" w:rsidR="00E54432" w:rsidRDefault="00E54432" w:rsidP="00E54432">
      <w:pPr>
        <w:spacing w:line="360" w:lineRule="auto"/>
        <w:ind w:left="720"/>
        <w:jc w:val="both"/>
        <w:rPr>
          <w:rFonts w:ascii="David" w:hAnsi="David"/>
          <w:rtl/>
        </w:rPr>
      </w:pPr>
      <w:r>
        <w:rPr>
          <w:rFonts w:ascii="David" w:hAnsi="David"/>
          <w:rtl/>
        </w:rPr>
        <w:t xml:space="preserve">בנוסף, ע"פ המתואר בכתב האישום, הנאשם לא שיתף פעולה עם המשטרה, נהפוך הוא, רק לאחר שהשוטרים הצליחו להשתלט עליו, נתפסו הסמים באזור חלציו. </w:t>
      </w:r>
    </w:p>
    <w:p w14:paraId="381A3C12" w14:textId="77777777" w:rsidR="00E54432" w:rsidRDefault="00E54432" w:rsidP="00E54432">
      <w:pPr>
        <w:spacing w:line="360" w:lineRule="auto"/>
        <w:ind w:left="720"/>
        <w:jc w:val="both"/>
        <w:rPr>
          <w:rFonts w:ascii="David" w:hAnsi="David"/>
          <w:rtl/>
        </w:rPr>
      </w:pPr>
      <w:r>
        <w:rPr>
          <w:rFonts w:ascii="David" w:hAnsi="David"/>
          <w:rtl/>
        </w:rPr>
        <w:t xml:space="preserve">לאור האמור, אני סבורה כי הפגיעה בערכים המוגנים היתה משמעותית. </w:t>
      </w:r>
    </w:p>
    <w:p w14:paraId="617F5CB9" w14:textId="77777777" w:rsidR="00E54432" w:rsidRDefault="00E54432" w:rsidP="00E54432">
      <w:pPr>
        <w:pStyle w:val="a9"/>
        <w:numPr>
          <w:ilvl w:val="0"/>
          <w:numId w:val="1"/>
        </w:numPr>
        <w:bidi/>
        <w:spacing w:beforeAutospacing="0" w:afterAutospacing="0" w:line="360" w:lineRule="auto"/>
        <w:ind w:right="-142"/>
        <w:jc w:val="both"/>
        <w:rPr>
          <w:rFonts w:ascii="David" w:hAnsi="David" w:cs="David"/>
          <w:rtl/>
        </w:rPr>
      </w:pPr>
      <w:r>
        <w:rPr>
          <w:rFonts w:ascii="David" w:hAnsi="David" w:cs="David"/>
          <w:rtl/>
        </w:rPr>
        <w:t xml:space="preserve">לסיכום, אני קובעת כי מתחם הענישה בתיק זה נע בין </w:t>
      </w:r>
      <w:r>
        <w:rPr>
          <w:rFonts w:ascii="David" w:hAnsi="David" w:cs="David"/>
          <w:b/>
          <w:bCs/>
          <w:rtl/>
        </w:rPr>
        <w:t xml:space="preserve"> 10 חודשי מאסר ועד 24 חודשי מאסר בפועל </w:t>
      </w:r>
      <w:r>
        <w:rPr>
          <w:rFonts w:ascii="David" w:hAnsi="David" w:cs="David"/>
          <w:rtl/>
        </w:rPr>
        <w:t xml:space="preserve">וכן ענישה נלווית.  </w:t>
      </w:r>
    </w:p>
    <w:p w14:paraId="6E150B68" w14:textId="77777777" w:rsidR="00E54432" w:rsidRDefault="00E54432" w:rsidP="00E54432">
      <w:pPr>
        <w:spacing w:line="360" w:lineRule="auto"/>
        <w:ind w:right="-142"/>
        <w:jc w:val="both"/>
        <w:rPr>
          <w:rFonts w:ascii="David" w:hAnsi="David"/>
          <w:rtl/>
        </w:rPr>
      </w:pPr>
    </w:p>
    <w:p w14:paraId="38638BB1" w14:textId="77777777" w:rsidR="00E54432" w:rsidRDefault="00E54432" w:rsidP="00E54432">
      <w:pPr>
        <w:pStyle w:val="a9"/>
        <w:numPr>
          <w:ilvl w:val="0"/>
          <w:numId w:val="1"/>
        </w:numPr>
        <w:bidi/>
        <w:spacing w:line="360" w:lineRule="auto"/>
        <w:jc w:val="both"/>
        <w:rPr>
          <w:rFonts w:ascii="David" w:hAnsi="David" w:cs="David"/>
        </w:rPr>
      </w:pPr>
      <w:r>
        <w:rPr>
          <w:rFonts w:ascii="David" w:hAnsi="David" w:cs="David"/>
          <w:rtl/>
        </w:rPr>
        <w:t xml:space="preserve">לא מצאתי כי התקיימו נסיבות לחרוג ממתחם העונש ההולם משיקולי שיקום, או הגנה על שלום הציבור. </w:t>
      </w:r>
    </w:p>
    <w:p w14:paraId="5DF2E954" w14:textId="77777777" w:rsidR="00E54432" w:rsidRDefault="00E54432" w:rsidP="00E54432">
      <w:pPr>
        <w:spacing w:line="360" w:lineRule="auto"/>
        <w:jc w:val="both"/>
        <w:rPr>
          <w:rFonts w:ascii="David" w:hAnsi="David"/>
          <w:rtl/>
        </w:rPr>
      </w:pPr>
    </w:p>
    <w:p w14:paraId="4AEE2829" w14:textId="77777777" w:rsidR="00E54432" w:rsidRDefault="00E54432" w:rsidP="00E54432">
      <w:pPr>
        <w:spacing w:line="360" w:lineRule="auto"/>
        <w:jc w:val="both"/>
        <w:rPr>
          <w:rFonts w:ascii="David" w:hAnsi="David"/>
          <w:b/>
          <w:bCs/>
          <w:u w:val="single"/>
          <w:rtl/>
        </w:rPr>
      </w:pPr>
      <w:r>
        <w:rPr>
          <w:rFonts w:ascii="David" w:hAnsi="David"/>
          <w:b/>
          <w:bCs/>
          <w:u w:val="single"/>
          <w:rtl/>
        </w:rPr>
        <w:t>נסיבות שאינן קשורות בביצוע העבירה</w:t>
      </w:r>
    </w:p>
    <w:p w14:paraId="2D879545" w14:textId="77777777" w:rsidR="00E54432" w:rsidRDefault="00E54432" w:rsidP="00E54432">
      <w:pPr>
        <w:pStyle w:val="a9"/>
        <w:numPr>
          <w:ilvl w:val="0"/>
          <w:numId w:val="1"/>
        </w:numPr>
        <w:bidi/>
        <w:spacing w:line="360" w:lineRule="auto"/>
        <w:jc w:val="both"/>
        <w:rPr>
          <w:rFonts w:ascii="David" w:hAnsi="David" w:cs="David"/>
          <w:rtl/>
        </w:rPr>
      </w:pPr>
      <w:r>
        <w:rPr>
          <w:rFonts w:ascii="David" w:hAnsi="David" w:cs="David"/>
          <w:rtl/>
        </w:rPr>
        <w:t>לנאשם הרשעות קודמת רבות, 13 במספר, אשר ברובן ככל הנראה בוצעו על רקע ההתמכרות לסמים- בשנים האחרונות הורשע הנאשם בעיקר בעבירות רכוש ואילו משנת 2014 ואחורה, הורשע בעיקר בעבירות סמים.</w:t>
      </w:r>
    </w:p>
    <w:p w14:paraId="457652E1" w14:textId="77777777" w:rsidR="00E54432" w:rsidRDefault="00E54432" w:rsidP="00E54432">
      <w:pPr>
        <w:spacing w:line="360" w:lineRule="auto"/>
        <w:ind w:left="720"/>
        <w:jc w:val="both"/>
        <w:rPr>
          <w:rFonts w:ascii="David" w:hAnsi="David"/>
          <w:color w:val="000000"/>
          <w:rtl/>
        </w:rPr>
      </w:pPr>
      <w:r>
        <w:rPr>
          <w:rFonts w:ascii="David" w:hAnsi="David"/>
          <w:rtl/>
        </w:rPr>
        <w:t>התחשבתי בכך שהנאשם לקח אחריות והודה בהזדמנות הראשונה ובכך חסך זמן שיפוטי יקר</w:t>
      </w:r>
      <w:r>
        <w:rPr>
          <w:rFonts w:ascii="David" w:hAnsi="David"/>
          <w:color w:val="000000"/>
          <w:rtl/>
        </w:rPr>
        <w:t xml:space="preserve">. עוד התחשבתי בכך שהנאשם מנסה לתקן את דרכיו והוא אף הביע נכונות להשתלב בהליך טיפולי, אולם בשלב הזה לא הצליח לגייס את המוטיבציה הדרושה לצורך המשך הטיפול.  כולי תקווה שבקרוב יימצא בתוכו את הכוחות הדרושים לו על מנת לעשות כן. </w:t>
      </w:r>
    </w:p>
    <w:p w14:paraId="67566145" w14:textId="77777777" w:rsidR="00E54432" w:rsidRDefault="00E54432" w:rsidP="00E54432">
      <w:pPr>
        <w:pStyle w:val="a9"/>
        <w:numPr>
          <w:ilvl w:val="0"/>
          <w:numId w:val="1"/>
        </w:numPr>
        <w:bidi/>
        <w:spacing w:line="360" w:lineRule="auto"/>
        <w:jc w:val="both"/>
        <w:rPr>
          <w:rFonts w:ascii="David" w:hAnsi="David" w:cs="David"/>
          <w:color w:val="000000"/>
          <w:rtl/>
        </w:rPr>
      </w:pPr>
      <w:r>
        <w:rPr>
          <w:rFonts w:ascii="David" w:hAnsi="David" w:cs="David"/>
          <w:color w:val="000000"/>
          <w:rtl/>
        </w:rPr>
        <w:t xml:space="preserve">לאור האמור אני סבורה שיש לגזור את דינו של הנאשם </w:t>
      </w:r>
      <w:r>
        <w:rPr>
          <w:rFonts w:ascii="David" w:hAnsi="David" w:cs="David"/>
          <w:b/>
          <w:bCs/>
          <w:color w:val="000000"/>
          <w:rtl/>
        </w:rPr>
        <w:t>ברף הבינוני.</w:t>
      </w:r>
    </w:p>
    <w:p w14:paraId="77DE849B" w14:textId="77777777" w:rsidR="00E54432" w:rsidRDefault="00E54432" w:rsidP="00E54432">
      <w:pPr>
        <w:spacing w:line="360" w:lineRule="auto"/>
        <w:jc w:val="both"/>
        <w:rPr>
          <w:rFonts w:ascii="David" w:hAnsi="David"/>
          <w:color w:val="000000"/>
          <w:rtl/>
        </w:rPr>
      </w:pPr>
    </w:p>
    <w:p w14:paraId="2E9227C5" w14:textId="77777777" w:rsidR="00E54432" w:rsidRDefault="00E54432" w:rsidP="00E54432">
      <w:pPr>
        <w:ind w:firstLine="360"/>
        <w:jc w:val="both"/>
        <w:rPr>
          <w:rFonts w:ascii="David" w:hAnsi="David"/>
          <w:b/>
          <w:bCs/>
          <w:u w:val="single"/>
          <w:rtl/>
        </w:rPr>
      </w:pPr>
      <w:r>
        <w:rPr>
          <w:rFonts w:ascii="David" w:hAnsi="David"/>
          <w:b/>
          <w:bCs/>
          <w:u w:val="single"/>
          <w:rtl/>
        </w:rPr>
        <w:t>לסיכום, אני גוזרת הנאשם את העונשים הבאים:</w:t>
      </w:r>
    </w:p>
    <w:p w14:paraId="380C74FA" w14:textId="77777777" w:rsidR="00E54432" w:rsidRDefault="00E54432" w:rsidP="00E54432">
      <w:pPr>
        <w:spacing w:line="360" w:lineRule="auto"/>
        <w:jc w:val="both"/>
        <w:rPr>
          <w:rFonts w:ascii="David" w:hAnsi="David"/>
          <w:color w:val="000000"/>
          <w:rtl/>
        </w:rPr>
      </w:pPr>
    </w:p>
    <w:p w14:paraId="50F06E71" w14:textId="77777777" w:rsidR="00E54432" w:rsidRDefault="00E54432" w:rsidP="00E54432">
      <w:pPr>
        <w:pStyle w:val="a9"/>
        <w:numPr>
          <w:ilvl w:val="0"/>
          <w:numId w:val="2"/>
        </w:numPr>
        <w:bidi/>
        <w:spacing w:line="360" w:lineRule="auto"/>
        <w:jc w:val="both"/>
        <w:rPr>
          <w:rFonts w:ascii="David" w:hAnsi="David" w:cs="David"/>
          <w:rtl/>
        </w:rPr>
      </w:pPr>
      <w:r>
        <w:rPr>
          <w:rFonts w:ascii="David" w:hAnsi="David" w:cs="David"/>
          <w:rtl/>
        </w:rPr>
        <w:t>15 חודשי מאסר בפועל שימונו מיום מעצרו 25.7.24.</w:t>
      </w:r>
    </w:p>
    <w:p w14:paraId="32C9B3CD" w14:textId="77777777" w:rsidR="00E54432" w:rsidRDefault="00E54432" w:rsidP="00E54432">
      <w:pPr>
        <w:pStyle w:val="a9"/>
        <w:numPr>
          <w:ilvl w:val="0"/>
          <w:numId w:val="2"/>
        </w:numPr>
        <w:bidi/>
        <w:spacing w:line="360" w:lineRule="auto"/>
        <w:jc w:val="both"/>
        <w:rPr>
          <w:rFonts w:ascii="David" w:hAnsi="David" w:cs="David"/>
          <w:color w:val="000000"/>
          <w:rtl/>
        </w:rPr>
      </w:pPr>
      <w:r>
        <w:rPr>
          <w:rFonts w:ascii="David" w:hAnsi="David" w:cs="David"/>
          <w:color w:val="000000"/>
          <w:rtl/>
        </w:rPr>
        <w:t xml:space="preserve">מאסר על תנאי בן 4 חודשים למשך 3 שנים מיום שחרורו, והתנאי הוא כי הנאשם לא יעבור בתקופת התנאי עבירה לפי </w:t>
      </w:r>
      <w:hyperlink r:id="rId28" w:history="1">
        <w:r w:rsidR="00681A9D" w:rsidRPr="00681A9D">
          <w:rPr>
            <w:rFonts w:ascii="David" w:hAnsi="David" w:cs="David"/>
            <w:color w:val="0000FF"/>
            <w:u w:val="single"/>
            <w:rtl/>
          </w:rPr>
          <w:t>פקודת הסמים המסוכנים</w:t>
        </w:r>
      </w:hyperlink>
      <w:r>
        <w:rPr>
          <w:rFonts w:ascii="David" w:hAnsi="David" w:cs="David"/>
          <w:color w:val="000000"/>
          <w:rtl/>
        </w:rPr>
        <w:t>.</w:t>
      </w:r>
    </w:p>
    <w:p w14:paraId="7F0395A3" w14:textId="77777777" w:rsidR="00E54432" w:rsidRDefault="00E54432" w:rsidP="00E54432">
      <w:pPr>
        <w:pStyle w:val="a9"/>
        <w:numPr>
          <w:ilvl w:val="0"/>
          <w:numId w:val="2"/>
        </w:numPr>
        <w:bidi/>
        <w:spacing w:line="360" w:lineRule="auto"/>
        <w:jc w:val="both"/>
        <w:rPr>
          <w:rFonts w:ascii="David" w:hAnsi="David" w:cs="David"/>
          <w:color w:val="000000"/>
        </w:rPr>
      </w:pPr>
      <w:r>
        <w:rPr>
          <w:rFonts w:ascii="David" w:hAnsi="David" w:cs="David"/>
          <w:color w:val="000000"/>
          <w:rtl/>
        </w:rPr>
        <w:t xml:space="preserve">אני פוסלת את הנאשם מלהחזיק רישיון נהיגה למשך 5 חודשים מיום שחרורו. </w:t>
      </w:r>
    </w:p>
    <w:p w14:paraId="47908A12" w14:textId="77777777" w:rsidR="00E54432" w:rsidRDefault="00E54432" w:rsidP="00E54432">
      <w:pPr>
        <w:pStyle w:val="a9"/>
        <w:numPr>
          <w:ilvl w:val="0"/>
          <w:numId w:val="2"/>
        </w:numPr>
        <w:bidi/>
        <w:spacing w:line="360" w:lineRule="auto"/>
        <w:jc w:val="both"/>
        <w:rPr>
          <w:rFonts w:ascii="David" w:hAnsi="David" w:cs="David"/>
          <w:color w:val="000000"/>
        </w:rPr>
      </w:pPr>
      <w:r>
        <w:rPr>
          <w:rFonts w:ascii="David" w:hAnsi="David" w:cs="David"/>
          <w:color w:val="000000"/>
          <w:rtl/>
        </w:rPr>
        <w:t xml:space="preserve"> </w:t>
      </w:r>
      <w:r>
        <w:rPr>
          <w:rFonts w:ascii="David" w:hAnsi="David" w:cs="David" w:hint="cs"/>
          <w:color w:val="000000"/>
          <w:rtl/>
        </w:rPr>
        <w:t>אני מורה על פסילה על תנאי של 3 חודשים למשך 3 שנים והתנאי כי לא יעבור עבירות בהן הורשע בתיק זה או עבירה של נהיגה תחת השפעת סם</w:t>
      </w:r>
      <w:r>
        <w:rPr>
          <w:rFonts w:hint="cs"/>
          <w:rtl/>
        </w:rPr>
        <w:t>.</w:t>
      </w:r>
    </w:p>
    <w:p w14:paraId="0F0DB81F" w14:textId="77777777" w:rsidR="00E54432" w:rsidRDefault="00E54432" w:rsidP="00E54432">
      <w:pPr>
        <w:pStyle w:val="a9"/>
        <w:numPr>
          <w:ilvl w:val="0"/>
          <w:numId w:val="2"/>
        </w:numPr>
        <w:bidi/>
        <w:spacing w:line="360" w:lineRule="auto"/>
        <w:jc w:val="both"/>
        <w:rPr>
          <w:rFonts w:ascii="David" w:hAnsi="David" w:cs="David"/>
          <w:color w:val="000000"/>
        </w:rPr>
      </w:pPr>
      <w:r>
        <w:rPr>
          <w:rFonts w:ascii="David" w:hAnsi="David" w:cs="David"/>
          <w:color w:val="000000"/>
          <w:rtl/>
        </w:rPr>
        <w:t xml:space="preserve">קנס בסך 3,000 ₪, או 30 ימי מאסר תמורתו, שישולם בתוך 60 ימים מיום שחרורו. </w:t>
      </w:r>
    </w:p>
    <w:p w14:paraId="1C5D401A" w14:textId="77777777" w:rsidR="00E54432" w:rsidRDefault="00681A9D" w:rsidP="00E54432">
      <w:pPr>
        <w:pStyle w:val="a9"/>
        <w:numPr>
          <w:ilvl w:val="0"/>
          <w:numId w:val="2"/>
        </w:numPr>
        <w:bidi/>
        <w:spacing w:line="360" w:lineRule="auto"/>
        <w:jc w:val="both"/>
        <w:rPr>
          <w:rFonts w:ascii="David" w:hAnsi="David" w:cs="David"/>
          <w:color w:val="000000"/>
        </w:rPr>
      </w:pPr>
      <w:r w:rsidRPr="00681A9D">
        <w:rPr>
          <w:rFonts w:ascii="David" w:hAnsi="David" w:cs="David"/>
          <w:color w:val="FFFFFF"/>
          <w:sz w:val="2"/>
          <w:szCs w:val="2"/>
          <w:rtl/>
        </w:rPr>
        <w:t>5129371</w:t>
      </w:r>
      <w:r w:rsidR="00E54432">
        <w:rPr>
          <w:rFonts w:ascii="David" w:hAnsi="David" w:cs="David"/>
          <w:color w:val="000000"/>
          <w:rtl/>
        </w:rPr>
        <w:t>ניתן בזאת צו להשמדת המוצגים- סמים.</w:t>
      </w:r>
    </w:p>
    <w:p w14:paraId="4070D9D2" w14:textId="77777777" w:rsidR="00E54432" w:rsidRPr="00681A9D" w:rsidRDefault="00681A9D" w:rsidP="00E54432">
      <w:pPr>
        <w:jc w:val="both"/>
        <w:rPr>
          <w:rFonts w:ascii="Calibri" w:hAnsi="Calibri" w:cs="Arial"/>
          <w:color w:val="FFFFFF"/>
          <w:sz w:val="2"/>
          <w:szCs w:val="2"/>
        </w:rPr>
      </w:pPr>
      <w:r w:rsidRPr="00681A9D">
        <w:rPr>
          <w:rFonts w:ascii="Calibri" w:hAnsi="Calibri" w:cs="Arial"/>
          <w:color w:val="FFFFFF"/>
          <w:sz w:val="2"/>
          <w:szCs w:val="2"/>
          <w:rtl/>
        </w:rPr>
        <w:t>54678313</w:t>
      </w:r>
    </w:p>
    <w:p w14:paraId="446125DB" w14:textId="77777777" w:rsidR="00E54432" w:rsidRDefault="00681A9D" w:rsidP="00E54432">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כ"ג כסלו תשפ"ה, 24 דצמבר 2024, בנוכחות הצדדים. </w:t>
      </w:r>
      <w:bookmarkEnd w:id="7"/>
      <w:r w:rsidR="00E54432">
        <w:rPr>
          <w:rFonts w:ascii="Arial" w:hAnsi="Arial"/>
          <w:b/>
          <w:bCs/>
          <w:sz w:val="26"/>
          <w:szCs w:val="26"/>
          <w:rtl/>
        </w:rPr>
        <w:tab/>
      </w:r>
      <w:r w:rsidR="00E54432">
        <w:rPr>
          <w:rFonts w:ascii="Arial" w:hAnsi="Arial"/>
          <w:b/>
          <w:bCs/>
          <w:sz w:val="26"/>
          <w:szCs w:val="26"/>
          <w:rtl/>
        </w:rPr>
        <w:tab/>
      </w:r>
      <w:r w:rsidR="00E54432">
        <w:rPr>
          <w:rFonts w:ascii="Arial" w:hAnsi="Arial"/>
          <w:b/>
          <w:bCs/>
          <w:sz w:val="26"/>
          <w:szCs w:val="26"/>
          <w:rtl/>
        </w:rPr>
        <w:tab/>
      </w:r>
      <w:r w:rsidR="00E54432">
        <w:rPr>
          <w:rFonts w:ascii="Arial" w:hAnsi="Arial"/>
          <w:b/>
          <w:bCs/>
          <w:sz w:val="26"/>
          <w:szCs w:val="26"/>
          <w:rtl/>
        </w:rPr>
        <w:tab/>
      </w:r>
      <w:r w:rsidR="00E54432">
        <w:rPr>
          <w:rFonts w:ascii="Arial" w:hAnsi="Arial"/>
          <w:b/>
          <w:bCs/>
          <w:sz w:val="26"/>
          <w:szCs w:val="26"/>
          <w:rtl/>
        </w:rPr>
        <w:tab/>
      </w:r>
      <w:r w:rsidR="00E54432">
        <w:rPr>
          <w:rFonts w:ascii="Arial" w:hAnsi="Arial"/>
          <w:b/>
          <w:bCs/>
          <w:sz w:val="26"/>
          <w:szCs w:val="26"/>
          <w:rtl/>
        </w:rPr>
        <w:tab/>
      </w:r>
      <w:r w:rsidR="00E54432">
        <w:rPr>
          <w:rFonts w:ascii="Arial" w:hAnsi="Arial"/>
          <w:b/>
          <w:bCs/>
          <w:sz w:val="26"/>
          <w:szCs w:val="26"/>
          <w:rtl/>
        </w:rPr>
        <w:tab/>
        <w:t xml:space="preserve">         </w:t>
      </w:r>
    </w:p>
    <w:p w14:paraId="5DF610DB" w14:textId="77777777" w:rsidR="00E54432" w:rsidRDefault="00E54432" w:rsidP="00681A9D">
      <w:pPr>
        <w:jc w:val="center"/>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14:paraId="43F19AA5" w14:textId="77777777" w:rsidR="00681A9D" w:rsidRDefault="00681A9D" w:rsidP="00681A9D">
      <w:pPr>
        <w:rPr>
          <w:rtl/>
        </w:rPr>
      </w:pPr>
    </w:p>
    <w:p w14:paraId="26C673CD" w14:textId="77777777" w:rsidR="00681A9D" w:rsidRDefault="00681A9D" w:rsidP="00681A9D">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26553A5E" w14:textId="77777777" w:rsidR="00143D43" w:rsidRPr="00143D43" w:rsidRDefault="00143D43" w:rsidP="00143D43">
      <w:pPr>
        <w:keepNext/>
        <w:rPr>
          <w:rFonts w:ascii="David" w:hAnsi="David"/>
          <w:color w:val="000000"/>
          <w:sz w:val="22"/>
          <w:szCs w:val="22"/>
          <w:rtl/>
        </w:rPr>
      </w:pPr>
    </w:p>
    <w:p w14:paraId="2EACF926" w14:textId="77777777" w:rsidR="00143D43" w:rsidRPr="00143D43" w:rsidRDefault="00143D43" w:rsidP="00143D43">
      <w:pPr>
        <w:keepNext/>
        <w:rPr>
          <w:rFonts w:ascii="David" w:hAnsi="David"/>
          <w:color w:val="000000"/>
          <w:sz w:val="22"/>
          <w:szCs w:val="22"/>
          <w:rtl/>
        </w:rPr>
      </w:pPr>
      <w:r w:rsidRPr="00143D43">
        <w:rPr>
          <w:rFonts w:ascii="David" w:hAnsi="David"/>
          <w:color w:val="000000"/>
          <w:sz w:val="22"/>
          <w:szCs w:val="22"/>
          <w:rtl/>
        </w:rPr>
        <w:t>ענבל הוכמן אמויאל 54678313</w:t>
      </w:r>
    </w:p>
    <w:p w14:paraId="3CDEE7D8" w14:textId="77777777" w:rsidR="00681A9D" w:rsidRPr="00681A9D" w:rsidRDefault="00143D43" w:rsidP="00143D43">
      <w:pPr>
        <w:rPr>
          <w:color w:val="0000FF"/>
          <w:u w:val="single"/>
        </w:rPr>
      </w:pPr>
      <w:r w:rsidRPr="00143D43">
        <w:rPr>
          <w:color w:val="000000"/>
          <w:u w:val="single"/>
          <w:rtl/>
        </w:rPr>
        <w:t>נוסח מסמך זה כפוף לשינויי ניסוח ועריכה</w:t>
      </w:r>
    </w:p>
    <w:sectPr w:rsidR="00681A9D" w:rsidRPr="00681A9D" w:rsidSect="00143D43">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4B53B" w14:textId="77777777" w:rsidR="007D3C7B" w:rsidRDefault="007D3C7B" w:rsidP="00E73044">
      <w:r>
        <w:separator/>
      </w:r>
    </w:p>
  </w:endnote>
  <w:endnote w:type="continuationSeparator" w:id="0">
    <w:p w14:paraId="13154531" w14:textId="77777777" w:rsidR="007D3C7B" w:rsidRDefault="007D3C7B" w:rsidP="00E73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C7263" w14:textId="77777777" w:rsidR="00143D43" w:rsidRDefault="00143D43" w:rsidP="00143D4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D4D3A19" w14:textId="77777777" w:rsidR="00707012" w:rsidRPr="00143D43" w:rsidRDefault="00143D43" w:rsidP="00143D43">
    <w:pPr>
      <w:pStyle w:val="a5"/>
      <w:pBdr>
        <w:top w:val="single" w:sz="4" w:space="1" w:color="auto"/>
        <w:between w:val="single" w:sz="4" w:space="0" w:color="auto"/>
      </w:pBdr>
      <w:spacing w:after="60"/>
      <w:jc w:val="center"/>
      <w:rPr>
        <w:rFonts w:ascii="FrankRuehl" w:hAnsi="FrankRuehl" w:cs="FrankRuehl"/>
        <w:color w:val="000000"/>
      </w:rPr>
    </w:pPr>
    <w:r w:rsidRPr="00143D4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0F8B4" w14:textId="77777777" w:rsidR="00143D43" w:rsidRDefault="00143D43" w:rsidP="00143D4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C02C5">
      <w:rPr>
        <w:rFonts w:ascii="FrankRuehl" w:hAnsi="FrankRuehl" w:cs="FrankRuehl"/>
        <w:noProof/>
        <w:rtl/>
      </w:rPr>
      <w:t>1</w:t>
    </w:r>
    <w:r>
      <w:rPr>
        <w:rFonts w:ascii="FrankRuehl" w:hAnsi="FrankRuehl" w:cs="FrankRuehl"/>
        <w:rtl/>
      </w:rPr>
      <w:fldChar w:fldCharType="end"/>
    </w:r>
  </w:p>
  <w:p w14:paraId="7731FD49" w14:textId="77777777" w:rsidR="00707012" w:rsidRPr="00143D43" w:rsidRDefault="00143D43" w:rsidP="00143D43">
    <w:pPr>
      <w:pStyle w:val="a5"/>
      <w:pBdr>
        <w:top w:val="single" w:sz="4" w:space="1" w:color="auto"/>
        <w:between w:val="single" w:sz="4" w:space="0" w:color="auto"/>
      </w:pBdr>
      <w:spacing w:after="60"/>
      <w:jc w:val="center"/>
      <w:rPr>
        <w:rFonts w:ascii="FrankRuehl" w:hAnsi="FrankRuehl" w:cs="FrankRuehl"/>
        <w:color w:val="000000"/>
      </w:rPr>
    </w:pPr>
    <w:r w:rsidRPr="00143D43">
      <w:rPr>
        <w:rFonts w:ascii="FrankRuehl" w:hAnsi="FrankRuehl" w:cs="FrankRuehl"/>
        <w:color w:val="000000"/>
      </w:rPr>
      <w:pict w14:anchorId="6A684C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5F59D" w14:textId="77777777" w:rsidR="007D3C7B" w:rsidRDefault="007D3C7B" w:rsidP="00E73044">
      <w:r>
        <w:separator/>
      </w:r>
    </w:p>
  </w:footnote>
  <w:footnote w:type="continuationSeparator" w:id="0">
    <w:p w14:paraId="58CFC144" w14:textId="77777777" w:rsidR="007D3C7B" w:rsidRDefault="007D3C7B" w:rsidP="00E73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1825F" w14:textId="77777777" w:rsidR="00681A9D" w:rsidRPr="00143D43" w:rsidRDefault="00143D43" w:rsidP="00143D4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(עכו) 79589-07-24</w:t>
    </w:r>
    <w:r>
      <w:rPr>
        <w:rFonts w:ascii="David" w:hAnsi="David"/>
        <w:color w:val="000000"/>
        <w:sz w:val="22"/>
        <w:szCs w:val="22"/>
        <w:rtl/>
      </w:rPr>
      <w:tab/>
      <w:t xml:space="preserve"> מדינת ישראל -שלוחת עכו נ' חוסאם זכור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00F91" w14:textId="77777777" w:rsidR="00681A9D" w:rsidRPr="00143D43" w:rsidRDefault="00143D43" w:rsidP="00143D4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(עכו) 79589-07-24</w:t>
    </w:r>
    <w:r>
      <w:rPr>
        <w:rFonts w:ascii="David" w:hAnsi="David"/>
        <w:color w:val="000000"/>
        <w:sz w:val="22"/>
        <w:szCs w:val="22"/>
        <w:rtl/>
      </w:rPr>
      <w:tab/>
      <w:t xml:space="preserve"> מדינת ישראל -שלוחת עכו נ' חוסאם זכור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834FD"/>
    <w:multiLevelType w:val="hybridMultilevel"/>
    <w:tmpl w:val="D4DA3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7896F48"/>
    <w:multiLevelType w:val="hybridMultilevel"/>
    <w:tmpl w:val="E2100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882497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41255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54432"/>
    <w:rsid w:val="00143D43"/>
    <w:rsid w:val="00322869"/>
    <w:rsid w:val="003A2149"/>
    <w:rsid w:val="00681A9D"/>
    <w:rsid w:val="00707012"/>
    <w:rsid w:val="007D3C7B"/>
    <w:rsid w:val="00E54432"/>
    <w:rsid w:val="00E73044"/>
    <w:rsid w:val="00F40A89"/>
    <w:rsid w:val="00FC02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FD5B47"/>
  <w15:chartTrackingRefBased/>
  <w15:docId w15:val="{083C92D2-D7B1-44C6-AF5A-64F23A71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443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54432"/>
    <w:pPr>
      <w:tabs>
        <w:tab w:val="center" w:pos="4153"/>
        <w:tab w:val="right" w:pos="8306"/>
      </w:tabs>
    </w:pPr>
  </w:style>
  <w:style w:type="character" w:customStyle="1" w:styleId="a4">
    <w:name w:val="כותרת עליונה תו"/>
    <w:link w:val="a3"/>
    <w:rsid w:val="00E54432"/>
    <w:rPr>
      <w:rFonts w:ascii="Times New Roman" w:eastAsia="Times New Roman" w:hAnsi="Times New Roman" w:cs="David"/>
      <w:sz w:val="24"/>
      <w:szCs w:val="24"/>
    </w:rPr>
  </w:style>
  <w:style w:type="paragraph" w:styleId="a5">
    <w:name w:val="footer"/>
    <w:basedOn w:val="a"/>
    <w:link w:val="a6"/>
    <w:rsid w:val="00E54432"/>
    <w:pPr>
      <w:tabs>
        <w:tab w:val="center" w:pos="4153"/>
        <w:tab w:val="right" w:pos="8306"/>
      </w:tabs>
    </w:pPr>
  </w:style>
  <w:style w:type="character" w:customStyle="1" w:styleId="a6">
    <w:name w:val="כותרת תחתונה תו"/>
    <w:link w:val="a5"/>
    <w:rsid w:val="00E54432"/>
    <w:rPr>
      <w:rFonts w:ascii="Times New Roman" w:eastAsia="Times New Roman" w:hAnsi="Times New Roman" w:cs="David"/>
      <w:sz w:val="24"/>
      <w:szCs w:val="24"/>
    </w:rPr>
  </w:style>
  <w:style w:type="table" w:styleId="a7">
    <w:name w:val="Table Grid"/>
    <w:basedOn w:val="a1"/>
    <w:rsid w:val="00E5443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54432"/>
  </w:style>
  <w:style w:type="character" w:styleId="Hyperlink">
    <w:name w:val="Hyperlink"/>
    <w:rsid w:val="00E54432"/>
    <w:rPr>
      <w:color w:val="0000FF"/>
      <w:u w:val="single"/>
    </w:rPr>
  </w:style>
  <w:style w:type="paragraph" w:styleId="a9">
    <w:name w:val="List Paragraph"/>
    <w:basedOn w:val="a"/>
    <w:qFormat/>
    <w:rsid w:val="00E54432"/>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5738608" TargetMode="External"/><Relationship Id="rId3" Type="http://schemas.openxmlformats.org/officeDocument/2006/relationships/settings" Target="settings.xml"/><Relationship Id="rId21" Type="http://schemas.openxmlformats.org/officeDocument/2006/relationships/hyperlink" Target="http://www.nevo.co.il/law/70301/40i"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40c.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4367236"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law/70301/40c.a"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b" TargetMode="External"/><Relationship Id="rId24" Type="http://schemas.openxmlformats.org/officeDocument/2006/relationships/hyperlink" Target="http://www.nevo.co.il/case/23751286"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20178093" TargetMode="External"/><Relationship Id="rId28"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case/5892403"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1441</Words>
  <Characters>7209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8633</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3866750</vt:i4>
      </vt:variant>
      <vt:variant>
        <vt:i4>60</vt:i4>
      </vt:variant>
      <vt:variant>
        <vt:i4>0</vt:i4>
      </vt:variant>
      <vt:variant>
        <vt:i4>5</vt:i4>
      </vt:variant>
      <vt:variant>
        <vt:lpwstr>http://www.nevo.co.il/case/5892403</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3473524</vt:i4>
      </vt:variant>
      <vt:variant>
        <vt:i4>54</vt:i4>
      </vt:variant>
      <vt:variant>
        <vt:i4>0</vt:i4>
      </vt:variant>
      <vt:variant>
        <vt:i4>5</vt:i4>
      </vt:variant>
      <vt:variant>
        <vt:lpwstr>http://www.nevo.co.il/case/24367236</vt:lpwstr>
      </vt:variant>
      <vt:variant>
        <vt:lpwstr/>
      </vt:variant>
      <vt:variant>
        <vt:i4>3932272</vt:i4>
      </vt:variant>
      <vt:variant>
        <vt:i4>51</vt:i4>
      </vt:variant>
      <vt:variant>
        <vt:i4>0</vt:i4>
      </vt:variant>
      <vt:variant>
        <vt:i4>5</vt:i4>
      </vt:variant>
      <vt:variant>
        <vt:lpwstr>http://www.nevo.co.il/case/23751286</vt:lpwstr>
      </vt:variant>
      <vt:variant>
        <vt:lpwstr/>
      </vt:variant>
      <vt:variant>
        <vt:i4>3276915</vt:i4>
      </vt:variant>
      <vt:variant>
        <vt:i4>48</vt:i4>
      </vt:variant>
      <vt:variant>
        <vt:i4>0</vt:i4>
      </vt:variant>
      <vt:variant>
        <vt:i4>5</vt:i4>
      </vt:variant>
      <vt:variant>
        <vt:lpwstr>http://www.nevo.co.il/case/20178093</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4915202</vt:i4>
      </vt:variant>
      <vt:variant>
        <vt:i4>39</vt:i4>
      </vt:variant>
      <vt:variant>
        <vt:i4>0</vt:i4>
      </vt:variant>
      <vt:variant>
        <vt:i4>5</vt:i4>
      </vt:variant>
      <vt:variant>
        <vt:lpwstr>http://www.nevo.co.il/law/70301/40c.a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2025-04-23T01:58:00Z</dcterms:created>
  <dcterms:modified xsi:type="dcterms:W3CDTF">2025-04-23T01:58:00Z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79589</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 -שלוחת עכו</vt:lpwstr>
  </property>
  <property fmtid="{D5CDD505-2E9C-101B-9397-08002B2CF9AE}" pid="9" name="APPELLEE">
    <vt:lpwstr>חוסאם זכור</vt:lpwstr>
  </property>
  <property fmtid="{D5CDD505-2E9C-101B-9397-08002B2CF9AE}" pid="10" name="JUDGE">
    <vt:lpwstr>ענבל הוכמן אמויאל</vt:lpwstr>
  </property>
  <property fmtid="{D5CDD505-2E9C-101B-9397-08002B2CF9AE}" pid="11" name="CITY">
    <vt:lpwstr>עכו</vt:lpwstr>
  </property>
  <property fmtid="{D5CDD505-2E9C-101B-9397-08002B2CF9AE}" pid="12" name="DATE">
    <vt:lpwstr>20241224</vt:lpwstr>
  </property>
  <property fmtid="{D5CDD505-2E9C-101B-9397-08002B2CF9AE}" pid="13" name="TYPE_N_DATE">
    <vt:lpwstr>38020241224</vt:lpwstr>
  </property>
  <property fmtid="{D5CDD505-2E9C-101B-9397-08002B2CF9AE}" pid="14" name="CASESLISTTMP1">
    <vt:lpwstr>20178093;23751286;24367236;5738608;5892403</vt:lpwstr>
  </property>
  <property fmtid="{D5CDD505-2E9C-101B-9397-08002B2CF9AE}" pid="15" name="WORDNUMPAGES">
    <vt:lpwstr>6</vt:lpwstr>
  </property>
  <property fmtid="{D5CDD505-2E9C-101B-9397-08002B2CF9AE}" pid="16" name="TYPE_ABS_DATE">
    <vt:lpwstr>380020241224</vt:lpwstr>
  </property>
  <property fmtid="{D5CDD505-2E9C-101B-9397-08002B2CF9AE}" pid="17" name="LAWLISTTMP1">
    <vt:lpwstr>4216/007.a;007.c</vt:lpwstr>
  </property>
  <property fmtid="{D5CDD505-2E9C-101B-9397-08002B2CF9AE}" pid="18" name="LAWLISTTMP2">
    <vt:lpwstr>70301/040b;040c.a;040i;40ja</vt:lpwstr>
  </property>
  <property fmtid="{D5CDD505-2E9C-101B-9397-08002B2CF9AE}" pid="19" name="ISABSTRACT">
    <vt:lpwstr>Y</vt:lpwstr>
  </property>
</Properties>
</file>