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76340B" w:rsidRPr="00D86421" w14:paraId="7DA747F9" w14:textId="77777777" w:rsidTr="00F47DCD">
        <w:trPr>
          <w:trHeight w:hRule="exact" w:val="418"/>
          <w:jc w:val="center"/>
        </w:trPr>
        <w:tc>
          <w:tcPr>
            <w:tcW w:w="8721" w:type="dxa"/>
            <w:gridSpan w:val="2"/>
          </w:tcPr>
          <w:p w14:paraId="3CC571B0" w14:textId="77777777" w:rsidR="0076340B" w:rsidRPr="00D86421" w:rsidRDefault="0076340B" w:rsidP="00721FAF">
            <w:pPr>
              <w:pStyle w:val="a4"/>
              <w:jc w:val="center"/>
              <w:rPr>
                <w:rFonts w:ascii="Tahoma" w:hAnsi="Tahoma" w:cs="Tahoma"/>
                <w:color w:val="000080"/>
                <w:rtl/>
              </w:rPr>
            </w:pPr>
            <w:bookmarkStart w:id="0" w:name="LastJudge"/>
            <w:r w:rsidRPr="00D86421">
              <w:rPr>
                <w:rFonts w:ascii="Tahoma" w:hAnsi="Tahoma" w:cs="Tahoma"/>
                <w:b/>
                <w:bCs/>
                <w:color w:val="000080"/>
                <w:rtl/>
              </w:rPr>
              <w:t>בית משפט השלום ברמלה</w:t>
            </w:r>
          </w:p>
        </w:tc>
      </w:tr>
      <w:tr w:rsidR="0076340B" w:rsidRPr="00D86421" w14:paraId="2E5971D9" w14:textId="77777777" w:rsidTr="00F47DCD">
        <w:trPr>
          <w:trHeight w:val="337"/>
          <w:jc w:val="center"/>
        </w:trPr>
        <w:tc>
          <w:tcPr>
            <w:tcW w:w="5057" w:type="dxa"/>
          </w:tcPr>
          <w:p w14:paraId="15810FE6" w14:textId="77777777" w:rsidR="0076340B" w:rsidRPr="00D86421" w:rsidRDefault="0076340B" w:rsidP="00721FAF">
            <w:pPr>
              <w:rPr>
                <w:rFonts w:cs="FrankRuehl"/>
                <w:sz w:val="28"/>
                <w:szCs w:val="28"/>
                <w:rtl/>
              </w:rPr>
            </w:pPr>
            <w:r w:rsidRPr="00D86421">
              <w:rPr>
                <w:rFonts w:cs="FrankRuehl"/>
                <w:sz w:val="28"/>
                <w:szCs w:val="28"/>
                <w:rtl/>
              </w:rPr>
              <w:t>ת"פ</w:t>
            </w:r>
            <w:r w:rsidRPr="00D86421">
              <w:rPr>
                <w:rFonts w:cs="FrankRuehl" w:hint="cs"/>
                <w:sz w:val="28"/>
                <w:szCs w:val="28"/>
                <w:rtl/>
              </w:rPr>
              <w:t xml:space="preserve"> </w:t>
            </w:r>
            <w:r w:rsidRPr="00D86421">
              <w:rPr>
                <w:rFonts w:cs="FrankRuehl"/>
                <w:sz w:val="28"/>
                <w:szCs w:val="28"/>
                <w:rtl/>
              </w:rPr>
              <w:t>5714-08-24</w:t>
            </w:r>
            <w:r w:rsidRPr="00D86421">
              <w:rPr>
                <w:rFonts w:cs="FrankRuehl" w:hint="cs"/>
                <w:sz w:val="28"/>
                <w:szCs w:val="28"/>
                <w:rtl/>
              </w:rPr>
              <w:t xml:space="preserve"> </w:t>
            </w:r>
            <w:r w:rsidRPr="00D86421">
              <w:rPr>
                <w:rFonts w:cs="FrankRuehl"/>
                <w:sz w:val="28"/>
                <w:szCs w:val="28"/>
                <w:rtl/>
              </w:rPr>
              <w:t>מדינת ישראל נ' דיעי(עציר)</w:t>
            </w:r>
          </w:p>
          <w:p w14:paraId="134BA886" w14:textId="77777777" w:rsidR="0076340B" w:rsidRPr="00D86421" w:rsidRDefault="0076340B" w:rsidP="00721FAF">
            <w:pPr>
              <w:pStyle w:val="a4"/>
              <w:rPr>
                <w:rFonts w:cs="FrankRuehl"/>
                <w:sz w:val="28"/>
                <w:szCs w:val="28"/>
                <w:rtl/>
              </w:rPr>
            </w:pPr>
          </w:p>
        </w:tc>
        <w:tc>
          <w:tcPr>
            <w:tcW w:w="3664" w:type="dxa"/>
          </w:tcPr>
          <w:p w14:paraId="588CD879" w14:textId="77777777" w:rsidR="0076340B" w:rsidRPr="00D86421" w:rsidRDefault="0076340B" w:rsidP="00721FAF">
            <w:pPr>
              <w:pStyle w:val="a4"/>
              <w:jc w:val="right"/>
              <w:rPr>
                <w:rFonts w:cs="FrankRuehl"/>
                <w:sz w:val="28"/>
                <w:szCs w:val="28"/>
                <w:rtl/>
              </w:rPr>
            </w:pPr>
          </w:p>
        </w:tc>
      </w:tr>
    </w:tbl>
    <w:p w14:paraId="38716E25" w14:textId="77777777" w:rsidR="0076340B" w:rsidRPr="00D86421" w:rsidRDefault="0076340B" w:rsidP="0076340B">
      <w:pPr>
        <w:pStyle w:val="a4"/>
        <w:rPr>
          <w:rtl/>
        </w:rPr>
      </w:pPr>
      <w:r w:rsidRPr="00D8642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6340B" w:rsidRPr="00D86421" w14:paraId="761266EE" w14:textId="77777777" w:rsidTr="0076340B">
        <w:trPr>
          <w:trHeight w:val="295"/>
          <w:jc w:val="center"/>
        </w:trPr>
        <w:tc>
          <w:tcPr>
            <w:tcW w:w="923" w:type="dxa"/>
            <w:tcBorders>
              <w:top w:val="nil"/>
              <w:left w:val="nil"/>
              <w:bottom w:val="nil"/>
              <w:right w:val="nil"/>
            </w:tcBorders>
            <w:shd w:val="clear" w:color="auto" w:fill="auto"/>
          </w:tcPr>
          <w:p w14:paraId="729B52E3" w14:textId="77777777" w:rsidR="0076340B" w:rsidRPr="00D86421" w:rsidRDefault="0076340B" w:rsidP="0076340B">
            <w:pPr>
              <w:jc w:val="both"/>
              <w:rPr>
                <w:rFonts w:ascii="David" w:hAnsi="David"/>
                <w:sz w:val="26"/>
                <w:szCs w:val="26"/>
              </w:rPr>
            </w:pPr>
            <w:r w:rsidRPr="00D86421">
              <w:rPr>
                <w:rFonts w:ascii="David" w:hAnsi="David" w:hint="cs"/>
                <w:sz w:val="26"/>
                <w:szCs w:val="26"/>
                <w:rtl/>
              </w:rPr>
              <w:t>ל</w:t>
            </w:r>
            <w:r w:rsidRPr="00D86421">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BC7B950" w14:textId="77777777" w:rsidR="0076340B" w:rsidRPr="00D86421" w:rsidRDefault="0076340B" w:rsidP="00721FAF">
            <w:pPr>
              <w:rPr>
                <w:rFonts w:ascii="David" w:hAnsi="David"/>
                <w:b/>
                <w:bCs/>
                <w:sz w:val="26"/>
                <w:szCs w:val="26"/>
                <w:rtl/>
              </w:rPr>
            </w:pPr>
            <w:r w:rsidRPr="00D86421">
              <w:rPr>
                <w:rFonts w:ascii="David" w:hAnsi="David"/>
                <w:b/>
                <w:bCs/>
                <w:sz w:val="26"/>
                <w:szCs w:val="26"/>
                <w:rtl/>
              </w:rPr>
              <w:t>כבוד השופט  טל ענר</w:t>
            </w:r>
          </w:p>
          <w:p w14:paraId="481D0CCD" w14:textId="77777777" w:rsidR="0076340B" w:rsidRPr="00D86421" w:rsidRDefault="0076340B" w:rsidP="00721FAF">
            <w:pPr>
              <w:rPr>
                <w:rFonts w:ascii="David" w:hAnsi="David"/>
                <w:sz w:val="26"/>
                <w:szCs w:val="26"/>
                <w:rtl/>
              </w:rPr>
            </w:pPr>
          </w:p>
          <w:p w14:paraId="1D80ED0A" w14:textId="77777777" w:rsidR="0076340B" w:rsidRPr="00D86421" w:rsidRDefault="0076340B" w:rsidP="0076340B">
            <w:pPr>
              <w:jc w:val="both"/>
              <w:rPr>
                <w:rFonts w:ascii="David" w:hAnsi="David"/>
                <w:sz w:val="26"/>
                <w:szCs w:val="26"/>
              </w:rPr>
            </w:pPr>
          </w:p>
        </w:tc>
      </w:tr>
      <w:tr w:rsidR="0076340B" w:rsidRPr="00D86421" w14:paraId="0B03EE47" w14:textId="77777777" w:rsidTr="0076340B">
        <w:trPr>
          <w:trHeight w:val="355"/>
          <w:jc w:val="center"/>
        </w:trPr>
        <w:tc>
          <w:tcPr>
            <w:tcW w:w="923" w:type="dxa"/>
            <w:tcBorders>
              <w:top w:val="nil"/>
              <w:left w:val="nil"/>
              <w:bottom w:val="nil"/>
              <w:right w:val="nil"/>
            </w:tcBorders>
            <w:shd w:val="clear" w:color="auto" w:fill="auto"/>
          </w:tcPr>
          <w:p w14:paraId="3B03B18C" w14:textId="77777777" w:rsidR="0076340B" w:rsidRPr="00D86421" w:rsidRDefault="0076340B" w:rsidP="0076340B">
            <w:pPr>
              <w:jc w:val="both"/>
              <w:rPr>
                <w:rFonts w:ascii="David" w:hAnsi="David"/>
                <w:sz w:val="26"/>
                <w:szCs w:val="26"/>
              </w:rPr>
            </w:pPr>
            <w:bookmarkStart w:id="1" w:name="FirstAppellant"/>
            <w:r w:rsidRPr="00D86421">
              <w:rPr>
                <w:rFonts w:ascii="David" w:hAnsi="David"/>
                <w:sz w:val="26"/>
                <w:szCs w:val="26"/>
                <w:rtl/>
              </w:rPr>
              <w:t>בעניין:</w:t>
            </w:r>
          </w:p>
        </w:tc>
        <w:tc>
          <w:tcPr>
            <w:tcW w:w="3219" w:type="dxa"/>
            <w:tcBorders>
              <w:top w:val="nil"/>
              <w:left w:val="nil"/>
              <w:bottom w:val="nil"/>
              <w:right w:val="nil"/>
            </w:tcBorders>
            <w:shd w:val="clear" w:color="auto" w:fill="auto"/>
          </w:tcPr>
          <w:p w14:paraId="17BF0FB8" w14:textId="77777777" w:rsidR="0076340B" w:rsidRPr="00D86421" w:rsidRDefault="0076340B" w:rsidP="0076340B">
            <w:pPr>
              <w:suppressLineNumbers/>
            </w:pPr>
            <w:r w:rsidRPr="00D86421">
              <w:rPr>
                <w:rFonts w:ascii="Arial" w:hAnsi="Arial" w:hint="cs"/>
                <w:b/>
                <w:bCs/>
                <w:sz w:val="26"/>
                <w:szCs w:val="26"/>
                <w:rtl/>
              </w:rPr>
              <w:t>ה</w:t>
            </w:r>
            <w:r w:rsidRPr="00D86421">
              <w:rPr>
                <w:rFonts w:ascii="Arial" w:hAnsi="Arial"/>
                <w:b/>
                <w:bCs/>
                <w:sz w:val="26"/>
                <w:szCs w:val="26"/>
                <w:rtl/>
              </w:rPr>
              <w:t>מאשימה</w:t>
            </w:r>
          </w:p>
          <w:p w14:paraId="17CAC0BD" w14:textId="77777777" w:rsidR="0076340B" w:rsidRPr="00D86421" w:rsidRDefault="0076340B" w:rsidP="00721FAF">
            <w:pPr>
              <w:rPr>
                <w:rFonts w:ascii="David" w:hAnsi="David"/>
                <w:sz w:val="26"/>
                <w:szCs w:val="26"/>
              </w:rPr>
            </w:pPr>
          </w:p>
        </w:tc>
        <w:tc>
          <w:tcPr>
            <w:tcW w:w="4678" w:type="dxa"/>
            <w:tcBorders>
              <w:top w:val="nil"/>
              <w:left w:val="nil"/>
              <w:bottom w:val="nil"/>
              <w:right w:val="nil"/>
            </w:tcBorders>
            <w:shd w:val="clear" w:color="auto" w:fill="auto"/>
            <w:vAlign w:val="center"/>
          </w:tcPr>
          <w:p w14:paraId="5850E3A8" w14:textId="77777777" w:rsidR="0076340B" w:rsidRPr="00D86421" w:rsidRDefault="0076340B" w:rsidP="0076340B">
            <w:pPr>
              <w:suppressLineNumbers/>
            </w:pPr>
            <w:r w:rsidRPr="00D86421">
              <w:rPr>
                <w:rFonts w:ascii="Arial" w:hAnsi="Arial"/>
                <w:b/>
                <w:bCs/>
                <w:sz w:val="26"/>
                <w:szCs w:val="26"/>
                <w:rtl/>
              </w:rPr>
              <w:t>מדינת ישראל</w:t>
            </w:r>
          </w:p>
          <w:p w14:paraId="323A8B6F" w14:textId="77777777" w:rsidR="0076340B" w:rsidRPr="00D86421" w:rsidRDefault="0076340B" w:rsidP="00721FAF">
            <w:pPr>
              <w:rPr>
                <w:rFonts w:ascii="David" w:hAnsi="David"/>
                <w:sz w:val="26"/>
                <w:szCs w:val="26"/>
              </w:rPr>
            </w:pPr>
          </w:p>
        </w:tc>
      </w:tr>
      <w:bookmarkEnd w:id="1"/>
      <w:tr w:rsidR="0076340B" w:rsidRPr="00D86421" w14:paraId="38555F0E" w14:textId="77777777" w:rsidTr="0076340B">
        <w:trPr>
          <w:trHeight w:val="355"/>
          <w:jc w:val="center"/>
        </w:trPr>
        <w:tc>
          <w:tcPr>
            <w:tcW w:w="923" w:type="dxa"/>
            <w:tcBorders>
              <w:top w:val="nil"/>
              <w:left w:val="nil"/>
              <w:bottom w:val="nil"/>
              <w:right w:val="nil"/>
            </w:tcBorders>
            <w:shd w:val="clear" w:color="auto" w:fill="auto"/>
          </w:tcPr>
          <w:p w14:paraId="30D8E22D" w14:textId="77777777" w:rsidR="0076340B" w:rsidRPr="00D86421" w:rsidRDefault="0076340B" w:rsidP="0076340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B699DA9" w14:textId="77777777" w:rsidR="0076340B" w:rsidRPr="00D86421" w:rsidRDefault="0076340B" w:rsidP="0076340B">
            <w:pPr>
              <w:jc w:val="center"/>
              <w:rPr>
                <w:rFonts w:ascii="David" w:hAnsi="David"/>
                <w:b/>
                <w:bCs/>
                <w:sz w:val="26"/>
                <w:szCs w:val="26"/>
                <w:rtl/>
              </w:rPr>
            </w:pPr>
          </w:p>
          <w:p w14:paraId="6DD2108B" w14:textId="77777777" w:rsidR="0076340B" w:rsidRPr="00D86421" w:rsidRDefault="0076340B" w:rsidP="0076340B">
            <w:pPr>
              <w:jc w:val="center"/>
              <w:rPr>
                <w:rFonts w:ascii="David" w:hAnsi="David"/>
                <w:b/>
                <w:bCs/>
                <w:sz w:val="26"/>
                <w:szCs w:val="26"/>
                <w:rtl/>
              </w:rPr>
            </w:pPr>
            <w:r w:rsidRPr="00D86421">
              <w:rPr>
                <w:rFonts w:ascii="David" w:hAnsi="David"/>
                <w:b/>
                <w:bCs/>
                <w:sz w:val="26"/>
                <w:szCs w:val="26"/>
                <w:rtl/>
              </w:rPr>
              <w:t>נגד</w:t>
            </w:r>
          </w:p>
          <w:p w14:paraId="2ED18E85" w14:textId="77777777" w:rsidR="0076340B" w:rsidRPr="00D86421" w:rsidRDefault="0076340B" w:rsidP="0076340B">
            <w:pPr>
              <w:jc w:val="both"/>
              <w:rPr>
                <w:rFonts w:ascii="David" w:hAnsi="David"/>
                <w:sz w:val="26"/>
                <w:szCs w:val="26"/>
              </w:rPr>
            </w:pPr>
          </w:p>
        </w:tc>
      </w:tr>
      <w:tr w:rsidR="0076340B" w:rsidRPr="00D86421" w14:paraId="4184A2EA" w14:textId="77777777" w:rsidTr="0076340B">
        <w:trPr>
          <w:trHeight w:val="355"/>
          <w:jc w:val="center"/>
        </w:trPr>
        <w:tc>
          <w:tcPr>
            <w:tcW w:w="923" w:type="dxa"/>
            <w:tcBorders>
              <w:top w:val="nil"/>
              <w:left w:val="nil"/>
              <w:bottom w:val="nil"/>
              <w:right w:val="nil"/>
            </w:tcBorders>
            <w:shd w:val="clear" w:color="auto" w:fill="auto"/>
          </w:tcPr>
          <w:p w14:paraId="3E2C74A7" w14:textId="77777777" w:rsidR="0076340B" w:rsidRPr="00D86421" w:rsidRDefault="0076340B" w:rsidP="00721FAF">
            <w:pPr>
              <w:rPr>
                <w:rFonts w:ascii="David" w:hAnsi="David"/>
                <w:sz w:val="26"/>
                <w:szCs w:val="26"/>
                <w:rtl/>
              </w:rPr>
            </w:pPr>
          </w:p>
        </w:tc>
        <w:tc>
          <w:tcPr>
            <w:tcW w:w="3219" w:type="dxa"/>
            <w:tcBorders>
              <w:top w:val="nil"/>
              <w:left w:val="nil"/>
              <w:bottom w:val="nil"/>
              <w:right w:val="nil"/>
            </w:tcBorders>
            <w:shd w:val="clear" w:color="auto" w:fill="auto"/>
          </w:tcPr>
          <w:p w14:paraId="4A83F8F8" w14:textId="77777777" w:rsidR="0076340B" w:rsidRPr="00D86421" w:rsidRDefault="0076340B" w:rsidP="00721FAF">
            <w:pPr>
              <w:rPr>
                <w:rFonts w:ascii="Arial" w:hAnsi="Arial"/>
                <w:b/>
                <w:bCs/>
                <w:sz w:val="26"/>
                <w:szCs w:val="26"/>
                <w:rtl/>
              </w:rPr>
            </w:pPr>
            <w:r w:rsidRPr="00D8642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3F314D1" w14:textId="77777777" w:rsidR="0076340B" w:rsidRPr="00D86421" w:rsidRDefault="0076340B" w:rsidP="0076340B">
            <w:pPr>
              <w:suppressLineNumbers/>
            </w:pPr>
            <w:r w:rsidRPr="00D86421">
              <w:rPr>
                <w:rFonts w:ascii="Arial" w:hAnsi="Arial"/>
                <w:b/>
                <w:bCs/>
                <w:sz w:val="26"/>
                <w:szCs w:val="26"/>
                <w:rtl/>
              </w:rPr>
              <w:t>נתנאל דיעי (עציר)</w:t>
            </w:r>
            <w:r w:rsidRPr="00D86421">
              <w:rPr>
                <w:rFonts w:ascii="Arial" w:hAnsi="Arial" w:hint="cs"/>
                <w:b/>
                <w:bCs/>
                <w:sz w:val="26"/>
                <w:szCs w:val="26"/>
                <w:rtl/>
              </w:rPr>
              <w:t xml:space="preserve"> </w:t>
            </w:r>
          </w:p>
          <w:p w14:paraId="5F725DC8" w14:textId="77777777" w:rsidR="0076340B" w:rsidRPr="00D86421" w:rsidRDefault="0076340B" w:rsidP="00721FAF">
            <w:pPr>
              <w:rPr>
                <w:rFonts w:ascii="David" w:hAnsi="David"/>
                <w:sz w:val="26"/>
                <w:szCs w:val="26"/>
              </w:rPr>
            </w:pPr>
          </w:p>
        </w:tc>
      </w:tr>
    </w:tbl>
    <w:p w14:paraId="186ABC02" w14:textId="77777777" w:rsidR="0076340B" w:rsidRPr="00D86421" w:rsidRDefault="0076340B" w:rsidP="0076340B">
      <w:pPr>
        <w:rPr>
          <w:sz w:val="26"/>
          <w:szCs w:val="26"/>
          <w:rtl/>
        </w:rPr>
      </w:pPr>
    </w:p>
    <w:p w14:paraId="51BB59C3" w14:textId="77777777" w:rsidR="00D86421" w:rsidRPr="00D86421" w:rsidRDefault="00D86421" w:rsidP="00D86421">
      <w:pPr>
        <w:spacing w:before="120" w:after="120" w:line="240" w:lineRule="exact"/>
        <w:ind w:left="283" w:hanging="283"/>
        <w:jc w:val="both"/>
        <w:rPr>
          <w:rFonts w:ascii="FrankRuehl" w:hAnsi="FrankRuehl" w:cs="FrankRuehl"/>
          <w:rtl/>
        </w:rPr>
      </w:pPr>
    </w:p>
    <w:p w14:paraId="1B6F8128" w14:textId="77777777" w:rsidR="00D86421" w:rsidRPr="00D86421" w:rsidRDefault="00D86421" w:rsidP="00D86421">
      <w:pPr>
        <w:rPr>
          <w:sz w:val="26"/>
          <w:szCs w:val="26"/>
          <w:rtl/>
        </w:rPr>
      </w:pPr>
    </w:p>
    <w:p w14:paraId="1FBAA3EA" w14:textId="77777777" w:rsidR="00F47DCD" w:rsidRPr="00F47DCD" w:rsidRDefault="00F47DCD" w:rsidP="00F47DCD">
      <w:pPr>
        <w:spacing w:before="120" w:after="120" w:line="240" w:lineRule="exact"/>
        <w:ind w:left="283" w:hanging="283"/>
        <w:jc w:val="both"/>
        <w:rPr>
          <w:rFonts w:ascii="FrankRuehl" w:hAnsi="FrankRuehl" w:cs="FrankRuehl"/>
          <w:rtl/>
        </w:rPr>
      </w:pPr>
      <w:bookmarkStart w:id="2" w:name="LawTable"/>
      <w:bookmarkEnd w:id="2"/>
    </w:p>
    <w:p w14:paraId="562F0D51" w14:textId="77777777" w:rsidR="00F47DCD" w:rsidRPr="00F47DCD" w:rsidRDefault="00F47DCD" w:rsidP="00F47DCD">
      <w:pPr>
        <w:spacing w:before="120" w:after="120" w:line="240" w:lineRule="exact"/>
        <w:ind w:left="283" w:hanging="283"/>
        <w:jc w:val="both"/>
        <w:rPr>
          <w:rFonts w:ascii="FrankRuehl" w:hAnsi="FrankRuehl" w:cs="FrankRuehl"/>
          <w:rtl/>
        </w:rPr>
      </w:pPr>
      <w:r w:rsidRPr="00F47DCD">
        <w:rPr>
          <w:rFonts w:ascii="FrankRuehl" w:hAnsi="FrankRuehl" w:cs="FrankRuehl"/>
          <w:rtl/>
        </w:rPr>
        <w:t xml:space="preserve">חקיקה שאוזכרה: </w:t>
      </w:r>
    </w:p>
    <w:p w14:paraId="661EB6F0" w14:textId="77777777" w:rsidR="00F47DCD" w:rsidRPr="00F47DCD" w:rsidRDefault="00F47DCD" w:rsidP="00F47DCD">
      <w:pPr>
        <w:spacing w:before="120" w:after="120" w:line="240" w:lineRule="exact"/>
        <w:ind w:left="283" w:hanging="283"/>
        <w:jc w:val="both"/>
        <w:rPr>
          <w:rFonts w:ascii="FrankRuehl" w:hAnsi="FrankRuehl" w:cs="FrankRuehl"/>
          <w:color w:val="0000FF"/>
          <w:rtl/>
        </w:rPr>
      </w:pPr>
      <w:hyperlink r:id="rId7" w:history="1">
        <w:r w:rsidRPr="00F47DCD">
          <w:rPr>
            <w:rStyle w:val="Hyperlink"/>
            <w:rFonts w:ascii="FrankRuehl" w:hAnsi="FrankRuehl" w:cs="FrankRuehl"/>
            <w:u w:val="none"/>
            <w:rtl/>
          </w:rPr>
          <w:t>פקודת הסמים המסוכנים [נוסח חדש], תשל"ג-1973</w:t>
        </w:r>
      </w:hyperlink>
      <w:r w:rsidRPr="00F47DCD">
        <w:rPr>
          <w:rFonts w:ascii="FrankRuehl" w:hAnsi="FrankRuehl" w:cs="FrankRuehl"/>
          <w:color w:val="0000FF"/>
          <w:rtl/>
        </w:rPr>
        <w:t xml:space="preserve">: סע'  </w:t>
      </w:r>
      <w:hyperlink r:id="rId8" w:history="1">
        <w:r w:rsidRPr="00F47DCD">
          <w:rPr>
            <w:rStyle w:val="Hyperlink"/>
            <w:rFonts w:ascii="FrankRuehl" w:hAnsi="FrankRuehl" w:cs="FrankRuehl"/>
            <w:u w:val="none"/>
          </w:rPr>
          <w:t>7</w:t>
        </w:r>
      </w:hyperlink>
      <w:r w:rsidRPr="00F47DCD">
        <w:rPr>
          <w:rFonts w:ascii="FrankRuehl" w:hAnsi="FrankRuehl" w:cs="FrankRuehl"/>
          <w:color w:val="0000FF"/>
          <w:rtl/>
        </w:rPr>
        <w:t xml:space="preserve">(א), </w:t>
      </w:r>
      <w:hyperlink r:id="rId9" w:history="1">
        <w:r w:rsidRPr="00F47DCD">
          <w:rPr>
            <w:rStyle w:val="Hyperlink"/>
            <w:rFonts w:ascii="FrankRuehl" w:hAnsi="FrankRuehl" w:cs="FrankRuehl"/>
            <w:u w:val="none"/>
          </w:rPr>
          <w:t>7</w:t>
        </w:r>
      </w:hyperlink>
      <w:r w:rsidRPr="00F47DCD">
        <w:rPr>
          <w:rFonts w:ascii="FrankRuehl" w:hAnsi="FrankRuehl" w:cs="FrankRuehl"/>
          <w:color w:val="0000FF"/>
          <w:rtl/>
        </w:rPr>
        <w:t>(ג)</w:t>
      </w:r>
    </w:p>
    <w:p w14:paraId="435CFF36" w14:textId="77777777" w:rsidR="00F47DCD" w:rsidRPr="00F47DCD" w:rsidRDefault="00F47DCD" w:rsidP="00F47DCD">
      <w:pPr>
        <w:spacing w:before="120" w:after="120" w:line="240" w:lineRule="exact"/>
        <w:ind w:left="283" w:hanging="283"/>
        <w:jc w:val="both"/>
        <w:rPr>
          <w:rFonts w:ascii="FrankRuehl" w:hAnsi="FrankRuehl" w:cs="FrankRuehl"/>
          <w:color w:val="0000FF"/>
          <w:rtl/>
        </w:rPr>
      </w:pPr>
      <w:hyperlink r:id="rId10" w:history="1">
        <w:r w:rsidRPr="00F47DCD">
          <w:rPr>
            <w:rStyle w:val="Hyperlink"/>
            <w:rFonts w:ascii="FrankRuehl" w:hAnsi="FrankRuehl" w:cs="FrankRuehl"/>
            <w:u w:val="none"/>
            <w:rtl/>
          </w:rPr>
          <w:t>חוק העונשין, תשל"ז-1977</w:t>
        </w:r>
      </w:hyperlink>
      <w:r w:rsidRPr="00F47DCD">
        <w:rPr>
          <w:rFonts w:ascii="FrankRuehl" w:hAnsi="FrankRuehl" w:cs="FrankRuehl"/>
          <w:color w:val="0000FF"/>
          <w:rtl/>
        </w:rPr>
        <w:t xml:space="preserve">: סע'  </w:t>
      </w:r>
      <w:hyperlink r:id="rId11" w:history="1">
        <w:r w:rsidRPr="00F47DCD">
          <w:rPr>
            <w:rStyle w:val="Hyperlink"/>
            <w:rFonts w:ascii="FrankRuehl" w:hAnsi="FrankRuehl" w:cs="FrankRuehl"/>
            <w:u w:val="none"/>
          </w:rPr>
          <w:t>52</w:t>
        </w:r>
      </w:hyperlink>
      <w:r w:rsidRPr="00F47DCD">
        <w:rPr>
          <w:rFonts w:ascii="FrankRuehl" w:hAnsi="FrankRuehl" w:cs="FrankRuehl"/>
          <w:color w:val="0000FF"/>
          <w:rtl/>
        </w:rPr>
        <w:t xml:space="preserve">(ג), </w:t>
      </w:r>
      <w:hyperlink r:id="rId12" w:history="1">
        <w:r w:rsidRPr="00F47DCD">
          <w:rPr>
            <w:rStyle w:val="Hyperlink"/>
            <w:rFonts w:ascii="FrankRuehl" w:hAnsi="FrankRuehl" w:cs="FrankRuehl"/>
            <w:u w:val="none"/>
            <w:rtl/>
          </w:rPr>
          <w:t>ב1 לפרק ו</w:t>
        </w:r>
        <w:r w:rsidRPr="00F47DCD">
          <w:rPr>
            <w:rStyle w:val="Hyperlink"/>
            <w:rFonts w:ascii="FrankRuehl" w:hAnsi="FrankRuehl" w:cs="FrankRuehl"/>
            <w:u w:val="none"/>
          </w:rPr>
          <w:t>'</w:t>
        </w:r>
      </w:hyperlink>
    </w:p>
    <w:p w14:paraId="61B79547" w14:textId="77777777" w:rsidR="00F47DCD" w:rsidRPr="00F47DCD" w:rsidRDefault="00F47DCD" w:rsidP="00F47DCD">
      <w:pPr>
        <w:spacing w:before="120" w:after="120" w:line="240" w:lineRule="exact"/>
        <w:ind w:left="283" w:hanging="283"/>
        <w:jc w:val="both"/>
        <w:rPr>
          <w:rFonts w:ascii="FrankRuehl" w:hAnsi="FrankRuehl" w:cs="FrankRuehl"/>
          <w:color w:val="0000FF"/>
          <w:rtl/>
        </w:rPr>
      </w:pPr>
      <w:hyperlink r:id="rId13" w:history="1">
        <w:r w:rsidRPr="00F47DCD">
          <w:rPr>
            <w:rStyle w:val="Hyperlink"/>
            <w:rFonts w:ascii="FrankRuehl" w:hAnsi="FrankRuehl" w:cs="FrankRuehl"/>
            <w:u w:val="none"/>
            <w:rtl/>
          </w:rPr>
          <w:t>חוק סדר הדין הפלילי [נוסח משולב], תשמ"ב-1982</w:t>
        </w:r>
      </w:hyperlink>
      <w:r w:rsidRPr="00F47DCD">
        <w:rPr>
          <w:rFonts w:ascii="FrankRuehl" w:hAnsi="FrankRuehl" w:cs="FrankRuehl"/>
          <w:color w:val="0000FF"/>
          <w:rtl/>
        </w:rPr>
        <w:t xml:space="preserve">: סע'  </w:t>
      </w:r>
      <w:hyperlink r:id="rId14" w:history="1">
        <w:r w:rsidRPr="00F47DCD">
          <w:rPr>
            <w:rStyle w:val="Hyperlink"/>
            <w:rFonts w:ascii="FrankRuehl" w:hAnsi="FrankRuehl" w:cs="FrankRuehl"/>
            <w:u w:val="none"/>
            <w:rtl/>
          </w:rPr>
          <w:t>ב' בפרק ג</w:t>
        </w:r>
        <w:r w:rsidRPr="00F47DCD">
          <w:rPr>
            <w:rStyle w:val="Hyperlink"/>
            <w:rFonts w:ascii="FrankRuehl" w:hAnsi="FrankRuehl" w:cs="FrankRuehl"/>
            <w:u w:val="none"/>
          </w:rPr>
          <w:t>'</w:t>
        </w:r>
      </w:hyperlink>
    </w:p>
    <w:p w14:paraId="5AE6BCC0" w14:textId="77777777" w:rsidR="0076340B" w:rsidRPr="00F47DCD" w:rsidRDefault="0076340B" w:rsidP="00F47DCD">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6340B" w14:paraId="4DF8D647" w14:textId="77777777" w:rsidTr="0076340B">
        <w:trPr>
          <w:trHeight w:val="355"/>
          <w:jc w:val="center"/>
        </w:trPr>
        <w:tc>
          <w:tcPr>
            <w:tcW w:w="8820" w:type="dxa"/>
            <w:tcBorders>
              <w:top w:val="nil"/>
              <w:left w:val="nil"/>
              <w:bottom w:val="nil"/>
              <w:right w:val="nil"/>
            </w:tcBorders>
            <w:shd w:val="clear" w:color="auto" w:fill="auto"/>
          </w:tcPr>
          <w:p w14:paraId="60E40A88" w14:textId="77777777" w:rsidR="00D86421" w:rsidRPr="00D86421" w:rsidRDefault="00D86421" w:rsidP="00D86421">
            <w:pPr>
              <w:jc w:val="center"/>
              <w:rPr>
                <w:rFonts w:ascii="David" w:hAnsi="David"/>
                <w:b/>
                <w:bCs/>
                <w:sz w:val="32"/>
                <w:szCs w:val="32"/>
                <w:u w:val="single"/>
                <w:rtl/>
              </w:rPr>
            </w:pPr>
            <w:bookmarkStart w:id="4" w:name="PsakDin" w:colFirst="0" w:colLast="0"/>
            <w:bookmarkEnd w:id="0"/>
            <w:r w:rsidRPr="00D86421">
              <w:rPr>
                <w:rFonts w:ascii="David" w:hAnsi="David"/>
                <w:b/>
                <w:bCs/>
                <w:sz w:val="32"/>
                <w:szCs w:val="32"/>
                <w:u w:val="single"/>
                <w:rtl/>
              </w:rPr>
              <w:t>גזר דין</w:t>
            </w:r>
          </w:p>
          <w:p w14:paraId="2774FC1E" w14:textId="77777777" w:rsidR="0076340B" w:rsidRPr="00D86421" w:rsidRDefault="0076340B" w:rsidP="00D86421">
            <w:pPr>
              <w:jc w:val="center"/>
              <w:rPr>
                <w:rFonts w:ascii="David" w:hAnsi="David"/>
                <w:bCs/>
                <w:sz w:val="32"/>
                <w:szCs w:val="32"/>
                <w:u w:val="single"/>
                <w:rtl/>
              </w:rPr>
            </w:pPr>
          </w:p>
        </w:tc>
      </w:tr>
      <w:bookmarkEnd w:id="4"/>
    </w:tbl>
    <w:p w14:paraId="5E41314A" w14:textId="77777777" w:rsidR="0076340B" w:rsidRPr="000F2247" w:rsidRDefault="0076340B" w:rsidP="0076340B">
      <w:pPr>
        <w:rPr>
          <w:rFonts w:ascii="Arial" w:hAnsi="Arial"/>
          <w:b/>
          <w:bCs/>
          <w:sz w:val="26"/>
          <w:szCs w:val="26"/>
          <w:rtl/>
        </w:rPr>
      </w:pPr>
    </w:p>
    <w:p w14:paraId="060CD960" w14:textId="77777777" w:rsidR="0076340B" w:rsidRPr="008225CB" w:rsidRDefault="0076340B" w:rsidP="0076340B">
      <w:pPr>
        <w:jc w:val="both"/>
        <w:rPr>
          <w:rFonts w:ascii="David" w:hAnsi="David"/>
          <w:u w:val="single"/>
        </w:rPr>
      </w:pPr>
      <w:r w:rsidRPr="008225CB">
        <w:rPr>
          <w:rFonts w:ascii="David" w:hAnsi="David"/>
          <w:u w:val="single"/>
          <w:rtl/>
        </w:rPr>
        <w:t>רקע עובדתי</w:t>
      </w:r>
    </w:p>
    <w:p w14:paraId="35FBE429" w14:textId="77777777" w:rsidR="0076340B" w:rsidRDefault="0076340B" w:rsidP="0076340B">
      <w:pPr>
        <w:pStyle w:val="a"/>
        <w:numPr>
          <w:ilvl w:val="0"/>
          <w:numId w:val="0"/>
        </w:numPr>
        <w:tabs>
          <w:tab w:val="left" w:pos="720"/>
        </w:tabs>
        <w:ind w:left="360"/>
        <w:jc w:val="both"/>
      </w:pPr>
    </w:p>
    <w:p w14:paraId="1B6CB9C9" w14:textId="77777777" w:rsidR="0076340B" w:rsidRDefault="0076340B" w:rsidP="0076340B">
      <w:pPr>
        <w:pStyle w:val="a"/>
        <w:numPr>
          <w:ilvl w:val="0"/>
          <w:numId w:val="2"/>
        </w:numPr>
        <w:tabs>
          <w:tab w:val="left" w:pos="720"/>
        </w:tabs>
        <w:jc w:val="both"/>
        <w:rPr>
          <w:rtl/>
        </w:rPr>
      </w:pPr>
      <w:bookmarkStart w:id="5" w:name="ABSTRACT_START"/>
      <w:bookmarkEnd w:id="5"/>
      <w:r>
        <w:rPr>
          <w:rFonts w:hint="cs"/>
          <w:rtl/>
        </w:rPr>
        <w:t xml:space="preserve">הנאשם הורשע על יסוד הודאתו בהחזקת סמים שלא לצריכה עצמית, עבירה לפי </w:t>
      </w:r>
      <w:hyperlink r:id="rId15" w:history="1">
        <w:r w:rsidR="00F47DCD" w:rsidRPr="00F47DCD">
          <w:rPr>
            <w:rStyle w:val="Hyperlink"/>
            <w:rFonts w:hint="eastAsia"/>
            <w:color w:val="0000FF"/>
            <w:rtl/>
          </w:rPr>
          <w:t>סעיף</w:t>
        </w:r>
        <w:r w:rsidR="00F47DCD" w:rsidRPr="00F47DCD">
          <w:rPr>
            <w:rStyle w:val="Hyperlink"/>
            <w:color w:val="0000FF"/>
            <w:rtl/>
          </w:rPr>
          <w:t xml:space="preserve"> 7(א)</w:t>
        </w:r>
      </w:hyperlink>
      <w:r>
        <w:rPr>
          <w:rFonts w:hint="cs"/>
          <w:rtl/>
        </w:rPr>
        <w:t xml:space="preserve"> ו- </w:t>
      </w:r>
      <w:hyperlink r:id="rId16" w:history="1">
        <w:r w:rsidR="00F47DCD" w:rsidRPr="00F47DCD">
          <w:rPr>
            <w:rStyle w:val="Hyperlink"/>
            <w:color w:val="0000FF"/>
            <w:rtl/>
          </w:rPr>
          <w:t>7(ג)</w:t>
        </w:r>
      </w:hyperlink>
      <w:r>
        <w:rPr>
          <w:rFonts w:hint="cs"/>
          <w:rtl/>
        </w:rPr>
        <w:t xml:space="preserve"> רישא ל</w:t>
      </w:r>
      <w:hyperlink r:id="rId17" w:history="1">
        <w:r w:rsidR="00D86421" w:rsidRPr="00D86421">
          <w:rPr>
            <w:color w:val="0000FF"/>
            <w:u w:val="single"/>
            <w:rtl/>
          </w:rPr>
          <w:t>פקודת הסמים המסוכנים</w:t>
        </w:r>
      </w:hyperlink>
      <w:r>
        <w:rPr>
          <w:rFonts w:hint="cs"/>
          <w:rtl/>
        </w:rPr>
        <w:t xml:space="preserve"> (נוסח חדש), תשל"ג-1973. לפי עובדות כתב האישום,  ביום 29.7.2024, נתפסו בבית הנאשם 14 גרם קוקאין, משקל דיגיטלי ושקיות חלוקה.</w:t>
      </w:r>
    </w:p>
    <w:p w14:paraId="35201309" w14:textId="77777777" w:rsidR="0076340B" w:rsidRDefault="0076340B" w:rsidP="0076340B">
      <w:pPr>
        <w:pStyle w:val="a"/>
        <w:numPr>
          <w:ilvl w:val="0"/>
          <w:numId w:val="0"/>
        </w:numPr>
        <w:tabs>
          <w:tab w:val="left" w:pos="720"/>
        </w:tabs>
        <w:jc w:val="both"/>
        <w:rPr>
          <w:u w:val="single"/>
          <w:rtl/>
        </w:rPr>
      </w:pPr>
    </w:p>
    <w:p w14:paraId="2A8710E5" w14:textId="77777777" w:rsidR="0076340B" w:rsidRDefault="0076340B" w:rsidP="0076340B">
      <w:pPr>
        <w:pStyle w:val="a"/>
        <w:numPr>
          <w:ilvl w:val="0"/>
          <w:numId w:val="0"/>
        </w:numPr>
        <w:tabs>
          <w:tab w:val="left" w:pos="720"/>
        </w:tabs>
        <w:jc w:val="both"/>
      </w:pPr>
      <w:bookmarkStart w:id="6" w:name="ABSTRACT_END"/>
      <w:bookmarkEnd w:id="6"/>
      <w:r>
        <w:rPr>
          <w:rFonts w:hint="cs"/>
          <w:u w:val="single"/>
          <w:rtl/>
        </w:rPr>
        <w:t>טיעונים לעונש</w:t>
      </w:r>
    </w:p>
    <w:p w14:paraId="1A9FE5C1" w14:textId="77777777" w:rsidR="0076340B" w:rsidRDefault="0076340B" w:rsidP="0076340B">
      <w:pPr>
        <w:pStyle w:val="a"/>
        <w:numPr>
          <w:ilvl w:val="0"/>
          <w:numId w:val="2"/>
        </w:numPr>
        <w:tabs>
          <w:tab w:val="left" w:pos="720"/>
        </w:tabs>
        <w:jc w:val="both"/>
      </w:pPr>
      <w:r>
        <w:rPr>
          <w:rFonts w:hint="cs"/>
          <w:rtl/>
        </w:rPr>
        <w:t xml:space="preserve">התביעה בטיעונה לעונש הדגישה את כמות הסם וסוגו ובהתבסס על פסיקה אליה הופניתי עתרה לקבוע מתחם ענישה הנע בין 15 ל- 30 חודשי מאסר. המאשימה ציינה את עברו של הנאשם הכולל חמש הרשעות קודמות, ארבע מהן בעבירות סמים. כמו כן הודגשה העובדה שהנאשם ביצע את העבירה בעודו מרצה עבודות שירות בשל הרשעה בסחר בסמים, ונטען כי הדבר מלמד על זלזול בחוק ובהזדמנות שניתנה לו. בהתבסס על האמור עתרה המאשימה לגזור </w:t>
      </w:r>
      <w:r>
        <w:rPr>
          <w:rFonts w:hint="cs"/>
          <w:rtl/>
        </w:rPr>
        <w:lastRenderedPageBreak/>
        <w:t>על הנאשם 22 חודשי מאסר בפועל, ובנוסף להפעיל במצטבר מאסרים מותנים, כך שבסך הכל יוטלו על הנאשם 28 חודשי מאסר בפועל לצד רכיבים נלווים, לרבות קנס בגובה 10,000 ש"ח.</w:t>
      </w:r>
    </w:p>
    <w:p w14:paraId="033DD850" w14:textId="77777777" w:rsidR="0076340B" w:rsidRDefault="0076340B" w:rsidP="0076340B">
      <w:pPr>
        <w:pStyle w:val="a"/>
        <w:numPr>
          <w:ilvl w:val="0"/>
          <w:numId w:val="2"/>
        </w:numPr>
        <w:tabs>
          <w:tab w:val="left" w:pos="720"/>
        </w:tabs>
        <w:jc w:val="both"/>
      </w:pPr>
      <w:r>
        <w:rPr>
          <w:rFonts w:hint="cs"/>
          <w:rtl/>
        </w:rPr>
        <w:t xml:space="preserve">ההגנה טענה כי העונש לו עותרת המאשימה אינו מידתי. הודגשו נסיבותיו האישיות והמשברים שחווה בשנים האחרונות, והודגש שעבירות הסמים הקודמות שלו בוצעו לפני שנת 2019, קרי הנאשם הצליח לקיים אורח חיים נורמטיבי במשך מספר שנים. נטען כי כמות הסמים אינה גדולה ולפיכך הפגיעה בערכים המוגנים אינה ברף גבוה. ההגנה טענה שמתחם העונש ההולם נע בין 7 ל-14 חודשי מאסר בפועל ועתרה לגזור עונש בתחתית המתחם. </w:t>
      </w:r>
    </w:p>
    <w:p w14:paraId="76A01534" w14:textId="77777777" w:rsidR="0076340B" w:rsidRDefault="0076340B" w:rsidP="0076340B">
      <w:pPr>
        <w:pStyle w:val="a"/>
        <w:numPr>
          <w:ilvl w:val="0"/>
          <w:numId w:val="2"/>
        </w:numPr>
        <w:tabs>
          <w:tab w:val="left" w:pos="720"/>
        </w:tabs>
        <w:jc w:val="both"/>
      </w:pPr>
      <w:r>
        <w:rPr>
          <w:rFonts w:hint="cs"/>
          <w:rtl/>
        </w:rPr>
        <w:t>מחלוקת נוספת בין הצדדים נוגעת לסוגיית הפעלת המאסרים המותנים מתיקו הפלילי הקודם של הנאשם (</w:t>
      </w:r>
      <w:hyperlink r:id="rId18" w:history="1">
        <w:r w:rsidR="00D86421" w:rsidRPr="00D86421">
          <w:rPr>
            <w:color w:val="0000FF"/>
            <w:u w:val="single"/>
            <w:rtl/>
          </w:rPr>
          <w:t>ת"פ (רמלה) 35970-06-20</w:t>
        </w:r>
      </w:hyperlink>
      <w:r>
        <w:rPr>
          <w:rFonts w:hint="cs"/>
          <w:rtl/>
        </w:rPr>
        <w:t xml:space="preserve">, גז"ד של כב' השופטת א' אורן מיום 21.4.2024). אתייחס לסוגיה זו בפרק הדיון, להלן. </w:t>
      </w:r>
    </w:p>
    <w:p w14:paraId="765A692C" w14:textId="77777777" w:rsidR="0076340B" w:rsidRDefault="0076340B" w:rsidP="0076340B">
      <w:pPr>
        <w:pStyle w:val="a"/>
        <w:numPr>
          <w:ilvl w:val="0"/>
          <w:numId w:val="2"/>
        </w:numPr>
        <w:tabs>
          <w:tab w:val="left" w:pos="720"/>
        </w:tabs>
        <w:jc w:val="both"/>
      </w:pPr>
      <w:r>
        <w:rPr>
          <w:rFonts w:hint="cs"/>
          <w:rtl/>
        </w:rPr>
        <w:t xml:space="preserve">הנאשם בדברו האחרון מסר כי במשך 5 שנים לא השתמש בסם, והלחץ הנפשי בו היה מצוי הוביל אותו לשימוש בסם. </w:t>
      </w:r>
    </w:p>
    <w:p w14:paraId="0581A284" w14:textId="77777777" w:rsidR="0076340B" w:rsidRDefault="0076340B" w:rsidP="0076340B">
      <w:pPr>
        <w:pStyle w:val="a"/>
        <w:numPr>
          <w:ilvl w:val="0"/>
          <w:numId w:val="2"/>
        </w:numPr>
        <w:tabs>
          <w:tab w:val="left" w:pos="720"/>
        </w:tabs>
        <w:jc w:val="both"/>
      </w:pPr>
      <w:r>
        <w:rPr>
          <w:rFonts w:hint="cs"/>
          <w:rtl/>
        </w:rPr>
        <w:t>לאחר שמיעת הטיעונים לעונש התקבל לבקשת ההגנה עדכון משב"ס, לפיו הנאשם שולב בהליך טיפולי לגמילה מסמים בבית המעצר. נמסר כי  הנאשם משתף פעולה באופן מלא, וכי שילובו במסגרת הטיפולית הגבירו אצלו את המוטיבציה להמשך טיפול והעמקה.</w:t>
      </w:r>
    </w:p>
    <w:p w14:paraId="59445A39" w14:textId="77777777" w:rsidR="0076340B" w:rsidRDefault="0076340B" w:rsidP="0076340B">
      <w:pPr>
        <w:pStyle w:val="a"/>
        <w:numPr>
          <w:ilvl w:val="0"/>
          <w:numId w:val="0"/>
        </w:numPr>
        <w:tabs>
          <w:tab w:val="left" w:pos="720"/>
        </w:tabs>
        <w:jc w:val="both"/>
        <w:rPr>
          <w:u w:val="single"/>
          <w:rtl/>
        </w:rPr>
      </w:pPr>
    </w:p>
    <w:p w14:paraId="2E46265B" w14:textId="77777777" w:rsidR="0076340B" w:rsidRDefault="0076340B" w:rsidP="0076340B">
      <w:pPr>
        <w:pStyle w:val="a"/>
        <w:numPr>
          <w:ilvl w:val="0"/>
          <w:numId w:val="0"/>
        </w:numPr>
        <w:tabs>
          <w:tab w:val="left" w:pos="720"/>
        </w:tabs>
        <w:jc w:val="both"/>
      </w:pPr>
      <w:r>
        <w:rPr>
          <w:rFonts w:hint="cs"/>
          <w:u w:val="single"/>
          <w:rtl/>
        </w:rPr>
        <w:t>דיון והכרעה</w:t>
      </w:r>
    </w:p>
    <w:p w14:paraId="543A4F3E" w14:textId="77777777" w:rsidR="0076340B" w:rsidRDefault="0076340B" w:rsidP="0076340B">
      <w:pPr>
        <w:pStyle w:val="a"/>
        <w:numPr>
          <w:ilvl w:val="0"/>
          <w:numId w:val="2"/>
        </w:numPr>
        <w:tabs>
          <w:tab w:val="left" w:pos="720"/>
        </w:tabs>
        <w:jc w:val="both"/>
      </w:pPr>
      <w:r>
        <w:rPr>
          <w:rFonts w:hint="cs"/>
          <w:rtl/>
        </w:rPr>
        <w:t>בהתאם להוראות החוק, מתחם העונש יעוצב בהתאם לעיקרון המנחה – הלימה, תוך התחשבות</w:t>
      </w:r>
      <w:r w:rsidR="00D86421">
        <w:rPr>
          <w:rFonts w:hint="cs"/>
          <w:rtl/>
        </w:rPr>
        <w:t xml:space="preserve"> </w:t>
      </w:r>
      <w:r>
        <w:rPr>
          <w:rStyle w:val="default"/>
          <w:rFonts w:hint="cs"/>
          <w:rtl/>
        </w:rPr>
        <w:t>בערכים החברתיים שנפגעו מביצוע העבירה, במידת הפגיעה בו, במדיניות הענישה הנהוגה ובנסיבות הקשורות בביצוע העבירה</w:t>
      </w:r>
      <w:r>
        <w:rPr>
          <w:rStyle w:val="default"/>
        </w:rPr>
        <w:t>.</w:t>
      </w:r>
      <w:r>
        <w:rPr>
          <w:rtl/>
        </w:rPr>
        <w:t xml:space="preserve"> </w:t>
      </w:r>
    </w:p>
    <w:p w14:paraId="5BFEE3B9" w14:textId="77777777" w:rsidR="0076340B" w:rsidRDefault="0076340B" w:rsidP="0076340B">
      <w:pPr>
        <w:pStyle w:val="a"/>
        <w:numPr>
          <w:ilvl w:val="0"/>
          <w:numId w:val="2"/>
        </w:numPr>
        <w:tabs>
          <w:tab w:val="left" w:pos="720"/>
        </w:tabs>
        <w:jc w:val="both"/>
      </w:pPr>
      <w:r>
        <w:rPr>
          <w:rFonts w:hint="cs"/>
          <w:rtl/>
        </w:rPr>
        <w:t>הנאשם פגע במעשיו בערכים המוגנים על ידי פקודת הסמים - שלום הציבור ובריאותו. בית המשפט העליון התייחס לא אחת למלחמה בנגע הסמים כמחייבת מתן משקל בכורה לשיקולי הלימה והרתעה בשלב הענישה. כך, למשל, ב</w:t>
      </w:r>
      <w:hyperlink r:id="rId19" w:history="1">
        <w:r w:rsidR="00D86421" w:rsidRPr="00D86421">
          <w:rPr>
            <w:color w:val="0000FF"/>
            <w:u w:val="single"/>
            <w:rtl/>
          </w:rPr>
          <w:t>ע"פ 9482/09</w:t>
        </w:r>
      </w:hyperlink>
      <w:r>
        <w:rPr>
          <w:rFonts w:hint="cs"/>
          <w:rtl/>
        </w:rPr>
        <w:t xml:space="preserve"> </w:t>
      </w:r>
      <w:r w:rsidRPr="00301991">
        <w:rPr>
          <w:rFonts w:hint="cs"/>
          <w:b/>
          <w:bCs/>
          <w:rtl/>
        </w:rPr>
        <w:t>ביטון נ' מדינת ישראל</w:t>
      </w:r>
      <w:r>
        <w:rPr>
          <w:rFonts w:hint="cs"/>
          <w:rtl/>
        </w:rPr>
        <w:t xml:space="preserve"> (24.7.2011):</w:t>
      </w:r>
    </w:p>
    <w:p w14:paraId="5C73271E" w14:textId="77777777" w:rsidR="0076340B" w:rsidRPr="00301991" w:rsidRDefault="0076340B" w:rsidP="0076340B">
      <w:pPr>
        <w:pStyle w:val="a"/>
        <w:numPr>
          <w:ilvl w:val="0"/>
          <w:numId w:val="0"/>
        </w:numPr>
        <w:tabs>
          <w:tab w:val="left" w:pos="720"/>
        </w:tabs>
        <w:spacing w:line="240" w:lineRule="auto"/>
        <w:ind w:left="1440" w:right="1560"/>
        <w:jc w:val="both"/>
        <w:rPr>
          <w:rtl/>
        </w:rPr>
      </w:pPr>
      <w:r w:rsidRPr="00301991">
        <w:rPr>
          <w:b/>
          <w:bCs/>
          <w:sz w:val="22"/>
          <w:szCs w:val="22"/>
        </w:rPr>
        <w:t>"</w:t>
      </w:r>
      <w:r w:rsidRPr="00301991">
        <w:rPr>
          <w:b/>
          <w:bCs/>
          <w:sz w:val="22"/>
          <w:szCs w:val="22"/>
          <w:rtl/>
        </w:rPr>
        <w:t xml:space="preserve">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r>
        <w:rPr>
          <w:rFonts w:hint="cs"/>
          <w:b/>
          <w:bCs/>
          <w:sz w:val="22"/>
          <w:szCs w:val="22"/>
          <w:rtl/>
        </w:rPr>
        <w:t>'</w:t>
      </w:r>
      <w:r w:rsidRPr="00301991">
        <w:rPr>
          <w:b/>
          <w:bCs/>
          <w:sz w:val="22"/>
          <w:szCs w:val="22"/>
          <w:rtl/>
        </w:rPr>
        <w:t>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w:t>
      </w:r>
      <w:r w:rsidRPr="00301991">
        <w:rPr>
          <w:rFonts w:hint="cs"/>
          <w:b/>
          <w:bCs/>
          <w:sz w:val="22"/>
          <w:szCs w:val="22"/>
          <w:rtl/>
        </w:rPr>
        <w:t>ם</w:t>
      </w:r>
      <w:r>
        <w:rPr>
          <w:rFonts w:hint="cs"/>
          <w:b/>
          <w:bCs/>
          <w:sz w:val="22"/>
          <w:szCs w:val="22"/>
          <w:rtl/>
        </w:rPr>
        <w:t>'...</w:t>
      </w:r>
      <w:r w:rsidRPr="00301991">
        <w:rPr>
          <w:rFonts w:hint="cs"/>
          <w:b/>
          <w:bCs/>
          <w:sz w:val="22"/>
          <w:szCs w:val="22"/>
          <w:rtl/>
        </w:rPr>
        <w:t>".</w:t>
      </w:r>
    </w:p>
    <w:p w14:paraId="48B08DDA" w14:textId="77777777" w:rsidR="0076340B" w:rsidRDefault="0076340B" w:rsidP="0076340B">
      <w:pPr>
        <w:pStyle w:val="a"/>
        <w:numPr>
          <w:ilvl w:val="0"/>
          <w:numId w:val="2"/>
        </w:numPr>
        <w:tabs>
          <w:tab w:val="left" w:pos="720"/>
        </w:tabs>
        <w:jc w:val="both"/>
      </w:pPr>
      <w:r>
        <w:rPr>
          <w:rFonts w:hint="cs"/>
          <w:rtl/>
        </w:rPr>
        <w:t xml:space="preserve">מידת הפגיעה בערכים המוגנים משמעותית, בהינתן הכמות הכוללת של הסמים בהם החזיק הנאשם – 14 גרם נטו, סוג הסם – קוקאין, הנמנה על הסמים הקשים, וכן האביזרים </w:t>
      </w:r>
      <w:r>
        <w:rPr>
          <w:rFonts w:hint="cs"/>
          <w:rtl/>
        </w:rPr>
        <w:lastRenderedPageBreak/>
        <w:t xml:space="preserve">הנלווים שנתפסו (המשקל הדיגיטלי ושקיות החלוקה) המלמדים שהנאשם מעורב עמוקות בעבריינות סמים. </w:t>
      </w:r>
    </w:p>
    <w:p w14:paraId="383EC9E0" w14:textId="77777777" w:rsidR="0076340B" w:rsidRDefault="0076340B" w:rsidP="0076340B">
      <w:pPr>
        <w:pStyle w:val="a"/>
        <w:numPr>
          <w:ilvl w:val="0"/>
          <w:numId w:val="2"/>
        </w:numPr>
        <w:tabs>
          <w:tab w:val="left" w:pos="720"/>
        </w:tabs>
        <w:jc w:val="both"/>
      </w:pPr>
      <w:r>
        <w:rPr>
          <w:rFonts w:hint="cs"/>
          <w:rtl/>
        </w:rPr>
        <w:t xml:space="preserve">מדיניות הענישה הנהוגה בעבירות החזקת סמים שלא לצריכה עצמית נקבעת בעיקרה לפי כמות הסם וסוגו ונסיבות ההחזקה. כאשר מדובר בהחזקה של סם קשה-אבקתי בסדר גודל של 10 עד 15 גרם, כוללים מתחמי הענישה עונשי מאסר בפועל גם ברף התחתון של המתחם. </w:t>
      </w:r>
    </w:p>
    <w:p w14:paraId="5BD35C82" w14:textId="77777777" w:rsidR="0076340B" w:rsidRDefault="0076340B" w:rsidP="0076340B">
      <w:pPr>
        <w:pStyle w:val="a"/>
        <w:numPr>
          <w:ilvl w:val="0"/>
          <w:numId w:val="0"/>
        </w:numPr>
        <w:tabs>
          <w:tab w:val="left" w:pos="720"/>
        </w:tabs>
        <w:ind w:left="360"/>
        <w:jc w:val="both"/>
      </w:pPr>
      <w:r>
        <w:rPr>
          <w:rFonts w:hint="cs"/>
          <w:rtl/>
        </w:rPr>
        <w:t>להלן מספר דוגמאות בלתי ממצות לכך:</w:t>
      </w:r>
    </w:p>
    <w:p w14:paraId="5690C1AA" w14:textId="77777777" w:rsidR="0076340B" w:rsidRDefault="00D86421" w:rsidP="0076340B">
      <w:pPr>
        <w:pStyle w:val="a"/>
        <w:numPr>
          <w:ilvl w:val="0"/>
          <w:numId w:val="4"/>
        </w:numPr>
        <w:tabs>
          <w:tab w:val="left" w:pos="720"/>
        </w:tabs>
        <w:jc w:val="both"/>
      </w:pPr>
      <w:hyperlink r:id="rId20" w:history="1">
        <w:r w:rsidRPr="00D86421">
          <w:rPr>
            <w:color w:val="0000FF"/>
            <w:u w:val="single"/>
            <w:rtl/>
          </w:rPr>
          <w:t>רע"פ 2986/21</w:t>
        </w:r>
      </w:hyperlink>
      <w:r w:rsidR="0076340B">
        <w:rPr>
          <w:rFonts w:hint="cs"/>
          <w:rtl/>
        </w:rPr>
        <w:t xml:space="preserve"> </w:t>
      </w:r>
      <w:r w:rsidR="0076340B">
        <w:rPr>
          <w:rFonts w:hint="cs"/>
          <w:b/>
          <w:bCs/>
          <w:rtl/>
        </w:rPr>
        <w:t>עיסאוי נ' מדינת ישראל</w:t>
      </w:r>
      <w:r w:rsidR="0076340B">
        <w:rPr>
          <w:rFonts w:hint="cs"/>
          <w:rtl/>
        </w:rPr>
        <w:t xml:space="preserve"> (פורסם בנבו, 10.5.2021) – הודה והורשע בהחזקת סם מסוג הרואין במשקל 11.66 גרם. </w:t>
      </w:r>
      <w:r w:rsidR="0076340B">
        <w:rPr>
          <w:rFonts w:hint="cs"/>
          <w:u w:val="single"/>
          <w:rtl/>
        </w:rPr>
        <w:t>המתחם שנקבע נע בין מספר חודשי מאסר בפועל הניתנים לריצוי בדרך של עבודות שירות ועד 18 חודשי מאסר בפועל</w:t>
      </w:r>
      <w:r w:rsidR="0076340B">
        <w:rPr>
          <w:rFonts w:hint="cs"/>
          <w:rtl/>
        </w:rPr>
        <w:t>. נלקחו בחשבון הודאתו, הבע חרטה, נסיבות חייו, ניקיונו מסמים והתסקירים החיוביים בעניינו. העונש הסופי: 9 חודשי מאסר שירוצו בעבודות שירות.</w:t>
      </w:r>
    </w:p>
    <w:p w14:paraId="0A6279D1" w14:textId="77777777" w:rsidR="0076340B" w:rsidRDefault="00D86421" w:rsidP="0076340B">
      <w:pPr>
        <w:pStyle w:val="a"/>
        <w:numPr>
          <w:ilvl w:val="0"/>
          <w:numId w:val="4"/>
        </w:numPr>
        <w:tabs>
          <w:tab w:val="left" w:pos="720"/>
        </w:tabs>
        <w:jc w:val="both"/>
      </w:pPr>
      <w:hyperlink r:id="rId21" w:history="1">
        <w:r w:rsidRPr="00D86421">
          <w:rPr>
            <w:color w:val="0000FF"/>
            <w:u w:val="single"/>
            <w:rtl/>
          </w:rPr>
          <w:t>רע"פ 1122/17</w:t>
        </w:r>
      </w:hyperlink>
      <w:r w:rsidR="0076340B" w:rsidRPr="007E3A13">
        <w:rPr>
          <w:rFonts w:hint="cs"/>
          <w:rtl/>
        </w:rPr>
        <w:t xml:space="preserve"> </w:t>
      </w:r>
      <w:r w:rsidR="0076340B" w:rsidRPr="00767E17">
        <w:rPr>
          <w:b/>
          <w:bCs/>
          <w:rtl/>
        </w:rPr>
        <w:t>גולדשטיין נ' מדינת ישראל</w:t>
      </w:r>
      <w:r>
        <w:rPr>
          <w:b/>
          <w:bCs/>
          <w:rtl/>
        </w:rPr>
        <w:t xml:space="preserve"> </w:t>
      </w:r>
      <w:r w:rsidR="0076340B" w:rsidRPr="007E3A13">
        <w:rPr>
          <w:rtl/>
        </w:rPr>
        <w:t>(2017)</w:t>
      </w:r>
      <w:r w:rsidR="0076340B" w:rsidRPr="007E3A13">
        <w:rPr>
          <w:rFonts w:hint="cs"/>
          <w:rtl/>
        </w:rPr>
        <w:t xml:space="preserve"> </w:t>
      </w:r>
      <w:r w:rsidR="0076340B" w:rsidRPr="007E3A13">
        <w:rPr>
          <w:rtl/>
        </w:rPr>
        <w:t>–</w:t>
      </w:r>
      <w:r w:rsidR="0076340B" w:rsidRPr="007E3A13">
        <w:rPr>
          <w:rFonts w:hint="cs"/>
          <w:rtl/>
        </w:rPr>
        <w:t xml:space="preserve"> החזקת כ-18 גרם קוקאין, ומספר יחידות </w:t>
      </w:r>
      <w:r w:rsidR="0076340B" w:rsidRPr="007E3A13">
        <w:rPr>
          <w:rFonts w:hint="cs"/>
        </w:rPr>
        <w:t>MDMA</w:t>
      </w:r>
      <w:r w:rsidR="0076340B" w:rsidRPr="007E3A13">
        <w:rPr>
          <w:rFonts w:hint="cs"/>
          <w:rtl/>
        </w:rPr>
        <w:t xml:space="preserve">. </w:t>
      </w:r>
      <w:r w:rsidR="0076340B" w:rsidRPr="007E3A13">
        <w:rPr>
          <w:rtl/>
        </w:rPr>
        <w:t xml:space="preserve">נקבע </w:t>
      </w:r>
      <w:r w:rsidR="0076340B" w:rsidRPr="007E3A13">
        <w:rPr>
          <w:rFonts w:hint="cs"/>
          <w:rtl/>
        </w:rPr>
        <w:t xml:space="preserve">(בשלב הערעור בבית המשפט המחוזי) </w:t>
      </w:r>
      <w:r w:rsidR="0076340B" w:rsidRPr="007E3A13">
        <w:rPr>
          <w:rtl/>
        </w:rPr>
        <w:t>מתחם של 10 עד 24 חודשי מאסר.</w:t>
      </w:r>
    </w:p>
    <w:p w14:paraId="7EE7FF58" w14:textId="77777777" w:rsidR="0076340B" w:rsidRDefault="00D86421" w:rsidP="0076340B">
      <w:pPr>
        <w:pStyle w:val="a"/>
        <w:numPr>
          <w:ilvl w:val="0"/>
          <w:numId w:val="4"/>
        </w:numPr>
        <w:tabs>
          <w:tab w:val="left" w:pos="720"/>
        </w:tabs>
        <w:jc w:val="both"/>
      </w:pPr>
      <w:hyperlink r:id="rId22" w:history="1">
        <w:r w:rsidRPr="00D86421">
          <w:rPr>
            <w:color w:val="0000FF"/>
            <w:u w:val="single"/>
            <w:rtl/>
          </w:rPr>
          <w:t>עפ"ג (מרכז) 65932-01-20</w:t>
        </w:r>
      </w:hyperlink>
      <w:r w:rsidR="0076340B">
        <w:rPr>
          <w:rFonts w:hint="cs"/>
          <w:rtl/>
        </w:rPr>
        <w:t xml:space="preserve"> </w:t>
      </w:r>
      <w:r w:rsidR="0076340B" w:rsidRPr="00767E17">
        <w:rPr>
          <w:rFonts w:hint="cs"/>
          <w:b/>
          <w:bCs/>
          <w:rtl/>
        </w:rPr>
        <w:t>מדינת ישראל נ' לולו</w:t>
      </w:r>
      <w:r w:rsidR="0076340B">
        <w:rPr>
          <w:rFonts w:hint="cs"/>
          <w:rtl/>
        </w:rPr>
        <w:t xml:space="preserve"> (16.6.2020) - הנאשם הורשע בשתי עבירות של החזקת סמים שלא לצריכה עצמית. באחת העבירות, הרלוונטית לענייננו, החזיק קוקאין במשקל של 15.83 גרם נטו, יחד עם משקל דיגיטלי. </w:t>
      </w:r>
      <w:r w:rsidR="0076340B" w:rsidRPr="00767E17">
        <w:rPr>
          <w:rFonts w:hint="cs"/>
          <w:u w:val="single"/>
          <w:rtl/>
        </w:rPr>
        <w:t>נקבע מתחם בין 9 ל-18 חודשי מאסר</w:t>
      </w:r>
      <w:r w:rsidR="0076340B" w:rsidRPr="007E3A13">
        <w:rPr>
          <w:rFonts w:hint="cs"/>
          <w:rtl/>
        </w:rPr>
        <w:t xml:space="preserve">. יצויין כי ערכאת הערעור התערבה במקרה זה בתוצאה העונשית, אך לא במתחמי הענישה. </w:t>
      </w:r>
    </w:p>
    <w:p w14:paraId="253BCA8E" w14:textId="77777777" w:rsidR="0076340B" w:rsidRDefault="00D86421" w:rsidP="0076340B">
      <w:pPr>
        <w:pStyle w:val="a"/>
        <w:numPr>
          <w:ilvl w:val="0"/>
          <w:numId w:val="4"/>
        </w:numPr>
        <w:tabs>
          <w:tab w:val="left" w:pos="720"/>
        </w:tabs>
        <w:jc w:val="both"/>
      </w:pPr>
      <w:hyperlink r:id="rId23" w:history="1">
        <w:r w:rsidRPr="00D86421">
          <w:rPr>
            <w:color w:val="0000FF"/>
            <w:u w:val="single"/>
            <w:rtl/>
          </w:rPr>
          <w:t>ת"פ (רמלה) 45160-04-24</w:t>
        </w:r>
      </w:hyperlink>
      <w:r w:rsidR="0076340B">
        <w:rPr>
          <w:rFonts w:hint="cs"/>
          <w:rtl/>
        </w:rPr>
        <w:t xml:space="preserve"> </w:t>
      </w:r>
      <w:r w:rsidR="0076340B" w:rsidRPr="00767E17">
        <w:rPr>
          <w:rFonts w:hint="cs"/>
          <w:b/>
          <w:bCs/>
          <w:rtl/>
        </w:rPr>
        <w:t>מדינת ישראל נ' בן שטרית</w:t>
      </w:r>
      <w:r w:rsidR="0076340B">
        <w:rPr>
          <w:rFonts w:hint="cs"/>
          <w:rtl/>
        </w:rPr>
        <w:t xml:space="preserve"> (6.11.2024) – הנאשם הודה והורשע בהחזקת סם שלא לצריכה עצמית. נתפס כשבכיס מכנסיו סם מסוג קוקאין במשקל 15 גרם מחולק ל-4 שקיות וסם מסוכן מסוג קטמין במשקל 1 גרם וכן נתפסו ברכבו שלושה משקלים דיגיטליים. </w:t>
      </w:r>
      <w:r w:rsidR="0076340B" w:rsidRPr="00767E17">
        <w:rPr>
          <w:rFonts w:hint="cs"/>
          <w:u w:val="single"/>
          <w:rtl/>
        </w:rPr>
        <w:t>נקבע מתחם ענישה שנע בין 8 ועד 18 חודשי מאסר</w:t>
      </w:r>
      <w:r w:rsidR="0076340B">
        <w:rPr>
          <w:rFonts w:hint="cs"/>
          <w:rtl/>
        </w:rPr>
        <w:t xml:space="preserve"> בפועל וענישה נלווית. נגזרו עליו 13 חודשי מאסר בפועל.</w:t>
      </w:r>
    </w:p>
    <w:p w14:paraId="01D67F88" w14:textId="77777777" w:rsidR="0076340B" w:rsidRPr="007E3A13" w:rsidRDefault="0076340B" w:rsidP="0076340B">
      <w:pPr>
        <w:pStyle w:val="a"/>
        <w:numPr>
          <w:ilvl w:val="0"/>
          <w:numId w:val="2"/>
        </w:numPr>
        <w:tabs>
          <w:tab w:val="left" w:pos="720"/>
        </w:tabs>
        <w:jc w:val="both"/>
        <w:rPr>
          <w:color w:val="auto"/>
        </w:rPr>
      </w:pPr>
      <w:r w:rsidRPr="007E3A13">
        <w:rPr>
          <w:rFonts w:hint="cs"/>
          <w:color w:val="auto"/>
          <w:rtl/>
        </w:rPr>
        <w:t>הרף התחתון של מתחם הענישה לו עתרה המאשימה תואם יותר עבירות של החזקת קוקאין בכמות גדולה יותר</w:t>
      </w:r>
      <w:r>
        <w:rPr>
          <w:rFonts w:hint="cs"/>
          <w:color w:val="auto"/>
          <w:rtl/>
        </w:rPr>
        <w:t>,</w:t>
      </w:r>
      <w:r w:rsidRPr="007E3A13">
        <w:rPr>
          <w:rFonts w:hint="cs"/>
          <w:color w:val="auto"/>
          <w:rtl/>
        </w:rPr>
        <w:t xml:space="preserve"> של עשרות גרמים</w:t>
      </w:r>
      <w:r>
        <w:rPr>
          <w:rFonts w:hint="cs"/>
          <w:color w:val="auto"/>
          <w:rtl/>
        </w:rPr>
        <w:t xml:space="preserve"> בודדות</w:t>
      </w:r>
      <w:r w:rsidRPr="007E3A13">
        <w:rPr>
          <w:rFonts w:hint="cs"/>
          <w:color w:val="auto"/>
          <w:rtl/>
        </w:rPr>
        <w:t>. אפנה לעניין זה, למשל ל</w:t>
      </w:r>
      <w:hyperlink r:id="rId24" w:history="1">
        <w:r w:rsidR="00D86421" w:rsidRPr="00D86421">
          <w:rPr>
            <w:color w:val="0000FF"/>
            <w:u w:val="single"/>
            <w:rtl/>
          </w:rPr>
          <w:t>ע"פ  9910/17</w:t>
        </w:r>
      </w:hyperlink>
      <w:r w:rsidR="00D86421">
        <w:rPr>
          <w:rFonts w:hint="cs"/>
          <w:color w:val="auto"/>
          <w:rtl/>
        </w:rPr>
        <w:t xml:space="preserve"> </w:t>
      </w:r>
      <w:r w:rsidRPr="007E3A13">
        <w:rPr>
          <w:rFonts w:hint="cs"/>
          <w:b/>
          <w:bCs/>
          <w:color w:val="auto"/>
          <w:rtl/>
        </w:rPr>
        <w:t>גרפולינה נ' מדינת ישראל</w:t>
      </w:r>
      <w:r w:rsidR="00D86421">
        <w:rPr>
          <w:rFonts w:hint="cs"/>
          <w:color w:val="auto"/>
          <w:rtl/>
        </w:rPr>
        <w:t xml:space="preserve"> </w:t>
      </w:r>
      <w:r w:rsidRPr="007E3A13">
        <w:rPr>
          <w:rFonts w:hint="cs"/>
          <w:color w:val="auto"/>
          <w:rtl/>
        </w:rPr>
        <w:t xml:space="preserve">(3.5.2018) (החזקת כ-20 גרם קוקאין, מתחם של </w:t>
      </w:r>
      <w:r>
        <w:rPr>
          <w:rFonts w:hint="cs"/>
          <w:color w:val="auto"/>
          <w:u w:val="single"/>
          <w:rtl/>
        </w:rPr>
        <w:t xml:space="preserve">36-15 </w:t>
      </w:r>
      <w:r w:rsidRPr="007E3A13">
        <w:rPr>
          <w:rFonts w:hint="cs"/>
          <w:color w:val="auto"/>
          <w:u w:val="single"/>
          <w:rtl/>
        </w:rPr>
        <w:t>חודשים</w:t>
      </w:r>
      <w:r w:rsidRPr="007E3A13">
        <w:rPr>
          <w:rFonts w:hint="cs"/>
          <w:color w:val="auto"/>
          <w:rtl/>
        </w:rPr>
        <w:t xml:space="preserve">); </w:t>
      </w:r>
      <w:hyperlink r:id="rId25" w:history="1">
        <w:r w:rsidR="00D86421" w:rsidRPr="00D86421">
          <w:rPr>
            <w:color w:val="0000FF"/>
            <w:u w:val="single"/>
            <w:rtl/>
          </w:rPr>
          <w:t>רע"פ 894/16</w:t>
        </w:r>
      </w:hyperlink>
      <w:r w:rsidRPr="007E3A13">
        <w:rPr>
          <w:rFonts w:hint="cs"/>
          <w:color w:val="auto"/>
          <w:rtl/>
        </w:rPr>
        <w:t xml:space="preserve"> </w:t>
      </w:r>
      <w:r w:rsidRPr="007E3A13">
        <w:rPr>
          <w:rFonts w:hint="cs"/>
          <w:b/>
          <w:bCs/>
          <w:color w:val="auto"/>
          <w:rtl/>
        </w:rPr>
        <w:t>פרץ נ' מדינת ישראל</w:t>
      </w:r>
      <w:r w:rsidRPr="007E3A13">
        <w:rPr>
          <w:rFonts w:hint="cs"/>
          <w:color w:val="auto"/>
          <w:rtl/>
        </w:rPr>
        <w:t xml:space="preserve"> (10.2.2016) (החזקת 31 גרם קוקאין, מתחם של </w:t>
      </w:r>
      <w:r>
        <w:rPr>
          <w:rFonts w:hint="cs"/>
          <w:color w:val="auto"/>
          <w:u w:val="single"/>
          <w:rtl/>
        </w:rPr>
        <w:t xml:space="preserve">36-15 </w:t>
      </w:r>
      <w:r w:rsidRPr="007E3A13">
        <w:rPr>
          <w:rFonts w:hint="cs"/>
          <w:color w:val="auto"/>
          <w:u w:val="single"/>
          <w:rtl/>
        </w:rPr>
        <w:t>חודשים</w:t>
      </w:r>
      <w:r w:rsidRPr="007E3A13">
        <w:rPr>
          <w:rFonts w:hint="cs"/>
          <w:color w:val="auto"/>
          <w:rtl/>
        </w:rPr>
        <w:t xml:space="preserve">); </w:t>
      </w:r>
      <w:hyperlink r:id="rId26" w:history="1">
        <w:r w:rsidR="00D86421" w:rsidRPr="00D86421">
          <w:rPr>
            <w:color w:val="0000FF"/>
            <w:u w:val="single"/>
            <w:rtl/>
          </w:rPr>
          <w:t>רע"פ 2472/15</w:t>
        </w:r>
      </w:hyperlink>
      <w:r w:rsidRPr="007E3A13">
        <w:rPr>
          <w:rFonts w:hint="cs"/>
          <w:color w:val="auto"/>
          <w:rtl/>
        </w:rPr>
        <w:t xml:space="preserve"> </w:t>
      </w:r>
      <w:r w:rsidRPr="007E3A13">
        <w:rPr>
          <w:rFonts w:hint="cs"/>
          <w:b/>
          <w:bCs/>
          <w:color w:val="auto"/>
          <w:rtl/>
        </w:rPr>
        <w:t>שורצמן נ' מדינת ישראל</w:t>
      </w:r>
      <w:r w:rsidRPr="007E3A13">
        <w:rPr>
          <w:rFonts w:hint="cs"/>
          <w:color w:val="auto"/>
          <w:rtl/>
        </w:rPr>
        <w:t xml:space="preserve"> (21.5.2015) (החזקת כ-20 גרם הרואין וקוקאין, אושר מתחם של </w:t>
      </w:r>
      <w:r w:rsidRPr="007E3A13">
        <w:rPr>
          <w:rFonts w:hint="cs"/>
          <w:color w:val="auto"/>
          <w:u w:val="single"/>
          <w:rtl/>
        </w:rPr>
        <w:t>24-12 חודשי מאסר</w:t>
      </w:r>
      <w:r w:rsidRPr="007E3A13">
        <w:rPr>
          <w:rFonts w:hint="cs"/>
          <w:color w:val="auto"/>
          <w:rtl/>
        </w:rPr>
        <w:t xml:space="preserve">); </w:t>
      </w:r>
      <w:hyperlink r:id="rId27" w:history="1">
        <w:r w:rsidR="00D86421" w:rsidRPr="00D86421">
          <w:rPr>
            <w:color w:val="0000FF"/>
            <w:u w:val="single"/>
            <w:rtl/>
          </w:rPr>
          <w:t>רע"פ 483/18</w:t>
        </w:r>
      </w:hyperlink>
      <w:r w:rsidR="00D86421">
        <w:rPr>
          <w:color w:val="auto"/>
          <w:rtl/>
        </w:rPr>
        <w:t xml:space="preserve"> </w:t>
      </w:r>
      <w:r w:rsidRPr="007E3A13">
        <w:rPr>
          <w:color w:val="auto"/>
          <w:rtl/>
        </w:rPr>
        <w:t>–</w:t>
      </w:r>
      <w:r w:rsidR="00D86421">
        <w:rPr>
          <w:color w:val="auto"/>
          <w:rtl/>
        </w:rPr>
        <w:t xml:space="preserve"> </w:t>
      </w:r>
      <w:r w:rsidRPr="007E3A13">
        <w:rPr>
          <w:b/>
          <w:bCs/>
          <w:color w:val="auto"/>
          <w:rtl/>
        </w:rPr>
        <w:t>ברוכיאן נ' מדינת ישראל</w:t>
      </w:r>
      <w:r w:rsidRPr="007E3A13">
        <w:rPr>
          <w:rFonts w:hint="cs"/>
          <w:b/>
          <w:bCs/>
          <w:color w:val="auto"/>
          <w:rtl/>
        </w:rPr>
        <w:t xml:space="preserve"> </w:t>
      </w:r>
      <w:r w:rsidRPr="007E3A13">
        <w:rPr>
          <w:rFonts w:hint="cs"/>
          <w:color w:val="auto"/>
          <w:rtl/>
        </w:rPr>
        <w:t xml:space="preserve">(30 גרם קוקאין, </w:t>
      </w:r>
      <w:r w:rsidRPr="007E3A13">
        <w:rPr>
          <w:color w:val="auto"/>
          <w:rtl/>
        </w:rPr>
        <w:t>מתחם</w:t>
      </w:r>
      <w:r>
        <w:rPr>
          <w:rFonts w:hint="cs"/>
          <w:color w:val="auto"/>
          <w:rtl/>
        </w:rPr>
        <w:t xml:space="preserve"> </w:t>
      </w:r>
      <w:r>
        <w:rPr>
          <w:color w:val="auto"/>
          <w:rtl/>
        </w:rPr>
        <w:br/>
      </w:r>
      <w:r w:rsidRPr="007E3A13">
        <w:rPr>
          <w:rFonts w:hint="cs"/>
          <w:color w:val="auto"/>
          <w:u w:val="single"/>
          <w:rtl/>
        </w:rPr>
        <w:t>30-12 חודשי מאסר</w:t>
      </w:r>
      <w:r w:rsidRPr="007E3A13">
        <w:rPr>
          <w:rFonts w:hint="cs"/>
          <w:color w:val="auto"/>
          <w:rtl/>
        </w:rPr>
        <w:t>)</w:t>
      </w:r>
      <w:r w:rsidRPr="007E3A13">
        <w:rPr>
          <w:color w:val="auto"/>
          <w:rtl/>
        </w:rPr>
        <w:t>.</w:t>
      </w:r>
    </w:p>
    <w:p w14:paraId="1CE744FF" w14:textId="77777777" w:rsidR="0076340B" w:rsidRPr="007E3A13" w:rsidRDefault="0076340B" w:rsidP="0076340B">
      <w:pPr>
        <w:pStyle w:val="a"/>
        <w:numPr>
          <w:ilvl w:val="0"/>
          <w:numId w:val="2"/>
        </w:numPr>
        <w:tabs>
          <w:tab w:val="left" w:pos="720"/>
        </w:tabs>
        <w:jc w:val="both"/>
        <w:rPr>
          <w:color w:val="auto"/>
        </w:rPr>
      </w:pPr>
      <w:r w:rsidRPr="007E3A13">
        <w:rPr>
          <w:rFonts w:hint="cs"/>
          <w:b/>
          <w:bCs/>
          <w:color w:val="auto"/>
          <w:rtl/>
        </w:rPr>
        <w:t xml:space="preserve">לאור האמור עד </w:t>
      </w:r>
      <w:r>
        <w:rPr>
          <w:rFonts w:hint="cs"/>
          <w:b/>
          <w:bCs/>
          <w:color w:val="auto"/>
          <w:rtl/>
        </w:rPr>
        <w:t>עתה</w:t>
      </w:r>
      <w:r w:rsidRPr="007E3A13">
        <w:rPr>
          <w:rFonts w:hint="cs"/>
          <w:b/>
          <w:bCs/>
          <w:color w:val="auto"/>
          <w:rtl/>
        </w:rPr>
        <w:t xml:space="preserve">, אני קובע כי מתחם העונש ההולם בענייננו נע בין </w:t>
      </w:r>
      <w:r>
        <w:rPr>
          <w:rFonts w:hint="cs"/>
          <w:b/>
          <w:bCs/>
          <w:color w:val="auto"/>
          <w:rtl/>
        </w:rPr>
        <w:t>9</w:t>
      </w:r>
      <w:r w:rsidRPr="007E3A13">
        <w:rPr>
          <w:rFonts w:hint="cs"/>
          <w:b/>
          <w:bCs/>
          <w:color w:val="auto"/>
          <w:rtl/>
        </w:rPr>
        <w:t xml:space="preserve"> לבין </w:t>
      </w:r>
      <w:r>
        <w:rPr>
          <w:rFonts w:hint="cs"/>
          <w:b/>
          <w:bCs/>
          <w:color w:val="auto"/>
          <w:rtl/>
        </w:rPr>
        <w:t>20</w:t>
      </w:r>
      <w:r w:rsidRPr="007E3A13">
        <w:rPr>
          <w:rFonts w:hint="cs"/>
          <w:b/>
          <w:bCs/>
          <w:color w:val="auto"/>
          <w:rtl/>
        </w:rPr>
        <w:t xml:space="preserve"> חודשי מאסר בפועל.  </w:t>
      </w:r>
    </w:p>
    <w:p w14:paraId="6F4EB424" w14:textId="77777777" w:rsidR="0076340B" w:rsidRDefault="0076340B" w:rsidP="0076340B">
      <w:pPr>
        <w:pStyle w:val="a"/>
        <w:numPr>
          <w:ilvl w:val="0"/>
          <w:numId w:val="2"/>
        </w:numPr>
        <w:tabs>
          <w:tab w:val="left" w:pos="720"/>
        </w:tabs>
        <w:jc w:val="both"/>
      </w:pPr>
      <w:r w:rsidRPr="007E3A13">
        <w:rPr>
          <w:rFonts w:hint="cs"/>
          <w:color w:val="auto"/>
          <w:rtl/>
        </w:rPr>
        <w:t xml:space="preserve">בתוך מתחם הענישה יש לזקוף </w:t>
      </w:r>
      <w:r>
        <w:rPr>
          <w:rFonts w:hint="cs"/>
          <w:rtl/>
        </w:rPr>
        <w:t>לזכות הנאשם את הודאתו, את נסיבותיו האישיות כפי שנטענו מפי באי כוחו, וכן את מאמצי השיקום הראשוניים שלו בין כותלי הכלא כפי שדיווח שב"ס. מנגד נזקף לחובת הנאשם עברו הפלילי הכולל כאמור ארבע הרשעות בעבירות סמים. מדובר אמנם בהרשעות ישנות יחסית (בגין עבירות מהשנים 2015-2019), אך עדיין מדובר במשקולת על צוואר הנאשם. חומרה מיוחדת נובעת מכך שהעבירה בוצעה תוך כדי ביצוע עונש של עבודות שירות שנגזר על הנאשם בתיקו הקודם. בית המשפט נתן לנאשם הזדמנות שיקומית מובהקת, שנענתה למרבה הצער בביצוע עבירת הסמים נשוא ענייננו. בשל האמור יש לגזור את עונשו של הנאשם קרוב למרכז מתחם הענישה שקבעתי.</w:t>
      </w:r>
    </w:p>
    <w:p w14:paraId="3961C130" w14:textId="77777777" w:rsidR="0076340B" w:rsidRDefault="0076340B" w:rsidP="0076340B">
      <w:pPr>
        <w:pStyle w:val="a"/>
        <w:numPr>
          <w:ilvl w:val="0"/>
          <w:numId w:val="2"/>
        </w:numPr>
        <w:tabs>
          <w:tab w:val="left" w:pos="720"/>
        </w:tabs>
        <w:jc w:val="both"/>
      </w:pPr>
      <w:r>
        <w:rPr>
          <w:rFonts w:hint="cs"/>
          <w:rtl/>
        </w:rPr>
        <w:t xml:space="preserve">נותר להכריע במחלוקת באשר לשאלת </w:t>
      </w:r>
      <w:r w:rsidRPr="00333F8A">
        <w:rPr>
          <w:rFonts w:hint="cs"/>
          <w:b/>
          <w:bCs/>
          <w:rtl/>
        </w:rPr>
        <w:t>הפעלת המאסרים המותנים,</w:t>
      </w:r>
      <w:r>
        <w:rPr>
          <w:rFonts w:hint="cs"/>
          <w:rtl/>
        </w:rPr>
        <w:t xml:space="preserve"> ואלה הנתונים העובדתיים הנדרשים להכרעה:</w:t>
      </w:r>
    </w:p>
    <w:p w14:paraId="763D2EDE" w14:textId="77777777" w:rsidR="0076340B" w:rsidRDefault="0076340B" w:rsidP="0076340B">
      <w:pPr>
        <w:pStyle w:val="a"/>
        <w:numPr>
          <w:ilvl w:val="0"/>
          <w:numId w:val="3"/>
        </w:numPr>
        <w:tabs>
          <w:tab w:val="left" w:pos="720"/>
        </w:tabs>
        <w:spacing w:after="0"/>
        <w:jc w:val="both"/>
      </w:pPr>
      <w:r>
        <w:rPr>
          <w:rFonts w:hint="cs"/>
          <w:rtl/>
        </w:rPr>
        <w:t>הנאשם הורשע ב</w:t>
      </w:r>
      <w:hyperlink r:id="rId28" w:history="1">
        <w:r w:rsidR="00D86421" w:rsidRPr="00D86421">
          <w:rPr>
            <w:color w:val="0000FF"/>
            <w:u w:val="single"/>
            <w:rtl/>
          </w:rPr>
          <w:t>ת"פ 35970-06-20</w:t>
        </w:r>
      </w:hyperlink>
      <w:r>
        <w:rPr>
          <w:rFonts w:hint="cs"/>
          <w:rtl/>
        </w:rPr>
        <w:t xml:space="preserve"> בעבירות סחר בסמים והחזקת סמים, ונדון ביום </w:t>
      </w:r>
      <w:r>
        <w:rPr>
          <w:rFonts w:hint="cs"/>
          <w:b/>
          <w:bCs/>
          <w:u w:val="single"/>
          <w:rtl/>
        </w:rPr>
        <w:t>21.4.2024</w:t>
      </w:r>
      <w:r>
        <w:rPr>
          <w:rFonts w:hint="cs"/>
          <w:rtl/>
        </w:rPr>
        <w:t xml:space="preserve"> לעבודות שירות.</w:t>
      </w:r>
    </w:p>
    <w:p w14:paraId="243BF216" w14:textId="77777777" w:rsidR="0076340B" w:rsidRDefault="0076340B" w:rsidP="0076340B">
      <w:pPr>
        <w:pStyle w:val="a"/>
        <w:numPr>
          <w:ilvl w:val="0"/>
          <w:numId w:val="3"/>
        </w:numPr>
        <w:tabs>
          <w:tab w:val="left" w:pos="720"/>
        </w:tabs>
        <w:spacing w:after="0"/>
        <w:jc w:val="both"/>
      </w:pPr>
      <w:r>
        <w:rPr>
          <w:rFonts w:hint="cs"/>
          <w:rtl/>
        </w:rPr>
        <w:t xml:space="preserve">בגזר הדין הוטלו עליו "מאסר מותנה למשך 6 חודשים, והתנאי הוא כי הנאשם לא יעבור עבירת סמים מסוג פשע למשך 3 שנים מסיום ריצוי עבודות השירות", ומאסר מותנה נוסף בן 3 חודשים על עבירות סמים מסוג עוון, שנוסח באותו אופן. </w:t>
      </w:r>
    </w:p>
    <w:p w14:paraId="2AC2FE26" w14:textId="77777777" w:rsidR="0076340B" w:rsidRDefault="0076340B" w:rsidP="0076340B">
      <w:pPr>
        <w:pStyle w:val="a"/>
        <w:numPr>
          <w:ilvl w:val="0"/>
          <w:numId w:val="3"/>
        </w:numPr>
        <w:tabs>
          <w:tab w:val="left" w:pos="720"/>
        </w:tabs>
        <w:spacing w:after="0"/>
        <w:jc w:val="both"/>
      </w:pPr>
      <w:r>
        <w:rPr>
          <w:rFonts w:hint="cs"/>
          <w:rtl/>
        </w:rPr>
        <w:t xml:space="preserve">תחילת ריצוי עבודות השירות נקבע ליום </w:t>
      </w:r>
      <w:r>
        <w:rPr>
          <w:rFonts w:hint="cs"/>
          <w:b/>
          <w:bCs/>
          <w:u w:val="single"/>
          <w:rtl/>
        </w:rPr>
        <w:t>4.6.2024</w:t>
      </w:r>
      <w:r>
        <w:rPr>
          <w:rFonts w:hint="cs"/>
          <w:rtl/>
        </w:rPr>
        <w:t>.</w:t>
      </w:r>
    </w:p>
    <w:p w14:paraId="159CCE93" w14:textId="77777777" w:rsidR="0076340B" w:rsidRDefault="0076340B" w:rsidP="0076340B">
      <w:pPr>
        <w:pStyle w:val="a"/>
        <w:numPr>
          <w:ilvl w:val="0"/>
          <w:numId w:val="3"/>
        </w:numPr>
        <w:tabs>
          <w:tab w:val="left" w:pos="720"/>
        </w:tabs>
        <w:spacing w:after="0"/>
        <w:jc w:val="both"/>
      </w:pPr>
      <w:r>
        <w:rPr>
          <w:rFonts w:hint="cs"/>
          <w:rtl/>
        </w:rPr>
        <w:t xml:space="preserve">העבירה הנוספת (בתיק הנוכחי) בצעה ביום </w:t>
      </w:r>
      <w:r>
        <w:rPr>
          <w:rFonts w:hint="cs"/>
          <w:b/>
          <w:bCs/>
          <w:u w:val="single"/>
          <w:rtl/>
        </w:rPr>
        <w:t>29.7.2024</w:t>
      </w:r>
      <w:r>
        <w:rPr>
          <w:rFonts w:hint="cs"/>
          <w:rtl/>
        </w:rPr>
        <w:t>.</w:t>
      </w:r>
    </w:p>
    <w:p w14:paraId="3BAD9DEB" w14:textId="77777777" w:rsidR="0076340B" w:rsidRDefault="0076340B" w:rsidP="0076340B">
      <w:pPr>
        <w:pStyle w:val="a"/>
        <w:numPr>
          <w:ilvl w:val="0"/>
          <w:numId w:val="0"/>
        </w:numPr>
        <w:tabs>
          <w:tab w:val="left" w:pos="720"/>
        </w:tabs>
        <w:ind w:left="360"/>
        <w:jc w:val="both"/>
      </w:pPr>
    </w:p>
    <w:p w14:paraId="0E9002E9" w14:textId="77777777" w:rsidR="0076340B" w:rsidRDefault="0076340B" w:rsidP="0076340B">
      <w:pPr>
        <w:pStyle w:val="a"/>
        <w:numPr>
          <w:ilvl w:val="0"/>
          <w:numId w:val="2"/>
        </w:numPr>
        <w:tabs>
          <w:tab w:val="left" w:pos="720"/>
        </w:tabs>
        <w:jc w:val="both"/>
      </w:pPr>
      <w:r>
        <w:rPr>
          <w:rFonts w:hint="cs"/>
          <w:rtl/>
        </w:rPr>
        <w:t>ההגנה טוענת בהתבסס על לשון גזר הדין שתקופת התנאי החלה מסיום ריצוי עבודות השירות, ולפיכך העבירה הנוספת בוצעה לפני תקופת התנאי, והתנאי אינו בר הפעלה.</w:t>
      </w:r>
    </w:p>
    <w:p w14:paraId="45CC6382" w14:textId="77777777" w:rsidR="0076340B" w:rsidRDefault="0076340B" w:rsidP="0076340B">
      <w:pPr>
        <w:pStyle w:val="a"/>
        <w:numPr>
          <w:ilvl w:val="0"/>
          <w:numId w:val="2"/>
        </w:numPr>
        <w:tabs>
          <w:tab w:val="left" w:pos="720"/>
        </w:tabs>
        <w:jc w:val="both"/>
      </w:pPr>
      <w:r>
        <w:rPr>
          <w:rFonts w:hint="cs"/>
          <w:rtl/>
        </w:rPr>
        <w:t>דין הטענה להידחות.</w:t>
      </w:r>
    </w:p>
    <w:p w14:paraId="4D125B47" w14:textId="77777777" w:rsidR="0076340B" w:rsidRDefault="00F47DCD" w:rsidP="0076340B">
      <w:pPr>
        <w:pStyle w:val="a"/>
        <w:numPr>
          <w:ilvl w:val="0"/>
          <w:numId w:val="2"/>
        </w:numPr>
        <w:tabs>
          <w:tab w:val="left" w:pos="720"/>
        </w:tabs>
        <w:jc w:val="both"/>
      </w:pPr>
      <w:hyperlink r:id="rId29" w:history="1">
        <w:r w:rsidRPr="00F47DCD">
          <w:rPr>
            <w:rStyle w:val="Hyperlink"/>
            <w:rFonts w:hint="eastAsia"/>
            <w:color w:val="0000FF"/>
            <w:rtl/>
          </w:rPr>
          <w:t>סעיף</w:t>
        </w:r>
        <w:r w:rsidRPr="00F47DCD">
          <w:rPr>
            <w:rStyle w:val="Hyperlink"/>
            <w:color w:val="0000FF"/>
            <w:rtl/>
          </w:rPr>
          <w:t xml:space="preserve"> 52(ג)</w:t>
        </w:r>
      </w:hyperlink>
      <w:r w:rsidR="0076340B">
        <w:rPr>
          <w:rFonts w:hint="cs"/>
          <w:rtl/>
        </w:rPr>
        <w:t xml:space="preserve"> ל</w:t>
      </w:r>
      <w:hyperlink r:id="rId30" w:history="1">
        <w:r w:rsidR="00D86421" w:rsidRPr="00D86421">
          <w:rPr>
            <w:color w:val="0000FF"/>
            <w:u w:val="single"/>
            <w:rtl/>
          </w:rPr>
          <w:t>חוק העונשין</w:t>
        </w:r>
      </w:hyperlink>
      <w:r w:rsidR="0076340B">
        <w:rPr>
          <w:rFonts w:hint="cs"/>
          <w:rtl/>
        </w:rPr>
        <w:t xml:space="preserve">, תשל"ז-1977 קובע כך (ההדגשה אינה במקור): </w:t>
      </w:r>
      <w:r w:rsidR="0076340B">
        <w:rPr>
          <w:rStyle w:val="default"/>
          <w:rFonts w:hint="cs"/>
          <w:b/>
          <w:bCs/>
          <w:rtl/>
        </w:rPr>
        <w:t xml:space="preserve">"תקופת התנאי תתחיל ביום מתן גזר הדין ואם הנידון נושא אותו זמן עונש מאסר - ביום שחרורו מן המאסר; אולם תקופה שאסיר נמצא בה מחוץ לבית הסוהר בשל שחרור בערובה מכח סימן </w:t>
      </w:r>
      <w:hyperlink r:id="rId31" w:history="1">
        <w:r w:rsidRPr="00F47DCD">
          <w:rPr>
            <w:rStyle w:val="Hyperlink"/>
            <w:b/>
            <w:bCs/>
            <w:color w:val="0000FF"/>
            <w:rtl/>
          </w:rPr>
          <w:t>ב' בפרק ג'</w:t>
        </w:r>
      </w:hyperlink>
      <w:r w:rsidR="0076340B">
        <w:rPr>
          <w:rStyle w:val="default"/>
          <w:rFonts w:hint="cs"/>
          <w:b/>
          <w:bCs/>
          <w:rtl/>
        </w:rPr>
        <w:t xml:space="preserve"> ל</w:t>
      </w:r>
      <w:hyperlink r:id="rId32" w:history="1">
        <w:r w:rsidR="00D86421" w:rsidRPr="00D86421">
          <w:rPr>
            <w:rStyle w:val="default"/>
            <w:b/>
            <w:bCs/>
            <w:color w:val="0000FF"/>
            <w:u w:val="single"/>
            <w:rtl/>
          </w:rPr>
          <w:t>חוק סדר הדין הפלילי</w:t>
        </w:r>
      </w:hyperlink>
      <w:r w:rsidR="0076340B">
        <w:rPr>
          <w:rStyle w:val="default"/>
          <w:rFonts w:hint="cs"/>
          <w:b/>
          <w:bCs/>
          <w:rtl/>
        </w:rPr>
        <w:t xml:space="preserve"> [נוסח משולב], תשמ"ב–1982, בשל חופשה מיוחדת </w:t>
      </w:r>
      <w:r w:rsidR="0076340B">
        <w:rPr>
          <w:rStyle w:val="default"/>
          <w:rFonts w:hint="cs"/>
          <w:b/>
          <w:bCs/>
          <w:u w:val="single"/>
          <w:rtl/>
        </w:rPr>
        <w:t xml:space="preserve">או מכח </w:t>
      </w:r>
      <w:r w:rsidRPr="00F47DCD">
        <w:rPr>
          <w:rStyle w:val="default"/>
          <w:rFonts w:hint="eastAsia"/>
          <w:b/>
          <w:bCs/>
          <w:color w:val="auto"/>
          <w:rtl/>
        </w:rPr>
        <w:t>סימן</w:t>
      </w:r>
      <w:r w:rsidRPr="00F47DCD">
        <w:rPr>
          <w:rStyle w:val="default"/>
          <w:b/>
          <w:bCs/>
          <w:color w:val="auto"/>
          <w:rtl/>
        </w:rPr>
        <w:t xml:space="preserve"> </w:t>
      </w:r>
      <w:hyperlink r:id="rId33" w:history="1">
        <w:r w:rsidRPr="00F47DCD">
          <w:rPr>
            <w:rStyle w:val="Hyperlink"/>
            <w:b/>
            <w:bCs/>
            <w:color w:val="0000FF"/>
            <w:rtl/>
          </w:rPr>
          <w:t>ב1 לפרק ו'</w:t>
        </w:r>
      </w:hyperlink>
      <w:r w:rsidR="0076340B">
        <w:rPr>
          <w:rStyle w:val="default"/>
          <w:rFonts w:hint="cs"/>
          <w:b/>
          <w:bCs/>
          <w:rtl/>
        </w:rPr>
        <w:t xml:space="preserve"> </w:t>
      </w:r>
      <w:r w:rsidR="0076340B">
        <w:rPr>
          <w:rStyle w:val="default"/>
          <w:rFonts w:hint="cs"/>
          <w:rtl/>
        </w:rPr>
        <w:t>[שעניינו נשיאת מאסר בעבודות שירות, ט"ע]</w:t>
      </w:r>
      <w:r w:rsidR="0076340B">
        <w:rPr>
          <w:rStyle w:val="default"/>
          <w:rFonts w:hint="cs"/>
          <w:b/>
          <w:bCs/>
          <w:rtl/>
        </w:rPr>
        <w:t>, יראו אותה כתקופת תנאי מצטברת לתקופת התנאי שקבע בית המשפט; והכל כשבית המשפט לא הורה אחרת"</w:t>
      </w:r>
      <w:r w:rsidR="0076340B">
        <w:rPr>
          <w:rStyle w:val="default"/>
          <w:rFonts w:hint="cs"/>
          <w:rtl/>
        </w:rPr>
        <w:t>.</w:t>
      </w:r>
    </w:p>
    <w:p w14:paraId="54447F98" w14:textId="77777777" w:rsidR="0076340B" w:rsidRDefault="0076340B" w:rsidP="0076340B">
      <w:pPr>
        <w:pStyle w:val="a"/>
        <w:numPr>
          <w:ilvl w:val="0"/>
          <w:numId w:val="2"/>
        </w:numPr>
        <w:tabs>
          <w:tab w:val="left" w:pos="720"/>
        </w:tabs>
        <w:jc w:val="both"/>
      </w:pPr>
      <w:r>
        <w:rPr>
          <w:rFonts w:hint="cs"/>
          <w:rtl/>
        </w:rPr>
        <w:t xml:space="preserve">פסיקת בית המשפט העליון הבחינה בין </w:t>
      </w:r>
      <w:r>
        <w:rPr>
          <w:rFonts w:hint="cs"/>
          <w:b/>
          <w:bCs/>
          <w:rtl/>
        </w:rPr>
        <w:t>תקופת התנאי השיפוטית</w:t>
      </w:r>
      <w:r>
        <w:rPr>
          <w:rFonts w:hint="cs"/>
          <w:rtl/>
        </w:rPr>
        <w:t xml:space="preserve"> – זו שהגדרתה נקבעת על ידי בית המשפט בגזר הדין (ובעניינו – 3 שנים מיום סיום ריצוי עבודות השירות), לבין </w:t>
      </w:r>
      <w:r>
        <w:rPr>
          <w:rFonts w:hint="cs"/>
          <w:b/>
          <w:bCs/>
          <w:rtl/>
        </w:rPr>
        <w:t>תקופת התנאי הסטטוטורית</w:t>
      </w:r>
      <w:r>
        <w:rPr>
          <w:rFonts w:hint="cs"/>
          <w:rtl/>
        </w:rPr>
        <w:t xml:space="preserve"> (זו שקבע המחוקק </w:t>
      </w:r>
      <w:r>
        <w:rPr>
          <w:rFonts w:hint="cs"/>
          <w:u w:val="single"/>
          <w:rtl/>
        </w:rPr>
        <w:t>כמצטברת</w:t>
      </w:r>
      <w:r>
        <w:rPr>
          <w:rFonts w:hint="cs"/>
          <w:rtl/>
        </w:rPr>
        <w:t xml:space="preserve"> לתקופת התנאי השיפוטית ובענייננו – תקופת ריצוי עבודות השירות לפי סימן </w:t>
      </w:r>
      <w:hyperlink r:id="rId34" w:history="1">
        <w:r w:rsidR="00F47DCD" w:rsidRPr="00F47DCD">
          <w:rPr>
            <w:rStyle w:val="Hyperlink"/>
            <w:rFonts w:hint="eastAsia"/>
            <w:color w:val="0000FF"/>
            <w:rtl/>
          </w:rPr>
          <w:t>ב</w:t>
        </w:r>
        <w:r w:rsidR="00F47DCD" w:rsidRPr="00F47DCD">
          <w:rPr>
            <w:rStyle w:val="Hyperlink"/>
            <w:color w:val="0000FF"/>
            <w:rtl/>
          </w:rPr>
          <w:t>1 בפרק ו'</w:t>
        </w:r>
      </w:hyperlink>
      <w:r>
        <w:rPr>
          <w:rFonts w:hint="cs"/>
          <w:rtl/>
        </w:rPr>
        <w:t xml:space="preserve"> ל</w:t>
      </w:r>
      <w:hyperlink r:id="rId35" w:history="1">
        <w:r w:rsidR="00D86421" w:rsidRPr="00D86421">
          <w:rPr>
            <w:color w:val="0000FF"/>
            <w:u w:val="single"/>
            <w:rtl/>
          </w:rPr>
          <w:t>חוק העונשין</w:t>
        </w:r>
      </w:hyperlink>
      <w:r>
        <w:rPr>
          <w:rFonts w:hint="cs"/>
          <w:rtl/>
        </w:rPr>
        <w:t xml:space="preserve">). </w:t>
      </w:r>
    </w:p>
    <w:p w14:paraId="62DFCB06" w14:textId="77777777" w:rsidR="0076340B" w:rsidRDefault="0076340B" w:rsidP="0076340B">
      <w:pPr>
        <w:pStyle w:val="a"/>
        <w:numPr>
          <w:ilvl w:val="0"/>
          <w:numId w:val="2"/>
        </w:numPr>
        <w:tabs>
          <w:tab w:val="left" w:pos="720"/>
        </w:tabs>
        <w:jc w:val="both"/>
      </w:pPr>
      <w:r>
        <w:rPr>
          <w:rFonts w:hint="cs"/>
          <w:rtl/>
        </w:rPr>
        <w:t>בפסק הדין בעניין אשקר (</w:t>
      </w:r>
      <w:hyperlink r:id="rId36" w:history="1">
        <w:r w:rsidR="00D86421" w:rsidRPr="00D86421">
          <w:rPr>
            <w:color w:val="0000FF"/>
            <w:u w:val="single"/>
            <w:rtl/>
          </w:rPr>
          <w:t>רע"פ 8597/20</w:t>
        </w:r>
      </w:hyperlink>
      <w:r>
        <w:rPr>
          <w:rFonts w:hint="cs"/>
          <w:rtl/>
        </w:rPr>
        <w:t xml:space="preserve"> </w:t>
      </w:r>
      <w:r>
        <w:rPr>
          <w:rFonts w:hint="cs"/>
          <w:b/>
          <w:bCs/>
          <w:rtl/>
        </w:rPr>
        <w:t>אשקר נ' מדינת ישראל</w:t>
      </w:r>
      <w:r>
        <w:rPr>
          <w:rFonts w:hint="cs"/>
          <w:rtl/>
        </w:rPr>
        <w:t xml:space="preserve">, 8.2.2022) נפסק כי תקופת התנאי </w:t>
      </w:r>
      <w:r>
        <w:rPr>
          <w:rFonts w:hint="cs"/>
          <w:b/>
          <w:bCs/>
          <w:rtl/>
        </w:rPr>
        <w:t xml:space="preserve">השיפוטית </w:t>
      </w:r>
      <w:r>
        <w:rPr>
          <w:rFonts w:hint="cs"/>
          <w:rtl/>
        </w:rPr>
        <w:t xml:space="preserve">נמנית מיום סיום עבודות השירות, אך הקביעה אינה נחוצה לענייננו בו נקבע כך ממילא, במפורש, בגזר הדין. על ענייננו חל במישרין </w:t>
      </w:r>
      <w:hyperlink r:id="rId37" w:history="1">
        <w:r w:rsidR="00F47DCD" w:rsidRPr="00F47DCD">
          <w:rPr>
            <w:rStyle w:val="Hyperlink"/>
            <w:rFonts w:hint="eastAsia"/>
            <w:color w:val="0000FF"/>
            <w:rtl/>
          </w:rPr>
          <w:t>סעיף</w:t>
        </w:r>
        <w:r w:rsidR="00F47DCD" w:rsidRPr="00F47DCD">
          <w:rPr>
            <w:rStyle w:val="Hyperlink"/>
            <w:color w:val="0000FF"/>
            <w:rtl/>
          </w:rPr>
          <w:t xml:space="preserve"> 52(ג)</w:t>
        </w:r>
      </w:hyperlink>
      <w:r>
        <w:rPr>
          <w:rFonts w:hint="cs"/>
          <w:rtl/>
        </w:rPr>
        <w:t xml:space="preserve"> ומשעה שהנאשם ביצע עבירה נוספת במועד בו נשא עונש מאסר בעבודות שירות, קרי במהלך תקופת התנאי הסטטוטורית – המאסרים המותנים בני הפעלה.</w:t>
      </w:r>
    </w:p>
    <w:p w14:paraId="3E7C9918" w14:textId="77777777" w:rsidR="0076340B" w:rsidRDefault="0076340B" w:rsidP="0076340B">
      <w:pPr>
        <w:pStyle w:val="a"/>
        <w:numPr>
          <w:ilvl w:val="0"/>
          <w:numId w:val="2"/>
        </w:numPr>
        <w:tabs>
          <w:tab w:val="left" w:pos="720"/>
        </w:tabs>
        <w:jc w:val="both"/>
      </w:pPr>
      <w:r>
        <w:rPr>
          <w:rFonts w:hint="cs"/>
          <w:rtl/>
        </w:rPr>
        <w:t xml:space="preserve">באשר לאופן ההפעלה, עבירת הפשע שביצע הנאשם מפעילה את שני המאסרים המותנים גם יחד, ולכן יש להפעילם </w:t>
      </w:r>
      <w:r>
        <w:rPr>
          <w:rFonts w:hint="cs"/>
          <w:u w:val="single"/>
          <w:rtl/>
        </w:rPr>
        <w:t>באופן חופף זה לזה</w:t>
      </w:r>
      <w:r>
        <w:rPr>
          <w:rFonts w:hint="cs"/>
          <w:rtl/>
        </w:rPr>
        <w:t xml:space="preserve">, ומנגד אין מקום לסטות מהכלל לפיו מאסר מותנה יופעל באופן מצטבר, בפרט כאשר העבירה הנוספת בוצעה הרף עין לאחר שניתן בנאשם אמון ונגזר עליו עונש שיקומי. </w:t>
      </w:r>
    </w:p>
    <w:p w14:paraId="4D0A077B" w14:textId="77777777" w:rsidR="0076340B" w:rsidRDefault="0076340B" w:rsidP="0076340B">
      <w:pPr>
        <w:pStyle w:val="a"/>
        <w:numPr>
          <w:ilvl w:val="0"/>
          <w:numId w:val="2"/>
        </w:numPr>
        <w:tabs>
          <w:tab w:val="left" w:pos="720"/>
        </w:tabs>
        <w:jc w:val="both"/>
      </w:pPr>
      <w:r>
        <w:rPr>
          <w:rFonts w:hint="cs"/>
          <w:b/>
          <w:bCs/>
          <w:u w:val="single"/>
          <w:rtl/>
        </w:rPr>
        <w:t>לאור האמור לעיל אני דן את הנאשם לעונשים הבאים</w:t>
      </w:r>
      <w:r>
        <w:rPr>
          <w:rFonts w:hint="cs"/>
          <w:rtl/>
        </w:rPr>
        <w:t>:</w:t>
      </w:r>
    </w:p>
    <w:p w14:paraId="14CDEAC1" w14:textId="77777777" w:rsidR="0076340B" w:rsidRDefault="0076340B" w:rsidP="0076340B">
      <w:pPr>
        <w:pStyle w:val="a"/>
        <w:numPr>
          <w:ilvl w:val="1"/>
          <w:numId w:val="2"/>
        </w:numPr>
        <w:tabs>
          <w:tab w:val="left" w:pos="720"/>
        </w:tabs>
        <w:jc w:val="both"/>
      </w:pPr>
      <w:r>
        <w:rPr>
          <w:rFonts w:hint="cs"/>
          <w:rtl/>
        </w:rPr>
        <w:t>13 חודשי מאסר בפועל.</w:t>
      </w:r>
    </w:p>
    <w:p w14:paraId="3AB3A543" w14:textId="77777777" w:rsidR="0076340B" w:rsidRDefault="0076340B" w:rsidP="0076340B">
      <w:pPr>
        <w:pStyle w:val="a"/>
        <w:numPr>
          <w:ilvl w:val="0"/>
          <w:numId w:val="0"/>
        </w:numPr>
        <w:tabs>
          <w:tab w:val="left" w:pos="720"/>
        </w:tabs>
        <w:ind w:left="1080"/>
        <w:jc w:val="both"/>
      </w:pPr>
      <w:r>
        <w:rPr>
          <w:rFonts w:hint="cs"/>
          <w:rtl/>
        </w:rPr>
        <w:t>מורה על הפעלת מאסרים מותנים בני 3 ו-6 חודשים מ</w:t>
      </w:r>
      <w:hyperlink r:id="rId38" w:history="1">
        <w:r w:rsidR="00D86421" w:rsidRPr="00D86421">
          <w:rPr>
            <w:color w:val="0000FF"/>
            <w:u w:val="single"/>
            <w:rtl/>
          </w:rPr>
          <w:t>ת"פ 35970-06-20</w:t>
        </w:r>
      </w:hyperlink>
      <w:r>
        <w:rPr>
          <w:rFonts w:hint="cs"/>
          <w:rtl/>
        </w:rPr>
        <w:t>, גזר דין מיום 21.4.2024.</w:t>
      </w:r>
    </w:p>
    <w:p w14:paraId="18D7C931" w14:textId="77777777" w:rsidR="0076340B" w:rsidRPr="00317805" w:rsidRDefault="0076340B" w:rsidP="0076340B">
      <w:pPr>
        <w:pStyle w:val="a"/>
        <w:numPr>
          <w:ilvl w:val="0"/>
          <w:numId w:val="0"/>
        </w:numPr>
        <w:tabs>
          <w:tab w:val="left" w:pos="720"/>
        </w:tabs>
        <w:ind w:left="1080"/>
        <w:jc w:val="both"/>
        <w:rPr>
          <w:rtl/>
        </w:rPr>
      </w:pPr>
      <w:r w:rsidRPr="00317805">
        <w:rPr>
          <w:rFonts w:hint="cs"/>
          <w:rtl/>
        </w:rPr>
        <w:t xml:space="preserve">המאסרים המותנים יופעלו </w:t>
      </w:r>
      <w:r w:rsidRPr="00317805">
        <w:rPr>
          <w:rFonts w:hint="cs"/>
          <w:u w:val="single"/>
          <w:rtl/>
        </w:rPr>
        <w:t>באופן חופף זה לזה ובמצטבר לעונש המאסר</w:t>
      </w:r>
      <w:r w:rsidRPr="00317805">
        <w:rPr>
          <w:rFonts w:hint="cs"/>
          <w:rtl/>
        </w:rPr>
        <w:t xml:space="preserve">, </w:t>
      </w:r>
      <w:r w:rsidRPr="00317805">
        <w:rPr>
          <w:rFonts w:hint="cs"/>
          <w:b/>
          <w:bCs/>
          <w:u w:val="single"/>
          <w:rtl/>
        </w:rPr>
        <w:t xml:space="preserve">סה"כ מאסר בפועל בגזר דין זה </w:t>
      </w:r>
      <w:r>
        <w:rPr>
          <w:rFonts w:hint="cs"/>
          <w:b/>
          <w:bCs/>
          <w:u w:val="single"/>
          <w:rtl/>
        </w:rPr>
        <w:t>19</w:t>
      </w:r>
      <w:r w:rsidRPr="00317805">
        <w:rPr>
          <w:rFonts w:hint="cs"/>
          <w:b/>
          <w:bCs/>
          <w:u w:val="single"/>
          <w:rtl/>
        </w:rPr>
        <w:t xml:space="preserve"> חודשי מאסר בפועל</w:t>
      </w:r>
      <w:r w:rsidRPr="00317805">
        <w:rPr>
          <w:rFonts w:hint="cs"/>
          <w:rtl/>
        </w:rPr>
        <w:t xml:space="preserve"> בניכוי תקופת מעצרו, לפי רישומי שב"ס.</w:t>
      </w:r>
    </w:p>
    <w:p w14:paraId="294E2C14" w14:textId="77777777" w:rsidR="0076340B" w:rsidRDefault="0076340B" w:rsidP="0076340B">
      <w:pPr>
        <w:pStyle w:val="a"/>
        <w:numPr>
          <w:ilvl w:val="0"/>
          <w:numId w:val="0"/>
        </w:numPr>
        <w:tabs>
          <w:tab w:val="left" w:pos="720"/>
        </w:tabs>
        <w:ind w:left="1080"/>
        <w:jc w:val="both"/>
      </w:pPr>
      <w:r>
        <w:rPr>
          <w:rFonts w:hint="cs"/>
          <w:b/>
          <w:bCs/>
          <w:u w:val="single"/>
          <w:rtl/>
        </w:rPr>
        <w:t>עונש המאסר ירוצה במצטבר לכל מאסר אחר אותו מרצה הנאשם</w:t>
      </w:r>
      <w:r w:rsidRPr="00317805">
        <w:rPr>
          <w:rFonts w:hint="cs"/>
          <w:rtl/>
        </w:rPr>
        <w:t>.</w:t>
      </w:r>
    </w:p>
    <w:p w14:paraId="36FDB57C" w14:textId="77777777" w:rsidR="0076340B" w:rsidRDefault="0076340B" w:rsidP="0076340B">
      <w:pPr>
        <w:pStyle w:val="a"/>
        <w:numPr>
          <w:ilvl w:val="1"/>
          <w:numId w:val="2"/>
        </w:numPr>
        <w:tabs>
          <w:tab w:val="left" w:pos="720"/>
        </w:tabs>
        <w:jc w:val="both"/>
      </w:pPr>
      <w:r>
        <w:rPr>
          <w:rFonts w:hint="cs"/>
          <w:b/>
          <w:bCs/>
          <w:rtl/>
        </w:rPr>
        <w:t>8 חודשי מאסר על תנאי</w:t>
      </w:r>
      <w:r>
        <w:rPr>
          <w:rFonts w:hint="cs"/>
          <w:rtl/>
        </w:rPr>
        <w:t xml:space="preserve">, שלא יעבור תוך 3 שנים מיום שחרורו ממאסר עבירה על פקודת הסמים מסוג פשע. </w:t>
      </w:r>
    </w:p>
    <w:p w14:paraId="3E28350E" w14:textId="77777777" w:rsidR="0076340B" w:rsidRDefault="0076340B" w:rsidP="0076340B">
      <w:pPr>
        <w:pStyle w:val="a"/>
        <w:numPr>
          <w:ilvl w:val="1"/>
          <w:numId w:val="2"/>
        </w:numPr>
        <w:tabs>
          <w:tab w:val="left" w:pos="720"/>
        </w:tabs>
        <w:jc w:val="both"/>
      </w:pPr>
      <w:r>
        <w:rPr>
          <w:rFonts w:hint="cs"/>
          <w:b/>
          <w:bCs/>
          <w:rtl/>
        </w:rPr>
        <w:t>4 חודשי מאסר על תנאי</w:t>
      </w:r>
      <w:r>
        <w:rPr>
          <w:rFonts w:hint="cs"/>
          <w:rtl/>
        </w:rPr>
        <w:t xml:space="preserve">, שלא יעבור תוך 3 שנים מיום שחרורו ממאסר עבירה על פקודת הסמים מסוג עוון. </w:t>
      </w:r>
    </w:p>
    <w:p w14:paraId="27884037" w14:textId="77777777" w:rsidR="0076340B" w:rsidRDefault="0076340B" w:rsidP="0076340B">
      <w:pPr>
        <w:pStyle w:val="a"/>
        <w:numPr>
          <w:ilvl w:val="1"/>
          <w:numId w:val="2"/>
        </w:numPr>
        <w:tabs>
          <w:tab w:val="left" w:pos="720"/>
        </w:tabs>
        <w:jc w:val="both"/>
      </w:pPr>
      <w:r w:rsidRPr="007E3A13">
        <w:rPr>
          <w:rFonts w:hint="cs"/>
          <w:b/>
          <w:bCs/>
          <w:rtl/>
        </w:rPr>
        <w:t>קנס בסך 5,000 ₪</w:t>
      </w:r>
      <w:r>
        <w:rPr>
          <w:rFonts w:hint="cs"/>
          <w:rtl/>
        </w:rPr>
        <w:t xml:space="preserve"> או 50 ימי מאסר תמורתו. הקנס ישולם תוך 60 יום.</w:t>
      </w:r>
    </w:p>
    <w:p w14:paraId="31144790" w14:textId="77777777" w:rsidR="0076340B" w:rsidRDefault="0076340B" w:rsidP="0076340B">
      <w:pPr>
        <w:pStyle w:val="a"/>
        <w:numPr>
          <w:ilvl w:val="1"/>
          <w:numId w:val="2"/>
        </w:numPr>
        <w:tabs>
          <w:tab w:val="left" w:pos="720"/>
        </w:tabs>
        <w:jc w:val="both"/>
      </w:pPr>
      <w:r>
        <w:rPr>
          <w:rFonts w:hint="cs"/>
          <w:rtl/>
        </w:rPr>
        <w:t>מכריז על הנאשם כסוחר סמים.</w:t>
      </w:r>
    </w:p>
    <w:p w14:paraId="720A2106" w14:textId="77777777" w:rsidR="0076340B" w:rsidRDefault="0076340B" w:rsidP="0076340B">
      <w:pPr>
        <w:pStyle w:val="a"/>
        <w:numPr>
          <w:ilvl w:val="0"/>
          <w:numId w:val="2"/>
        </w:numPr>
        <w:tabs>
          <w:tab w:val="left" w:pos="720"/>
        </w:tabs>
        <w:jc w:val="both"/>
      </w:pPr>
      <w:r>
        <w:rPr>
          <w:rFonts w:hint="cs"/>
          <w:rtl/>
        </w:rPr>
        <w:t>צו כללי למוצגים.</w:t>
      </w:r>
    </w:p>
    <w:p w14:paraId="09A1C87D" w14:textId="77777777" w:rsidR="0076340B" w:rsidRDefault="00D86421" w:rsidP="0076340B">
      <w:pPr>
        <w:pStyle w:val="a"/>
        <w:numPr>
          <w:ilvl w:val="0"/>
          <w:numId w:val="2"/>
        </w:numPr>
        <w:tabs>
          <w:tab w:val="left" w:pos="720"/>
        </w:tabs>
        <w:jc w:val="both"/>
      </w:pPr>
      <w:r w:rsidRPr="00D86421">
        <w:rPr>
          <w:b/>
          <w:bCs/>
          <w:color w:val="FFFFFF"/>
          <w:sz w:val="2"/>
          <w:szCs w:val="2"/>
          <w:u w:val="single"/>
          <w:rtl/>
        </w:rPr>
        <w:t>5129371</w:t>
      </w:r>
      <w:r w:rsidR="0076340B">
        <w:rPr>
          <w:rFonts w:hint="cs"/>
          <w:b/>
          <w:bCs/>
          <w:u w:val="single"/>
          <w:rtl/>
        </w:rPr>
        <w:t>זכות ערעור לבית המשפט המחוזי תוך 45 ימים מהיום</w:t>
      </w:r>
      <w:r w:rsidR="0076340B" w:rsidRPr="00317805">
        <w:rPr>
          <w:rFonts w:hint="cs"/>
          <w:b/>
          <w:bCs/>
          <w:rtl/>
        </w:rPr>
        <w:t>.</w:t>
      </w:r>
    </w:p>
    <w:p w14:paraId="1E9506B4" w14:textId="77777777" w:rsidR="0076340B" w:rsidRPr="00D86421" w:rsidRDefault="00D86421" w:rsidP="0076340B">
      <w:pPr>
        <w:rPr>
          <w:rFonts w:ascii="Arial" w:hAnsi="Arial"/>
          <w:b/>
          <w:bCs/>
          <w:color w:val="FFFFFF"/>
          <w:sz w:val="2"/>
          <w:szCs w:val="2"/>
          <w:rtl/>
        </w:rPr>
      </w:pPr>
      <w:r w:rsidRPr="00D86421">
        <w:rPr>
          <w:rFonts w:ascii="Arial" w:hAnsi="Arial"/>
          <w:b/>
          <w:bCs/>
          <w:color w:val="FFFFFF"/>
          <w:sz w:val="2"/>
          <w:szCs w:val="2"/>
          <w:rtl/>
        </w:rPr>
        <w:t>54678313</w:t>
      </w:r>
    </w:p>
    <w:p w14:paraId="562EF012" w14:textId="77777777" w:rsidR="0076340B" w:rsidRPr="000F2247" w:rsidRDefault="0076340B" w:rsidP="0076340B">
      <w:pPr>
        <w:rPr>
          <w:rFonts w:ascii="Arial" w:hAnsi="Arial"/>
          <w:b/>
          <w:bCs/>
          <w:sz w:val="26"/>
          <w:szCs w:val="26"/>
          <w:rtl/>
        </w:rPr>
      </w:pPr>
    </w:p>
    <w:p w14:paraId="61BCC3B8" w14:textId="77777777" w:rsidR="0076340B" w:rsidRPr="000F2247" w:rsidRDefault="00D86421" w:rsidP="0076340B">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כ"ג כסלו תשפ"ה, 24 דצמבר 2024, במעמד הצדדים. </w:t>
      </w:r>
      <w:bookmarkEnd w:id="7"/>
      <w:r w:rsidR="0076340B">
        <w:rPr>
          <w:rFonts w:ascii="Arial" w:hAnsi="Arial"/>
          <w:b/>
          <w:bCs/>
          <w:sz w:val="26"/>
          <w:szCs w:val="26"/>
          <w:rtl/>
        </w:rPr>
        <w:tab/>
      </w:r>
      <w:r w:rsidR="0076340B">
        <w:rPr>
          <w:rFonts w:ascii="Arial" w:hAnsi="Arial"/>
          <w:b/>
          <w:bCs/>
          <w:sz w:val="26"/>
          <w:szCs w:val="26"/>
          <w:rtl/>
        </w:rPr>
        <w:tab/>
      </w:r>
      <w:r w:rsidR="0076340B">
        <w:rPr>
          <w:rFonts w:ascii="Arial" w:hAnsi="Arial"/>
          <w:b/>
          <w:bCs/>
          <w:sz w:val="26"/>
          <w:szCs w:val="26"/>
          <w:rtl/>
        </w:rPr>
        <w:tab/>
      </w:r>
      <w:r w:rsidR="0076340B">
        <w:rPr>
          <w:rFonts w:ascii="Arial" w:hAnsi="Arial"/>
          <w:b/>
          <w:bCs/>
          <w:sz w:val="26"/>
          <w:szCs w:val="26"/>
          <w:rtl/>
        </w:rPr>
        <w:tab/>
      </w:r>
      <w:r w:rsidR="0076340B">
        <w:rPr>
          <w:rFonts w:ascii="Arial" w:hAnsi="Arial"/>
          <w:b/>
          <w:bCs/>
          <w:sz w:val="26"/>
          <w:szCs w:val="26"/>
          <w:rtl/>
        </w:rPr>
        <w:tab/>
      </w:r>
      <w:r w:rsidR="0076340B">
        <w:rPr>
          <w:rFonts w:ascii="Arial" w:hAnsi="Arial"/>
          <w:b/>
          <w:bCs/>
          <w:sz w:val="26"/>
          <w:szCs w:val="26"/>
          <w:rtl/>
        </w:rPr>
        <w:tab/>
      </w:r>
      <w:r w:rsidR="0076340B">
        <w:rPr>
          <w:rFonts w:ascii="Arial" w:hAnsi="Arial"/>
          <w:b/>
          <w:bCs/>
          <w:sz w:val="26"/>
          <w:szCs w:val="26"/>
          <w:rtl/>
        </w:rPr>
        <w:tab/>
      </w:r>
      <w:r w:rsidR="0076340B">
        <w:rPr>
          <w:rFonts w:ascii="Arial" w:hAnsi="Arial" w:hint="cs"/>
          <w:b/>
          <w:bCs/>
          <w:sz w:val="26"/>
          <w:szCs w:val="26"/>
          <w:rtl/>
        </w:rPr>
        <w:t xml:space="preserve">         </w:t>
      </w:r>
    </w:p>
    <w:p w14:paraId="21AD5A3D" w14:textId="77777777" w:rsidR="0076340B" w:rsidRPr="000F2247" w:rsidRDefault="0076340B" w:rsidP="00D8642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26B9B52" w14:textId="77777777" w:rsidR="0076340B" w:rsidRPr="00F47DCD" w:rsidRDefault="00F47DCD" w:rsidP="0076340B">
      <w:pPr>
        <w:jc w:val="center"/>
        <w:rPr>
          <w:rFonts w:ascii="Arial" w:hAnsi="Arial"/>
          <w:b/>
          <w:bCs/>
          <w:color w:val="FFFFFF"/>
          <w:sz w:val="2"/>
          <w:szCs w:val="2"/>
          <w:rtl/>
        </w:rPr>
      </w:pPr>
      <w:r w:rsidRPr="00F47DCD">
        <w:rPr>
          <w:rFonts w:ascii="Arial" w:hAnsi="Arial"/>
          <w:b/>
          <w:bCs/>
          <w:color w:val="FFFFFF"/>
          <w:sz w:val="2"/>
          <w:szCs w:val="2"/>
          <w:rtl/>
        </w:rPr>
        <w:t>5129371</w:t>
      </w:r>
    </w:p>
    <w:p w14:paraId="4532655E" w14:textId="77777777" w:rsidR="006962C6" w:rsidRPr="00F47DCD" w:rsidRDefault="00F47DCD" w:rsidP="00D86421">
      <w:pPr>
        <w:keepNext/>
        <w:rPr>
          <w:rFonts w:ascii="David" w:hAnsi="David"/>
          <w:color w:val="FFFFFF"/>
          <w:sz w:val="2"/>
          <w:szCs w:val="2"/>
          <w:rtl/>
        </w:rPr>
      </w:pPr>
      <w:r w:rsidRPr="00F47DCD">
        <w:rPr>
          <w:rFonts w:ascii="David" w:hAnsi="David"/>
          <w:color w:val="FFFFFF"/>
          <w:sz w:val="2"/>
          <w:szCs w:val="2"/>
          <w:rtl/>
        </w:rPr>
        <w:t>54678313</w:t>
      </w:r>
    </w:p>
    <w:p w14:paraId="3967930D" w14:textId="77777777" w:rsidR="00D86421" w:rsidRDefault="00D86421" w:rsidP="00D86421">
      <w:pPr>
        <w:rPr>
          <w:rtl/>
        </w:rPr>
      </w:pPr>
    </w:p>
    <w:p w14:paraId="558133A3" w14:textId="77777777" w:rsidR="00D86421" w:rsidRDefault="00D86421" w:rsidP="00D86421">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58A6CCDB" w14:textId="77777777" w:rsidR="00F47DCD" w:rsidRPr="00F47DCD" w:rsidRDefault="00F47DCD" w:rsidP="00F47DCD">
      <w:pPr>
        <w:keepNext/>
        <w:rPr>
          <w:rFonts w:ascii="David" w:hAnsi="David"/>
          <w:color w:val="000000"/>
          <w:sz w:val="22"/>
          <w:szCs w:val="22"/>
          <w:rtl/>
        </w:rPr>
      </w:pPr>
    </w:p>
    <w:p w14:paraId="120DC2D5" w14:textId="77777777" w:rsidR="00F47DCD" w:rsidRPr="00F47DCD" w:rsidRDefault="00F47DCD" w:rsidP="00F47DCD">
      <w:pPr>
        <w:keepNext/>
        <w:rPr>
          <w:rFonts w:ascii="David" w:hAnsi="David"/>
          <w:color w:val="000000"/>
          <w:sz w:val="22"/>
          <w:szCs w:val="22"/>
          <w:rtl/>
        </w:rPr>
      </w:pPr>
      <w:r w:rsidRPr="00F47DCD">
        <w:rPr>
          <w:rFonts w:ascii="David" w:hAnsi="David"/>
          <w:color w:val="000000"/>
          <w:sz w:val="22"/>
          <w:szCs w:val="22"/>
          <w:rtl/>
        </w:rPr>
        <w:t>טל ענר 54678313-/</w:t>
      </w:r>
    </w:p>
    <w:p w14:paraId="34F80D9E" w14:textId="77777777" w:rsidR="00D86421" w:rsidRPr="00D86421" w:rsidRDefault="00F47DCD" w:rsidP="00F47DCD">
      <w:pPr>
        <w:rPr>
          <w:color w:val="0000FF"/>
          <w:u w:val="single"/>
        </w:rPr>
      </w:pPr>
      <w:r w:rsidRPr="00F47DCD">
        <w:rPr>
          <w:color w:val="000000"/>
          <w:u w:val="single"/>
          <w:rtl/>
        </w:rPr>
        <w:t>נוסח מסמך זה כפוף לשינויי ניסוח ועריכה</w:t>
      </w:r>
    </w:p>
    <w:sectPr w:rsidR="00D86421" w:rsidRPr="00D86421" w:rsidSect="00F47DCD">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DCE77" w14:textId="77777777" w:rsidR="00942D9A" w:rsidRDefault="00942D9A" w:rsidP="004B29D5">
      <w:r>
        <w:separator/>
      </w:r>
    </w:p>
  </w:endnote>
  <w:endnote w:type="continuationSeparator" w:id="0">
    <w:p w14:paraId="75BF887A" w14:textId="77777777" w:rsidR="00942D9A" w:rsidRDefault="00942D9A" w:rsidP="004B2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6D420" w14:textId="77777777" w:rsidR="00F47DCD" w:rsidRDefault="00F47DCD" w:rsidP="00F47DCD">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B748547" w14:textId="77777777" w:rsidR="00721FAF" w:rsidRPr="00F47DCD" w:rsidRDefault="00F47DCD" w:rsidP="00F47DCD">
    <w:pPr>
      <w:pStyle w:val="a6"/>
      <w:pBdr>
        <w:top w:val="single" w:sz="4" w:space="1" w:color="auto"/>
        <w:between w:val="single" w:sz="4" w:space="0" w:color="auto"/>
      </w:pBdr>
      <w:spacing w:after="60"/>
      <w:jc w:val="center"/>
      <w:rPr>
        <w:rFonts w:ascii="FrankRuehl" w:hAnsi="FrankRuehl" w:cs="FrankRuehl"/>
        <w:color w:val="000000"/>
      </w:rPr>
    </w:pPr>
    <w:r w:rsidRPr="00F47D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9AD1E" w14:textId="77777777" w:rsidR="00F47DCD" w:rsidRDefault="00F47DCD" w:rsidP="00F47DCD">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4805">
      <w:rPr>
        <w:rFonts w:ascii="FrankRuehl" w:hAnsi="FrankRuehl" w:cs="FrankRuehl"/>
        <w:noProof/>
        <w:rtl/>
      </w:rPr>
      <w:t>1</w:t>
    </w:r>
    <w:r>
      <w:rPr>
        <w:rFonts w:ascii="FrankRuehl" w:hAnsi="FrankRuehl" w:cs="FrankRuehl"/>
        <w:rtl/>
      </w:rPr>
      <w:fldChar w:fldCharType="end"/>
    </w:r>
  </w:p>
  <w:p w14:paraId="3BF330FD" w14:textId="77777777" w:rsidR="00721FAF" w:rsidRPr="00F47DCD" w:rsidRDefault="00F47DCD" w:rsidP="00F47DCD">
    <w:pPr>
      <w:pStyle w:val="a6"/>
      <w:pBdr>
        <w:top w:val="single" w:sz="4" w:space="1" w:color="auto"/>
        <w:between w:val="single" w:sz="4" w:space="0" w:color="auto"/>
      </w:pBdr>
      <w:spacing w:after="60"/>
      <w:jc w:val="center"/>
      <w:rPr>
        <w:rFonts w:ascii="FrankRuehl" w:hAnsi="FrankRuehl" w:cs="FrankRuehl"/>
        <w:color w:val="000000"/>
      </w:rPr>
    </w:pPr>
    <w:r w:rsidRPr="00F47DCD">
      <w:rPr>
        <w:rFonts w:ascii="FrankRuehl" w:hAnsi="FrankRuehl" w:cs="FrankRuehl"/>
        <w:color w:val="000000"/>
      </w:rPr>
      <w:pict w14:anchorId="3A94BA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CB439" w14:textId="77777777" w:rsidR="00942D9A" w:rsidRDefault="00942D9A" w:rsidP="004B29D5">
      <w:r>
        <w:separator/>
      </w:r>
    </w:p>
  </w:footnote>
  <w:footnote w:type="continuationSeparator" w:id="0">
    <w:p w14:paraId="5F828524" w14:textId="77777777" w:rsidR="00942D9A" w:rsidRDefault="00942D9A" w:rsidP="004B2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F36BD" w14:textId="77777777" w:rsidR="00D86421" w:rsidRPr="00F47DCD" w:rsidRDefault="00F47DCD" w:rsidP="00F47DC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5714-08-24</w:t>
    </w:r>
    <w:r>
      <w:rPr>
        <w:rFonts w:ascii="David" w:hAnsi="David"/>
        <w:color w:val="000000"/>
        <w:sz w:val="22"/>
        <w:szCs w:val="22"/>
        <w:rtl/>
      </w:rPr>
      <w:tab/>
      <w:t xml:space="preserve"> מדינת ישראל נ' נתנאל דיעי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56DC3" w14:textId="77777777" w:rsidR="00D86421" w:rsidRPr="00F47DCD" w:rsidRDefault="00F47DCD" w:rsidP="00F47DC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5714-08-24</w:t>
    </w:r>
    <w:r>
      <w:rPr>
        <w:rFonts w:ascii="David" w:hAnsi="David"/>
        <w:color w:val="000000"/>
        <w:sz w:val="22"/>
        <w:szCs w:val="22"/>
        <w:rtl/>
      </w:rPr>
      <w:tab/>
      <w:t xml:space="preserve"> מדינת ישראל נ' נתנאל דיעי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05BD4"/>
    <w:multiLevelType w:val="hybridMultilevel"/>
    <w:tmpl w:val="664614B2"/>
    <w:lvl w:ilvl="0" w:tplc="300CCCEE">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E6DF5"/>
    <w:multiLevelType w:val="hybridMultilevel"/>
    <w:tmpl w:val="5FA22BDC"/>
    <w:lvl w:ilvl="0" w:tplc="018491C6">
      <w:start w:val="1"/>
      <w:numFmt w:val="decimal"/>
      <w:pStyle w:val="a"/>
      <w:lvlText w:val="%1."/>
      <w:lvlJc w:val="left"/>
      <w:pPr>
        <w:tabs>
          <w:tab w:val="num" w:pos="720"/>
        </w:tabs>
        <w:ind w:left="720" w:hanging="720"/>
      </w:pPr>
      <w:rPr>
        <w:rFonts w:ascii="Times New Roman" w:eastAsia="Times New Roman" w:hAnsi="Times New Roman" w:cs="David"/>
      </w:rPr>
    </w:lvl>
    <w:lvl w:ilvl="1" w:tplc="DB562B38">
      <w:start w:val="1"/>
      <w:numFmt w:val="hebrew1"/>
      <w:lvlText w:val="%2."/>
      <w:lvlJc w:val="left"/>
      <w:pPr>
        <w:tabs>
          <w:tab w:val="num" w:pos="1494"/>
        </w:tabs>
        <w:ind w:left="1494"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700F9C"/>
    <w:multiLevelType w:val="hybridMultilevel"/>
    <w:tmpl w:val="5C36E3D0"/>
    <w:lvl w:ilvl="0" w:tplc="6A1C3D82">
      <w:start w:val="1"/>
      <w:numFmt w:val="decimal"/>
      <w:lvlText w:val="%1."/>
      <w:lvlJc w:val="left"/>
      <w:pPr>
        <w:ind w:left="360" w:hanging="360"/>
      </w:pPr>
      <w:rPr>
        <w:b w:val="0"/>
        <w:bCs w:val="0"/>
        <w:lang w:val="en-US"/>
      </w:r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82372CA"/>
    <w:multiLevelType w:val="hybridMultilevel"/>
    <w:tmpl w:val="D5C6A692"/>
    <w:lvl w:ilvl="0" w:tplc="D3669522">
      <w:start w:val="16"/>
      <w:numFmt w:val="bullet"/>
      <w:lvlText w:val="-"/>
      <w:lvlJc w:val="left"/>
      <w:pPr>
        <w:ind w:left="720" w:hanging="360"/>
      </w:pPr>
      <w:rPr>
        <w:rFonts w:ascii="David" w:eastAsia="Times New Roman"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271748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6412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8102181">
    <w:abstractNumId w:val="3"/>
  </w:num>
  <w:num w:numId="4" w16cid:durableId="149024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6340B"/>
    <w:rsid w:val="001B5A3B"/>
    <w:rsid w:val="004B29D5"/>
    <w:rsid w:val="006962C6"/>
    <w:rsid w:val="00721FAF"/>
    <w:rsid w:val="0076340B"/>
    <w:rsid w:val="00942D9A"/>
    <w:rsid w:val="00B55A07"/>
    <w:rsid w:val="00B84805"/>
    <w:rsid w:val="00D86421"/>
    <w:rsid w:val="00F47D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C879AC"/>
  <w15:chartTrackingRefBased/>
  <w15:docId w15:val="{C9192C8E-7B3E-4279-A217-38023CCE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6340B"/>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76340B"/>
    <w:pPr>
      <w:tabs>
        <w:tab w:val="center" w:pos="4153"/>
        <w:tab w:val="right" w:pos="8306"/>
      </w:tabs>
    </w:pPr>
  </w:style>
  <w:style w:type="character" w:customStyle="1" w:styleId="a5">
    <w:name w:val="כותרת עליונה תו"/>
    <w:link w:val="a4"/>
    <w:rsid w:val="0076340B"/>
    <w:rPr>
      <w:rFonts w:ascii="Times New Roman" w:eastAsia="Times New Roman" w:hAnsi="Times New Roman" w:cs="David"/>
      <w:sz w:val="24"/>
      <w:szCs w:val="24"/>
    </w:rPr>
  </w:style>
  <w:style w:type="paragraph" w:styleId="a6">
    <w:name w:val="footer"/>
    <w:basedOn w:val="a0"/>
    <w:link w:val="a7"/>
    <w:rsid w:val="0076340B"/>
    <w:pPr>
      <w:tabs>
        <w:tab w:val="center" w:pos="4153"/>
        <w:tab w:val="right" w:pos="8306"/>
      </w:tabs>
    </w:pPr>
  </w:style>
  <w:style w:type="character" w:customStyle="1" w:styleId="a7">
    <w:name w:val="כותרת תחתונה תו"/>
    <w:link w:val="a6"/>
    <w:rsid w:val="0076340B"/>
    <w:rPr>
      <w:rFonts w:ascii="Times New Roman" w:eastAsia="Times New Roman" w:hAnsi="Times New Roman" w:cs="David"/>
      <w:sz w:val="24"/>
      <w:szCs w:val="24"/>
    </w:rPr>
  </w:style>
  <w:style w:type="table" w:styleId="a8">
    <w:name w:val="Table Grid"/>
    <w:basedOn w:val="a2"/>
    <w:rsid w:val="0076340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76340B"/>
  </w:style>
  <w:style w:type="paragraph" w:customStyle="1" w:styleId="a">
    <w:name w:val="ממוספר"/>
    <w:basedOn w:val="a0"/>
    <w:rsid w:val="0076340B"/>
    <w:pPr>
      <w:numPr>
        <w:numId w:val="1"/>
      </w:numPr>
      <w:spacing w:after="120" w:line="360" w:lineRule="auto"/>
    </w:pPr>
    <w:rPr>
      <w:rFonts w:ascii="David" w:hAnsi="David"/>
      <w:color w:val="000000"/>
    </w:rPr>
  </w:style>
  <w:style w:type="character" w:customStyle="1" w:styleId="default">
    <w:name w:val="default"/>
    <w:rsid w:val="0076340B"/>
  </w:style>
  <w:style w:type="character" w:styleId="Hyperlink">
    <w:name w:val="Hyperlink"/>
    <w:rsid w:val="00D8642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 TargetMode="External"/><Relationship Id="rId18" Type="http://schemas.openxmlformats.org/officeDocument/2006/relationships/hyperlink" Target="http://www.nevo.co.il/case/26758598" TargetMode="External"/><Relationship Id="rId26" Type="http://schemas.openxmlformats.org/officeDocument/2006/relationships/hyperlink" Target="http://www.nevo.co.il/case/20178093"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2217955" TargetMode="External"/><Relationship Id="rId34" Type="http://schemas.openxmlformats.org/officeDocument/2006/relationships/hyperlink" Target="http://www.nevo.co.il/law/70301/fCb1S"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law/70301/52.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52.c" TargetMode="External"/><Relationship Id="rId24" Type="http://schemas.openxmlformats.org/officeDocument/2006/relationships/hyperlink" Target="http://www.nevo.co.il/case/23751286" TargetMode="External"/><Relationship Id="rId32" Type="http://schemas.openxmlformats.org/officeDocument/2006/relationships/hyperlink" Target="http://www.nevo.co.il/law/74903" TargetMode="External"/><Relationship Id="rId37" Type="http://schemas.openxmlformats.org/officeDocument/2006/relationships/hyperlink" Target="http://www.nevo.co.il/law/70301/52.c"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30620424" TargetMode="External"/><Relationship Id="rId28" Type="http://schemas.openxmlformats.org/officeDocument/2006/relationships/hyperlink" Target="http://www.nevo.co.il/case/26758598" TargetMode="External"/><Relationship Id="rId36" Type="http://schemas.openxmlformats.org/officeDocument/2006/relationships/hyperlink" Target="http://www.nevo.co.il/case/27226486"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5726579" TargetMode="External"/><Relationship Id="rId31" Type="http://schemas.openxmlformats.org/officeDocument/2006/relationships/hyperlink" Target="http://www.nevo.co.il/law/74903/cCb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4903/cCbS" TargetMode="External"/><Relationship Id="rId22" Type="http://schemas.openxmlformats.org/officeDocument/2006/relationships/hyperlink" Target="http://www.nevo.co.il/case/26402047" TargetMode="External"/><Relationship Id="rId27" Type="http://schemas.openxmlformats.org/officeDocument/2006/relationships/hyperlink" Target="http://www.nevo.co.il/case/23565443"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fCb1S"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956295" TargetMode="External"/><Relationship Id="rId33" Type="http://schemas.openxmlformats.org/officeDocument/2006/relationships/hyperlink" Target="http://www.nevo.co.il/law/70301/fCb1S" TargetMode="External"/><Relationship Id="rId38" Type="http://schemas.openxmlformats.org/officeDocument/2006/relationships/hyperlink" Target="http://www.nevo.co.il/case/26758598" TargetMode="External"/><Relationship Id="rId20" Type="http://schemas.openxmlformats.org/officeDocument/2006/relationships/hyperlink" Target="http://www.nevo.co.il/case/27589322"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1763</Words>
  <Characters>8818</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10560</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3407986</vt:i4>
      </vt:variant>
      <vt:variant>
        <vt:i4>93</vt:i4>
      </vt:variant>
      <vt:variant>
        <vt:i4>0</vt:i4>
      </vt:variant>
      <vt:variant>
        <vt:i4>5</vt:i4>
      </vt:variant>
      <vt:variant>
        <vt:lpwstr>http://www.nevo.co.il/case/26758598</vt:lpwstr>
      </vt:variant>
      <vt:variant>
        <vt:lpwstr/>
      </vt:variant>
      <vt:variant>
        <vt:i4>262222</vt:i4>
      </vt:variant>
      <vt:variant>
        <vt:i4>90</vt:i4>
      </vt:variant>
      <vt:variant>
        <vt:i4>0</vt:i4>
      </vt:variant>
      <vt:variant>
        <vt:i4>5</vt:i4>
      </vt:variant>
      <vt:variant>
        <vt:lpwstr>http://www.nevo.co.il/law/70301/52.c</vt:lpwstr>
      </vt:variant>
      <vt:variant>
        <vt:lpwstr/>
      </vt:variant>
      <vt:variant>
        <vt:i4>4063349</vt:i4>
      </vt:variant>
      <vt:variant>
        <vt:i4>87</vt:i4>
      </vt:variant>
      <vt:variant>
        <vt:i4>0</vt:i4>
      </vt:variant>
      <vt:variant>
        <vt:i4>5</vt:i4>
      </vt:variant>
      <vt:variant>
        <vt:lpwstr>http://www.nevo.co.il/case/27226486</vt:lpwstr>
      </vt:variant>
      <vt:variant>
        <vt:lpwstr/>
      </vt:variant>
      <vt:variant>
        <vt:i4>7995492</vt:i4>
      </vt:variant>
      <vt:variant>
        <vt:i4>84</vt:i4>
      </vt:variant>
      <vt:variant>
        <vt:i4>0</vt:i4>
      </vt:variant>
      <vt:variant>
        <vt:i4>5</vt:i4>
      </vt:variant>
      <vt:variant>
        <vt:lpwstr>http://www.nevo.co.il/law/70301</vt:lpwstr>
      </vt:variant>
      <vt:variant>
        <vt:lpwstr/>
      </vt:variant>
      <vt:variant>
        <vt:i4>458833</vt:i4>
      </vt:variant>
      <vt:variant>
        <vt:i4>81</vt:i4>
      </vt:variant>
      <vt:variant>
        <vt:i4>0</vt:i4>
      </vt:variant>
      <vt:variant>
        <vt:i4>5</vt:i4>
      </vt:variant>
      <vt:variant>
        <vt:lpwstr>http://www.nevo.co.il/law/70301/fCb1S</vt:lpwstr>
      </vt:variant>
      <vt:variant>
        <vt:lpwstr/>
      </vt:variant>
      <vt:variant>
        <vt:i4>458833</vt:i4>
      </vt:variant>
      <vt:variant>
        <vt:i4>78</vt:i4>
      </vt:variant>
      <vt:variant>
        <vt:i4>0</vt:i4>
      </vt:variant>
      <vt:variant>
        <vt:i4>5</vt:i4>
      </vt:variant>
      <vt:variant>
        <vt:lpwstr>http://www.nevo.co.il/law/70301/fCb1S</vt:lpwstr>
      </vt:variant>
      <vt:variant>
        <vt:lpwstr/>
      </vt:variant>
      <vt:variant>
        <vt:i4>8257646</vt:i4>
      </vt:variant>
      <vt:variant>
        <vt:i4>75</vt:i4>
      </vt:variant>
      <vt:variant>
        <vt:i4>0</vt:i4>
      </vt:variant>
      <vt:variant>
        <vt:i4>5</vt:i4>
      </vt:variant>
      <vt:variant>
        <vt:lpwstr>http://www.nevo.co.il/law/74903</vt:lpwstr>
      </vt:variant>
      <vt:variant>
        <vt:lpwstr/>
      </vt:variant>
      <vt:variant>
        <vt:i4>4259932</vt:i4>
      </vt:variant>
      <vt:variant>
        <vt:i4>72</vt:i4>
      </vt:variant>
      <vt:variant>
        <vt:i4>0</vt:i4>
      </vt:variant>
      <vt:variant>
        <vt:i4>5</vt:i4>
      </vt:variant>
      <vt:variant>
        <vt:lpwstr>http://www.nevo.co.il/law/74903/cCbS</vt:lpwstr>
      </vt:variant>
      <vt:variant>
        <vt:lpwstr/>
      </vt:variant>
      <vt:variant>
        <vt:i4>7995492</vt:i4>
      </vt:variant>
      <vt:variant>
        <vt:i4>69</vt:i4>
      </vt:variant>
      <vt:variant>
        <vt:i4>0</vt:i4>
      </vt:variant>
      <vt:variant>
        <vt:i4>5</vt:i4>
      </vt:variant>
      <vt:variant>
        <vt:lpwstr>http://www.nevo.co.il/law/70301</vt:lpwstr>
      </vt:variant>
      <vt:variant>
        <vt:lpwstr/>
      </vt:variant>
      <vt:variant>
        <vt:i4>262222</vt:i4>
      </vt:variant>
      <vt:variant>
        <vt:i4>66</vt:i4>
      </vt:variant>
      <vt:variant>
        <vt:i4>0</vt:i4>
      </vt:variant>
      <vt:variant>
        <vt:i4>5</vt:i4>
      </vt:variant>
      <vt:variant>
        <vt:lpwstr>http://www.nevo.co.il/law/70301/52.c</vt:lpwstr>
      </vt:variant>
      <vt:variant>
        <vt:lpwstr/>
      </vt:variant>
      <vt:variant>
        <vt:i4>3407986</vt:i4>
      </vt:variant>
      <vt:variant>
        <vt:i4>63</vt:i4>
      </vt:variant>
      <vt:variant>
        <vt:i4>0</vt:i4>
      </vt:variant>
      <vt:variant>
        <vt:i4>5</vt:i4>
      </vt:variant>
      <vt:variant>
        <vt:lpwstr>http://www.nevo.co.il/case/26758598</vt:lpwstr>
      </vt:variant>
      <vt:variant>
        <vt:lpwstr/>
      </vt:variant>
      <vt:variant>
        <vt:i4>3539061</vt:i4>
      </vt:variant>
      <vt:variant>
        <vt:i4>60</vt:i4>
      </vt:variant>
      <vt:variant>
        <vt:i4>0</vt:i4>
      </vt:variant>
      <vt:variant>
        <vt:i4>5</vt:i4>
      </vt:variant>
      <vt:variant>
        <vt:lpwstr>http://www.nevo.co.il/case/23565443</vt:lpwstr>
      </vt:variant>
      <vt:variant>
        <vt:lpwstr/>
      </vt:variant>
      <vt:variant>
        <vt:i4>3276915</vt:i4>
      </vt:variant>
      <vt:variant>
        <vt:i4>57</vt:i4>
      </vt:variant>
      <vt:variant>
        <vt:i4>0</vt:i4>
      </vt:variant>
      <vt:variant>
        <vt:i4>5</vt:i4>
      </vt:variant>
      <vt:variant>
        <vt:lpwstr>http://www.nevo.co.il/case/20178093</vt:lpwstr>
      </vt:variant>
      <vt:variant>
        <vt:lpwstr/>
      </vt:variant>
      <vt:variant>
        <vt:i4>3407987</vt:i4>
      </vt:variant>
      <vt:variant>
        <vt:i4>54</vt:i4>
      </vt:variant>
      <vt:variant>
        <vt:i4>0</vt:i4>
      </vt:variant>
      <vt:variant>
        <vt:i4>5</vt:i4>
      </vt:variant>
      <vt:variant>
        <vt:lpwstr>http://www.nevo.co.il/case/20956295</vt:lpwstr>
      </vt:variant>
      <vt:variant>
        <vt:lpwstr/>
      </vt:variant>
      <vt:variant>
        <vt:i4>3932272</vt:i4>
      </vt:variant>
      <vt:variant>
        <vt:i4>51</vt:i4>
      </vt:variant>
      <vt:variant>
        <vt:i4>0</vt:i4>
      </vt:variant>
      <vt:variant>
        <vt:i4>5</vt:i4>
      </vt:variant>
      <vt:variant>
        <vt:lpwstr>http://www.nevo.co.il/case/23751286</vt:lpwstr>
      </vt:variant>
      <vt:variant>
        <vt:lpwstr/>
      </vt:variant>
      <vt:variant>
        <vt:i4>3604594</vt:i4>
      </vt:variant>
      <vt:variant>
        <vt:i4>48</vt:i4>
      </vt:variant>
      <vt:variant>
        <vt:i4>0</vt:i4>
      </vt:variant>
      <vt:variant>
        <vt:i4>5</vt:i4>
      </vt:variant>
      <vt:variant>
        <vt:lpwstr>http://www.nevo.co.il/case/30620424</vt:lpwstr>
      </vt:variant>
      <vt:variant>
        <vt:lpwstr/>
      </vt:variant>
      <vt:variant>
        <vt:i4>3145842</vt:i4>
      </vt:variant>
      <vt:variant>
        <vt:i4>45</vt:i4>
      </vt:variant>
      <vt:variant>
        <vt:i4>0</vt:i4>
      </vt:variant>
      <vt:variant>
        <vt:i4>5</vt:i4>
      </vt:variant>
      <vt:variant>
        <vt:lpwstr>http://www.nevo.co.il/case/26402047</vt:lpwstr>
      </vt:variant>
      <vt:variant>
        <vt:lpwstr/>
      </vt:variant>
      <vt:variant>
        <vt:i4>3276926</vt:i4>
      </vt:variant>
      <vt:variant>
        <vt:i4>42</vt:i4>
      </vt:variant>
      <vt:variant>
        <vt:i4>0</vt:i4>
      </vt:variant>
      <vt:variant>
        <vt:i4>5</vt:i4>
      </vt:variant>
      <vt:variant>
        <vt:lpwstr>http://www.nevo.co.il/case/22217955</vt:lpwstr>
      </vt:variant>
      <vt:variant>
        <vt:lpwstr/>
      </vt:variant>
      <vt:variant>
        <vt:i4>3932280</vt:i4>
      </vt:variant>
      <vt:variant>
        <vt:i4>39</vt:i4>
      </vt:variant>
      <vt:variant>
        <vt:i4>0</vt:i4>
      </vt:variant>
      <vt:variant>
        <vt:i4>5</vt:i4>
      </vt:variant>
      <vt:variant>
        <vt:lpwstr>http://www.nevo.co.il/case/27589322</vt:lpwstr>
      </vt:variant>
      <vt:variant>
        <vt:lpwstr/>
      </vt:variant>
      <vt:variant>
        <vt:i4>3866738</vt:i4>
      </vt:variant>
      <vt:variant>
        <vt:i4>36</vt:i4>
      </vt:variant>
      <vt:variant>
        <vt:i4>0</vt:i4>
      </vt:variant>
      <vt:variant>
        <vt:i4>5</vt:i4>
      </vt:variant>
      <vt:variant>
        <vt:lpwstr>http://www.nevo.co.il/case/5726579</vt:lpwstr>
      </vt:variant>
      <vt:variant>
        <vt:lpwstr/>
      </vt:variant>
      <vt:variant>
        <vt:i4>3407986</vt:i4>
      </vt:variant>
      <vt:variant>
        <vt:i4>33</vt:i4>
      </vt:variant>
      <vt:variant>
        <vt:i4>0</vt:i4>
      </vt:variant>
      <vt:variant>
        <vt:i4>5</vt:i4>
      </vt:variant>
      <vt:variant>
        <vt:lpwstr>http://www.nevo.co.il/case/26758598</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4259932</vt:i4>
      </vt:variant>
      <vt:variant>
        <vt:i4>21</vt:i4>
      </vt:variant>
      <vt:variant>
        <vt:i4>0</vt:i4>
      </vt:variant>
      <vt:variant>
        <vt:i4>5</vt:i4>
      </vt:variant>
      <vt:variant>
        <vt:lpwstr>http://www.nevo.co.il/law/74903/cCbS</vt:lpwstr>
      </vt:variant>
      <vt:variant>
        <vt:lpwstr/>
      </vt:variant>
      <vt:variant>
        <vt:i4>8257646</vt:i4>
      </vt:variant>
      <vt:variant>
        <vt:i4>18</vt:i4>
      </vt:variant>
      <vt:variant>
        <vt:i4>0</vt:i4>
      </vt:variant>
      <vt:variant>
        <vt:i4>5</vt:i4>
      </vt:variant>
      <vt:variant>
        <vt:lpwstr>http://www.nevo.co.il/law/74903</vt:lpwstr>
      </vt:variant>
      <vt:variant>
        <vt:lpwstr/>
      </vt:variant>
      <vt:variant>
        <vt:i4>458833</vt:i4>
      </vt:variant>
      <vt:variant>
        <vt:i4>15</vt:i4>
      </vt:variant>
      <vt:variant>
        <vt:i4>0</vt:i4>
      </vt:variant>
      <vt:variant>
        <vt:i4>5</vt:i4>
      </vt:variant>
      <vt:variant>
        <vt:lpwstr>http://www.nevo.co.il/law/70301/fCb1S</vt:lpwstr>
      </vt:variant>
      <vt:variant>
        <vt:lpwstr/>
      </vt:variant>
      <vt:variant>
        <vt:i4>262222</vt:i4>
      </vt:variant>
      <vt:variant>
        <vt:i4>12</vt:i4>
      </vt:variant>
      <vt:variant>
        <vt:i4>0</vt:i4>
      </vt:variant>
      <vt:variant>
        <vt:i4>5</vt:i4>
      </vt:variant>
      <vt:variant>
        <vt:lpwstr>http://www.nevo.co.il/law/70301/52.c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2025-04-23T01:59:00Z</dcterms:created>
  <dcterms:modified xsi:type="dcterms:W3CDTF">2025-04-23T01:59:00Z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5714</vt:lpwstr>
  </property>
  <property fmtid="{D5CDD505-2E9C-101B-9397-08002B2CF9AE}" pid="6" name="NEWPARTB">
    <vt:lpwstr>08</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נתנאל דיעי</vt:lpwstr>
  </property>
  <property fmtid="{D5CDD505-2E9C-101B-9397-08002B2CF9AE}" pid="10" name="JUDGE">
    <vt:lpwstr>טל ענר</vt:lpwstr>
  </property>
  <property fmtid="{D5CDD505-2E9C-101B-9397-08002B2CF9AE}" pid="11" name="CITY">
    <vt:lpwstr>רמ'</vt:lpwstr>
  </property>
  <property fmtid="{D5CDD505-2E9C-101B-9397-08002B2CF9AE}" pid="12" name="DATE">
    <vt:lpwstr>20241224</vt:lpwstr>
  </property>
  <property fmtid="{D5CDD505-2E9C-101B-9397-08002B2CF9AE}" pid="13" name="TYPE_N_DATE">
    <vt:lpwstr>38020241224</vt:lpwstr>
  </property>
  <property fmtid="{D5CDD505-2E9C-101B-9397-08002B2CF9AE}" pid="14" name="CASESLISTTMP1">
    <vt:lpwstr>26758598:3;5726579;27589322;22217955;26402047;30620424;23751286;20956295;20178093;23565443;27226486</vt:lpwstr>
  </property>
  <property fmtid="{D5CDD505-2E9C-101B-9397-08002B2CF9AE}" pid="15" name="WORDNUMPAGES">
    <vt:lpwstr>5</vt:lpwstr>
  </property>
  <property fmtid="{D5CDD505-2E9C-101B-9397-08002B2CF9AE}" pid="16" name="TYPE_ABS_DATE">
    <vt:lpwstr>380020241224</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vt:lpwstr>
  </property>
  <property fmtid="{D5CDD505-2E9C-101B-9397-08002B2CF9AE}" pid="36" name="LAWLISTTMP2">
    <vt:lpwstr>70301/052.c:2;fCb1S:2</vt:lpwstr>
  </property>
  <property fmtid="{D5CDD505-2E9C-101B-9397-08002B2CF9AE}" pid="37" name="LAWLISTTMP3">
    <vt:lpwstr>74903/cCbS</vt:lpwstr>
  </property>
  <property fmtid="{D5CDD505-2E9C-101B-9397-08002B2CF9AE}" pid="38" name="ISABSTRACT">
    <vt:lpwstr>Y</vt:lpwstr>
  </property>
</Properties>
</file>