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C1D1D" w:rsidRPr="007036B0" w14:paraId="3F9F7976" w14:textId="77777777" w:rsidTr="003F442A">
        <w:trPr>
          <w:trHeight w:hRule="exact" w:val="418"/>
          <w:jc w:val="center"/>
        </w:trPr>
        <w:tc>
          <w:tcPr>
            <w:tcW w:w="8721" w:type="dxa"/>
            <w:gridSpan w:val="2"/>
          </w:tcPr>
          <w:p w14:paraId="66149B87" w14:textId="77777777" w:rsidR="008C1D1D" w:rsidRPr="007036B0" w:rsidRDefault="008C1D1D" w:rsidP="00E82F4F">
            <w:pPr>
              <w:pStyle w:val="a4"/>
              <w:jc w:val="center"/>
              <w:rPr>
                <w:rFonts w:ascii="Tahoma" w:hAnsi="Tahoma" w:cs="Tahoma"/>
                <w:color w:val="000080"/>
                <w:rtl/>
              </w:rPr>
            </w:pPr>
            <w:r w:rsidRPr="007036B0">
              <w:rPr>
                <w:rFonts w:ascii="Tahoma" w:hAnsi="Tahoma" w:cs="Tahoma"/>
                <w:b/>
                <w:bCs/>
                <w:color w:val="000080"/>
                <w:rtl/>
              </w:rPr>
              <w:t>בית משפט השלום בבאר שבע</w:t>
            </w:r>
          </w:p>
        </w:tc>
      </w:tr>
      <w:tr w:rsidR="008C1D1D" w:rsidRPr="007036B0" w14:paraId="44D7127A" w14:textId="77777777" w:rsidTr="003F442A">
        <w:trPr>
          <w:trHeight w:val="337"/>
          <w:jc w:val="center"/>
        </w:trPr>
        <w:tc>
          <w:tcPr>
            <w:tcW w:w="5060" w:type="dxa"/>
          </w:tcPr>
          <w:p w14:paraId="64038187" w14:textId="77777777" w:rsidR="008C1D1D" w:rsidRPr="007036B0" w:rsidRDefault="008C1D1D" w:rsidP="00E82F4F">
            <w:pPr>
              <w:rPr>
                <w:rFonts w:cs="FrankRuehl"/>
                <w:sz w:val="28"/>
                <w:szCs w:val="28"/>
                <w:rtl/>
              </w:rPr>
            </w:pPr>
            <w:r w:rsidRPr="007036B0">
              <w:rPr>
                <w:rFonts w:cs="FrankRuehl"/>
                <w:sz w:val="28"/>
                <w:szCs w:val="28"/>
                <w:rtl/>
              </w:rPr>
              <w:t>ת"פ</w:t>
            </w:r>
            <w:r w:rsidRPr="007036B0">
              <w:rPr>
                <w:rFonts w:cs="FrankRuehl" w:hint="cs"/>
                <w:sz w:val="28"/>
                <w:szCs w:val="28"/>
                <w:rtl/>
              </w:rPr>
              <w:t xml:space="preserve"> </w:t>
            </w:r>
            <w:r w:rsidRPr="007036B0">
              <w:rPr>
                <w:rFonts w:cs="FrankRuehl"/>
                <w:sz w:val="28"/>
                <w:szCs w:val="28"/>
                <w:rtl/>
              </w:rPr>
              <w:t>30131-09-24</w:t>
            </w:r>
            <w:r w:rsidRPr="007036B0">
              <w:rPr>
                <w:rFonts w:cs="FrankRuehl" w:hint="cs"/>
                <w:sz w:val="28"/>
                <w:szCs w:val="28"/>
                <w:rtl/>
              </w:rPr>
              <w:t xml:space="preserve"> </w:t>
            </w:r>
            <w:r w:rsidRPr="007036B0">
              <w:rPr>
                <w:rFonts w:cs="FrankRuehl"/>
                <w:sz w:val="28"/>
                <w:szCs w:val="28"/>
                <w:rtl/>
              </w:rPr>
              <w:t>מדינת ישראל נ' אלמחדי(עציר)</w:t>
            </w:r>
          </w:p>
          <w:p w14:paraId="758CF3D4" w14:textId="77777777" w:rsidR="008C1D1D" w:rsidRPr="007036B0" w:rsidRDefault="008C1D1D" w:rsidP="00E82F4F">
            <w:pPr>
              <w:pStyle w:val="a4"/>
              <w:rPr>
                <w:rFonts w:cs="FrankRuehl"/>
                <w:sz w:val="28"/>
                <w:szCs w:val="28"/>
                <w:rtl/>
              </w:rPr>
            </w:pPr>
          </w:p>
        </w:tc>
        <w:tc>
          <w:tcPr>
            <w:tcW w:w="3661" w:type="dxa"/>
          </w:tcPr>
          <w:p w14:paraId="3B72F969" w14:textId="77777777" w:rsidR="008C1D1D" w:rsidRPr="007036B0" w:rsidRDefault="008C1D1D" w:rsidP="00E82F4F">
            <w:pPr>
              <w:pStyle w:val="a4"/>
              <w:jc w:val="right"/>
              <w:rPr>
                <w:rFonts w:cs="FrankRuehl"/>
                <w:sz w:val="28"/>
                <w:szCs w:val="28"/>
                <w:rtl/>
              </w:rPr>
            </w:pPr>
          </w:p>
        </w:tc>
      </w:tr>
    </w:tbl>
    <w:p w14:paraId="09ECAA4A" w14:textId="77777777" w:rsidR="008C1D1D" w:rsidRPr="007036B0" w:rsidRDefault="008C1D1D" w:rsidP="003F442A">
      <w:pPr>
        <w:pStyle w:val="a4"/>
        <w:rPr>
          <w:rFonts w:ascii="Arial" w:hAnsi="Arial"/>
          <w:sz w:val="26"/>
          <w:szCs w:val="26"/>
          <w:rtl/>
        </w:rPr>
      </w:pPr>
      <w:r w:rsidRPr="007036B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C1D1D" w:rsidRPr="007036B0" w14:paraId="36C6EA74" w14:textId="77777777" w:rsidTr="008C1D1D">
        <w:trPr>
          <w:trHeight w:val="295"/>
          <w:jc w:val="center"/>
        </w:trPr>
        <w:tc>
          <w:tcPr>
            <w:tcW w:w="923" w:type="dxa"/>
            <w:tcBorders>
              <w:top w:val="nil"/>
              <w:left w:val="nil"/>
              <w:bottom w:val="nil"/>
              <w:right w:val="nil"/>
            </w:tcBorders>
            <w:shd w:val="clear" w:color="auto" w:fill="auto"/>
          </w:tcPr>
          <w:p w14:paraId="574D95CC" w14:textId="77777777" w:rsidR="008C1D1D" w:rsidRPr="007036B0" w:rsidRDefault="008C1D1D" w:rsidP="008C1D1D">
            <w:pPr>
              <w:jc w:val="both"/>
              <w:rPr>
                <w:rFonts w:ascii="David" w:hAnsi="David"/>
                <w:sz w:val="26"/>
                <w:szCs w:val="26"/>
              </w:rPr>
            </w:pPr>
            <w:r w:rsidRPr="007036B0">
              <w:rPr>
                <w:rFonts w:ascii="David" w:hAnsi="David" w:hint="cs"/>
                <w:sz w:val="26"/>
                <w:szCs w:val="26"/>
                <w:rtl/>
              </w:rPr>
              <w:t>ל</w:t>
            </w:r>
            <w:r w:rsidRPr="007036B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678A6CC" w14:textId="77777777" w:rsidR="008C1D1D" w:rsidRPr="007036B0" w:rsidRDefault="008C1D1D" w:rsidP="00E82F4F">
            <w:pPr>
              <w:rPr>
                <w:rFonts w:ascii="David" w:hAnsi="David"/>
                <w:b/>
                <w:bCs/>
                <w:sz w:val="26"/>
                <w:szCs w:val="26"/>
                <w:rtl/>
              </w:rPr>
            </w:pPr>
            <w:r w:rsidRPr="007036B0">
              <w:rPr>
                <w:rFonts w:ascii="David" w:hAnsi="David"/>
                <w:b/>
                <w:bCs/>
                <w:sz w:val="26"/>
                <w:szCs w:val="26"/>
                <w:rtl/>
              </w:rPr>
              <w:t>כבוד השופט, סגן הנשיא  אבישי כהן</w:t>
            </w:r>
          </w:p>
          <w:p w14:paraId="6DA3CB54" w14:textId="77777777" w:rsidR="008C1D1D" w:rsidRPr="007036B0" w:rsidRDefault="008C1D1D" w:rsidP="00E82F4F">
            <w:pPr>
              <w:rPr>
                <w:rFonts w:ascii="David" w:hAnsi="David"/>
                <w:sz w:val="26"/>
                <w:szCs w:val="26"/>
                <w:rtl/>
              </w:rPr>
            </w:pPr>
          </w:p>
          <w:p w14:paraId="3FBC52F2" w14:textId="77777777" w:rsidR="008C1D1D" w:rsidRPr="007036B0" w:rsidRDefault="008C1D1D" w:rsidP="008C1D1D">
            <w:pPr>
              <w:jc w:val="both"/>
              <w:rPr>
                <w:rFonts w:ascii="David" w:hAnsi="David"/>
                <w:sz w:val="26"/>
                <w:szCs w:val="26"/>
              </w:rPr>
            </w:pPr>
          </w:p>
        </w:tc>
      </w:tr>
      <w:tr w:rsidR="008C1D1D" w:rsidRPr="007036B0" w14:paraId="117A1079" w14:textId="77777777" w:rsidTr="008C1D1D">
        <w:trPr>
          <w:trHeight w:val="355"/>
          <w:jc w:val="center"/>
        </w:trPr>
        <w:tc>
          <w:tcPr>
            <w:tcW w:w="923" w:type="dxa"/>
            <w:tcBorders>
              <w:top w:val="nil"/>
              <w:left w:val="nil"/>
              <w:bottom w:val="nil"/>
              <w:right w:val="nil"/>
            </w:tcBorders>
            <w:shd w:val="clear" w:color="auto" w:fill="auto"/>
          </w:tcPr>
          <w:p w14:paraId="081D2422" w14:textId="77777777" w:rsidR="008C1D1D" w:rsidRPr="007036B0" w:rsidRDefault="008C1D1D" w:rsidP="008C1D1D">
            <w:pPr>
              <w:jc w:val="both"/>
              <w:rPr>
                <w:rFonts w:ascii="David" w:hAnsi="David"/>
                <w:sz w:val="26"/>
                <w:szCs w:val="26"/>
              </w:rPr>
            </w:pPr>
            <w:bookmarkStart w:id="0" w:name="FirstAppellant"/>
            <w:bookmarkStart w:id="1" w:name="FirstLawyer"/>
            <w:bookmarkStart w:id="2" w:name="LastJudge"/>
            <w:bookmarkEnd w:id="2"/>
            <w:r w:rsidRPr="007036B0">
              <w:rPr>
                <w:rFonts w:ascii="David" w:hAnsi="David"/>
                <w:sz w:val="26"/>
                <w:szCs w:val="26"/>
                <w:rtl/>
              </w:rPr>
              <w:t>בעניין:</w:t>
            </w:r>
          </w:p>
        </w:tc>
        <w:tc>
          <w:tcPr>
            <w:tcW w:w="3219" w:type="dxa"/>
            <w:tcBorders>
              <w:top w:val="nil"/>
              <w:left w:val="nil"/>
              <w:bottom w:val="nil"/>
              <w:right w:val="nil"/>
            </w:tcBorders>
            <w:shd w:val="clear" w:color="auto" w:fill="auto"/>
          </w:tcPr>
          <w:p w14:paraId="60FFE479" w14:textId="77777777" w:rsidR="008C1D1D" w:rsidRPr="007036B0" w:rsidRDefault="008C1D1D" w:rsidP="008C1D1D">
            <w:pPr>
              <w:suppressLineNumbers/>
            </w:pPr>
            <w:r w:rsidRPr="007036B0">
              <w:rPr>
                <w:rFonts w:ascii="Arial" w:hAnsi="Arial" w:hint="cs"/>
                <w:b/>
                <w:bCs/>
                <w:sz w:val="26"/>
                <w:szCs w:val="26"/>
                <w:rtl/>
              </w:rPr>
              <w:t>ה</w:t>
            </w:r>
            <w:r w:rsidRPr="007036B0">
              <w:rPr>
                <w:rFonts w:ascii="Arial" w:hAnsi="Arial"/>
                <w:b/>
                <w:bCs/>
                <w:sz w:val="26"/>
                <w:szCs w:val="26"/>
                <w:rtl/>
              </w:rPr>
              <w:t>מאשימה</w:t>
            </w:r>
          </w:p>
          <w:p w14:paraId="53ECD1AB" w14:textId="77777777" w:rsidR="008C1D1D" w:rsidRPr="007036B0" w:rsidRDefault="008C1D1D" w:rsidP="00E82F4F">
            <w:pPr>
              <w:rPr>
                <w:rFonts w:ascii="David" w:hAnsi="David"/>
                <w:sz w:val="26"/>
                <w:szCs w:val="26"/>
              </w:rPr>
            </w:pPr>
          </w:p>
        </w:tc>
        <w:tc>
          <w:tcPr>
            <w:tcW w:w="4678" w:type="dxa"/>
            <w:tcBorders>
              <w:top w:val="nil"/>
              <w:left w:val="nil"/>
              <w:bottom w:val="nil"/>
              <w:right w:val="nil"/>
            </w:tcBorders>
            <w:shd w:val="clear" w:color="auto" w:fill="auto"/>
            <w:vAlign w:val="center"/>
          </w:tcPr>
          <w:p w14:paraId="3F34738C" w14:textId="77777777" w:rsidR="008C1D1D" w:rsidRPr="007036B0" w:rsidRDefault="008C1D1D" w:rsidP="008C1D1D">
            <w:pPr>
              <w:suppressLineNumbers/>
              <w:rPr>
                <w:rFonts w:ascii="Arial" w:hAnsi="Arial"/>
                <w:b/>
                <w:bCs/>
                <w:sz w:val="26"/>
                <w:szCs w:val="26"/>
                <w:rtl/>
              </w:rPr>
            </w:pPr>
            <w:r w:rsidRPr="007036B0">
              <w:rPr>
                <w:rFonts w:ascii="Arial" w:hAnsi="Arial"/>
                <w:b/>
                <w:bCs/>
                <w:sz w:val="26"/>
                <w:szCs w:val="26"/>
                <w:rtl/>
              </w:rPr>
              <w:t>מדינת ישראל</w:t>
            </w:r>
            <w:r w:rsidRPr="007036B0">
              <w:rPr>
                <w:rFonts w:ascii="Arial" w:hAnsi="Arial" w:hint="cs"/>
                <w:b/>
                <w:bCs/>
                <w:sz w:val="26"/>
                <w:szCs w:val="26"/>
                <w:rtl/>
              </w:rPr>
              <w:t xml:space="preserve"> </w:t>
            </w:r>
          </w:p>
          <w:p w14:paraId="5A41A750" w14:textId="77777777" w:rsidR="008C1D1D" w:rsidRPr="007036B0" w:rsidRDefault="008C1D1D" w:rsidP="008C1D1D">
            <w:pPr>
              <w:suppressLineNumbers/>
            </w:pPr>
            <w:r w:rsidRPr="007036B0">
              <w:rPr>
                <w:rFonts w:ascii="Arial" w:hAnsi="Arial"/>
                <w:b/>
                <w:bCs/>
                <w:sz w:val="26"/>
                <w:szCs w:val="26"/>
                <w:rtl/>
              </w:rPr>
              <w:t>ע"י ב"כ עוה"ד</w:t>
            </w:r>
            <w:r w:rsidRPr="007036B0">
              <w:rPr>
                <w:rFonts w:ascii="Arial" w:hAnsi="Arial" w:hint="cs"/>
                <w:b/>
                <w:bCs/>
                <w:sz w:val="26"/>
                <w:szCs w:val="26"/>
                <w:rtl/>
              </w:rPr>
              <w:t xml:space="preserve"> אינרה פרז</w:t>
            </w:r>
          </w:p>
          <w:p w14:paraId="23BC7FA8" w14:textId="77777777" w:rsidR="008C1D1D" w:rsidRPr="007036B0" w:rsidRDefault="008C1D1D" w:rsidP="00E82F4F">
            <w:pPr>
              <w:rPr>
                <w:rFonts w:ascii="David" w:hAnsi="David"/>
                <w:sz w:val="26"/>
                <w:szCs w:val="26"/>
              </w:rPr>
            </w:pPr>
          </w:p>
        </w:tc>
      </w:tr>
      <w:bookmarkEnd w:id="0"/>
      <w:bookmarkEnd w:id="1"/>
      <w:tr w:rsidR="008C1D1D" w:rsidRPr="007036B0" w14:paraId="584C04AA" w14:textId="77777777" w:rsidTr="008C1D1D">
        <w:trPr>
          <w:trHeight w:val="355"/>
          <w:jc w:val="center"/>
        </w:trPr>
        <w:tc>
          <w:tcPr>
            <w:tcW w:w="923" w:type="dxa"/>
            <w:tcBorders>
              <w:top w:val="nil"/>
              <w:left w:val="nil"/>
              <w:bottom w:val="nil"/>
              <w:right w:val="nil"/>
            </w:tcBorders>
            <w:shd w:val="clear" w:color="auto" w:fill="auto"/>
          </w:tcPr>
          <w:p w14:paraId="12D6AD87" w14:textId="77777777" w:rsidR="008C1D1D" w:rsidRPr="007036B0" w:rsidRDefault="008C1D1D" w:rsidP="008C1D1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0CBD707" w14:textId="77777777" w:rsidR="008C1D1D" w:rsidRPr="007036B0" w:rsidRDefault="008C1D1D" w:rsidP="008C1D1D">
            <w:pPr>
              <w:jc w:val="center"/>
              <w:rPr>
                <w:rFonts w:ascii="David" w:hAnsi="David"/>
                <w:b/>
                <w:bCs/>
                <w:sz w:val="26"/>
                <w:szCs w:val="26"/>
                <w:rtl/>
              </w:rPr>
            </w:pPr>
            <w:r w:rsidRPr="007036B0">
              <w:rPr>
                <w:rFonts w:ascii="David" w:hAnsi="David"/>
                <w:b/>
                <w:bCs/>
                <w:sz w:val="26"/>
                <w:szCs w:val="26"/>
                <w:rtl/>
              </w:rPr>
              <w:t>נגד</w:t>
            </w:r>
          </w:p>
          <w:p w14:paraId="37051038" w14:textId="77777777" w:rsidR="008C1D1D" w:rsidRPr="007036B0" w:rsidRDefault="008C1D1D" w:rsidP="008C1D1D">
            <w:pPr>
              <w:jc w:val="both"/>
              <w:rPr>
                <w:rFonts w:ascii="David" w:hAnsi="David"/>
                <w:sz w:val="26"/>
                <w:szCs w:val="26"/>
              </w:rPr>
            </w:pPr>
          </w:p>
        </w:tc>
      </w:tr>
      <w:tr w:rsidR="008C1D1D" w:rsidRPr="007036B0" w14:paraId="607EE7A0" w14:textId="77777777" w:rsidTr="008C1D1D">
        <w:trPr>
          <w:trHeight w:val="355"/>
          <w:jc w:val="center"/>
        </w:trPr>
        <w:tc>
          <w:tcPr>
            <w:tcW w:w="923" w:type="dxa"/>
            <w:tcBorders>
              <w:top w:val="nil"/>
              <w:left w:val="nil"/>
              <w:bottom w:val="nil"/>
              <w:right w:val="nil"/>
            </w:tcBorders>
            <w:shd w:val="clear" w:color="auto" w:fill="auto"/>
          </w:tcPr>
          <w:p w14:paraId="775BE32B" w14:textId="77777777" w:rsidR="008C1D1D" w:rsidRPr="007036B0" w:rsidRDefault="008C1D1D" w:rsidP="00E82F4F">
            <w:pPr>
              <w:rPr>
                <w:rFonts w:ascii="David" w:hAnsi="David"/>
                <w:sz w:val="26"/>
                <w:szCs w:val="26"/>
                <w:rtl/>
              </w:rPr>
            </w:pPr>
          </w:p>
        </w:tc>
        <w:tc>
          <w:tcPr>
            <w:tcW w:w="3219" w:type="dxa"/>
            <w:tcBorders>
              <w:top w:val="nil"/>
              <w:left w:val="nil"/>
              <w:bottom w:val="nil"/>
              <w:right w:val="nil"/>
            </w:tcBorders>
            <w:shd w:val="clear" w:color="auto" w:fill="auto"/>
          </w:tcPr>
          <w:p w14:paraId="1B26DAAA" w14:textId="77777777" w:rsidR="008C1D1D" w:rsidRPr="007036B0" w:rsidRDefault="008C1D1D" w:rsidP="00E82F4F">
            <w:pPr>
              <w:rPr>
                <w:rFonts w:ascii="Arial" w:hAnsi="Arial"/>
                <w:b/>
                <w:bCs/>
                <w:sz w:val="26"/>
                <w:szCs w:val="26"/>
                <w:rtl/>
              </w:rPr>
            </w:pPr>
            <w:r w:rsidRPr="007036B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C9F70EB" w14:textId="77777777" w:rsidR="008C1D1D" w:rsidRPr="007036B0" w:rsidRDefault="008C1D1D" w:rsidP="008C1D1D">
            <w:pPr>
              <w:suppressLineNumbers/>
              <w:rPr>
                <w:rFonts w:ascii="Arial" w:hAnsi="Arial"/>
                <w:b/>
                <w:bCs/>
                <w:sz w:val="26"/>
                <w:szCs w:val="26"/>
                <w:rtl/>
              </w:rPr>
            </w:pPr>
            <w:r w:rsidRPr="007036B0">
              <w:rPr>
                <w:rFonts w:ascii="Arial" w:hAnsi="Arial"/>
                <w:b/>
                <w:bCs/>
                <w:sz w:val="26"/>
                <w:szCs w:val="26"/>
                <w:rtl/>
              </w:rPr>
              <w:t>מוחמד אלמחדי (עציר)</w:t>
            </w:r>
            <w:r w:rsidRPr="007036B0">
              <w:rPr>
                <w:rFonts w:ascii="Arial" w:hAnsi="Arial" w:hint="cs"/>
                <w:b/>
                <w:bCs/>
                <w:sz w:val="26"/>
                <w:szCs w:val="26"/>
                <w:rtl/>
              </w:rPr>
              <w:t xml:space="preserve"> </w:t>
            </w:r>
            <w:r w:rsidRPr="007036B0">
              <w:rPr>
                <w:rFonts w:ascii="Arial" w:hAnsi="Arial"/>
                <w:b/>
                <w:bCs/>
                <w:sz w:val="26"/>
                <w:szCs w:val="26"/>
                <w:rtl/>
              </w:rPr>
              <w:t>–</w:t>
            </w:r>
            <w:r w:rsidRPr="007036B0">
              <w:rPr>
                <w:rFonts w:ascii="Arial" w:hAnsi="Arial" w:hint="cs"/>
                <w:b/>
                <w:bCs/>
                <w:sz w:val="26"/>
                <w:szCs w:val="26"/>
                <w:rtl/>
              </w:rPr>
              <w:t xml:space="preserve"> הובא ע"י שב"ס</w:t>
            </w:r>
          </w:p>
          <w:p w14:paraId="4BBBB3F3" w14:textId="77777777" w:rsidR="008C1D1D" w:rsidRPr="007036B0" w:rsidRDefault="008C1D1D" w:rsidP="008C1D1D">
            <w:pPr>
              <w:suppressLineNumbers/>
            </w:pPr>
            <w:r w:rsidRPr="007036B0">
              <w:rPr>
                <w:rFonts w:ascii="Arial" w:hAnsi="Arial"/>
                <w:b/>
                <w:bCs/>
                <w:sz w:val="26"/>
                <w:szCs w:val="26"/>
                <w:rtl/>
              </w:rPr>
              <w:t>ע"י ב"כ עוה"ד</w:t>
            </w:r>
            <w:r w:rsidRPr="007036B0">
              <w:rPr>
                <w:rFonts w:ascii="Arial" w:hAnsi="Arial" w:hint="cs"/>
                <w:b/>
                <w:bCs/>
                <w:sz w:val="26"/>
                <w:szCs w:val="26"/>
                <w:rtl/>
              </w:rPr>
              <w:t xml:space="preserve"> יוסי זילברברג</w:t>
            </w:r>
          </w:p>
          <w:p w14:paraId="7AF33D2D" w14:textId="77777777" w:rsidR="008C1D1D" w:rsidRPr="007036B0" w:rsidRDefault="008C1D1D" w:rsidP="00E82F4F">
            <w:pPr>
              <w:rPr>
                <w:rFonts w:ascii="David" w:hAnsi="David"/>
                <w:sz w:val="26"/>
                <w:szCs w:val="26"/>
              </w:rPr>
            </w:pPr>
          </w:p>
        </w:tc>
      </w:tr>
    </w:tbl>
    <w:p w14:paraId="7F88BDC3" w14:textId="77777777" w:rsidR="007036B0" w:rsidRPr="007036B0" w:rsidRDefault="007036B0" w:rsidP="007036B0">
      <w:pPr>
        <w:spacing w:before="120" w:after="120" w:line="240" w:lineRule="exact"/>
        <w:ind w:left="283" w:hanging="283"/>
        <w:jc w:val="both"/>
        <w:rPr>
          <w:rFonts w:ascii="FrankRuehl" w:hAnsi="FrankRuehl" w:cs="FrankRuehl"/>
          <w:rtl/>
        </w:rPr>
      </w:pPr>
    </w:p>
    <w:p w14:paraId="3BE4DD79" w14:textId="77777777" w:rsidR="007036B0" w:rsidRPr="007036B0" w:rsidRDefault="007036B0" w:rsidP="007036B0">
      <w:pPr>
        <w:rPr>
          <w:rtl/>
        </w:rPr>
      </w:pPr>
    </w:p>
    <w:p w14:paraId="561139B5" w14:textId="77777777" w:rsidR="003F442A" w:rsidRPr="003F442A" w:rsidRDefault="003F442A" w:rsidP="003F442A">
      <w:pPr>
        <w:spacing w:before="120" w:after="120" w:line="240" w:lineRule="exact"/>
        <w:ind w:left="283" w:hanging="283"/>
        <w:jc w:val="both"/>
        <w:rPr>
          <w:rFonts w:ascii="FrankRuehl" w:hAnsi="FrankRuehl" w:cs="FrankRuehl"/>
          <w:rtl/>
        </w:rPr>
      </w:pPr>
      <w:bookmarkStart w:id="3" w:name="LawTable"/>
      <w:bookmarkEnd w:id="3"/>
    </w:p>
    <w:p w14:paraId="6DDFAAEB" w14:textId="77777777" w:rsidR="003F442A" w:rsidRPr="003F442A" w:rsidRDefault="003F442A" w:rsidP="003F442A">
      <w:pPr>
        <w:spacing w:before="120" w:after="120" w:line="240" w:lineRule="exact"/>
        <w:ind w:left="283" w:hanging="283"/>
        <w:jc w:val="both"/>
        <w:rPr>
          <w:rFonts w:ascii="FrankRuehl" w:hAnsi="FrankRuehl" w:cs="FrankRuehl"/>
          <w:rtl/>
        </w:rPr>
      </w:pPr>
      <w:r w:rsidRPr="003F442A">
        <w:rPr>
          <w:rFonts w:ascii="FrankRuehl" w:hAnsi="FrankRuehl" w:cs="FrankRuehl"/>
          <w:rtl/>
        </w:rPr>
        <w:t xml:space="preserve">חקיקה שאוזכרה: </w:t>
      </w:r>
    </w:p>
    <w:p w14:paraId="38ACF53A" w14:textId="77777777" w:rsidR="003F442A" w:rsidRPr="003F442A" w:rsidRDefault="003F442A" w:rsidP="003F442A">
      <w:pPr>
        <w:spacing w:before="120" w:after="120" w:line="240" w:lineRule="exact"/>
        <w:ind w:left="283" w:hanging="283"/>
        <w:jc w:val="both"/>
        <w:rPr>
          <w:rFonts w:ascii="FrankRuehl" w:hAnsi="FrankRuehl" w:cs="FrankRuehl"/>
          <w:color w:val="0000FF"/>
          <w:rtl/>
        </w:rPr>
      </w:pPr>
      <w:hyperlink r:id="rId7" w:history="1">
        <w:r w:rsidRPr="003F442A">
          <w:rPr>
            <w:rStyle w:val="Hyperlink"/>
            <w:rFonts w:ascii="FrankRuehl" w:hAnsi="FrankRuehl" w:cs="FrankRuehl"/>
            <w:u w:val="none"/>
            <w:rtl/>
          </w:rPr>
          <w:t>פקודת הסמים המסוכנים [נוסח חדש], תשל"ג-1973</w:t>
        </w:r>
      </w:hyperlink>
      <w:r w:rsidRPr="003F442A">
        <w:rPr>
          <w:rFonts w:ascii="FrankRuehl" w:hAnsi="FrankRuehl" w:cs="FrankRuehl"/>
          <w:color w:val="0000FF"/>
          <w:rtl/>
        </w:rPr>
        <w:t xml:space="preserve">: סע'  </w:t>
      </w:r>
      <w:hyperlink r:id="rId8" w:history="1">
        <w:r w:rsidRPr="003F442A">
          <w:rPr>
            <w:rStyle w:val="Hyperlink"/>
            <w:rFonts w:ascii="FrankRuehl" w:hAnsi="FrankRuehl" w:cs="FrankRuehl"/>
            <w:u w:val="none"/>
          </w:rPr>
          <w:t>6</w:t>
        </w:r>
      </w:hyperlink>
      <w:r w:rsidRPr="003F442A">
        <w:rPr>
          <w:rFonts w:ascii="FrankRuehl" w:hAnsi="FrankRuehl" w:cs="FrankRuehl"/>
          <w:color w:val="0000FF"/>
          <w:rtl/>
        </w:rPr>
        <w:t xml:space="preserve">, </w:t>
      </w:r>
      <w:hyperlink r:id="rId9" w:history="1">
        <w:r w:rsidRPr="003F442A">
          <w:rPr>
            <w:rStyle w:val="Hyperlink"/>
            <w:rFonts w:ascii="FrankRuehl" w:hAnsi="FrankRuehl" w:cs="FrankRuehl"/>
            <w:u w:val="none"/>
          </w:rPr>
          <w:t>7</w:t>
        </w:r>
      </w:hyperlink>
      <w:r w:rsidRPr="003F442A">
        <w:rPr>
          <w:rFonts w:ascii="FrankRuehl" w:hAnsi="FrankRuehl" w:cs="FrankRuehl"/>
          <w:color w:val="0000FF"/>
          <w:rtl/>
        </w:rPr>
        <w:t xml:space="preserve">(ג), </w:t>
      </w:r>
      <w:hyperlink r:id="rId10" w:history="1">
        <w:r w:rsidRPr="003F442A">
          <w:rPr>
            <w:rStyle w:val="Hyperlink"/>
            <w:rFonts w:ascii="FrankRuehl" w:hAnsi="FrankRuehl" w:cs="FrankRuehl"/>
            <w:u w:val="none"/>
          </w:rPr>
          <w:t>9</w:t>
        </w:r>
      </w:hyperlink>
      <w:r w:rsidRPr="003F442A">
        <w:rPr>
          <w:rFonts w:ascii="FrankRuehl" w:hAnsi="FrankRuehl" w:cs="FrankRuehl"/>
          <w:color w:val="0000FF"/>
          <w:rtl/>
        </w:rPr>
        <w:t xml:space="preserve">(א), </w:t>
      </w:r>
      <w:hyperlink r:id="rId11" w:history="1">
        <w:r w:rsidRPr="003F442A">
          <w:rPr>
            <w:rStyle w:val="Hyperlink"/>
            <w:rFonts w:ascii="FrankRuehl" w:hAnsi="FrankRuehl" w:cs="FrankRuehl"/>
            <w:u w:val="none"/>
            <w:rtl/>
          </w:rPr>
          <w:t>ד</w:t>
        </w:r>
      </w:hyperlink>
      <w:r w:rsidRPr="003F442A">
        <w:rPr>
          <w:rFonts w:ascii="FrankRuehl" w:hAnsi="FrankRuehl" w:cs="FrankRuehl"/>
          <w:color w:val="0000FF"/>
          <w:rtl/>
        </w:rPr>
        <w:t xml:space="preserve">, </w:t>
      </w:r>
      <w:hyperlink r:id="rId12" w:history="1">
        <w:r w:rsidRPr="003F442A">
          <w:rPr>
            <w:rStyle w:val="Hyperlink"/>
            <w:rFonts w:ascii="FrankRuehl" w:hAnsi="FrankRuehl" w:cs="FrankRuehl"/>
            <w:u w:val="none"/>
          </w:rPr>
          <w:t>10</w:t>
        </w:r>
      </w:hyperlink>
    </w:p>
    <w:p w14:paraId="5E4895A6" w14:textId="77777777" w:rsidR="003F442A" w:rsidRPr="003F442A" w:rsidRDefault="003F442A" w:rsidP="003F442A">
      <w:pPr>
        <w:spacing w:before="120" w:after="120" w:line="240" w:lineRule="exact"/>
        <w:ind w:left="283" w:hanging="283"/>
        <w:jc w:val="both"/>
        <w:rPr>
          <w:rFonts w:ascii="FrankRuehl" w:hAnsi="FrankRuehl" w:cs="FrankRuehl"/>
          <w:color w:val="0000FF"/>
          <w:rtl/>
        </w:rPr>
      </w:pPr>
      <w:hyperlink r:id="rId13" w:history="1">
        <w:r w:rsidRPr="003F442A">
          <w:rPr>
            <w:rStyle w:val="Hyperlink"/>
            <w:rFonts w:ascii="FrankRuehl" w:hAnsi="FrankRuehl" w:cs="FrankRuehl"/>
            <w:u w:val="none"/>
            <w:rtl/>
          </w:rPr>
          <w:t>חוק העונשין, תשל"ז-1977</w:t>
        </w:r>
      </w:hyperlink>
      <w:r w:rsidRPr="003F442A">
        <w:rPr>
          <w:rFonts w:ascii="FrankRuehl" w:hAnsi="FrankRuehl" w:cs="FrankRuehl"/>
          <w:color w:val="0000FF"/>
          <w:rtl/>
        </w:rPr>
        <w:t xml:space="preserve">: סע'  </w:t>
      </w:r>
      <w:hyperlink r:id="rId14" w:history="1">
        <w:r w:rsidRPr="003F442A">
          <w:rPr>
            <w:rStyle w:val="Hyperlink"/>
            <w:rFonts w:ascii="FrankRuehl" w:hAnsi="FrankRuehl" w:cs="FrankRuehl"/>
            <w:u w:val="none"/>
          </w:rPr>
          <w:t xml:space="preserve">7 </w:t>
        </w:r>
      </w:hyperlink>
      <w:r w:rsidRPr="003F442A">
        <w:rPr>
          <w:rFonts w:ascii="FrankRuehl" w:hAnsi="FrankRuehl" w:cs="FrankRuehl"/>
          <w:color w:val="0000FF"/>
          <w:rtl/>
        </w:rPr>
        <w:t xml:space="preserve">(א), </w:t>
      </w:r>
      <w:hyperlink r:id="rId15" w:history="1">
        <w:r w:rsidRPr="003F442A">
          <w:rPr>
            <w:rStyle w:val="Hyperlink"/>
            <w:rFonts w:ascii="FrankRuehl" w:hAnsi="FrankRuehl" w:cs="FrankRuehl"/>
            <w:u w:val="none"/>
          </w:rPr>
          <w:t xml:space="preserve">40 </w:t>
        </w:r>
        <w:r w:rsidRPr="003F442A">
          <w:rPr>
            <w:rStyle w:val="Hyperlink"/>
            <w:rFonts w:ascii="FrankRuehl" w:hAnsi="FrankRuehl" w:cs="FrankRuehl"/>
            <w:u w:val="none"/>
            <w:rtl/>
          </w:rPr>
          <w:t>ט</w:t>
        </w:r>
        <w:r w:rsidRPr="003F442A">
          <w:rPr>
            <w:rStyle w:val="Hyperlink"/>
            <w:rFonts w:ascii="FrankRuehl" w:hAnsi="FrankRuehl" w:cs="FrankRuehl"/>
            <w:u w:val="none"/>
          </w:rPr>
          <w:t>'</w:t>
        </w:r>
      </w:hyperlink>
      <w:r w:rsidRPr="003F442A">
        <w:rPr>
          <w:rFonts w:ascii="FrankRuehl" w:hAnsi="FrankRuehl" w:cs="FrankRuehl"/>
          <w:color w:val="0000FF"/>
          <w:rtl/>
        </w:rPr>
        <w:t xml:space="preserve">, </w:t>
      </w:r>
      <w:hyperlink r:id="rId16" w:history="1">
        <w:r w:rsidRPr="003F442A">
          <w:rPr>
            <w:rStyle w:val="Hyperlink"/>
            <w:rFonts w:ascii="FrankRuehl" w:hAnsi="FrankRuehl" w:cs="FrankRuehl"/>
            <w:u w:val="none"/>
          </w:rPr>
          <w:t xml:space="preserve">40 </w:t>
        </w:r>
        <w:r w:rsidRPr="003F442A">
          <w:rPr>
            <w:rStyle w:val="Hyperlink"/>
            <w:rFonts w:ascii="FrankRuehl" w:hAnsi="FrankRuehl" w:cs="FrankRuehl"/>
            <w:u w:val="none"/>
            <w:rtl/>
          </w:rPr>
          <w:t>יא</w:t>
        </w:r>
        <w:r w:rsidRPr="003F442A">
          <w:rPr>
            <w:rStyle w:val="Hyperlink"/>
            <w:rFonts w:ascii="FrankRuehl" w:hAnsi="FrankRuehl" w:cs="FrankRuehl"/>
            <w:u w:val="none"/>
          </w:rPr>
          <w:t>'</w:t>
        </w:r>
      </w:hyperlink>
      <w:r w:rsidRPr="003F442A">
        <w:rPr>
          <w:rFonts w:ascii="FrankRuehl" w:hAnsi="FrankRuehl" w:cs="FrankRuehl"/>
          <w:color w:val="0000FF"/>
          <w:rtl/>
        </w:rPr>
        <w:t xml:space="preserve">, </w:t>
      </w:r>
      <w:hyperlink r:id="rId17" w:history="1">
        <w:r w:rsidRPr="003F442A">
          <w:rPr>
            <w:rStyle w:val="Hyperlink"/>
            <w:rFonts w:ascii="FrankRuehl" w:hAnsi="FrankRuehl" w:cs="FrankRuehl"/>
            <w:u w:val="none"/>
          </w:rPr>
          <w:t>40</w:t>
        </w:r>
        <w:r w:rsidRPr="003F442A">
          <w:rPr>
            <w:rStyle w:val="Hyperlink"/>
            <w:rFonts w:ascii="FrankRuehl" w:hAnsi="FrankRuehl" w:cs="FrankRuehl"/>
            <w:u w:val="none"/>
            <w:rtl/>
          </w:rPr>
          <w:t>יג</w:t>
        </w:r>
      </w:hyperlink>
      <w:r w:rsidRPr="003F442A">
        <w:rPr>
          <w:rFonts w:ascii="FrankRuehl" w:hAnsi="FrankRuehl" w:cs="FrankRuehl"/>
          <w:color w:val="0000FF"/>
          <w:rtl/>
        </w:rPr>
        <w:t>(א)</w:t>
      </w:r>
    </w:p>
    <w:p w14:paraId="21A1EA82" w14:textId="77777777" w:rsidR="007036B0" w:rsidRDefault="007036B0" w:rsidP="003F442A">
      <w:pPr>
        <w:rPr>
          <w:rFonts w:hint="cs"/>
          <w:rtl/>
        </w:rPr>
      </w:pPr>
      <w:bookmarkStart w:id="4" w:name="LawTable_End"/>
      <w:bookmarkEnd w:id="4"/>
    </w:p>
    <w:p w14:paraId="5BAE319A" w14:textId="77777777" w:rsidR="003F442A" w:rsidRDefault="003F442A" w:rsidP="003F442A">
      <w:pPr>
        <w:rPr>
          <w:rFonts w:hint="cs"/>
          <w:rtl/>
        </w:rPr>
      </w:pPr>
    </w:p>
    <w:p w14:paraId="44B1B983" w14:textId="77777777" w:rsidR="003F442A" w:rsidRPr="003F442A" w:rsidRDefault="003F442A" w:rsidP="003F442A">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1D1D" w:rsidRPr="004A6677" w14:paraId="2F2C9615" w14:textId="77777777" w:rsidTr="008C1D1D">
        <w:trPr>
          <w:trHeight w:val="355"/>
          <w:jc w:val="center"/>
        </w:trPr>
        <w:tc>
          <w:tcPr>
            <w:tcW w:w="8820" w:type="dxa"/>
            <w:tcBorders>
              <w:top w:val="nil"/>
              <w:left w:val="nil"/>
              <w:bottom w:val="nil"/>
              <w:right w:val="nil"/>
            </w:tcBorders>
            <w:shd w:val="clear" w:color="auto" w:fill="auto"/>
          </w:tcPr>
          <w:p w14:paraId="7126A4E3" w14:textId="77777777" w:rsidR="007036B0" w:rsidRPr="007036B0" w:rsidRDefault="007036B0" w:rsidP="007036B0">
            <w:pPr>
              <w:jc w:val="center"/>
              <w:rPr>
                <w:rFonts w:ascii="David" w:hAnsi="David"/>
                <w:b/>
                <w:bCs/>
                <w:sz w:val="32"/>
                <w:szCs w:val="32"/>
                <w:rtl/>
              </w:rPr>
            </w:pPr>
            <w:bookmarkStart w:id="5" w:name="PsakDin" w:colFirst="0" w:colLast="0"/>
            <w:r w:rsidRPr="007036B0">
              <w:rPr>
                <w:rFonts w:ascii="David" w:hAnsi="David"/>
                <w:b/>
                <w:bCs/>
                <w:sz w:val="32"/>
                <w:szCs w:val="32"/>
                <w:rtl/>
              </w:rPr>
              <w:t>גזר דין</w:t>
            </w:r>
          </w:p>
          <w:p w14:paraId="7290918C" w14:textId="77777777" w:rsidR="008C1D1D" w:rsidRPr="007036B0" w:rsidRDefault="008C1D1D" w:rsidP="007036B0">
            <w:pPr>
              <w:jc w:val="center"/>
              <w:rPr>
                <w:rFonts w:ascii="David" w:hAnsi="David"/>
                <w:bCs/>
                <w:sz w:val="32"/>
                <w:szCs w:val="32"/>
                <w:rtl/>
              </w:rPr>
            </w:pPr>
          </w:p>
        </w:tc>
      </w:tr>
      <w:bookmarkEnd w:id="5"/>
    </w:tbl>
    <w:p w14:paraId="5C865E99" w14:textId="77777777" w:rsidR="008C1D1D" w:rsidRPr="000F2247" w:rsidRDefault="008C1D1D" w:rsidP="008C1D1D">
      <w:pPr>
        <w:rPr>
          <w:rFonts w:ascii="Arial" w:hAnsi="Arial"/>
          <w:b/>
          <w:bCs/>
          <w:sz w:val="26"/>
          <w:szCs w:val="26"/>
          <w:rtl/>
        </w:rPr>
      </w:pPr>
    </w:p>
    <w:p w14:paraId="29E7EB8D" w14:textId="77777777" w:rsidR="008C1D1D" w:rsidRDefault="008C1D1D" w:rsidP="008C1D1D">
      <w:pPr>
        <w:rPr>
          <w:rFonts w:ascii="Arial" w:hAnsi="Arial"/>
          <w:b/>
          <w:bCs/>
          <w:sz w:val="26"/>
          <w:szCs w:val="26"/>
          <w:rtl/>
        </w:rPr>
      </w:pPr>
    </w:p>
    <w:p w14:paraId="41443D24" w14:textId="77777777" w:rsidR="008C1D1D" w:rsidRDefault="008C1D1D" w:rsidP="008C1D1D">
      <w:pPr>
        <w:pStyle w:val="ListParagraph"/>
        <w:numPr>
          <w:ilvl w:val="0"/>
          <w:numId w:val="2"/>
        </w:numPr>
        <w:spacing w:line="360" w:lineRule="auto"/>
        <w:jc w:val="both"/>
        <w:rPr>
          <w:rFonts w:ascii="David" w:hAnsi="David" w:cs="David"/>
          <w:sz w:val="24"/>
          <w:szCs w:val="24"/>
        </w:rPr>
      </w:pPr>
      <w:bookmarkStart w:id="6" w:name="ABSTRACT_START"/>
      <w:bookmarkEnd w:id="6"/>
      <w:r>
        <w:rPr>
          <w:rFonts w:ascii="David" w:hAnsi="David" w:cs="David"/>
          <w:sz w:val="24"/>
          <w:szCs w:val="24"/>
          <w:rtl/>
        </w:rPr>
        <w:t xml:space="preserve">הנאשם הודה והורשע בכתב אישום מתוקן בעבירות של </w:t>
      </w:r>
      <w:r>
        <w:rPr>
          <w:rFonts w:ascii="David" w:hAnsi="David" w:cs="David"/>
          <w:b/>
          <w:bCs/>
          <w:sz w:val="24"/>
          <w:szCs w:val="24"/>
          <w:rtl/>
        </w:rPr>
        <w:t xml:space="preserve">גידול, ייצור, הכנת סמים מסוכנים, </w:t>
      </w:r>
      <w:r>
        <w:rPr>
          <w:rFonts w:ascii="David" w:hAnsi="David" w:cs="David"/>
          <w:sz w:val="24"/>
          <w:szCs w:val="24"/>
          <w:rtl/>
        </w:rPr>
        <w:t xml:space="preserve">לפי </w:t>
      </w:r>
      <w:hyperlink r:id="rId18" w:history="1">
        <w:r w:rsidR="003F442A" w:rsidRPr="003F442A">
          <w:rPr>
            <w:rStyle w:val="Hyperlink"/>
            <w:rFonts w:ascii="David" w:hAnsi="David" w:cs="David"/>
            <w:color w:val="0000FF"/>
            <w:sz w:val="24"/>
            <w:szCs w:val="24"/>
            <w:rtl/>
          </w:rPr>
          <w:t>סעיף 6</w:t>
        </w:r>
      </w:hyperlink>
      <w:r>
        <w:rPr>
          <w:rFonts w:ascii="David" w:hAnsi="David" w:cs="David"/>
          <w:sz w:val="24"/>
          <w:szCs w:val="24"/>
          <w:rtl/>
        </w:rPr>
        <w:t xml:space="preserve"> ל</w:t>
      </w:r>
      <w:hyperlink r:id="rId19" w:history="1">
        <w:r w:rsidR="007036B0" w:rsidRPr="007036B0">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w:t>
      </w:r>
      <w:r>
        <w:rPr>
          <w:rFonts w:ascii="David" w:hAnsi="David" w:cs="David"/>
          <w:b/>
          <w:bCs/>
          <w:sz w:val="24"/>
          <w:szCs w:val="24"/>
          <w:rtl/>
        </w:rPr>
        <w:t>"הפקודה"</w:t>
      </w:r>
      <w:r>
        <w:rPr>
          <w:rFonts w:ascii="David" w:hAnsi="David" w:cs="David"/>
          <w:sz w:val="24"/>
          <w:szCs w:val="24"/>
          <w:rtl/>
        </w:rPr>
        <w:t xml:space="preserve">), </w:t>
      </w:r>
      <w:r>
        <w:rPr>
          <w:rFonts w:ascii="David" w:hAnsi="David" w:cs="David"/>
          <w:b/>
          <w:bCs/>
          <w:sz w:val="24"/>
          <w:szCs w:val="24"/>
          <w:rtl/>
        </w:rPr>
        <w:t>החזקת סם מסוכן שלא לצריכה עצמית</w:t>
      </w:r>
      <w:r>
        <w:rPr>
          <w:rFonts w:ascii="David" w:hAnsi="David" w:cs="David"/>
          <w:sz w:val="24"/>
          <w:szCs w:val="24"/>
          <w:rtl/>
        </w:rPr>
        <w:t xml:space="preserve"> עבירה לפי </w:t>
      </w:r>
      <w:hyperlink r:id="rId20" w:history="1">
        <w:r w:rsidR="003F442A" w:rsidRPr="003F442A">
          <w:rPr>
            <w:rStyle w:val="Hyperlink"/>
            <w:rFonts w:ascii="David" w:hAnsi="David" w:cs="David"/>
            <w:color w:val="0000FF"/>
            <w:sz w:val="24"/>
            <w:szCs w:val="24"/>
            <w:rtl/>
          </w:rPr>
          <w:t>סעיף 7 (א)</w:t>
        </w:r>
      </w:hyperlink>
      <w:r>
        <w:rPr>
          <w:rFonts w:ascii="David" w:hAnsi="David" w:cs="David"/>
          <w:sz w:val="24"/>
          <w:szCs w:val="24"/>
          <w:rtl/>
        </w:rPr>
        <w:t xml:space="preserve"> ביחד עם </w:t>
      </w:r>
      <w:hyperlink r:id="rId21" w:history="1">
        <w:r w:rsidR="003F442A" w:rsidRPr="003F442A">
          <w:rPr>
            <w:rStyle w:val="Hyperlink"/>
            <w:rFonts w:ascii="David" w:hAnsi="David" w:cs="David"/>
            <w:color w:val="0000FF"/>
            <w:sz w:val="24"/>
            <w:szCs w:val="24"/>
            <w:rtl/>
          </w:rPr>
          <w:t>7(ג)</w:t>
        </w:r>
      </w:hyperlink>
      <w:r>
        <w:rPr>
          <w:rFonts w:ascii="David" w:hAnsi="David" w:cs="David"/>
          <w:sz w:val="24"/>
          <w:szCs w:val="24"/>
          <w:rtl/>
        </w:rPr>
        <w:t xml:space="preserve"> רישא לפקודה, </w:t>
      </w:r>
      <w:r>
        <w:rPr>
          <w:rFonts w:ascii="David" w:hAnsi="David" w:cs="David"/>
          <w:b/>
          <w:bCs/>
          <w:sz w:val="24"/>
          <w:szCs w:val="24"/>
          <w:rtl/>
        </w:rPr>
        <w:t>החזקת כלים להכנת סם שלא לצריכה עצמית</w:t>
      </w:r>
      <w:r>
        <w:rPr>
          <w:rFonts w:ascii="David" w:hAnsi="David" w:cs="David"/>
          <w:sz w:val="24"/>
          <w:szCs w:val="24"/>
          <w:rtl/>
        </w:rPr>
        <w:t xml:space="preserve"> לפי סעיף </w:t>
      </w:r>
      <w:hyperlink r:id="rId22" w:history="1">
        <w:r w:rsidR="003F442A" w:rsidRPr="003F442A">
          <w:rPr>
            <w:rStyle w:val="Hyperlink"/>
            <w:rFonts w:ascii="David" w:hAnsi="David" w:cs="David"/>
            <w:color w:val="0000FF"/>
            <w:sz w:val="24"/>
            <w:szCs w:val="24"/>
            <w:rtl/>
          </w:rPr>
          <w:t>10</w:t>
        </w:r>
      </w:hyperlink>
      <w:r>
        <w:rPr>
          <w:rFonts w:ascii="David" w:hAnsi="David" w:cs="David"/>
          <w:sz w:val="24"/>
          <w:szCs w:val="24"/>
          <w:rtl/>
        </w:rPr>
        <w:t xml:space="preserve"> רישא לפקודה ו</w:t>
      </w:r>
      <w:r>
        <w:rPr>
          <w:rFonts w:ascii="David" w:hAnsi="David" w:cs="David"/>
          <w:b/>
          <w:bCs/>
          <w:sz w:val="24"/>
          <w:szCs w:val="24"/>
          <w:rtl/>
        </w:rPr>
        <w:t xml:space="preserve">החזקת חצרים להכנת סם </w:t>
      </w:r>
      <w:r>
        <w:rPr>
          <w:rFonts w:ascii="David" w:hAnsi="David" w:cs="David"/>
          <w:sz w:val="24"/>
          <w:szCs w:val="24"/>
          <w:rtl/>
        </w:rPr>
        <w:t xml:space="preserve">לפי סעיף </w:t>
      </w:r>
      <w:hyperlink r:id="rId23" w:history="1">
        <w:r w:rsidR="003F442A" w:rsidRPr="003F442A">
          <w:rPr>
            <w:rStyle w:val="Hyperlink"/>
            <w:rFonts w:ascii="David" w:hAnsi="David" w:cs="David"/>
            <w:color w:val="0000FF"/>
            <w:sz w:val="24"/>
            <w:szCs w:val="24"/>
            <w:rtl/>
          </w:rPr>
          <w:t>9(א)</w:t>
        </w:r>
      </w:hyperlink>
      <w:r>
        <w:rPr>
          <w:rFonts w:ascii="David" w:hAnsi="David" w:cs="David"/>
          <w:sz w:val="24"/>
          <w:szCs w:val="24"/>
          <w:rtl/>
        </w:rPr>
        <w:t xml:space="preserve"> ו-(</w:t>
      </w:r>
      <w:hyperlink r:id="rId24" w:history="1">
        <w:r w:rsidR="003F442A" w:rsidRPr="003F442A">
          <w:rPr>
            <w:rStyle w:val="Hyperlink"/>
            <w:rFonts w:ascii="David" w:hAnsi="David" w:cs="David"/>
            <w:color w:val="0000FF"/>
            <w:sz w:val="24"/>
            <w:szCs w:val="24"/>
            <w:rtl/>
          </w:rPr>
          <w:t>ד</w:t>
        </w:r>
      </w:hyperlink>
      <w:r>
        <w:rPr>
          <w:rFonts w:ascii="David" w:hAnsi="David" w:cs="David"/>
          <w:sz w:val="24"/>
          <w:szCs w:val="24"/>
          <w:rtl/>
        </w:rPr>
        <w:t>) לפקודת הסמים.</w:t>
      </w:r>
    </w:p>
    <w:p w14:paraId="71EA5B67" w14:textId="77777777" w:rsidR="008C1D1D" w:rsidRDefault="008C1D1D" w:rsidP="008C1D1D">
      <w:pPr>
        <w:pStyle w:val="ListParagraph"/>
        <w:spacing w:line="360" w:lineRule="auto"/>
        <w:jc w:val="both"/>
        <w:rPr>
          <w:rFonts w:ascii="David" w:hAnsi="David" w:cs="David"/>
          <w:sz w:val="24"/>
          <w:szCs w:val="24"/>
        </w:rPr>
      </w:pPr>
      <w:bookmarkStart w:id="7" w:name="ABSTRACT_END"/>
      <w:bookmarkEnd w:id="7"/>
    </w:p>
    <w:p w14:paraId="46C169A4" w14:textId="77777777" w:rsidR="008C1D1D" w:rsidRDefault="008C1D1D" w:rsidP="008C1D1D">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כפי העולה מעובדות כתב האישום המתוקן, במועד הרלוונטי לכתב האישום שכר הנאשם בית בשכונה 8 בערוער מאחיו סאלם בכוונה להקים בו מעבדה לגידול סמים, במועד הרלוונטי התגורר הנאשם עם בני משפחתו בבית 23 שכונה 4א בערוער. </w:t>
      </w:r>
    </w:p>
    <w:p w14:paraId="04FE8FB9" w14:textId="77777777" w:rsidR="008C1D1D" w:rsidRDefault="008C1D1D" w:rsidP="008C1D1D">
      <w:pPr>
        <w:pStyle w:val="ListParagraph"/>
        <w:spacing w:line="360" w:lineRule="auto"/>
        <w:ind w:left="1352"/>
        <w:jc w:val="both"/>
        <w:rPr>
          <w:rFonts w:ascii="David" w:hAnsi="David" w:cs="David"/>
          <w:sz w:val="24"/>
          <w:szCs w:val="24"/>
        </w:rPr>
      </w:pPr>
      <w:r>
        <w:rPr>
          <w:rFonts w:ascii="David" w:hAnsi="David" w:cs="David"/>
          <w:sz w:val="24"/>
          <w:szCs w:val="24"/>
          <w:rtl/>
        </w:rPr>
        <w:t xml:space="preserve">במשך כחמישה חודשים עובר לתאריך 26.08.24, הקים הנאשם מעבדה לגידול סמים בכך שבנה במרתף קירות גבס ציפה אותן בנייר כסף והתקין מנורות תאורה וחימום, מערכות השקיה ואוורור. בתאריך 26.08.24 נמצא הנאשם מחזיק בתוך המעבדה </w:t>
      </w:r>
      <w:r>
        <w:rPr>
          <w:rFonts w:ascii="David" w:hAnsi="David" w:cs="David"/>
          <w:sz w:val="24"/>
          <w:szCs w:val="24"/>
          <w:rtl/>
        </w:rPr>
        <w:lastRenderedPageBreak/>
        <w:t xml:space="preserve">ציוד ששימש אותו לגידול סמים וכן נמצא מגדל 140 שתילי סם מסוג קנבוס וזאת ללא היתר או רישיון. בנוסף, נמצא מחזיק בסם מסוכן מסוג קנבוס במשקל 6 ק"ג וזאת ללא היתר או רישיון כדין. </w:t>
      </w:r>
    </w:p>
    <w:p w14:paraId="34DC6933" w14:textId="77777777" w:rsidR="008C1D1D" w:rsidRDefault="008C1D1D" w:rsidP="008C1D1D">
      <w:pPr>
        <w:pStyle w:val="ListParagraph"/>
        <w:rPr>
          <w:rFonts w:ascii="David" w:hAnsi="David" w:cs="David"/>
          <w:sz w:val="24"/>
          <w:szCs w:val="24"/>
        </w:rPr>
      </w:pPr>
    </w:p>
    <w:p w14:paraId="06BC9DD3" w14:textId="77777777" w:rsidR="008C1D1D" w:rsidRDefault="008C1D1D" w:rsidP="008C1D1D">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ביום 17.11.24 הודה והורשע הנאשם במיוחס לו בכתב האישום, בפתח ישיבת הטיעונים לעונש ביקשו הצדדים בהסכמה לתקן כתב האישום, כך שתוקנה כמות הסם שהחזיק הנאשם.</w:t>
      </w:r>
    </w:p>
    <w:p w14:paraId="0CFF6865" w14:textId="77777777" w:rsidR="008C1D1D" w:rsidRDefault="008C1D1D" w:rsidP="008C1D1D">
      <w:pPr>
        <w:spacing w:line="360" w:lineRule="auto"/>
        <w:jc w:val="both"/>
        <w:rPr>
          <w:rFonts w:ascii="David" w:hAnsi="David"/>
          <w:bCs/>
          <w:u w:val="single"/>
          <w:rtl/>
        </w:rPr>
      </w:pPr>
    </w:p>
    <w:p w14:paraId="3D549BC5" w14:textId="77777777" w:rsidR="008C1D1D" w:rsidRDefault="008C1D1D" w:rsidP="008C1D1D">
      <w:pPr>
        <w:spacing w:line="360" w:lineRule="auto"/>
        <w:jc w:val="both"/>
        <w:rPr>
          <w:rFonts w:ascii="David" w:hAnsi="David"/>
          <w:bCs/>
          <w:u w:val="single"/>
        </w:rPr>
      </w:pPr>
      <w:r>
        <w:rPr>
          <w:rFonts w:ascii="David" w:hAnsi="David"/>
          <w:bCs/>
          <w:u w:val="single"/>
          <w:rtl/>
        </w:rPr>
        <w:t>ראיות וטיעוני הצדדים</w:t>
      </w:r>
    </w:p>
    <w:p w14:paraId="71E8AD6E" w14:textId="77777777" w:rsidR="008C1D1D" w:rsidRDefault="008C1D1D" w:rsidP="008C1D1D">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המאשימה הגישה טיעונים בכתב (ת/1) גיליון הרישום הפלילי של הנאשם(ת/2) וכן תמונות המעבדה (ת/3). </w:t>
      </w:r>
    </w:p>
    <w:p w14:paraId="06523F23" w14:textId="77777777" w:rsidR="008C1D1D" w:rsidRDefault="008C1D1D" w:rsidP="008C1D1D">
      <w:pPr>
        <w:pStyle w:val="ListParagraph"/>
        <w:spacing w:line="360" w:lineRule="auto"/>
        <w:ind w:left="1352"/>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עמדה על נסיבות כתב האישום, הערכים המוגנים שנפגעו ומידת הפגיעה בהם והדגישה כי הנאשם שכר את הנכס במטרה לגדל סמים, הוא התקין תשתיות במיוחד למטרה זו, ובחר לעשות כן במרתף הבית כדי להסוות מעשיו. ציינה את כמות השתילים שגידל - 140 במספר וכמות הסמים שנמצאו ברשותו 6 ק"ג. ב</w:t>
      </w:r>
      <w:r>
        <w:rPr>
          <w:rFonts w:ascii="David" w:hAnsi="David" w:cs="David"/>
          <w:sz w:val="24"/>
          <w:szCs w:val="24"/>
        </w:rPr>
        <w:t>"</w:t>
      </w:r>
      <w:r>
        <w:rPr>
          <w:rFonts w:ascii="David" w:hAnsi="David" w:cs="David"/>
          <w:sz w:val="24"/>
          <w:szCs w:val="24"/>
          <w:rtl/>
        </w:rPr>
        <w:t xml:space="preserve">כ המאשימה הדגישה החומרה הגלומה בגידול והחזקת הסמים וכן ציינה הנזקים העקיפים והישרים שנגרמים כתוצאה מהפצת סמים והענישה המחמירה הנהוגה במקרים אלו. המאשימה עתרה לקביעת מתחם ענישה הנע בין 20 ל 40 חודשי מאסר בפועל והפנתה לפסיקה כתימוכין לכך. </w:t>
      </w:r>
    </w:p>
    <w:p w14:paraId="1C4CE407" w14:textId="77777777" w:rsidR="008C1D1D" w:rsidRDefault="008C1D1D" w:rsidP="008C1D1D">
      <w:pPr>
        <w:pStyle w:val="ListParagraph"/>
        <w:spacing w:line="360" w:lineRule="auto"/>
        <w:ind w:left="1352"/>
        <w:jc w:val="both"/>
        <w:rPr>
          <w:rFonts w:ascii="David" w:hAnsi="David" w:cs="David"/>
          <w:sz w:val="24"/>
          <w:szCs w:val="24"/>
          <w:rtl/>
        </w:rPr>
      </w:pPr>
      <w:r>
        <w:rPr>
          <w:rFonts w:ascii="David" w:hAnsi="David" w:cs="David"/>
          <w:sz w:val="24"/>
          <w:szCs w:val="24"/>
          <w:rtl/>
        </w:rPr>
        <w:t xml:space="preserve">ב"כ המאשימה, ציינה כי הנאשם הודה, לקח אחריות על מעשיו אך הדגישה שמדובר בנאשם שלא עבר הליך טיפולי כלשהו, הינו בעל עבר פלילי קודם בעבירות שאינן ממין העניין אך יחד עם זאת ציינה שאין זו הפעם הראשונה שמעורב בפלילים וכי בעבר ריצה תקופת מאסר. </w:t>
      </w:r>
    </w:p>
    <w:p w14:paraId="4CD4B0DE" w14:textId="77777777" w:rsidR="008C1D1D" w:rsidRDefault="008C1D1D" w:rsidP="008C1D1D">
      <w:pPr>
        <w:pStyle w:val="ListParagraph"/>
        <w:spacing w:line="360" w:lineRule="auto"/>
        <w:ind w:left="1352"/>
        <w:jc w:val="both"/>
        <w:rPr>
          <w:rFonts w:ascii="David" w:hAnsi="David" w:cs="David"/>
          <w:sz w:val="24"/>
          <w:szCs w:val="24"/>
          <w:rtl/>
        </w:rPr>
      </w:pPr>
      <w:r>
        <w:rPr>
          <w:rFonts w:ascii="David" w:hAnsi="David" w:cs="David"/>
          <w:sz w:val="24"/>
          <w:szCs w:val="24"/>
          <w:rtl/>
        </w:rPr>
        <w:t>לאור כל האמור עתרה המאשימה למקם עונשו בשליש התחתון של המתחם לו עתרה וזאת  לצד הטלת  ענישה נלווית.</w:t>
      </w:r>
    </w:p>
    <w:p w14:paraId="169203B3" w14:textId="77777777" w:rsidR="008C1D1D" w:rsidRDefault="008C1D1D" w:rsidP="008C1D1D">
      <w:pPr>
        <w:pStyle w:val="ListParagraph"/>
        <w:spacing w:line="360" w:lineRule="auto"/>
        <w:ind w:left="1352"/>
        <w:jc w:val="both"/>
        <w:rPr>
          <w:rFonts w:ascii="David" w:hAnsi="David" w:cs="David"/>
          <w:sz w:val="24"/>
          <w:szCs w:val="24"/>
          <w:rtl/>
        </w:rPr>
      </w:pPr>
    </w:p>
    <w:p w14:paraId="7AA4B5B4" w14:textId="77777777" w:rsidR="008C1D1D" w:rsidRDefault="008C1D1D" w:rsidP="008C1D1D">
      <w:pPr>
        <w:pStyle w:val="ListParagraph"/>
        <w:numPr>
          <w:ilvl w:val="0"/>
          <w:numId w:val="2"/>
        </w:numPr>
        <w:spacing w:line="360" w:lineRule="auto"/>
        <w:jc w:val="both"/>
        <w:rPr>
          <w:rFonts w:ascii="David" w:hAnsi="David" w:cs="David"/>
          <w:sz w:val="24"/>
          <w:szCs w:val="24"/>
        </w:rPr>
      </w:pPr>
      <w:r>
        <w:rPr>
          <w:rFonts w:ascii="David" w:hAnsi="David" w:cs="David"/>
          <w:b/>
          <w:bCs/>
          <w:sz w:val="24"/>
          <w:szCs w:val="24"/>
          <w:rtl/>
        </w:rPr>
        <w:t>ב"כ הנאשם</w:t>
      </w:r>
      <w:r>
        <w:rPr>
          <w:rFonts w:ascii="David" w:hAnsi="David" w:cs="David"/>
          <w:sz w:val="24"/>
          <w:szCs w:val="24"/>
          <w:rtl/>
        </w:rPr>
        <w:t>, ציין קורות חייו של הנאשם, אב ל 8 ילדים קטינים, גדל בנסיבות חיים מורכבות ובהעדר הורים ולמרות זאת בחר להתנדב לשרת בצבא, הנאשם בעל עבר פלילי ישן בעבירת אלימות. טרם מעצרו עבד הנאשם לפרנסתו. בהתייחס לכתב האישום ציין ב"כ הנאשם כי הנאשם בעצמו פנה למשטרה לקח אחריות והודה במיוחס לו, הנאשם הביע חרטה.</w:t>
      </w:r>
    </w:p>
    <w:p w14:paraId="1BDBA5C4" w14:textId="77777777" w:rsidR="008C1D1D" w:rsidRDefault="008C1D1D" w:rsidP="008C1D1D">
      <w:pPr>
        <w:pStyle w:val="ListParagraph"/>
        <w:spacing w:line="360" w:lineRule="auto"/>
        <w:ind w:left="1352"/>
        <w:jc w:val="both"/>
        <w:rPr>
          <w:rFonts w:ascii="David" w:hAnsi="David" w:cs="David"/>
          <w:sz w:val="24"/>
          <w:szCs w:val="24"/>
          <w:rtl/>
        </w:rPr>
      </w:pPr>
    </w:p>
    <w:p w14:paraId="54730EEB" w14:textId="77777777" w:rsidR="008C1D1D" w:rsidRDefault="008C1D1D" w:rsidP="008C1D1D">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הפנה לפסיקה במקרים חמורים מהמקרה שבפני, הן ביחס לכמות השתילים והן ביחס לכמות הסם, סבור כי המתחם במקרה זה מתחיל במספר חודשי מאסר שניתן </w:t>
      </w:r>
      <w:r>
        <w:rPr>
          <w:rFonts w:ascii="David" w:hAnsi="David" w:cs="David"/>
          <w:sz w:val="24"/>
          <w:szCs w:val="24"/>
          <w:rtl/>
        </w:rPr>
        <w:lastRenderedPageBreak/>
        <w:t xml:space="preserve">לרצות בעבודת שירות ועד 16 חודשים. סבור כי במקרה זה יש להטיל עונש של עד 7-8 חודשי מאסר וענישה נילווית לעניין מאסר מותנה וקנס כספי.  </w:t>
      </w:r>
    </w:p>
    <w:p w14:paraId="5D10287C" w14:textId="77777777" w:rsidR="008C1D1D" w:rsidRDefault="008C1D1D" w:rsidP="008C1D1D">
      <w:pPr>
        <w:pStyle w:val="ListParagraph"/>
        <w:spacing w:line="360" w:lineRule="auto"/>
        <w:ind w:left="1352"/>
        <w:jc w:val="both"/>
        <w:rPr>
          <w:rFonts w:ascii="David" w:hAnsi="David" w:cs="David"/>
          <w:sz w:val="24"/>
          <w:szCs w:val="24"/>
        </w:rPr>
      </w:pPr>
    </w:p>
    <w:p w14:paraId="4FEDF217" w14:textId="77777777" w:rsidR="008C1D1D" w:rsidRDefault="008C1D1D" w:rsidP="008C1D1D">
      <w:pPr>
        <w:spacing w:line="360" w:lineRule="auto"/>
        <w:jc w:val="both"/>
        <w:rPr>
          <w:rFonts w:ascii="David" w:hAnsi="David"/>
          <w:bCs/>
          <w:u w:val="single"/>
          <w:rtl/>
        </w:rPr>
      </w:pPr>
      <w:r>
        <w:rPr>
          <w:rFonts w:ascii="David" w:hAnsi="David"/>
          <w:rtl/>
        </w:rPr>
        <w:t xml:space="preserve"> </w:t>
      </w:r>
      <w:r>
        <w:rPr>
          <w:rFonts w:ascii="David" w:hAnsi="David"/>
          <w:bCs/>
          <w:u w:val="single"/>
          <w:rtl/>
        </w:rPr>
        <w:t>דיון - קביעת מתחם העונש ההולם</w:t>
      </w:r>
    </w:p>
    <w:p w14:paraId="766D3C69" w14:textId="77777777" w:rsidR="008C1D1D" w:rsidRDefault="008C1D1D" w:rsidP="008C1D1D">
      <w:pPr>
        <w:pStyle w:val="ListParagraph"/>
        <w:numPr>
          <w:ilvl w:val="0"/>
          <w:numId w:val="2"/>
        </w:numPr>
        <w:spacing w:after="0" w:line="360" w:lineRule="auto"/>
        <w:jc w:val="both"/>
        <w:rPr>
          <w:rFonts w:eastAsia="Times New Roman" w:cs="David"/>
          <w:sz w:val="24"/>
          <w:szCs w:val="24"/>
        </w:rPr>
      </w:pPr>
      <w:r>
        <w:rPr>
          <w:rFonts w:eastAsia="Times New Roman" w:cs="David"/>
          <w:sz w:val="24"/>
          <w:szCs w:val="24"/>
          <w:rtl/>
        </w:rPr>
        <w:t xml:space="preserve">כתב האישום מייחס לנאשם צבר עבירות שהתרחשו במקביל זו לזו, ומכאן שלטעמי יש לקבוע  </w:t>
      </w:r>
      <w:r>
        <w:rPr>
          <w:rFonts w:eastAsia="Times New Roman" w:cs="David"/>
          <w:b/>
          <w:bCs/>
          <w:sz w:val="24"/>
          <w:szCs w:val="24"/>
          <w:rtl/>
        </w:rPr>
        <w:t>מתחם עונש הולם אחד</w:t>
      </w:r>
      <w:r>
        <w:rPr>
          <w:rFonts w:eastAsia="Times New Roman" w:cs="David"/>
          <w:sz w:val="24"/>
          <w:szCs w:val="24"/>
          <w:rtl/>
        </w:rPr>
        <w:t xml:space="preserve">, וזאת בהתאם </w:t>
      </w:r>
      <w:hyperlink r:id="rId25" w:history="1">
        <w:r w:rsidR="003F442A" w:rsidRPr="003F442A">
          <w:rPr>
            <w:rStyle w:val="Hyperlink"/>
            <w:rFonts w:eastAsia="Times New Roman" w:cs="David"/>
            <w:color w:val="0000FF"/>
            <w:sz w:val="24"/>
            <w:szCs w:val="24"/>
            <w:rtl/>
          </w:rPr>
          <w:t>לסעיף 40יג(א)</w:t>
        </w:r>
      </w:hyperlink>
      <w:r>
        <w:rPr>
          <w:rFonts w:eastAsia="Times New Roman" w:cs="David"/>
          <w:sz w:val="24"/>
          <w:szCs w:val="24"/>
          <w:rtl/>
        </w:rPr>
        <w:t xml:space="preserve"> לחוק ולמבחן הקשר ההדוק שנקבע בע"פ ג'אבר. </w:t>
      </w:r>
    </w:p>
    <w:p w14:paraId="57B3831A" w14:textId="77777777" w:rsidR="008C1D1D" w:rsidRDefault="008C1D1D" w:rsidP="008C1D1D">
      <w:pPr>
        <w:pStyle w:val="ListParagraph"/>
        <w:spacing w:after="0" w:line="360" w:lineRule="auto"/>
        <w:ind w:left="1352"/>
        <w:jc w:val="both"/>
        <w:rPr>
          <w:rFonts w:eastAsia="Times New Roman" w:cs="David"/>
          <w:sz w:val="24"/>
          <w:szCs w:val="24"/>
          <w:rtl/>
        </w:rPr>
      </w:pPr>
    </w:p>
    <w:p w14:paraId="1CB95922" w14:textId="77777777" w:rsidR="008C1D1D" w:rsidRDefault="008C1D1D" w:rsidP="008C1D1D">
      <w:pPr>
        <w:pStyle w:val="a"/>
        <w:numPr>
          <w:ilvl w:val="0"/>
          <w:numId w:val="2"/>
        </w:numPr>
        <w:tabs>
          <w:tab w:val="left" w:pos="720"/>
        </w:tabs>
        <w:jc w:val="both"/>
        <w:rPr>
          <w:rtl/>
        </w:rPr>
      </w:pPr>
      <w:r>
        <w:rPr>
          <w:rFonts w:hint="cs"/>
          <w:rtl/>
        </w:rPr>
        <w:t xml:space="preserve">מיגור העיסוק בסמים הינו משימה לאומית רמת מעלה, חשובה ובלתי פוסקת, </w:t>
      </w:r>
      <w:r>
        <w:rPr>
          <w:rFonts w:hint="cs"/>
          <w:b/>
          <w:bCs/>
          <w:rtl/>
        </w:rPr>
        <w:t>הערך החברתי המוגן</w:t>
      </w:r>
      <w:r>
        <w:rPr>
          <w:rFonts w:hint="cs"/>
          <w:rtl/>
        </w:rPr>
        <w:t xml:space="preserve"> אשר נפגע כתוצאה ממעשיו של הנאשם הינו ההגנה מפני הנזקים הישירים והעקיפים אשר נגרמים לחברה בכללותה עקב העיסוק והשימוש בסמים. </w:t>
      </w:r>
    </w:p>
    <w:p w14:paraId="0D9D3B48" w14:textId="77777777" w:rsidR="008C1D1D" w:rsidRDefault="008C1D1D" w:rsidP="008C1D1D">
      <w:pPr>
        <w:pStyle w:val="a"/>
        <w:numPr>
          <w:ilvl w:val="0"/>
          <w:numId w:val="0"/>
        </w:numPr>
        <w:tabs>
          <w:tab w:val="left" w:pos="720"/>
        </w:tabs>
        <w:ind w:left="1352"/>
        <w:jc w:val="both"/>
        <w:rPr>
          <w:bCs/>
          <w:rtl/>
        </w:rPr>
      </w:pPr>
      <w:r>
        <w:rPr>
          <w:rFonts w:hint="cs"/>
          <w:rtl/>
        </w:rPr>
        <w:t xml:space="preserve">על הצורך להילחם בתופעת בנגע הסמים, עמד בית המשפט העליון לא אחת בפסיקתו, </w:t>
      </w:r>
      <w:r>
        <w:rPr>
          <w:rFonts w:hint="cs"/>
          <w:b/>
          <w:rtl/>
        </w:rPr>
        <w:t>ראו דברי כב' הש' ברלינר ב</w:t>
      </w:r>
      <w:hyperlink r:id="rId26" w:history="1">
        <w:r w:rsidR="007036B0" w:rsidRPr="007036B0">
          <w:rPr>
            <w:b/>
            <w:color w:val="0000FF"/>
            <w:u w:val="single"/>
            <w:rtl/>
          </w:rPr>
          <w:t>ע"פ 170/07</w:t>
        </w:r>
      </w:hyperlink>
      <w:r>
        <w:rPr>
          <w:rFonts w:hint="cs"/>
          <w:b/>
          <w:rtl/>
        </w:rPr>
        <w:t xml:space="preserve"> </w:t>
      </w:r>
      <w:r>
        <w:rPr>
          <w:rFonts w:hint="cs"/>
          <w:bCs/>
          <w:rtl/>
        </w:rPr>
        <w:t>מטיס נ' מדינת ישראל</w:t>
      </w:r>
      <w:r>
        <w:rPr>
          <w:rFonts w:hint="cs"/>
          <w:b/>
          <w:rtl/>
        </w:rPr>
        <w:t xml:space="preserve"> ביחס שימוש עצמי בסמים מסוג קנאביס וחשיש:</w:t>
      </w:r>
    </w:p>
    <w:p w14:paraId="63F7E909" w14:textId="77777777" w:rsidR="008C1D1D" w:rsidRDefault="008C1D1D" w:rsidP="008C1D1D">
      <w:pPr>
        <w:pStyle w:val="a"/>
        <w:numPr>
          <w:ilvl w:val="0"/>
          <w:numId w:val="0"/>
        </w:numPr>
        <w:tabs>
          <w:tab w:val="left" w:pos="720"/>
        </w:tabs>
        <w:ind w:left="1352"/>
        <w:jc w:val="both"/>
        <w:rPr>
          <w:bCs/>
        </w:rPr>
      </w:pPr>
      <w:r>
        <w:rPr>
          <w:rFonts w:hint="cs"/>
          <w:b/>
          <w:rtl/>
        </w:rPr>
        <w:t>"</w:t>
      </w:r>
      <w:r>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Pr>
          <w:rFonts w:hint="cs"/>
          <w:b/>
          <w:rtl/>
        </w:rPr>
        <w:t>".</w:t>
      </w:r>
    </w:p>
    <w:p w14:paraId="38B3DABB" w14:textId="77777777" w:rsidR="008C1D1D" w:rsidRDefault="008C1D1D" w:rsidP="008C1D1D">
      <w:pPr>
        <w:pStyle w:val="a"/>
        <w:numPr>
          <w:ilvl w:val="0"/>
          <w:numId w:val="0"/>
        </w:numPr>
        <w:tabs>
          <w:tab w:val="left" w:pos="720"/>
        </w:tabs>
        <w:ind w:left="1352"/>
        <w:jc w:val="both"/>
        <w:rPr>
          <w:rtl/>
        </w:rPr>
      </w:pPr>
      <w:r>
        <w:rPr>
          <w:rFonts w:hint="cs"/>
          <w:rtl/>
        </w:rPr>
        <w:t xml:space="preserve">לאחרונה,  בית המשפט העליון שב והדגיש כי קנבוס היה ועודנו נותר סם מסוכן (ראה </w:t>
      </w:r>
      <w:hyperlink r:id="rId27" w:history="1">
        <w:r w:rsidR="007036B0" w:rsidRPr="007036B0">
          <w:rPr>
            <w:color w:val="0000FF"/>
            <w:u w:val="single"/>
            <w:rtl/>
          </w:rPr>
          <w:t>רע"פ 174/21</w:t>
        </w:r>
      </w:hyperlink>
      <w:r>
        <w:rPr>
          <w:rFonts w:hint="cs"/>
          <w:rtl/>
        </w:rPr>
        <w:t xml:space="preserve"> </w:t>
      </w:r>
      <w:r>
        <w:rPr>
          <w:rFonts w:hint="cs"/>
          <w:b/>
          <w:bCs/>
          <w:rtl/>
        </w:rPr>
        <w:t>סויסה נ' מדינת ישראל</w:t>
      </w:r>
      <w:r>
        <w:rPr>
          <w:rFonts w:hint="cs"/>
          <w:rtl/>
        </w:rPr>
        <w:t xml:space="preserve"> (25.02.21) וככלל מגמת הענישה בעבירות סמים, היא של החמרה והרתעה ( ראה </w:t>
      </w:r>
      <w:hyperlink r:id="rId28" w:history="1">
        <w:r w:rsidR="007036B0" w:rsidRPr="007036B0">
          <w:rPr>
            <w:color w:val="0000FF"/>
            <w:u w:val="single"/>
            <w:rtl/>
          </w:rPr>
          <w:t>ע"פ 8048/19</w:t>
        </w:r>
      </w:hyperlink>
      <w:r>
        <w:rPr>
          <w:rFonts w:hint="cs"/>
          <w:rtl/>
        </w:rPr>
        <w:t xml:space="preserve"> </w:t>
      </w:r>
      <w:r>
        <w:rPr>
          <w:rFonts w:hint="cs"/>
          <w:bCs/>
          <w:rtl/>
        </w:rPr>
        <w:t>פיצ'חדזה נ' מדינת ישראל</w:t>
      </w:r>
      <w:r>
        <w:rPr>
          <w:rFonts w:hint="cs"/>
          <w:rtl/>
        </w:rPr>
        <w:t>, פסקה 11 (20.6.2020)).</w:t>
      </w:r>
    </w:p>
    <w:p w14:paraId="66DB1751" w14:textId="77777777" w:rsidR="008C1D1D" w:rsidRDefault="008C1D1D" w:rsidP="008C1D1D">
      <w:pPr>
        <w:pStyle w:val="a"/>
        <w:numPr>
          <w:ilvl w:val="0"/>
          <w:numId w:val="0"/>
        </w:numPr>
        <w:tabs>
          <w:tab w:val="left" w:pos="720"/>
        </w:tabs>
        <w:ind w:left="1352"/>
        <w:jc w:val="both"/>
        <w:rPr>
          <w:rtl/>
        </w:rPr>
      </w:pPr>
    </w:p>
    <w:p w14:paraId="7E1A6107" w14:textId="77777777" w:rsidR="008C1D1D" w:rsidRDefault="008C1D1D" w:rsidP="008C1D1D">
      <w:pPr>
        <w:pStyle w:val="a"/>
        <w:numPr>
          <w:ilvl w:val="0"/>
          <w:numId w:val="2"/>
        </w:numPr>
        <w:tabs>
          <w:tab w:val="left" w:pos="720"/>
        </w:tabs>
        <w:jc w:val="both"/>
      </w:pPr>
      <w:r>
        <w:rPr>
          <w:rFonts w:hint="cs"/>
          <w:rtl/>
        </w:rPr>
        <w:t xml:space="preserve">בחינת מידת </w:t>
      </w:r>
      <w:r>
        <w:rPr>
          <w:rFonts w:hint="cs"/>
          <w:b/>
          <w:bCs/>
          <w:rtl/>
        </w:rPr>
        <w:t>הפגיעה בערכים המוגנים</w:t>
      </w:r>
      <w:r>
        <w:rPr>
          <w:rFonts w:hint="cs"/>
          <w:rtl/>
        </w:rPr>
        <w:t xml:space="preserve"> מובילה למסקנה כי הפגיעה היא ברף הבינוני – גבוה, בשים לב לכך, שמדובר בגידול 140 שתילי קנבוס, וכן בהחזקת סם מסוג קנבוס במשקל 6 ק"ג. כמו כן יש לציין כי הנאשם הסב חלק מהנכס למעבדה לגידול סמים. </w:t>
      </w:r>
    </w:p>
    <w:p w14:paraId="55094B3E" w14:textId="77777777" w:rsidR="008C1D1D" w:rsidRDefault="008C1D1D" w:rsidP="008C1D1D">
      <w:pPr>
        <w:pStyle w:val="a"/>
        <w:numPr>
          <w:ilvl w:val="0"/>
          <w:numId w:val="0"/>
        </w:numPr>
        <w:tabs>
          <w:tab w:val="left" w:pos="720"/>
        </w:tabs>
        <w:ind w:left="1352"/>
        <w:jc w:val="both"/>
      </w:pPr>
    </w:p>
    <w:p w14:paraId="6098738C" w14:textId="77777777" w:rsidR="008C1D1D" w:rsidRDefault="008C1D1D" w:rsidP="008C1D1D">
      <w:pPr>
        <w:pStyle w:val="a"/>
        <w:numPr>
          <w:ilvl w:val="0"/>
          <w:numId w:val="2"/>
        </w:numPr>
        <w:tabs>
          <w:tab w:val="left" w:pos="720"/>
        </w:tabs>
        <w:jc w:val="both"/>
        <w:rPr>
          <w:rtl/>
        </w:rPr>
      </w:pPr>
      <w:r>
        <w:rPr>
          <w:rFonts w:hint="cs"/>
          <w:rtl/>
        </w:rPr>
        <w:t xml:space="preserve">בחינת </w:t>
      </w:r>
      <w:r>
        <w:rPr>
          <w:rFonts w:hint="cs"/>
          <w:b/>
          <w:bCs/>
          <w:rtl/>
        </w:rPr>
        <w:t>מדיניות הענישה הנוהגת</w:t>
      </w:r>
      <w:r>
        <w:rPr>
          <w:rFonts w:hint="cs"/>
          <w:rtl/>
        </w:rPr>
        <w:t xml:space="preserve"> מעלה כי במקרים דומים הוטלו על נאשמים עונשים במנעד ענישה רחב כמפורט להלן: </w:t>
      </w:r>
    </w:p>
    <w:p w14:paraId="53959C86" w14:textId="77777777" w:rsidR="008C1D1D" w:rsidRDefault="007036B0" w:rsidP="008C1D1D">
      <w:pPr>
        <w:pStyle w:val="a"/>
        <w:numPr>
          <w:ilvl w:val="0"/>
          <w:numId w:val="3"/>
        </w:numPr>
        <w:tabs>
          <w:tab w:val="left" w:pos="720"/>
        </w:tabs>
        <w:jc w:val="both"/>
      </w:pPr>
      <w:hyperlink r:id="rId29" w:history="1">
        <w:r w:rsidRPr="007036B0">
          <w:rPr>
            <w:color w:val="0000FF"/>
            <w:u w:val="single"/>
            <w:rtl/>
          </w:rPr>
          <w:t>רע"פ 2151/21</w:t>
        </w:r>
      </w:hyperlink>
      <w:r w:rsidR="008C1D1D">
        <w:rPr>
          <w:rFonts w:hint="cs"/>
          <w:u w:val="single"/>
          <w:rtl/>
        </w:rPr>
        <w:t xml:space="preserve"> </w:t>
      </w:r>
      <w:r w:rsidR="008C1D1D">
        <w:rPr>
          <w:rFonts w:hint="cs"/>
          <w:b/>
          <w:bCs/>
          <w:u w:val="single"/>
          <w:rtl/>
        </w:rPr>
        <w:t>דהן נ' מדינת ישראל</w:t>
      </w:r>
      <w:r w:rsidR="008C1D1D">
        <w:rPr>
          <w:rFonts w:hint="cs"/>
          <w:u w:val="single"/>
          <w:rtl/>
        </w:rPr>
        <w:t xml:space="preserve"> (07.04.21)</w:t>
      </w:r>
      <w:r w:rsidR="008C1D1D">
        <w:rPr>
          <w:rFonts w:hint="cs"/>
          <w:rtl/>
        </w:rPr>
        <w:t xml:space="preserve"> נדחה ערעורו של נאשם אשר הורשע על פי הודאתו בעבירות של גידול סם והחזקת סם שלא לצריכה עצמית, </w:t>
      </w:r>
      <w:r w:rsidR="008C1D1D">
        <w:rPr>
          <w:rFonts w:hint="cs"/>
          <w:b/>
          <w:bCs/>
          <w:rtl/>
        </w:rPr>
        <w:t>הנאשם נמצא מחזיק כ 100 שתילי סם מסוג קנבוס במשקל 23 ק"ג,</w:t>
      </w:r>
      <w:r w:rsidR="008C1D1D">
        <w:rPr>
          <w:rFonts w:hint="cs"/>
          <w:rtl/>
        </w:rPr>
        <w:t xml:space="preserve"> הנאשם ביצע העבירות ביחד עם שנים אחרים. </w:t>
      </w:r>
      <w:r w:rsidR="008C1D1D">
        <w:rPr>
          <w:rFonts w:hint="cs"/>
          <w:u w:val="single"/>
          <w:rtl/>
        </w:rPr>
        <w:t>בית משפט השלום קבע מתחם ענישה הנע בין 8 ל 24 חודשי מאסר בפועל</w:t>
      </w:r>
      <w:r w:rsidR="008C1D1D">
        <w:rPr>
          <w:rFonts w:hint="cs"/>
          <w:rtl/>
        </w:rPr>
        <w:t xml:space="preserve">. הנאשם נעדר עבר פלילי, שהה במעצר למעלה מחודש ימים, הוגש בעניינו תסקיר שלילי. נדון ל 9 חודשי מאסר בפועל שירוצו בעבודת שירות. </w:t>
      </w:r>
      <w:r w:rsidR="008C1D1D">
        <w:rPr>
          <w:rFonts w:hint="cs"/>
          <w:u w:val="single"/>
          <w:rtl/>
        </w:rPr>
        <w:t xml:space="preserve">ערעור המדינה על קולת העונש התקבל ועונשו של הנאשם הוחמר ל 18 חודשי מאסר בפועל </w:t>
      </w:r>
      <w:r w:rsidR="008C1D1D">
        <w:rPr>
          <w:rFonts w:hint="cs"/>
          <w:rtl/>
        </w:rPr>
        <w:t xml:space="preserve">. </w:t>
      </w:r>
    </w:p>
    <w:p w14:paraId="2DA29247" w14:textId="77777777" w:rsidR="008C1D1D" w:rsidRDefault="007036B0" w:rsidP="008C1D1D">
      <w:pPr>
        <w:pStyle w:val="a"/>
        <w:numPr>
          <w:ilvl w:val="0"/>
          <w:numId w:val="3"/>
        </w:numPr>
        <w:tabs>
          <w:tab w:val="left" w:pos="720"/>
        </w:tabs>
        <w:jc w:val="both"/>
      </w:pPr>
      <w:hyperlink r:id="rId30" w:history="1">
        <w:r w:rsidRPr="007036B0">
          <w:rPr>
            <w:color w:val="0000FF"/>
            <w:u w:val="single"/>
            <w:rtl/>
          </w:rPr>
          <w:t>רע"פ 513/21</w:t>
        </w:r>
      </w:hyperlink>
      <w:r w:rsidR="008C1D1D">
        <w:rPr>
          <w:rFonts w:hint="cs"/>
          <w:u w:val="single"/>
          <w:rtl/>
        </w:rPr>
        <w:t xml:space="preserve"> </w:t>
      </w:r>
      <w:r w:rsidR="008C1D1D">
        <w:rPr>
          <w:rFonts w:hint="cs"/>
          <w:b/>
          <w:bCs/>
          <w:u w:val="single"/>
          <w:rtl/>
        </w:rPr>
        <w:t>יהושע נ' מדינת ישראל</w:t>
      </w:r>
      <w:r w:rsidR="008C1D1D">
        <w:rPr>
          <w:rFonts w:hint="cs"/>
          <w:b/>
          <w:bCs/>
          <w:rtl/>
        </w:rPr>
        <w:t xml:space="preserve"> (</w:t>
      </w:r>
      <w:r w:rsidR="008C1D1D">
        <w:rPr>
          <w:rFonts w:hint="cs"/>
          <w:rtl/>
        </w:rPr>
        <w:t>04.03.21) נדחה ערעור של נאשם אשר הורשע בעבירה של גידול סם, הנאשם נמצא מגדל 60 שתילים במשקל כולל של 10 ק"ג</w:t>
      </w:r>
      <w:r w:rsidR="008C1D1D">
        <w:rPr>
          <w:rFonts w:hint="cs"/>
          <w:b/>
          <w:bCs/>
          <w:rtl/>
        </w:rPr>
        <w:t>. בית משפט השלום קבע מתחם ענישה הנע בין 6 חודשי מאסר בפועל ועד 24 חודשי מאסר בפועל.</w:t>
      </w:r>
      <w:r w:rsidR="008C1D1D">
        <w:rPr>
          <w:rFonts w:hint="cs"/>
          <w:rtl/>
        </w:rPr>
        <w:t xml:space="preserve"> בית משפט השלום סטה ממתחם ענישה והנאשם נדון הנאשם לצו של"צ בהיקף 150 שעות, ערעור המדינה על קולת העונש התקבל, הנאשם נדון ל 10 חודשי מאסר בפועל. בקשת רשות ערעור שהגיש הנאשם נדחתה. </w:t>
      </w:r>
    </w:p>
    <w:p w14:paraId="50D28037" w14:textId="77777777" w:rsidR="008C1D1D" w:rsidRDefault="007036B0" w:rsidP="008C1D1D">
      <w:pPr>
        <w:pStyle w:val="a"/>
        <w:numPr>
          <w:ilvl w:val="0"/>
          <w:numId w:val="3"/>
        </w:numPr>
        <w:tabs>
          <w:tab w:val="left" w:pos="720"/>
        </w:tabs>
        <w:jc w:val="both"/>
      </w:pPr>
      <w:hyperlink r:id="rId31" w:history="1">
        <w:r w:rsidRPr="007036B0">
          <w:rPr>
            <w:color w:val="0000FF"/>
            <w:u w:val="single"/>
            <w:rtl/>
          </w:rPr>
          <w:t>רע"פ 3991/20</w:t>
        </w:r>
      </w:hyperlink>
      <w:r w:rsidR="008C1D1D">
        <w:rPr>
          <w:rFonts w:hint="cs"/>
          <w:u w:val="single"/>
          <w:rtl/>
        </w:rPr>
        <w:t xml:space="preserve"> </w:t>
      </w:r>
      <w:r w:rsidR="008C1D1D">
        <w:rPr>
          <w:rFonts w:hint="cs"/>
          <w:b/>
          <w:bCs/>
          <w:u w:val="single"/>
          <w:rtl/>
        </w:rPr>
        <w:t>פרנק נ' מדינת ישראל</w:t>
      </w:r>
      <w:r w:rsidR="008C1D1D">
        <w:rPr>
          <w:rFonts w:hint="cs"/>
          <w:u w:val="single"/>
          <w:rtl/>
        </w:rPr>
        <w:t xml:space="preserve"> (28.06.20)</w:t>
      </w:r>
      <w:r w:rsidR="008C1D1D">
        <w:rPr>
          <w:rFonts w:hint="cs"/>
          <w:rtl/>
        </w:rPr>
        <w:t xml:space="preserve"> נדחה ערעורו של נאשם אשר הורשע בהתאם להודאתו בשלוש עבירות של גידול סם מסוכן, החזקת סם מסוכן, החזקת כלים לצורך הכנת סם, הנאשם גידל סם מסוג קנבוס בשתי דירות ששכר וכן בביתו, </w:t>
      </w:r>
      <w:r w:rsidR="008C1D1D">
        <w:rPr>
          <w:rFonts w:hint="cs"/>
          <w:b/>
          <w:bCs/>
          <w:rtl/>
        </w:rPr>
        <w:t>נמצאו בסך הכל 188 שתילים במשקל של כ 19.5 ק"ג בנוסף</w:t>
      </w:r>
      <w:r w:rsidR="008C1D1D">
        <w:rPr>
          <w:rFonts w:hint="cs"/>
          <w:rtl/>
        </w:rPr>
        <w:t xml:space="preserve"> נמצא מחזיק כ 862 גרם סם מסוג קנבוס שלא לצריכה עצמית</w:t>
      </w:r>
      <w:r w:rsidR="008C1D1D">
        <w:rPr>
          <w:rFonts w:hint="cs"/>
          <w:b/>
          <w:bCs/>
          <w:rtl/>
        </w:rPr>
        <w:t>. בית משפט השלום קבע מתחם ענישה הנע בין 8 ל 20 חודשי מאסר בפועל</w:t>
      </w:r>
      <w:r w:rsidR="008C1D1D">
        <w:rPr>
          <w:rFonts w:hint="cs"/>
          <w:rtl/>
        </w:rPr>
        <w:t xml:space="preserve">, הנאשם צעיר בעל עבר פלילי שאינו מכביד נדון ל 10 חודשי מאסר בפועל. בית המשפט המחוזי דחה ערעור הנאשם על חומרת העונש. בית המשפט העליון דחה גם כן הערעור תוך שציין שאין שינוי בנוגע להתייחסות לסם הקנבוס. </w:t>
      </w:r>
    </w:p>
    <w:p w14:paraId="368D9054" w14:textId="77777777" w:rsidR="008C1D1D" w:rsidRDefault="007036B0" w:rsidP="008C1D1D">
      <w:pPr>
        <w:pStyle w:val="a"/>
        <w:numPr>
          <w:ilvl w:val="0"/>
          <w:numId w:val="3"/>
        </w:numPr>
        <w:tabs>
          <w:tab w:val="left" w:pos="720"/>
        </w:tabs>
        <w:jc w:val="both"/>
        <w:rPr>
          <w:u w:val="single"/>
        </w:rPr>
      </w:pPr>
      <w:hyperlink r:id="rId32" w:history="1">
        <w:r w:rsidRPr="007036B0">
          <w:rPr>
            <w:color w:val="0000FF"/>
            <w:u w:val="single"/>
            <w:rtl/>
          </w:rPr>
          <w:t>עפ"ג (מרכז) 45102-06-22</w:t>
        </w:r>
      </w:hyperlink>
      <w:r w:rsidR="008C1D1D">
        <w:rPr>
          <w:rFonts w:hint="cs"/>
          <w:u w:val="single"/>
          <w:rtl/>
        </w:rPr>
        <w:t xml:space="preserve"> </w:t>
      </w:r>
      <w:r w:rsidR="008C1D1D">
        <w:rPr>
          <w:rFonts w:hint="cs"/>
          <w:b/>
          <w:bCs/>
          <w:u w:val="single"/>
          <w:rtl/>
        </w:rPr>
        <w:t>וטורי נ' מדינת ישראל</w:t>
      </w:r>
      <w:r w:rsidR="008C1D1D">
        <w:rPr>
          <w:rFonts w:hint="cs"/>
          <w:u w:val="single"/>
          <w:rtl/>
        </w:rPr>
        <w:t xml:space="preserve"> (04.12.22) –</w:t>
      </w:r>
      <w:r w:rsidR="008C1D1D">
        <w:rPr>
          <w:rFonts w:hint="cs"/>
          <w:rtl/>
        </w:rPr>
        <w:t xml:space="preserve">הנאשם הורשע בהתאם להודאתו בעבירות של החזקת סם שלא לצריכה עצמית, נטילת חשמל, גידול סם מסוכן והחזקת כלים להכנת סם מסוכן שלא לצריכה עצמית, בכך ששכר דירה והקים בה מעבדה לגידול סמים, הנאשם נמצא מגדל 290 שתילי סם מסוג קנבוס וכן נמצא מחזיק בדירה סם מסוג קנבוס וחשיש בכמויות שונות. </w:t>
      </w:r>
      <w:r w:rsidR="008C1D1D">
        <w:rPr>
          <w:rFonts w:hint="cs"/>
          <w:b/>
          <w:bCs/>
          <w:rtl/>
        </w:rPr>
        <w:t>בית משפט השלום קבע מתחם ענישה הנע בין 9 ל 18 חודשי מאסר בפועל</w:t>
      </w:r>
      <w:r w:rsidR="008C1D1D">
        <w:rPr>
          <w:rFonts w:hint="cs"/>
          <w:rtl/>
        </w:rPr>
        <w:t xml:space="preserve">. הנאשם נעדר עבר פלילי נדון ל 10 חודשי מאסר בפועל. ערעור שהוגש לבית משפט מחוזי נדחה. בית המשפט המחוזי עמד בפסק דינו על מדיניות הענישה הראויה בעבירות גידול סמים והחזקת סמים ומצא כי מתחם העונש שנקבע ראוי וסביר. </w:t>
      </w:r>
    </w:p>
    <w:p w14:paraId="6FE6B1E4" w14:textId="77777777" w:rsidR="008C1D1D" w:rsidRDefault="007036B0" w:rsidP="008C1D1D">
      <w:pPr>
        <w:pStyle w:val="a"/>
        <w:numPr>
          <w:ilvl w:val="0"/>
          <w:numId w:val="3"/>
        </w:numPr>
        <w:tabs>
          <w:tab w:val="left" w:pos="720"/>
        </w:tabs>
        <w:jc w:val="both"/>
      </w:pPr>
      <w:hyperlink r:id="rId33" w:history="1">
        <w:r w:rsidRPr="007036B0">
          <w:rPr>
            <w:color w:val="0000FF"/>
            <w:u w:val="single"/>
            <w:rtl/>
          </w:rPr>
          <w:t>עפ"ג (מרכז) 10371-03-22</w:t>
        </w:r>
      </w:hyperlink>
      <w:r w:rsidR="008C1D1D">
        <w:rPr>
          <w:rFonts w:hint="cs"/>
          <w:b/>
          <w:bCs/>
          <w:u w:val="single"/>
          <w:rtl/>
        </w:rPr>
        <w:t xml:space="preserve"> בכר נ' מדינת ישראל</w:t>
      </w:r>
      <w:r w:rsidR="008C1D1D">
        <w:rPr>
          <w:rFonts w:hint="cs"/>
          <w:rtl/>
        </w:rPr>
        <w:t xml:space="preserve"> (12.09.22) הנאשם הורשע בהתאם להודאתו בעבירה של גידול סם, בכך ששכר דירה והקים בה מעבדה לגידול סמים, נמצא מחזיק 94 שתילים במשקל 3.8 ק"ג. </w:t>
      </w:r>
      <w:r w:rsidR="008C1D1D">
        <w:rPr>
          <w:rFonts w:hint="cs"/>
          <w:b/>
          <w:bCs/>
          <w:rtl/>
        </w:rPr>
        <w:t>בית משפט השלום קבע מתחם ענישה הנע בין 10 ל 24 חודשי מאסר בפועל</w:t>
      </w:r>
      <w:r w:rsidR="008C1D1D">
        <w:rPr>
          <w:rFonts w:hint="cs"/>
          <w:rtl/>
        </w:rPr>
        <w:t xml:space="preserve">, הנאשם צעיר בעל עבר פלילי שאינו ממין העניין, </w:t>
      </w:r>
      <w:r w:rsidR="008C1D1D">
        <w:rPr>
          <w:rFonts w:hint="cs"/>
          <w:b/>
          <w:bCs/>
          <w:rtl/>
        </w:rPr>
        <w:t>נדון ל 10 חודשי מאסר בפועל</w:t>
      </w:r>
      <w:r w:rsidR="008C1D1D">
        <w:rPr>
          <w:rFonts w:hint="cs"/>
          <w:rtl/>
        </w:rPr>
        <w:t xml:space="preserve">. בית המשפט המחוזי סבר כי מדובר במתחם הולם וראוי וכי העונש שהוטל על הנאשם מאוזן וראוי בנסיבות העניין. </w:t>
      </w:r>
    </w:p>
    <w:p w14:paraId="00436DB2" w14:textId="77777777" w:rsidR="008C1D1D" w:rsidRDefault="008C1D1D" w:rsidP="008C1D1D">
      <w:pPr>
        <w:pStyle w:val="a"/>
        <w:numPr>
          <w:ilvl w:val="0"/>
          <w:numId w:val="0"/>
        </w:numPr>
        <w:tabs>
          <w:tab w:val="left" w:pos="720"/>
        </w:tabs>
        <w:ind w:left="1712"/>
        <w:jc w:val="both"/>
      </w:pPr>
    </w:p>
    <w:p w14:paraId="35D3EE80" w14:textId="77777777" w:rsidR="008C1D1D" w:rsidRDefault="008C1D1D" w:rsidP="008C1D1D">
      <w:pPr>
        <w:pStyle w:val="a"/>
        <w:numPr>
          <w:ilvl w:val="0"/>
          <w:numId w:val="2"/>
        </w:numPr>
        <w:tabs>
          <w:tab w:val="left" w:pos="720"/>
        </w:tabs>
        <w:jc w:val="both"/>
      </w:pPr>
      <w:r>
        <w:rPr>
          <w:rFonts w:hint="cs"/>
          <w:rtl/>
        </w:rPr>
        <w:t xml:space="preserve">במסגרת </w:t>
      </w:r>
      <w:r>
        <w:rPr>
          <w:rFonts w:hint="cs"/>
          <w:b/>
          <w:bCs/>
          <w:rtl/>
        </w:rPr>
        <w:t xml:space="preserve">הנסיבות הקשורות בביצוע העבירה </w:t>
      </w:r>
      <w:r>
        <w:rPr>
          <w:rFonts w:hint="cs"/>
          <w:rtl/>
        </w:rPr>
        <w:t xml:space="preserve">(סעיף </w:t>
      </w:r>
      <w:hyperlink r:id="rId34" w:history="1">
        <w:r w:rsidR="003F442A" w:rsidRPr="003F442A">
          <w:rPr>
            <w:rStyle w:val="Hyperlink"/>
            <w:color w:val="0000FF"/>
            <w:rtl/>
          </w:rPr>
          <w:t>40 ט'</w:t>
        </w:r>
      </w:hyperlink>
      <w:r>
        <w:rPr>
          <w:rFonts w:hint="cs"/>
          <w:rtl/>
        </w:rPr>
        <w:t xml:space="preserve"> לחוק), יש לתת את הדעת לשיקולים הבאים: הנאשם שכר את הנכס והקים בו מעבדה לגידול סמים, הנאשם נמצא מגדל 140 שתילי סם מסוג קנבוס  וכן נמצא מחזיק סם מסוג קנבוס במשקל של 6 ק"ג . יש לציין כי מדובר במעשה שקדם לו תכנון מוקדם, הנאשם הסב את מרתף הדירה למעבדה לגידול סמים, התקין אמצעים שונים לצורך גידול הסם, ניכר כי באותה העת זה היה עיסוקו העיקרי. </w:t>
      </w:r>
    </w:p>
    <w:p w14:paraId="1E717E1E" w14:textId="77777777" w:rsidR="008C1D1D" w:rsidRDefault="008C1D1D" w:rsidP="008C1D1D">
      <w:pPr>
        <w:pStyle w:val="a"/>
        <w:numPr>
          <w:ilvl w:val="0"/>
          <w:numId w:val="0"/>
        </w:numPr>
        <w:tabs>
          <w:tab w:val="left" w:pos="720"/>
        </w:tabs>
        <w:ind w:left="720"/>
        <w:rPr>
          <w:rtl/>
        </w:rPr>
      </w:pPr>
    </w:p>
    <w:p w14:paraId="0300100E" w14:textId="77777777" w:rsidR="008C1D1D" w:rsidRDefault="008C1D1D" w:rsidP="008C1D1D">
      <w:pPr>
        <w:pStyle w:val="a"/>
        <w:numPr>
          <w:ilvl w:val="0"/>
          <w:numId w:val="0"/>
        </w:numPr>
        <w:tabs>
          <w:tab w:val="left" w:pos="720"/>
        </w:tabs>
        <w:ind w:left="720"/>
        <w:rPr>
          <w:rtl/>
        </w:rPr>
      </w:pPr>
      <w:r>
        <w:rPr>
          <w:rFonts w:hint="cs"/>
          <w:rtl/>
        </w:rPr>
        <w:t>בהתאם לתיקון 113 ל</w:t>
      </w:r>
      <w:hyperlink r:id="rId35" w:history="1">
        <w:r w:rsidR="007036B0" w:rsidRPr="007036B0">
          <w:rPr>
            <w:color w:val="0000FF"/>
            <w:u w:val="single"/>
            <w:rtl/>
          </w:rPr>
          <w:t>חוק העונשין</w:t>
        </w:r>
      </w:hyperlink>
      <w:r>
        <w:rPr>
          <w:rFonts w:hint="cs"/>
          <w:rtl/>
        </w:rPr>
        <w:t xml:space="preserve">, לאחר שעיינתי בפסיקה אליה הפנו הצדדים ובשים לב לנסיבות ביצוע העבירות אני קובע כי  </w:t>
      </w:r>
      <w:r>
        <w:rPr>
          <w:rFonts w:hint="cs"/>
          <w:b/>
          <w:bCs/>
          <w:rtl/>
        </w:rPr>
        <w:t>מתחם העונש ההולם, בנסיבות תיק זה, נע בין 12 חודשי מאסר בפועל  לבין 24 חודשי מאסר בפועל</w:t>
      </w:r>
      <w:r>
        <w:rPr>
          <w:rFonts w:hint="cs"/>
          <w:rtl/>
        </w:rPr>
        <w:t xml:space="preserve">. </w:t>
      </w:r>
    </w:p>
    <w:p w14:paraId="3474A3AE" w14:textId="77777777" w:rsidR="008C1D1D" w:rsidRDefault="008C1D1D" w:rsidP="008C1D1D">
      <w:pPr>
        <w:spacing w:line="360" w:lineRule="auto"/>
        <w:jc w:val="both"/>
        <w:rPr>
          <w:rFonts w:ascii="David" w:hAnsi="David"/>
          <w:bCs/>
          <w:u w:val="single"/>
          <w:rtl/>
        </w:rPr>
      </w:pPr>
    </w:p>
    <w:p w14:paraId="79B825B3" w14:textId="77777777" w:rsidR="008C1D1D" w:rsidRDefault="008C1D1D" w:rsidP="008C1D1D">
      <w:pPr>
        <w:spacing w:line="360" w:lineRule="auto"/>
        <w:jc w:val="both"/>
        <w:rPr>
          <w:rFonts w:ascii="David" w:hAnsi="David"/>
          <w:bCs/>
          <w:u w:val="single"/>
          <w:rtl/>
        </w:rPr>
      </w:pPr>
      <w:r>
        <w:rPr>
          <w:rFonts w:ascii="David" w:hAnsi="David"/>
          <w:bCs/>
          <w:u w:val="single"/>
          <w:rtl/>
        </w:rPr>
        <w:t>גזירת העונש המתאים לנאשם</w:t>
      </w:r>
    </w:p>
    <w:p w14:paraId="288B2C8E" w14:textId="77777777" w:rsidR="008C1D1D" w:rsidRDefault="008C1D1D" w:rsidP="008C1D1D">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בגזירת העונש המתאים לנאשם, יש להתחשב </w:t>
      </w:r>
      <w:r>
        <w:rPr>
          <w:rFonts w:ascii="David" w:hAnsi="David" w:cs="David"/>
          <w:b/>
          <w:bCs/>
          <w:sz w:val="24"/>
          <w:szCs w:val="24"/>
          <w:rtl/>
        </w:rPr>
        <w:t>בנסיבות שאינן קשורות בביצוע העבירה</w:t>
      </w:r>
      <w:r>
        <w:rPr>
          <w:rFonts w:ascii="David" w:hAnsi="David" w:cs="David"/>
          <w:sz w:val="24"/>
          <w:szCs w:val="24"/>
          <w:rtl/>
        </w:rPr>
        <w:t xml:space="preserve"> (סעיף </w:t>
      </w:r>
      <w:hyperlink r:id="rId36" w:history="1">
        <w:r w:rsidR="003F442A" w:rsidRPr="003F442A">
          <w:rPr>
            <w:rStyle w:val="Hyperlink"/>
            <w:rFonts w:ascii="David" w:hAnsi="David" w:cs="David"/>
            <w:color w:val="0000FF"/>
            <w:sz w:val="24"/>
            <w:szCs w:val="24"/>
            <w:rtl/>
          </w:rPr>
          <w:t>40 יא'</w:t>
        </w:r>
      </w:hyperlink>
      <w:r>
        <w:rPr>
          <w:rFonts w:ascii="David" w:hAnsi="David" w:cs="David"/>
          <w:sz w:val="24"/>
          <w:szCs w:val="24"/>
          <w:rtl/>
        </w:rPr>
        <w:t>). במסגרת זו מן הראוי לתת את הדעת לנסיבות הבאות:</w:t>
      </w:r>
    </w:p>
    <w:p w14:paraId="7E39060B" w14:textId="77777777" w:rsidR="008C1D1D" w:rsidRDefault="008C1D1D" w:rsidP="008C1D1D">
      <w:pPr>
        <w:pStyle w:val="ListParagraph"/>
        <w:spacing w:line="360" w:lineRule="auto"/>
        <w:ind w:left="1352"/>
        <w:jc w:val="both"/>
        <w:rPr>
          <w:rFonts w:ascii="David" w:hAnsi="David" w:cs="David"/>
          <w:sz w:val="24"/>
          <w:szCs w:val="24"/>
        </w:rPr>
      </w:pPr>
      <w:r>
        <w:rPr>
          <w:rFonts w:ascii="David" w:hAnsi="David" w:cs="David"/>
          <w:sz w:val="24"/>
          <w:szCs w:val="24"/>
          <w:rtl/>
        </w:rPr>
        <w:t xml:space="preserve">הנאשם בן 36 נשוי ואב ל 8 ילדים קטנים, טרם מעצרו ניהל אורח חיים נורמטיבי ויצרני, למעט הסתבכותו בפלילים לפני למעלה מ- 14 שנה בעבירות אלימות, לא הסתבך שוב בפלילים, מלבד תיק זה. </w:t>
      </w:r>
    </w:p>
    <w:p w14:paraId="6CA9D89E" w14:textId="77777777" w:rsidR="008C1D1D" w:rsidRDefault="008C1D1D" w:rsidP="008C1D1D">
      <w:pPr>
        <w:pStyle w:val="ListParagraph"/>
        <w:spacing w:line="360" w:lineRule="auto"/>
        <w:ind w:left="1352"/>
        <w:jc w:val="both"/>
        <w:rPr>
          <w:rFonts w:ascii="David" w:hAnsi="David" w:cs="David"/>
          <w:sz w:val="24"/>
          <w:szCs w:val="24"/>
        </w:rPr>
      </w:pPr>
      <w:r>
        <w:rPr>
          <w:rFonts w:ascii="David" w:hAnsi="David" w:cs="David"/>
          <w:sz w:val="24"/>
          <w:szCs w:val="24"/>
          <w:rtl/>
        </w:rPr>
        <w:t xml:space="preserve">הנאשם לקח אחריות מלאה על מעשיו, הביע חרטה, ניכר כי הפנים הפסול שבהתנהלותו, יש לציין שהנאשם פנה ביוזמתו למשטרה והודה בהפעלת המעבדה. </w:t>
      </w:r>
    </w:p>
    <w:p w14:paraId="4AE812B8" w14:textId="77777777" w:rsidR="008C1D1D" w:rsidRDefault="008C1D1D" w:rsidP="008C1D1D">
      <w:pPr>
        <w:pStyle w:val="ListParagraph"/>
        <w:spacing w:line="360" w:lineRule="auto"/>
        <w:ind w:left="1352"/>
        <w:jc w:val="both"/>
        <w:rPr>
          <w:rFonts w:ascii="David" w:hAnsi="David" w:cs="David"/>
          <w:sz w:val="24"/>
          <w:szCs w:val="24"/>
          <w:rtl/>
        </w:rPr>
      </w:pPr>
    </w:p>
    <w:p w14:paraId="4422F748" w14:textId="77777777" w:rsidR="008C1D1D" w:rsidRDefault="008C1D1D" w:rsidP="008C1D1D">
      <w:pPr>
        <w:pStyle w:val="ListParagraph"/>
        <w:spacing w:line="360" w:lineRule="auto"/>
        <w:ind w:left="1352"/>
        <w:jc w:val="both"/>
        <w:rPr>
          <w:rFonts w:ascii="David" w:hAnsi="David" w:cs="David"/>
          <w:sz w:val="24"/>
          <w:szCs w:val="24"/>
          <w:rtl/>
        </w:rPr>
      </w:pPr>
      <w:r>
        <w:rPr>
          <w:rFonts w:ascii="David" w:hAnsi="David" w:cs="David"/>
          <w:sz w:val="24"/>
          <w:szCs w:val="24"/>
          <w:rtl/>
        </w:rPr>
        <w:t>לאחר ששקלתי מלוא הנתונים אשר הובאו לפני ובהתחשב בכך שמדובר בנאשם שנמנע במשך שנים רבות מלהתעסק בפלילים, בשים לב לנסיבות חייו שפורטו בהרחבה על ידי בא כוחו. מנגד נסיבות המעשה וחומרת העבירות בכך שהפך את הנכס למעבדה לגידול סמים וכן הצורך בהרתעת הרבים במיוחד כאשר מדובר בעבירות סמים אותן יש למגר על ידי העברת מסר לפיו  יש להחמיר בענישה. זאת שעה שבית המשפט נתקל בעבירות של גידול סמים חוזרות ונשנות על ידי אזרחים נורמטיביים לכאורה אם במטרה להפיק רווח כלכלי שאינו חוקי ואם במטרות אחרות שאינן מוסדרות על פי חוק.</w:t>
      </w:r>
    </w:p>
    <w:p w14:paraId="0C756837" w14:textId="77777777" w:rsidR="008C1D1D" w:rsidRDefault="008C1D1D" w:rsidP="008C1D1D">
      <w:pPr>
        <w:pStyle w:val="ListParagraph"/>
        <w:spacing w:line="360" w:lineRule="auto"/>
        <w:ind w:left="1352"/>
        <w:jc w:val="both"/>
        <w:rPr>
          <w:rFonts w:ascii="David" w:hAnsi="David" w:cs="David"/>
          <w:sz w:val="24"/>
          <w:szCs w:val="24"/>
          <w:rtl/>
        </w:rPr>
      </w:pPr>
      <w:r>
        <w:rPr>
          <w:rFonts w:ascii="David" w:hAnsi="David" w:cs="David"/>
          <w:sz w:val="24"/>
          <w:szCs w:val="24"/>
          <w:rtl/>
        </w:rPr>
        <w:t xml:space="preserve">לאור כל האמור לעיל, אני סבור שיש למקם עונשו של הנאשם בתחתית המתחם אותו קבעתי.  </w:t>
      </w:r>
    </w:p>
    <w:p w14:paraId="0F2BBE68" w14:textId="77777777" w:rsidR="008C1D1D" w:rsidRDefault="008C1D1D" w:rsidP="008C1D1D">
      <w:pPr>
        <w:spacing w:line="360" w:lineRule="auto"/>
        <w:jc w:val="both"/>
        <w:rPr>
          <w:rFonts w:ascii="David" w:hAnsi="David"/>
          <w:b/>
          <w:bCs/>
          <w:u w:val="single"/>
          <w:rtl/>
        </w:rPr>
      </w:pPr>
    </w:p>
    <w:p w14:paraId="1C3446A5" w14:textId="77777777" w:rsidR="008C1D1D" w:rsidRDefault="008C1D1D" w:rsidP="008C1D1D">
      <w:pPr>
        <w:spacing w:line="360" w:lineRule="auto"/>
        <w:jc w:val="both"/>
        <w:rPr>
          <w:rFonts w:ascii="David" w:hAnsi="David"/>
          <w:rtl/>
        </w:rPr>
      </w:pPr>
      <w:r>
        <w:rPr>
          <w:rFonts w:ascii="David" w:hAnsi="David"/>
          <w:b/>
          <w:bCs/>
          <w:u w:val="single"/>
          <w:rtl/>
        </w:rPr>
        <w:t>אשר על-כן, הנני גוזר על הנאשם את העונשים הבאים</w:t>
      </w:r>
      <w:r>
        <w:rPr>
          <w:rFonts w:ascii="David" w:hAnsi="David"/>
          <w:rtl/>
        </w:rPr>
        <w:t>:</w:t>
      </w:r>
    </w:p>
    <w:p w14:paraId="1C86D786" w14:textId="77777777" w:rsidR="008C1D1D" w:rsidRDefault="008C1D1D" w:rsidP="008C1D1D">
      <w:pPr>
        <w:numPr>
          <w:ilvl w:val="0"/>
          <w:numId w:val="4"/>
        </w:numPr>
        <w:tabs>
          <w:tab w:val="num" w:pos="716"/>
        </w:tabs>
        <w:spacing w:line="360" w:lineRule="auto"/>
        <w:ind w:left="925" w:hanging="539"/>
        <w:jc w:val="both"/>
      </w:pPr>
      <w:r>
        <w:rPr>
          <w:rFonts w:hint="cs"/>
          <w:rtl/>
        </w:rPr>
        <w:t xml:space="preserve">12 חודשי מאסר בפועל בניכוי ימי מעצרו. </w:t>
      </w:r>
    </w:p>
    <w:p w14:paraId="7C06F044" w14:textId="77777777" w:rsidR="008C1D1D" w:rsidRDefault="008C1D1D" w:rsidP="008C1D1D">
      <w:pPr>
        <w:numPr>
          <w:ilvl w:val="0"/>
          <w:numId w:val="4"/>
        </w:numPr>
        <w:tabs>
          <w:tab w:val="num" w:pos="716"/>
        </w:tabs>
        <w:spacing w:line="360" w:lineRule="auto"/>
        <w:ind w:left="925" w:hanging="539"/>
        <w:jc w:val="both"/>
        <w:rPr>
          <w:rtl/>
        </w:rPr>
      </w:pPr>
      <w:r>
        <w:rPr>
          <w:rFonts w:hint="cs"/>
          <w:rtl/>
        </w:rPr>
        <w:t xml:space="preserve">7 חודשי מאסר על תנאי, לתקופה של 3 שנים מתום ריצוי מאסרו, שלא יעבור עבירה בה הורשע או כל עבירה על </w:t>
      </w:r>
      <w:hyperlink r:id="rId37" w:history="1">
        <w:r w:rsidR="007036B0" w:rsidRPr="007036B0">
          <w:rPr>
            <w:color w:val="0000FF"/>
            <w:u w:val="single"/>
            <w:rtl/>
          </w:rPr>
          <w:t>פקודת הסמים המסוכנים</w:t>
        </w:r>
      </w:hyperlink>
      <w:r>
        <w:rPr>
          <w:rFonts w:hint="cs"/>
          <w:rtl/>
        </w:rPr>
        <w:t xml:space="preserve"> מסוג פשע. </w:t>
      </w:r>
    </w:p>
    <w:p w14:paraId="313C5093" w14:textId="77777777" w:rsidR="008C1D1D" w:rsidRDefault="008C1D1D" w:rsidP="008C1D1D">
      <w:pPr>
        <w:numPr>
          <w:ilvl w:val="0"/>
          <w:numId w:val="4"/>
        </w:numPr>
        <w:tabs>
          <w:tab w:val="num" w:pos="716"/>
        </w:tabs>
        <w:spacing w:line="360" w:lineRule="auto"/>
        <w:ind w:left="925" w:hanging="539"/>
        <w:jc w:val="both"/>
      </w:pPr>
      <w:r>
        <w:rPr>
          <w:rFonts w:hint="cs"/>
          <w:rtl/>
        </w:rPr>
        <w:t xml:space="preserve">3 חודשי מאסר על תנאי, לתקופה של 3 שנים מתום ריצוי מאסרו, שלא יעבור כל עבירה על </w:t>
      </w:r>
      <w:hyperlink r:id="rId38" w:history="1">
        <w:r w:rsidR="007036B0" w:rsidRPr="007036B0">
          <w:rPr>
            <w:color w:val="0000FF"/>
            <w:u w:val="single"/>
            <w:rtl/>
          </w:rPr>
          <w:t>פקודת הסמים המסוכנים</w:t>
        </w:r>
      </w:hyperlink>
      <w:r>
        <w:rPr>
          <w:rFonts w:hint="cs"/>
          <w:rtl/>
        </w:rPr>
        <w:t xml:space="preserve"> מסוג עוון. </w:t>
      </w:r>
    </w:p>
    <w:p w14:paraId="71EBD238" w14:textId="77777777" w:rsidR="008C1D1D" w:rsidRDefault="008C1D1D" w:rsidP="008C1D1D">
      <w:pPr>
        <w:numPr>
          <w:ilvl w:val="0"/>
          <w:numId w:val="4"/>
        </w:numPr>
        <w:tabs>
          <w:tab w:val="num" w:pos="716"/>
        </w:tabs>
        <w:spacing w:line="360" w:lineRule="auto"/>
        <w:ind w:left="925" w:hanging="539"/>
        <w:jc w:val="both"/>
      </w:pPr>
      <w:r>
        <w:rPr>
          <w:rFonts w:hint="cs"/>
          <w:rtl/>
        </w:rPr>
        <w:t>קנס כספי בסך 15,000 ₪ או 5 חודשי מאסר תמורתו. הקנס ישולם ב-15 תשלומים חודשיים שווים ורצופים, החל מיום 1.5.25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7EEC9EBC" w14:textId="77777777" w:rsidR="008C1D1D" w:rsidRPr="00A65A02" w:rsidRDefault="008C1D1D" w:rsidP="008C1D1D">
      <w:pPr>
        <w:spacing w:line="360" w:lineRule="auto"/>
        <w:ind w:firstLine="720"/>
        <w:jc w:val="both"/>
        <w:rPr>
          <w:u w:val="single"/>
        </w:rPr>
      </w:pPr>
      <w:r w:rsidRPr="00A65A02">
        <w:rPr>
          <w:rFonts w:hint="cs"/>
          <w:u w:val="single"/>
          <w:rtl/>
        </w:rPr>
        <w:t xml:space="preserve">את הקנס ניתן לשלם באחת מהדרכים הבאות: </w:t>
      </w:r>
    </w:p>
    <w:p w14:paraId="56927DD1" w14:textId="77777777" w:rsidR="008C1D1D" w:rsidRDefault="008C1D1D" w:rsidP="008C1D1D">
      <w:pPr>
        <w:numPr>
          <w:ilvl w:val="0"/>
          <w:numId w:val="5"/>
        </w:numPr>
        <w:spacing w:line="360" w:lineRule="auto"/>
        <w:jc w:val="both"/>
      </w:pPr>
      <w:r>
        <w:rPr>
          <w:rFonts w:hint="cs"/>
          <w:rtl/>
        </w:rPr>
        <w:t xml:space="preserve">בכרטיס אשראי – באתר המקוון של רשות האכיפה והגבייה, </w:t>
      </w:r>
      <w:hyperlink r:id="rId39" w:history="1">
        <w:r>
          <w:rPr>
            <w:rStyle w:val="Hyperlink"/>
          </w:rPr>
          <w:t>www.eca.gov.il</w:t>
        </w:r>
      </w:hyperlink>
      <w:r>
        <w:t xml:space="preserve"> </w:t>
      </w:r>
      <w:r>
        <w:rPr>
          <w:rFonts w:hint="cs"/>
          <w:rtl/>
        </w:rPr>
        <w:t>.</w:t>
      </w:r>
    </w:p>
    <w:p w14:paraId="4CF1ADF1" w14:textId="77777777" w:rsidR="008C1D1D" w:rsidRDefault="008C1D1D" w:rsidP="008C1D1D">
      <w:pPr>
        <w:numPr>
          <w:ilvl w:val="0"/>
          <w:numId w:val="5"/>
        </w:numPr>
        <w:spacing w:line="360" w:lineRule="auto"/>
        <w:jc w:val="both"/>
        <w:rPr>
          <w:rtl/>
        </w:rPr>
      </w:pPr>
      <w:r>
        <w:rPr>
          <w:rFonts w:hint="cs"/>
          <w:rtl/>
        </w:rPr>
        <w:t>מוקד שירות טלפוני בשרות עצמי (מרכז גבייה)</w:t>
      </w:r>
      <w:r w:rsidR="007036B0">
        <w:rPr>
          <w:rFonts w:hint="cs"/>
          <w:rtl/>
        </w:rPr>
        <w:t xml:space="preserve"> </w:t>
      </w:r>
      <w:r>
        <w:rPr>
          <w:rFonts w:hint="cs"/>
          <w:rtl/>
        </w:rPr>
        <w:t xml:space="preserve"> – בטלפון 35592* או בטלפון 073-2055000.</w:t>
      </w:r>
    </w:p>
    <w:p w14:paraId="6EAAC96B" w14:textId="77777777" w:rsidR="008C1D1D" w:rsidRDefault="008C1D1D" w:rsidP="008C1D1D">
      <w:pPr>
        <w:numPr>
          <w:ilvl w:val="0"/>
          <w:numId w:val="5"/>
        </w:numPr>
        <w:spacing w:line="360" w:lineRule="auto"/>
        <w:jc w:val="both"/>
        <w:rPr>
          <w:rtl/>
        </w:rPr>
      </w:pPr>
      <w:r>
        <w:rPr>
          <w:rFonts w:hint="cs"/>
          <w:rtl/>
        </w:rPr>
        <w:t>במזומן בכל סניף של בנק הדואר – בהצגת תעודת זהות בלבד (אין צורך בהצגת בשוברי תשלום).</w:t>
      </w:r>
    </w:p>
    <w:p w14:paraId="28FE0A07" w14:textId="77777777" w:rsidR="008C1D1D" w:rsidRDefault="008C1D1D" w:rsidP="008C1D1D">
      <w:pPr>
        <w:numPr>
          <w:ilvl w:val="0"/>
          <w:numId w:val="4"/>
        </w:numPr>
        <w:tabs>
          <w:tab w:val="num" w:pos="716"/>
        </w:tabs>
        <w:spacing w:line="360" w:lineRule="auto"/>
        <w:ind w:left="925" w:hanging="539"/>
        <w:jc w:val="both"/>
      </w:pPr>
      <w:r>
        <w:rPr>
          <w:rFonts w:hint="cs"/>
          <w:rtl/>
        </w:rPr>
        <w:t xml:space="preserve">הנאשם יצהיר בהתאם לתקנות העונשין (התחייבות להימנע מעבירה), התש"ף-2019, על התחייבות כספית שלא לעבור כל עבירה על </w:t>
      </w:r>
      <w:hyperlink r:id="rId40" w:history="1">
        <w:r w:rsidR="007036B0" w:rsidRPr="007036B0">
          <w:rPr>
            <w:color w:val="0000FF"/>
            <w:u w:val="single"/>
            <w:rtl/>
          </w:rPr>
          <w:t>פקודת הסמים המסוכנים</w:t>
        </w:r>
      </w:hyperlink>
      <w:r>
        <w:rPr>
          <w:rFonts w:hint="cs"/>
          <w:rtl/>
        </w:rPr>
        <w:t xml:space="preserve"> מסוג פשע. ההתחייבות תהא לתקופה של שנתיים מתום ריצוי מאסרו ובסך של 5,000 ₪. </w:t>
      </w:r>
      <w:r>
        <w:rPr>
          <w:rFonts w:hint="cs"/>
          <w:b/>
          <w:bCs/>
          <w:rtl/>
        </w:rPr>
        <w:t>[ההתחייבות תוצהר לפרוטוקול]</w:t>
      </w:r>
      <w:r>
        <w:rPr>
          <w:rFonts w:hint="cs"/>
          <w:rtl/>
        </w:rPr>
        <w:t>.</w:t>
      </w:r>
    </w:p>
    <w:p w14:paraId="34D387A2" w14:textId="77777777" w:rsidR="008C1D1D" w:rsidRPr="00A65A02" w:rsidRDefault="008C1D1D" w:rsidP="008C1D1D">
      <w:pPr>
        <w:spacing w:line="360" w:lineRule="auto"/>
        <w:jc w:val="both"/>
        <w:rPr>
          <w:b/>
          <w:bCs/>
          <w:rtl/>
        </w:rPr>
      </w:pPr>
    </w:p>
    <w:p w14:paraId="32072A91" w14:textId="77777777" w:rsidR="008C1D1D" w:rsidRPr="00A65A02" w:rsidRDefault="008C1D1D" w:rsidP="008C1D1D">
      <w:pPr>
        <w:spacing w:line="360" w:lineRule="auto"/>
        <w:jc w:val="both"/>
        <w:rPr>
          <w:rFonts w:ascii="David" w:hAnsi="David"/>
          <w:b/>
          <w:bCs/>
          <w:rtl/>
        </w:rPr>
      </w:pPr>
      <w:r w:rsidRPr="00A65A02">
        <w:rPr>
          <w:rFonts w:ascii="David" w:hAnsi="David"/>
          <w:b/>
          <w:bCs/>
          <w:rtl/>
        </w:rPr>
        <w:t xml:space="preserve">מוצג הסמים וציוד המעבדה שנתפס, יושמדו. </w:t>
      </w:r>
    </w:p>
    <w:p w14:paraId="57F8D8E9" w14:textId="77777777" w:rsidR="008C1D1D" w:rsidRDefault="008C1D1D" w:rsidP="008C1D1D">
      <w:pPr>
        <w:spacing w:line="360" w:lineRule="auto"/>
        <w:jc w:val="both"/>
        <w:rPr>
          <w:b/>
          <w:bCs/>
          <w:u w:val="single"/>
          <w:rtl/>
        </w:rPr>
      </w:pPr>
    </w:p>
    <w:p w14:paraId="00A6537E" w14:textId="77777777" w:rsidR="008C1D1D" w:rsidRPr="00A65A02" w:rsidRDefault="008C1D1D" w:rsidP="008C1D1D">
      <w:pPr>
        <w:spacing w:line="360" w:lineRule="auto"/>
        <w:jc w:val="both"/>
        <w:rPr>
          <w:b/>
          <w:bCs/>
          <w:u w:val="single"/>
          <w:rtl/>
        </w:rPr>
      </w:pPr>
      <w:r w:rsidRPr="00A65A02">
        <w:rPr>
          <w:rFonts w:hint="cs"/>
          <w:b/>
          <w:bCs/>
          <w:u w:val="single"/>
          <w:rtl/>
        </w:rPr>
        <w:t>המזכירות תסגור את התיק.</w:t>
      </w:r>
    </w:p>
    <w:p w14:paraId="07DDAB05" w14:textId="77777777" w:rsidR="008C1D1D" w:rsidRDefault="008C1D1D" w:rsidP="008C1D1D">
      <w:pPr>
        <w:spacing w:line="360" w:lineRule="auto"/>
        <w:jc w:val="both"/>
        <w:rPr>
          <w:rFonts w:ascii="David" w:hAnsi="David"/>
          <w:b/>
          <w:bCs/>
          <w:rtl/>
        </w:rPr>
      </w:pPr>
    </w:p>
    <w:p w14:paraId="5DF692AB" w14:textId="77777777" w:rsidR="008C1D1D" w:rsidRPr="00A65A02" w:rsidRDefault="007036B0" w:rsidP="008C1D1D">
      <w:pPr>
        <w:spacing w:line="360" w:lineRule="auto"/>
        <w:jc w:val="both"/>
        <w:rPr>
          <w:b/>
          <w:bCs/>
          <w:rtl/>
        </w:rPr>
      </w:pPr>
      <w:r w:rsidRPr="007036B0">
        <w:rPr>
          <w:rFonts w:ascii="David" w:hAnsi="David"/>
          <w:b/>
          <w:bCs/>
          <w:color w:val="FFFFFF"/>
          <w:sz w:val="2"/>
          <w:szCs w:val="2"/>
          <w:rtl/>
        </w:rPr>
        <w:t>5129371</w:t>
      </w:r>
      <w:r w:rsidR="008C1D1D" w:rsidRPr="00A65A02">
        <w:rPr>
          <w:rFonts w:ascii="David" w:hAnsi="David"/>
          <w:b/>
          <w:bCs/>
          <w:rtl/>
        </w:rPr>
        <w:t xml:space="preserve">הודעה זכות ערעור לבית-המשפט המחוזי תוך 45 ימים. </w:t>
      </w:r>
    </w:p>
    <w:p w14:paraId="576583C6" w14:textId="77777777" w:rsidR="008C1D1D" w:rsidRPr="007036B0" w:rsidRDefault="007036B0" w:rsidP="008C1D1D">
      <w:pPr>
        <w:rPr>
          <w:rFonts w:ascii="Arial" w:hAnsi="Arial"/>
          <w:b/>
          <w:bCs/>
          <w:color w:val="FFFFFF"/>
          <w:sz w:val="2"/>
          <w:szCs w:val="2"/>
          <w:rtl/>
        </w:rPr>
      </w:pPr>
      <w:r w:rsidRPr="007036B0">
        <w:rPr>
          <w:rFonts w:ascii="Arial" w:hAnsi="Arial"/>
          <w:b/>
          <w:bCs/>
          <w:color w:val="FFFFFF"/>
          <w:sz w:val="2"/>
          <w:szCs w:val="2"/>
          <w:rtl/>
        </w:rPr>
        <w:t>54678313</w:t>
      </w:r>
    </w:p>
    <w:p w14:paraId="6C7D1666" w14:textId="77777777" w:rsidR="008C1D1D" w:rsidRPr="000F2247" w:rsidRDefault="008C1D1D" w:rsidP="008C1D1D">
      <w:pPr>
        <w:rPr>
          <w:rFonts w:ascii="Arial" w:hAnsi="Arial"/>
          <w:b/>
          <w:bCs/>
          <w:sz w:val="26"/>
          <w:szCs w:val="26"/>
          <w:rtl/>
        </w:rPr>
      </w:pPr>
    </w:p>
    <w:p w14:paraId="15D12E3C" w14:textId="77777777" w:rsidR="008C1D1D" w:rsidRPr="000F2247" w:rsidRDefault="007036B0" w:rsidP="008C1D1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כ"ב כסלו תשפ"ה, 23 דצמבר 2024, בהעדר הצדדים. </w:t>
      </w:r>
      <w:bookmarkEnd w:id="8"/>
      <w:r w:rsidR="008C1D1D">
        <w:rPr>
          <w:rFonts w:ascii="Arial" w:hAnsi="Arial"/>
          <w:b/>
          <w:bCs/>
          <w:sz w:val="26"/>
          <w:szCs w:val="26"/>
          <w:rtl/>
        </w:rPr>
        <w:tab/>
      </w:r>
      <w:r w:rsidR="008C1D1D">
        <w:rPr>
          <w:rFonts w:ascii="Arial" w:hAnsi="Arial"/>
          <w:b/>
          <w:bCs/>
          <w:sz w:val="26"/>
          <w:szCs w:val="26"/>
          <w:rtl/>
        </w:rPr>
        <w:tab/>
      </w:r>
      <w:r w:rsidR="008C1D1D">
        <w:rPr>
          <w:rFonts w:ascii="Arial" w:hAnsi="Arial"/>
          <w:b/>
          <w:bCs/>
          <w:sz w:val="26"/>
          <w:szCs w:val="26"/>
          <w:rtl/>
        </w:rPr>
        <w:tab/>
      </w:r>
      <w:r w:rsidR="008C1D1D">
        <w:rPr>
          <w:rFonts w:ascii="Arial" w:hAnsi="Arial"/>
          <w:b/>
          <w:bCs/>
          <w:sz w:val="26"/>
          <w:szCs w:val="26"/>
          <w:rtl/>
        </w:rPr>
        <w:tab/>
      </w:r>
      <w:r w:rsidR="008C1D1D">
        <w:rPr>
          <w:rFonts w:ascii="Arial" w:hAnsi="Arial"/>
          <w:b/>
          <w:bCs/>
          <w:sz w:val="26"/>
          <w:szCs w:val="26"/>
          <w:rtl/>
        </w:rPr>
        <w:tab/>
      </w:r>
      <w:r w:rsidR="008C1D1D">
        <w:rPr>
          <w:rFonts w:ascii="Arial" w:hAnsi="Arial"/>
          <w:b/>
          <w:bCs/>
          <w:sz w:val="26"/>
          <w:szCs w:val="26"/>
          <w:rtl/>
        </w:rPr>
        <w:tab/>
      </w:r>
      <w:r w:rsidR="008C1D1D">
        <w:rPr>
          <w:rFonts w:ascii="Arial" w:hAnsi="Arial"/>
          <w:b/>
          <w:bCs/>
          <w:sz w:val="26"/>
          <w:szCs w:val="26"/>
          <w:rtl/>
        </w:rPr>
        <w:tab/>
      </w:r>
      <w:r w:rsidR="008C1D1D">
        <w:rPr>
          <w:rFonts w:ascii="Arial" w:hAnsi="Arial" w:hint="cs"/>
          <w:b/>
          <w:bCs/>
          <w:sz w:val="26"/>
          <w:szCs w:val="26"/>
          <w:rtl/>
        </w:rPr>
        <w:t xml:space="preserve">         </w:t>
      </w:r>
    </w:p>
    <w:p w14:paraId="14E76BEC" w14:textId="77777777" w:rsidR="008C1D1D" w:rsidRPr="000F2247" w:rsidRDefault="008C1D1D" w:rsidP="007036B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D23F216" w14:textId="77777777" w:rsidR="008C1D1D" w:rsidRPr="003F442A" w:rsidRDefault="003F442A" w:rsidP="008C1D1D">
      <w:pPr>
        <w:jc w:val="center"/>
        <w:rPr>
          <w:rFonts w:ascii="Arial" w:hAnsi="Arial"/>
          <w:b/>
          <w:bCs/>
          <w:color w:val="FFFFFF"/>
          <w:sz w:val="2"/>
          <w:szCs w:val="2"/>
          <w:rtl/>
        </w:rPr>
      </w:pPr>
      <w:r w:rsidRPr="003F442A">
        <w:rPr>
          <w:rFonts w:ascii="Arial" w:hAnsi="Arial"/>
          <w:b/>
          <w:bCs/>
          <w:color w:val="FFFFFF"/>
          <w:sz w:val="2"/>
          <w:szCs w:val="2"/>
          <w:rtl/>
        </w:rPr>
        <w:t>5129371</w:t>
      </w:r>
    </w:p>
    <w:p w14:paraId="370AF60F" w14:textId="77777777" w:rsidR="007036B0" w:rsidRPr="003F442A" w:rsidRDefault="003F442A" w:rsidP="003F442A">
      <w:pPr>
        <w:keepNext/>
        <w:rPr>
          <w:rFonts w:ascii="David" w:hAnsi="David" w:hint="cs"/>
          <w:color w:val="FFFFFF"/>
          <w:sz w:val="2"/>
          <w:szCs w:val="2"/>
        </w:rPr>
      </w:pPr>
      <w:r w:rsidRPr="003F442A">
        <w:rPr>
          <w:rFonts w:ascii="David" w:hAnsi="David"/>
          <w:color w:val="FFFFFF"/>
          <w:sz w:val="2"/>
          <w:szCs w:val="2"/>
          <w:rtl/>
        </w:rPr>
        <w:t>5129371</w:t>
      </w:r>
      <w:r>
        <w:rPr>
          <w:rFonts w:ascii="David" w:hAnsi="David"/>
          <w:color w:val="FFFFFF"/>
          <w:sz w:val="2"/>
          <w:szCs w:val="2"/>
          <w:rtl/>
        </w:rPr>
        <w:t>546783</w:t>
      </w:r>
    </w:p>
    <w:p w14:paraId="3A8E5C8A" w14:textId="77777777" w:rsidR="007036B0" w:rsidRPr="003F442A" w:rsidRDefault="003F442A" w:rsidP="007036B0">
      <w:pPr>
        <w:rPr>
          <w:color w:val="FFFFFF"/>
          <w:sz w:val="2"/>
          <w:szCs w:val="2"/>
          <w:rtl/>
        </w:rPr>
      </w:pPr>
      <w:r w:rsidRPr="003F442A">
        <w:rPr>
          <w:color w:val="FFFFFF"/>
          <w:sz w:val="2"/>
          <w:szCs w:val="2"/>
          <w:rtl/>
        </w:rPr>
        <w:t>54678313</w:t>
      </w:r>
    </w:p>
    <w:p w14:paraId="0280F1BA" w14:textId="77777777" w:rsidR="007036B0" w:rsidRDefault="007036B0" w:rsidP="007036B0">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7C62D03" w14:textId="77777777" w:rsidR="003F442A" w:rsidRPr="003F442A" w:rsidRDefault="003F442A" w:rsidP="003F442A">
      <w:pPr>
        <w:keepNext/>
        <w:rPr>
          <w:rFonts w:ascii="David" w:hAnsi="David"/>
          <w:color w:val="000000"/>
          <w:sz w:val="22"/>
          <w:szCs w:val="22"/>
          <w:rtl/>
        </w:rPr>
      </w:pPr>
    </w:p>
    <w:p w14:paraId="78B987A8" w14:textId="77777777" w:rsidR="003F442A" w:rsidRPr="003F442A" w:rsidRDefault="003F442A" w:rsidP="003F442A">
      <w:pPr>
        <w:keepNext/>
        <w:rPr>
          <w:rFonts w:ascii="David" w:hAnsi="David"/>
          <w:color w:val="000000"/>
          <w:sz w:val="22"/>
          <w:szCs w:val="22"/>
          <w:rtl/>
        </w:rPr>
      </w:pPr>
      <w:r w:rsidRPr="003F442A">
        <w:rPr>
          <w:rFonts w:ascii="David" w:hAnsi="David"/>
          <w:color w:val="000000"/>
          <w:sz w:val="22"/>
          <w:szCs w:val="22"/>
          <w:rtl/>
        </w:rPr>
        <w:t>אבישי כהן 54678313</w:t>
      </w:r>
    </w:p>
    <w:p w14:paraId="00963863" w14:textId="77777777" w:rsidR="003F442A" w:rsidRPr="003F442A" w:rsidRDefault="003F442A" w:rsidP="003F442A">
      <w:pPr>
        <w:keepNext/>
        <w:rPr>
          <w:rFonts w:ascii="David" w:hAnsi="David"/>
          <w:color w:val="000000"/>
          <w:sz w:val="22"/>
          <w:szCs w:val="22"/>
          <w:rtl/>
        </w:rPr>
      </w:pPr>
      <w:r w:rsidRPr="003F442A">
        <w:rPr>
          <w:color w:val="000000"/>
          <w:u w:val="single"/>
          <w:rtl/>
        </w:rPr>
        <w:t>נוסח מסמך זה כפוף לשינויי ניסוח ועריכה</w:t>
      </w:r>
    </w:p>
    <w:p w14:paraId="1DFDE74A" w14:textId="77777777" w:rsidR="007036B0" w:rsidRPr="007036B0" w:rsidRDefault="007036B0" w:rsidP="003F442A">
      <w:pPr>
        <w:rPr>
          <w:color w:val="0000FF"/>
          <w:u w:val="single"/>
        </w:rPr>
      </w:pPr>
    </w:p>
    <w:sectPr w:rsidR="007036B0" w:rsidRPr="007036B0" w:rsidSect="003F442A">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F5686" w14:textId="77777777" w:rsidR="00E82F4F" w:rsidRDefault="00E82F4F" w:rsidP="006157DD">
      <w:r>
        <w:separator/>
      </w:r>
    </w:p>
  </w:endnote>
  <w:endnote w:type="continuationSeparator" w:id="0">
    <w:p w14:paraId="4624B4BF" w14:textId="77777777" w:rsidR="00E82F4F" w:rsidRDefault="00E82F4F" w:rsidP="0061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339EE" w14:textId="77777777" w:rsidR="003F442A" w:rsidRDefault="003F442A" w:rsidP="003F442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EA24EA7" w14:textId="77777777" w:rsidR="00E82F4F" w:rsidRPr="003F442A" w:rsidRDefault="003F442A" w:rsidP="003F442A">
    <w:pPr>
      <w:pStyle w:val="a6"/>
      <w:pBdr>
        <w:top w:val="single" w:sz="4" w:space="1" w:color="auto"/>
        <w:between w:val="single" w:sz="4" w:space="0" w:color="auto"/>
      </w:pBdr>
      <w:spacing w:after="60"/>
      <w:jc w:val="center"/>
      <w:rPr>
        <w:rFonts w:ascii="FrankRuehl" w:hAnsi="FrankRuehl" w:cs="FrankRuehl"/>
        <w:color w:val="000000"/>
      </w:rPr>
    </w:pPr>
    <w:r w:rsidRPr="003F44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8462B" w14:textId="77777777" w:rsidR="003F442A" w:rsidRDefault="003F442A" w:rsidP="003F442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0018">
      <w:rPr>
        <w:rFonts w:ascii="FrankRuehl" w:hAnsi="FrankRuehl" w:cs="FrankRuehl"/>
        <w:noProof/>
        <w:rtl/>
      </w:rPr>
      <w:t>1</w:t>
    </w:r>
    <w:r>
      <w:rPr>
        <w:rFonts w:ascii="FrankRuehl" w:hAnsi="FrankRuehl" w:cs="FrankRuehl"/>
        <w:rtl/>
      </w:rPr>
      <w:fldChar w:fldCharType="end"/>
    </w:r>
  </w:p>
  <w:p w14:paraId="6E88CBE4" w14:textId="77777777" w:rsidR="00E82F4F" w:rsidRPr="003F442A" w:rsidRDefault="003F442A" w:rsidP="003F442A">
    <w:pPr>
      <w:pStyle w:val="a6"/>
      <w:pBdr>
        <w:top w:val="single" w:sz="4" w:space="1" w:color="auto"/>
        <w:between w:val="single" w:sz="4" w:space="0" w:color="auto"/>
      </w:pBdr>
      <w:spacing w:after="60"/>
      <w:jc w:val="center"/>
      <w:rPr>
        <w:rFonts w:ascii="FrankRuehl" w:hAnsi="FrankRuehl" w:cs="FrankRuehl"/>
        <w:color w:val="000000"/>
      </w:rPr>
    </w:pPr>
    <w:r w:rsidRPr="003F442A">
      <w:rPr>
        <w:rFonts w:ascii="FrankRuehl" w:hAnsi="FrankRuehl" w:cs="FrankRuehl"/>
        <w:color w:val="000000"/>
      </w:rPr>
      <w:pict w14:anchorId="4D9D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E4A92" w14:textId="77777777" w:rsidR="00E82F4F" w:rsidRDefault="00E82F4F" w:rsidP="006157DD">
      <w:r>
        <w:separator/>
      </w:r>
    </w:p>
  </w:footnote>
  <w:footnote w:type="continuationSeparator" w:id="0">
    <w:p w14:paraId="6527EFE9" w14:textId="77777777" w:rsidR="00E82F4F" w:rsidRDefault="00E82F4F" w:rsidP="00615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99BF1" w14:textId="77777777" w:rsidR="007036B0" w:rsidRPr="003F442A" w:rsidRDefault="003F442A" w:rsidP="003F442A">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30131-09-24</w:t>
    </w:r>
    <w:r>
      <w:rPr>
        <w:rFonts w:ascii="David" w:hAnsi="David"/>
        <w:color w:val="000000"/>
        <w:sz w:val="22"/>
        <w:szCs w:val="22"/>
        <w:rtl/>
      </w:rPr>
      <w:tab/>
      <w:t xml:space="preserve"> מדינת ישראל נ' מוחמד אלמחדי  הובא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5E5E6" w14:textId="77777777" w:rsidR="007036B0" w:rsidRPr="003F442A" w:rsidRDefault="003F442A" w:rsidP="003F442A">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30131-09-24</w:t>
    </w:r>
    <w:r>
      <w:rPr>
        <w:rFonts w:ascii="David" w:hAnsi="David"/>
        <w:color w:val="000000"/>
        <w:sz w:val="22"/>
        <w:szCs w:val="22"/>
        <w:rtl/>
      </w:rPr>
      <w:tab/>
      <w:t xml:space="preserve"> מדינת ישראל נ' מוחמד אלמחדי  הובא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43542A63"/>
    <w:multiLevelType w:val="hybridMultilevel"/>
    <w:tmpl w:val="C838B682"/>
    <w:lvl w:ilvl="0" w:tplc="24AE9194">
      <w:start w:val="1"/>
      <w:numFmt w:val="decimal"/>
      <w:lvlText w:val="%1."/>
      <w:lvlJc w:val="left"/>
      <w:pPr>
        <w:ind w:left="1352" w:hanging="360"/>
      </w:pPr>
      <w:rPr>
        <w:b/>
        <w:bCs/>
      </w:rPr>
    </w:lvl>
    <w:lvl w:ilvl="1" w:tplc="BA8AEE14">
      <w:start w:val="1"/>
      <w:numFmt w:val="hebrew1"/>
      <w:lvlText w:val="%2."/>
      <w:lvlJc w:val="left"/>
      <w:pPr>
        <w:ind w:left="1440" w:hanging="360"/>
      </w:pPr>
      <w:rPr>
        <w:rFonts w:ascii="David" w:eastAsia="Calibri" w:hAnsi="David" w:cs="David"/>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25715F"/>
    <w:multiLevelType w:val="hybridMultilevel"/>
    <w:tmpl w:val="A65CA62C"/>
    <w:lvl w:ilvl="0" w:tplc="57C80EE2">
      <w:start w:val="1"/>
      <w:numFmt w:val="hebrew1"/>
      <w:lvlText w:val="%1."/>
      <w:lvlJc w:val="left"/>
      <w:pPr>
        <w:ind w:left="1712" w:hanging="360"/>
      </w:pPr>
      <w:rPr>
        <w:rFonts w:ascii="David" w:eastAsia="Times New Roman" w:hAnsi="David" w:cs="David"/>
        <w:b/>
        <w:bCs/>
        <w:strike w:val="0"/>
        <w:dstrike w:val="0"/>
        <w:u w:val="none"/>
        <w:effect w:val="none"/>
      </w:rPr>
    </w:lvl>
    <w:lvl w:ilvl="1" w:tplc="04090019">
      <w:start w:val="1"/>
      <w:numFmt w:val="lowerLetter"/>
      <w:lvlText w:val="%2."/>
      <w:lvlJc w:val="left"/>
      <w:pPr>
        <w:ind w:left="2432" w:hanging="360"/>
      </w:pPr>
    </w:lvl>
    <w:lvl w:ilvl="2" w:tplc="0409001B">
      <w:start w:val="1"/>
      <w:numFmt w:val="lowerRoman"/>
      <w:lvlText w:val="%3."/>
      <w:lvlJc w:val="right"/>
      <w:pPr>
        <w:ind w:left="3152" w:hanging="180"/>
      </w:pPr>
    </w:lvl>
    <w:lvl w:ilvl="3" w:tplc="0409000F">
      <w:start w:val="1"/>
      <w:numFmt w:val="decimal"/>
      <w:lvlText w:val="%4."/>
      <w:lvlJc w:val="left"/>
      <w:pPr>
        <w:ind w:left="3872" w:hanging="360"/>
      </w:pPr>
    </w:lvl>
    <w:lvl w:ilvl="4" w:tplc="04090019">
      <w:start w:val="1"/>
      <w:numFmt w:val="lowerLetter"/>
      <w:lvlText w:val="%5."/>
      <w:lvlJc w:val="left"/>
      <w:pPr>
        <w:ind w:left="4592" w:hanging="360"/>
      </w:pPr>
    </w:lvl>
    <w:lvl w:ilvl="5" w:tplc="0409001B">
      <w:start w:val="1"/>
      <w:numFmt w:val="lowerRoman"/>
      <w:lvlText w:val="%6."/>
      <w:lvlJc w:val="right"/>
      <w:pPr>
        <w:ind w:left="5312" w:hanging="180"/>
      </w:pPr>
    </w:lvl>
    <w:lvl w:ilvl="6" w:tplc="0409000F">
      <w:start w:val="1"/>
      <w:numFmt w:val="decimal"/>
      <w:lvlText w:val="%7."/>
      <w:lvlJc w:val="left"/>
      <w:pPr>
        <w:ind w:left="6032" w:hanging="360"/>
      </w:pPr>
    </w:lvl>
    <w:lvl w:ilvl="7" w:tplc="04090019">
      <w:start w:val="1"/>
      <w:numFmt w:val="lowerLetter"/>
      <w:lvlText w:val="%8."/>
      <w:lvlJc w:val="left"/>
      <w:pPr>
        <w:ind w:left="6752" w:hanging="360"/>
      </w:pPr>
    </w:lvl>
    <w:lvl w:ilvl="8" w:tplc="0409001B">
      <w:start w:val="1"/>
      <w:numFmt w:val="lowerRoman"/>
      <w:lvlText w:val="%9."/>
      <w:lvlJc w:val="right"/>
      <w:pPr>
        <w:ind w:left="7472" w:hanging="180"/>
      </w:pPr>
    </w:lvl>
  </w:abstractNum>
  <w:num w:numId="1" w16cid:durableId="976566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8807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2350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1337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727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1D1D"/>
    <w:rsid w:val="0018641C"/>
    <w:rsid w:val="003F442A"/>
    <w:rsid w:val="006157DD"/>
    <w:rsid w:val="00676B76"/>
    <w:rsid w:val="007036B0"/>
    <w:rsid w:val="008C1D1D"/>
    <w:rsid w:val="00AB3E04"/>
    <w:rsid w:val="00B10018"/>
    <w:rsid w:val="00E82F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87C1CE"/>
  <w15:chartTrackingRefBased/>
  <w15:docId w15:val="{01295E23-70D9-487D-8697-45E73235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C1D1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8C1D1D"/>
    <w:pPr>
      <w:tabs>
        <w:tab w:val="center" w:pos="4153"/>
        <w:tab w:val="right" w:pos="8306"/>
      </w:tabs>
    </w:pPr>
  </w:style>
  <w:style w:type="character" w:customStyle="1" w:styleId="a5">
    <w:name w:val="כותרת עליונה תו"/>
    <w:link w:val="a4"/>
    <w:rsid w:val="008C1D1D"/>
    <w:rPr>
      <w:rFonts w:ascii="Times New Roman" w:eastAsia="Times New Roman" w:hAnsi="Times New Roman" w:cs="David"/>
      <w:sz w:val="24"/>
      <w:szCs w:val="24"/>
    </w:rPr>
  </w:style>
  <w:style w:type="paragraph" w:styleId="a6">
    <w:name w:val="footer"/>
    <w:basedOn w:val="a0"/>
    <w:link w:val="a7"/>
    <w:rsid w:val="008C1D1D"/>
    <w:pPr>
      <w:tabs>
        <w:tab w:val="center" w:pos="4153"/>
        <w:tab w:val="right" w:pos="8306"/>
      </w:tabs>
    </w:pPr>
  </w:style>
  <w:style w:type="character" w:customStyle="1" w:styleId="a7">
    <w:name w:val="כותרת תחתונה תו"/>
    <w:link w:val="a6"/>
    <w:rsid w:val="008C1D1D"/>
    <w:rPr>
      <w:rFonts w:ascii="Times New Roman" w:eastAsia="Times New Roman" w:hAnsi="Times New Roman" w:cs="David"/>
      <w:sz w:val="24"/>
      <w:szCs w:val="24"/>
    </w:rPr>
  </w:style>
  <w:style w:type="table" w:styleId="a8">
    <w:name w:val="Table Grid"/>
    <w:basedOn w:val="a2"/>
    <w:rsid w:val="008C1D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8C1D1D"/>
  </w:style>
  <w:style w:type="paragraph" w:customStyle="1" w:styleId="ListParagraph">
    <w:name w:val="List Paragraph"/>
    <w:basedOn w:val="a0"/>
    <w:qFormat/>
    <w:rsid w:val="008C1D1D"/>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8C1D1D"/>
    <w:pPr>
      <w:numPr>
        <w:numId w:val="1"/>
      </w:numPr>
      <w:spacing w:after="120" w:line="360" w:lineRule="auto"/>
    </w:pPr>
    <w:rPr>
      <w:rFonts w:ascii="David" w:hAnsi="David"/>
      <w:color w:val="000000"/>
    </w:rPr>
  </w:style>
  <w:style w:type="character" w:styleId="Hyperlink">
    <w:name w:val="Hyperlink"/>
    <w:rsid w:val="008C1D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5681787" TargetMode="External"/><Relationship Id="rId39" Type="http://schemas.openxmlformats.org/officeDocument/2006/relationships/hyperlink" Target="http://www.eca.gov.il"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0301/40i"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275028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d" TargetMode="External"/><Relationship Id="rId24" Type="http://schemas.openxmlformats.org/officeDocument/2006/relationships/hyperlink" Target="http://www.nevo.co.il/law/4216/9.d" TargetMode="External"/><Relationship Id="rId32" Type="http://schemas.openxmlformats.org/officeDocument/2006/relationships/hyperlink" Target="http://www.nevo.co.il/case/28708953"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4216/9.a" TargetMode="External"/><Relationship Id="rId28" Type="http://schemas.openxmlformats.org/officeDocument/2006/relationships/hyperlink" Target="http://www.nevo.co.il/case/26246488"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4216/9.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6772988"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7.a"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27313460" TargetMode="External"/><Relationship Id="rId30" Type="http://schemas.openxmlformats.org/officeDocument/2006/relationships/hyperlink" Target="http://www.nevo.co.il/case/27347635" TargetMode="External"/><Relationship Id="rId35" Type="http://schemas.openxmlformats.org/officeDocument/2006/relationships/hyperlink" Target="http://www.nevo.co.il/law/70301"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70301/40jc.a" TargetMode="External"/><Relationship Id="rId33" Type="http://schemas.openxmlformats.org/officeDocument/2006/relationships/hyperlink" Target="http://www.nevo.co.il/case/28374949"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law/70301/7.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1967</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11781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7864368</vt:i4>
      </vt:variant>
      <vt:variant>
        <vt:i4>96</vt:i4>
      </vt:variant>
      <vt:variant>
        <vt:i4>0</vt:i4>
      </vt:variant>
      <vt:variant>
        <vt:i4>5</vt:i4>
      </vt:variant>
      <vt:variant>
        <vt:lpwstr>http://www.eca.gov.il/</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3211378</vt:i4>
      </vt:variant>
      <vt:variant>
        <vt:i4>78</vt:i4>
      </vt:variant>
      <vt:variant>
        <vt:i4>0</vt:i4>
      </vt:variant>
      <vt:variant>
        <vt:i4>5</vt:i4>
      </vt:variant>
      <vt:variant>
        <vt:lpwstr>http://www.nevo.co.il/case/28374949</vt:lpwstr>
      </vt:variant>
      <vt:variant>
        <vt:lpwstr/>
      </vt:variant>
      <vt:variant>
        <vt:i4>3670133</vt:i4>
      </vt:variant>
      <vt:variant>
        <vt:i4>75</vt:i4>
      </vt:variant>
      <vt:variant>
        <vt:i4>0</vt:i4>
      </vt:variant>
      <vt:variant>
        <vt:i4>5</vt:i4>
      </vt:variant>
      <vt:variant>
        <vt:lpwstr>http://www.nevo.co.il/case/28708953</vt:lpwstr>
      </vt:variant>
      <vt:variant>
        <vt:lpwstr/>
      </vt:variant>
      <vt:variant>
        <vt:i4>4128892</vt:i4>
      </vt:variant>
      <vt:variant>
        <vt:i4>72</vt:i4>
      </vt:variant>
      <vt:variant>
        <vt:i4>0</vt:i4>
      </vt:variant>
      <vt:variant>
        <vt:i4>5</vt:i4>
      </vt:variant>
      <vt:variant>
        <vt:lpwstr>http://www.nevo.co.il/case/26772988</vt:lpwstr>
      </vt:variant>
      <vt:variant>
        <vt:lpwstr/>
      </vt:variant>
      <vt:variant>
        <vt:i4>3473521</vt:i4>
      </vt:variant>
      <vt:variant>
        <vt:i4>69</vt:i4>
      </vt:variant>
      <vt:variant>
        <vt:i4>0</vt:i4>
      </vt:variant>
      <vt:variant>
        <vt:i4>5</vt:i4>
      </vt:variant>
      <vt:variant>
        <vt:lpwstr>http://www.nevo.co.il/case/27347635</vt:lpwstr>
      </vt:variant>
      <vt:variant>
        <vt:lpwstr/>
      </vt:variant>
      <vt:variant>
        <vt:i4>3407995</vt:i4>
      </vt:variant>
      <vt:variant>
        <vt:i4>66</vt:i4>
      </vt:variant>
      <vt:variant>
        <vt:i4>0</vt:i4>
      </vt:variant>
      <vt:variant>
        <vt:i4>5</vt:i4>
      </vt:variant>
      <vt:variant>
        <vt:lpwstr>http://www.nevo.co.il/case/27502816</vt:lpwstr>
      </vt:variant>
      <vt:variant>
        <vt:lpwstr/>
      </vt:variant>
      <vt:variant>
        <vt:i4>4063346</vt:i4>
      </vt:variant>
      <vt:variant>
        <vt:i4>63</vt:i4>
      </vt:variant>
      <vt:variant>
        <vt:i4>0</vt:i4>
      </vt:variant>
      <vt:variant>
        <vt:i4>5</vt:i4>
      </vt:variant>
      <vt:variant>
        <vt:lpwstr>http://www.nevo.co.il/case/26246488</vt:lpwstr>
      </vt:variant>
      <vt:variant>
        <vt:lpwstr/>
      </vt:variant>
      <vt:variant>
        <vt:i4>3407990</vt:i4>
      </vt:variant>
      <vt:variant>
        <vt:i4>60</vt:i4>
      </vt:variant>
      <vt:variant>
        <vt:i4>0</vt:i4>
      </vt:variant>
      <vt:variant>
        <vt:i4>5</vt:i4>
      </vt:variant>
      <vt:variant>
        <vt:lpwstr>http://www.nevo.co.il/case/27313460</vt:lpwstr>
      </vt:variant>
      <vt:variant>
        <vt:lpwstr/>
      </vt:variant>
      <vt:variant>
        <vt:i4>3997819</vt:i4>
      </vt:variant>
      <vt:variant>
        <vt:i4>57</vt:i4>
      </vt:variant>
      <vt:variant>
        <vt:i4>0</vt:i4>
      </vt:variant>
      <vt:variant>
        <vt:i4>5</vt:i4>
      </vt:variant>
      <vt:variant>
        <vt:lpwstr>http://www.nevo.co.il/case/5681787</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2293860</vt:i4>
      </vt:variant>
      <vt:variant>
        <vt:i4>51</vt:i4>
      </vt:variant>
      <vt:variant>
        <vt:i4>0</vt:i4>
      </vt:variant>
      <vt:variant>
        <vt:i4>5</vt:i4>
      </vt:variant>
      <vt:variant>
        <vt:lpwstr>http://www.nevo.co.il/law/4216/9.d</vt:lpwstr>
      </vt:variant>
      <vt:variant>
        <vt:lpwstr/>
      </vt:variant>
      <vt:variant>
        <vt:i4>2490468</vt:i4>
      </vt:variant>
      <vt:variant>
        <vt:i4>48</vt:i4>
      </vt:variant>
      <vt:variant>
        <vt:i4>0</vt:i4>
      </vt:variant>
      <vt:variant>
        <vt:i4>5</vt:i4>
      </vt:variant>
      <vt:variant>
        <vt:lpwstr>http://www.nevo.co.il/law/4216/9.a</vt:lpwstr>
      </vt:variant>
      <vt:variant>
        <vt:lpwstr/>
      </vt:variant>
      <vt:variant>
        <vt:i4>5177418</vt:i4>
      </vt:variant>
      <vt:variant>
        <vt:i4>45</vt:i4>
      </vt:variant>
      <vt:variant>
        <vt:i4>0</vt:i4>
      </vt:variant>
      <vt:variant>
        <vt:i4>5</vt:i4>
      </vt:variant>
      <vt:variant>
        <vt:lpwstr>http://www.nevo.co.il/law/4216/10</vt:lpwstr>
      </vt:variant>
      <vt:variant>
        <vt:lpwstr/>
      </vt:variant>
      <vt:variant>
        <vt:i4>2752612</vt:i4>
      </vt:variant>
      <vt:variant>
        <vt:i4>42</vt:i4>
      </vt:variant>
      <vt:variant>
        <vt:i4>0</vt:i4>
      </vt:variant>
      <vt:variant>
        <vt:i4>5</vt:i4>
      </vt:variant>
      <vt:variant>
        <vt:lpwstr>http://www.nevo.co.il/law/4216/7.c</vt:lpwstr>
      </vt:variant>
      <vt:variant>
        <vt:lpwstr/>
      </vt:variant>
      <vt:variant>
        <vt:i4>8061026</vt:i4>
      </vt:variant>
      <vt:variant>
        <vt:i4>39</vt:i4>
      </vt:variant>
      <vt:variant>
        <vt:i4>0</vt:i4>
      </vt:variant>
      <vt:variant>
        <vt:i4>5</vt:i4>
      </vt:variant>
      <vt:variant>
        <vt:lpwstr>http://www.nevo.co.il/law/70301/7.a</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8061026</vt:i4>
      </vt:variant>
      <vt:variant>
        <vt:i4>21</vt:i4>
      </vt:variant>
      <vt:variant>
        <vt:i4>0</vt:i4>
      </vt:variant>
      <vt:variant>
        <vt:i4>5</vt:i4>
      </vt:variant>
      <vt:variant>
        <vt:lpwstr>http://www.nevo.co.il/law/70301/7.a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2293860</vt:i4>
      </vt:variant>
      <vt:variant>
        <vt:i4>12</vt:i4>
      </vt:variant>
      <vt:variant>
        <vt:i4>0</vt:i4>
      </vt:variant>
      <vt:variant>
        <vt:i4>5</vt:i4>
      </vt:variant>
      <vt:variant>
        <vt:lpwstr>http://www.nevo.co.il/law/4216/9.d</vt:lpwstr>
      </vt:variant>
      <vt:variant>
        <vt:lpwstr/>
      </vt:variant>
      <vt:variant>
        <vt:i4>2490468</vt:i4>
      </vt:variant>
      <vt:variant>
        <vt:i4>9</vt:i4>
      </vt:variant>
      <vt:variant>
        <vt:i4>0</vt:i4>
      </vt:variant>
      <vt:variant>
        <vt:i4>5</vt:i4>
      </vt:variant>
      <vt:variant>
        <vt:lpwstr>http://www.nevo.co.il/law/4216/9.a</vt:lpwstr>
      </vt:variant>
      <vt:variant>
        <vt:lpwstr/>
      </vt:variant>
      <vt:variant>
        <vt:i4>2752612</vt:i4>
      </vt:variant>
      <vt:variant>
        <vt:i4>6</vt:i4>
      </vt:variant>
      <vt:variant>
        <vt:i4>0</vt:i4>
      </vt:variant>
      <vt:variant>
        <vt:i4>5</vt:i4>
      </vt:variant>
      <vt:variant>
        <vt:lpwstr>http://www.nevo.co.il/law/4216/7.c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2025-04-23T01:59:00Z</dcterms:created>
  <dcterms:modified xsi:type="dcterms:W3CDTF">2025-04-23T01:59:00Z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30131</vt:lpwstr>
  </property>
  <property fmtid="{D5CDD505-2E9C-101B-9397-08002B2CF9AE}" pid="6" name="NEWPARTB">
    <vt:lpwstr>09</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אלמחדי  הובא</vt:lpwstr>
  </property>
  <property fmtid="{D5CDD505-2E9C-101B-9397-08002B2CF9AE}" pid="10" name="LAWYER">
    <vt:lpwstr>אינרה פרז;יוסי זילברברג;הובא;שב"ס יוסי זילברברג</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20241223</vt:lpwstr>
  </property>
  <property fmtid="{D5CDD505-2E9C-101B-9397-08002B2CF9AE}" pid="14" name="TYPE_N_DATE">
    <vt:lpwstr>38020241223</vt:lpwstr>
  </property>
  <property fmtid="{D5CDD505-2E9C-101B-9397-08002B2CF9AE}" pid="15" name="CASESLISTTMP1">
    <vt:lpwstr>5681787;27313460;26246488;27502816;27347635;26772988;28708953;28374949</vt:lpwstr>
  </property>
  <property fmtid="{D5CDD505-2E9C-101B-9397-08002B2CF9AE}" pid="16" name="WORDNUMPAGES">
    <vt:lpwstr>7</vt:lpwstr>
  </property>
  <property fmtid="{D5CDD505-2E9C-101B-9397-08002B2CF9AE}" pid="17" name="TYPE_ABS_DATE">
    <vt:lpwstr>380020241223</vt:lpwstr>
  </property>
  <property fmtid="{D5CDD505-2E9C-101B-9397-08002B2CF9AE}" pid="18" name="ISABSTRACT">
    <vt:lpwstr>Y</vt:lpwstr>
  </property>
  <property fmtid="{D5CDD505-2E9C-101B-9397-08002B2CF9AE}" pid="19" name="LAWLISTTMP1">
    <vt:lpwstr>4216/006;007.c;010;009.a;009.d</vt:lpwstr>
  </property>
  <property fmtid="{D5CDD505-2E9C-101B-9397-08002B2CF9AE}" pid="20" name="LAWLISTTMP2">
    <vt:lpwstr>70301/007.a;40jc.a;040i;40ja</vt:lpwstr>
  </property>
</Properties>
</file>