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555214" w:rsidRPr="008B5803" w14:paraId="0A944B0B" w14:textId="77777777" w:rsidTr="003C3F22">
        <w:trPr>
          <w:trHeight w:hRule="exact" w:val="418"/>
          <w:jc w:val="center"/>
        </w:trPr>
        <w:tc>
          <w:tcPr>
            <w:tcW w:w="8721" w:type="dxa"/>
            <w:gridSpan w:val="2"/>
          </w:tcPr>
          <w:p w14:paraId="10FB0FA8" w14:textId="77777777" w:rsidR="00555214" w:rsidRPr="008B5803" w:rsidRDefault="00555214" w:rsidP="00EE3042">
            <w:pPr>
              <w:pStyle w:val="a3"/>
              <w:jc w:val="center"/>
              <w:rPr>
                <w:rFonts w:ascii="Tahoma" w:hAnsi="Tahoma" w:cs="Tahoma"/>
                <w:color w:val="000080"/>
                <w:rtl/>
              </w:rPr>
            </w:pPr>
            <w:r w:rsidRPr="008B5803">
              <w:rPr>
                <w:rFonts w:ascii="Tahoma" w:hAnsi="Tahoma" w:cs="Tahoma"/>
                <w:b/>
                <w:bCs/>
                <w:color w:val="000080"/>
                <w:rtl/>
              </w:rPr>
              <w:t>בית משפט השלום ברמלה</w:t>
            </w:r>
          </w:p>
        </w:tc>
      </w:tr>
      <w:tr w:rsidR="00555214" w:rsidRPr="008B5803" w14:paraId="6546B922" w14:textId="77777777" w:rsidTr="003C3F22">
        <w:trPr>
          <w:trHeight w:val="337"/>
          <w:jc w:val="center"/>
        </w:trPr>
        <w:tc>
          <w:tcPr>
            <w:tcW w:w="5064" w:type="dxa"/>
          </w:tcPr>
          <w:p w14:paraId="760FA282" w14:textId="77777777" w:rsidR="00555214" w:rsidRPr="008B5803" w:rsidRDefault="00555214" w:rsidP="00EE3042">
            <w:pPr>
              <w:rPr>
                <w:rFonts w:cs="FrankRuehl"/>
                <w:sz w:val="28"/>
                <w:szCs w:val="28"/>
                <w:rtl/>
              </w:rPr>
            </w:pPr>
            <w:r w:rsidRPr="008B5803">
              <w:rPr>
                <w:rFonts w:cs="FrankRuehl"/>
                <w:sz w:val="28"/>
                <w:szCs w:val="28"/>
                <w:rtl/>
              </w:rPr>
              <w:t>ת"פ</w:t>
            </w:r>
            <w:r w:rsidRPr="008B5803">
              <w:rPr>
                <w:rFonts w:cs="FrankRuehl" w:hint="cs"/>
                <w:sz w:val="28"/>
                <w:szCs w:val="28"/>
                <w:rtl/>
              </w:rPr>
              <w:t xml:space="preserve"> </w:t>
            </w:r>
            <w:r w:rsidRPr="008B5803">
              <w:rPr>
                <w:rFonts w:cs="FrankRuehl"/>
                <w:sz w:val="28"/>
                <w:szCs w:val="28"/>
                <w:rtl/>
              </w:rPr>
              <w:t>33040-09-24</w:t>
            </w:r>
            <w:r w:rsidRPr="008B5803">
              <w:rPr>
                <w:rFonts w:cs="FrankRuehl" w:hint="cs"/>
                <w:sz w:val="28"/>
                <w:szCs w:val="28"/>
                <w:rtl/>
              </w:rPr>
              <w:t xml:space="preserve"> </w:t>
            </w:r>
            <w:r w:rsidRPr="008B5803">
              <w:rPr>
                <w:rFonts w:cs="FrankRuehl"/>
                <w:sz w:val="28"/>
                <w:szCs w:val="28"/>
                <w:rtl/>
              </w:rPr>
              <w:t>מדינת ישראל נ' אברהם(עצור/אסיר בפיקוח)</w:t>
            </w:r>
          </w:p>
          <w:p w14:paraId="50DA5A4C" w14:textId="77777777" w:rsidR="00555214" w:rsidRPr="008B5803" w:rsidRDefault="00555214" w:rsidP="00EE3042">
            <w:pPr>
              <w:pStyle w:val="a3"/>
              <w:rPr>
                <w:rFonts w:cs="FrankRuehl"/>
                <w:sz w:val="28"/>
                <w:szCs w:val="28"/>
                <w:rtl/>
              </w:rPr>
            </w:pPr>
          </w:p>
        </w:tc>
        <w:tc>
          <w:tcPr>
            <w:tcW w:w="3657" w:type="dxa"/>
          </w:tcPr>
          <w:p w14:paraId="63C7063A" w14:textId="77777777" w:rsidR="00555214" w:rsidRPr="008B5803" w:rsidRDefault="00555214" w:rsidP="00EE3042">
            <w:pPr>
              <w:pStyle w:val="a3"/>
              <w:jc w:val="right"/>
              <w:rPr>
                <w:rFonts w:cs="FrankRuehl"/>
                <w:sz w:val="28"/>
                <w:szCs w:val="28"/>
                <w:rtl/>
              </w:rPr>
            </w:pPr>
          </w:p>
        </w:tc>
      </w:tr>
    </w:tbl>
    <w:p w14:paraId="653933ED" w14:textId="77777777" w:rsidR="00555214" w:rsidRPr="008B5803" w:rsidRDefault="00555214" w:rsidP="00555214">
      <w:pPr>
        <w:pStyle w:val="a3"/>
        <w:rPr>
          <w:rtl/>
        </w:rPr>
      </w:pPr>
      <w:r w:rsidRPr="008B5803">
        <w:rPr>
          <w:rFonts w:hint="cs"/>
          <w:rtl/>
        </w:rPr>
        <w:t xml:space="preserve"> </w:t>
      </w:r>
    </w:p>
    <w:p w14:paraId="5E89FE7C" w14:textId="77777777" w:rsidR="00555214" w:rsidRPr="008B5803" w:rsidRDefault="00555214" w:rsidP="00555214">
      <w:pPr>
        <w:rPr>
          <w:sz w:val="2"/>
          <w:szCs w:val="2"/>
          <w:rtl/>
        </w:rPr>
      </w:pPr>
    </w:p>
    <w:p w14:paraId="6EF4D0C2" w14:textId="77777777" w:rsidR="00555214" w:rsidRPr="008B5803" w:rsidRDefault="00555214" w:rsidP="00555214">
      <w:pPr>
        <w:rPr>
          <w:sz w:val="2"/>
          <w:szCs w:val="2"/>
        </w:rPr>
      </w:pPr>
    </w:p>
    <w:p w14:paraId="40F98A07" w14:textId="77777777" w:rsidR="00555214" w:rsidRPr="008B5803" w:rsidRDefault="00555214" w:rsidP="00555214">
      <w:pPr>
        <w:rPr>
          <w:rFonts w:ascii="David" w:hAnsi="David"/>
          <w:sz w:val="2"/>
          <w:szCs w:val="2"/>
        </w:rPr>
      </w:pPr>
    </w:p>
    <w:p w14:paraId="40310995" w14:textId="77777777" w:rsidR="00555214" w:rsidRPr="008B5803" w:rsidRDefault="00555214" w:rsidP="00555214">
      <w:pPr>
        <w:rPr>
          <w:rFonts w:ascii="David" w:hAnsi="David"/>
          <w:b/>
          <w:bCs/>
          <w:sz w:val="28"/>
          <w:szCs w:val="28"/>
        </w:rPr>
      </w:pPr>
      <w:r w:rsidRPr="008B5803">
        <w:rPr>
          <w:rFonts w:ascii="David" w:hAnsi="David"/>
          <w:b/>
          <w:bCs/>
          <w:sz w:val="28"/>
          <w:szCs w:val="28"/>
          <w:rtl/>
        </w:rPr>
        <w:softHyphen/>
      </w:r>
      <w:r w:rsidRPr="008B5803">
        <w:rPr>
          <w:rFonts w:ascii="David" w:hAnsi="David"/>
          <w:b/>
          <w:bCs/>
          <w:sz w:val="28"/>
          <w:szCs w:val="28"/>
          <w:rtl/>
        </w:rPr>
        <w:softHyphen/>
        <w:t>לפני:</w:t>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t xml:space="preserve">כבוד השופטת </w:t>
      </w:r>
      <w:bookmarkStart w:id="0" w:name="LastJudge"/>
      <w:r w:rsidRPr="008B5803">
        <w:rPr>
          <w:rFonts w:ascii="David" w:hAnsi="David"/>
          <w:b/>
          <w:bCs/>
          <w:sz w:val="28"/>
          <w:szCs w:val="28"/>
          <w:rtl/>
        </w:rPr>
        <w:t>סגנית הנשיא</w:t>
      </w:r>
      <w:bookmarkEnd w:id="0"/>
      <w:r w:rsidRPr="008B5803">
        <w:rPr>
          <w:rFonts w:ascii="David" w:hAnsi="David"/>
          <w:b/>
          <w:bCs/>
          <w:sz w:val="28"/>
          <w:szCs w:val="28"/>
          <w:rtl/>
        </w:rPr>
        <w:t xml:space="preserve"> דורית סבן נוי</w:t>
      </w:r>
    </w:p>
    <w:p w14:paraId="34496735" w14:textId="77777777" w:rsidR="00555214" w:rsidRPr="008B5803" w:rsidRDefault="00555214" w:rsidP="00555214">
      <w:pPr>
        <w:rPr>
          <w:rFonts w:ascii="David" w:hAnsi="David"/>
          <w:b/>
          <w:bCs/>
          <w:sz w:val="28"/>
          <w:szCs w:val="28"/>
        </w:rPr>
      </w:pPr>
    </w:p>
    <w:p w14:paraId="7F091A11" w14:textId="77777777" w:rsidR="00555214" w:rsidRPr="008B5803" w:rsidRDefault="00555214" w:rsidP="00555214">
      <w:pPr>
        <w:rPr>
          <w:rFonts w:ascii="David" w:hAnsi="David"/>
          <w:b/>
          <w:bCs/>
          <w:sz w:val="28"/>
          <w:szCs w:val="28"/>
          <w:rtl/>
        </w:rPr>
      </w:pPr>
      <w:r w:rsidRPr="008B5803">
        <w:rPr>
          <w:rFonts w:ascii="David" w:hAnsi="David"/>
          <w:b/>
          <w:bCs/>
          <w:sz w:val="28"/>
          <w:szCs w:val="28"/>
          <w:rtl/>
        </w:rPr>
        <w:t>ה</w:t>
      </w:r>
      <w:bookmarkStart w:id="1" w:name="FirstAppellant"/>
      <w:r w:rsidRPr="008B5803">
        <w:rPr>
          <w:rFonts w:ascii="David" w:hAnsi="David"/>
          <w:b/>
          <w:bCs/>
          <w:sz w:val="28"/>
          <w:szCs w:val="28"/>
          <w:rtl/>
        </w:rPr>
        <w:t>מאשימ</w:t>
      </w:r>
      <w:bookmarkEnd w:id="1"/>
      <w:r w:rsidRPr="008B5803">
        <w:rPr>
          <w:rFonts w:ascii="David" w:hAnsi="David"/>
          <w:b/>
          <w:bCs/>
          <w:sz w:val="28"/>
          <w:szCs w:val="28"/>
          <w:rtl/>
        </w:rPr>
        <w:t>ה:</w:t>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t>מדינת ישראל</w:t>
      </w:r>
    </w:p>
    <w:p w14:paraId="1B39F8C3" w14:textId="77777777" w:rsidR="00555214" w:rsidRPr="008B5803" w:rsidRDefault="00555214" w:rsidP="00555214">
      <w:pPr>
        <w:rPr>
          <w:rFonts w:ascii="David" w:hAnsi="David"/>
          <w:b/>
          <w:bCs/>
          <w:sz w:val="28"/>
          <w:szCs w:val="28"/>
          <w:rtl/>
        </w:rPr>
      </w:pP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t xml:space="preserve">באמצעות פרקליטות מחוז מרכז </w:t>
      </w:r>
    </w:p>
    <w:p w14:paraId="1A090A9D" w14:textId="77777777" w:rsidR="00555214" w:rsidRPr="008B5803" w:rsidRDefault="00555214" w:rsidP="00555214">
      <w:pPr>
        <w:rPr>
          <w:rFonts w:ascii="David" w:hAnsi="David"/>
          <w:b/>
          <w:bCs/>
          <w:sz w:val="28"/>
          <w:szCs w:val="28"/>
          <w:rtl/>
        </w:rPr>
      </w:pPr>
    </w:p>
    <w:p w14:paraId="67E8DE3B" w14:textId="77777777" w:rsidR="00555214" w:rsidRPr="008B5803" w:rsidRDefault="00555214" w:rsidP="00555214">
      <w:pPr>
        <w:rPr>
          <w:rFonts w:ascii="David" w:hAnsi="David"/>
          <w:b/>
          <w:bCs/>
          <w:sz w:val="28"/>
          <w:szCs w:val="28"/>
          <w:rtl/>
        </w:rPr>
      </w:pP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t>נ ג ד</w:t>
      </w:r>
    </w:p>
    <w:p w14:paraId="6BA27C49" w14:textId="77777777" w:rsidR="00555214" w:rsidRPr="008B5803" w:rsidRDefault="00555214" w:rsidP="00555214">
      <w:pPr>
        <w:tabs>
          <w:tab w:val="left" w:pos="3579"/>
        </w:tabs>
        <w:rPr>
          <w:rFonts w:ascii="David" w:hAnsi="David"/>
          <w:b/>
          <w:bCs/>
          <w:sz w:val="28"/>
          <w:szCs w:val="28"/>
          <w:rtl/>
        </w:rPr>
      </w:pPr>
      <w:r w:rsidRPr="008B5803">
        <w:rPr>
          <w:rFonts w:ascii="David" w:hAnsi="David"/>
          <w:b/>
          <w:bCs/>
          <w:sz w:val="28"/>
          <w:szCs w:val="28"/>
          <w:rtl/>
        </w:rPr>
        <w:tab/>
      </w:r>
    </w:p>
    <w:p w14:paraId="5386EA37" w14:textId="77777777" w:rsidR="00555214" w:rsidRPr="008B5803" w:rsidRDefault="00555214" w:rsidP="00555214">
      <w:pPr>
        <w:rPr>
          <w:rFonts w:ascii="David" w:hAnsi="David"/>
          <w:b/>
          <w:bCs/>
          <w:sz w:val="28"/>
          <w:szCs w:val="28"/>
          <w:rtl/>
        </w:rPr>
      </w:pPr>
      <w:r w:rsidRPr="008B5803">
        <w:rPr>
          <w:rFonts w:ascii="David" w:hAnsi="David"/>
          <w:b/>
          <w:bCs/>
          <w:sz w:val="28"/>
          <w:szCs w:val="28"/>
          <w:rtl/>
        </w:rPr>
        <w:t>הנאשם:</w:t>
      </w:r>
      <w:r w:rsidRPr="008B5803">
        <w:rPr>
          <w:rFonts w:ascii="David" w:hAnsi="David"/>
          <w:b/>
          <w:bCs/>
          <w:sz w:val="28"/>
          <w:szCs w:val="28"/>
          <w:rtl/>
        </w:rPr>
        <w:tab/>
      </w:r>
      <w:r w:rsidRPr="008B5803">
        <w:rPr>
          <w:rFonts w:ascii="David" w:hAnsi="David"/>
          <w:b/>
          <w:bCs/>
          <w:sz w:val="28"/>
          <w:szCs w:val="28"/>
          <w:rtl/>
        </w:rPr>
        <w:tab/>
      </w:r>
      <w:r w:rsidRPr="008B5803">
        <w:rPr>
          <w:rFonts w:ascii="David" w:hAnsi="David"/>
          <w:b/>
          <w:bCs/>
          <w:sz w:val="28"/>
          <w:szCs w:val="28"/>
          <w:rtl/>
        </w:rPr>
        <w:tab/>
        <w:t>יוסף אברהם</w:t>
      </w:r>
    </w:p>
    <w:p w14:paraId="79D416D2" w14:textId="77777777" w:rsidR="00555214" w:rsidRPr="008B5803" w:rsidRDefault="00555214" w:rsidP="00555214">
      <w:pPr>
        <w:rPr>
          <w:rFonts w:ascii="David" w:hAnsi="David"/>
          <w:b/>
          <w:bCs/>
          <w:sz w:val="28"/>
          <w:szCs w:val="28"/>
          <w:rtl/>
        </w:rPr>
      </w:pPr>
    </w:p>
    <w:p w14:paraId="587C6422" w14:textId="77777777" w:rsidR="00555214" w:rsidRPr="008B5803" w:rsidRDefault="00555214" w:rsidP="00555214">
      <w:pPr>
        <w:rPr>
          <w:rFonts w:ascii="David" w:hAnsi="David"/>
          <w:sz w:val="28"/>
          <w:szCs w:val="28"/>
          <w:rtl/>
        </w:rPr>
      </w:pPr>
      <w:bookmarkStart w:id="2" w:name="FirstLawyer"/>
      <w:r w:rsidRPr="008B5803">
        <w:rPr>
          <w:rFonts w:ascii="David" w:hAnsi="David"/>
          <w:sz w:val="28"/>
          <w:szCs w:val="28"/>
          <w:rtl/>
        </w:rPr>
        <w:t>בשם</w:t>
      </w:r>
      <w:bookmarkEnd w:id="2"/>
      <w:r w:rsidRPr="008B5803">
        <w:rPr>
          <w:rFonts w:ascii="David" w:hAnsi="David"/>
          <w:sz w:val="28"/>
          <w:szCs w:val="28"/>
          <w:rtl/>
        </w:rPr>
        <w:t xml:space="preserve"> המאשימה:</w:t>
      </w:r>
      <w:r w:rsidRPr="008B5803">
        <w:rPr>
          <w:rFonts w:ascii="David" w:hAnsi="David"/>
          <w:sz w:val="28"/>
          <w:szCs w:val="28"/>
          <w:rtl/>
        </w:rPr>
        <w:tab/>
      </w:r>
      <w:r w:rsidRPr="008B5803">
        <w:rPr>
          <w:rFonts w:ascii="David" w:hAnsi="David"/>
          <w:sz w:val="28"/>
          <w:szCs w:val="28"/>
          <w:rtl/>
        </w:rPr>
        <w:tab/>
        <w:t>עו"ד סרי מבאריקי</w:t>
      </w:r>
    </w:p>
    <w:p w14:paraId="371A5148" w14:textId="77777777" w:rsidR="00555214" w:rsidRPr="008B5803" w:rsidRDefault="00555214" w:rsidP="00555214">
      <w:pPr>
        <w:rPr>
          <w:rFonts w:ascii="David" w:hAnsi="David"/>
          <w:sz w:val="28"/>
          <w:szCs w:val="28"/>
          <w:rtl/>
        </w:rPr>
      </w:pPr>
      <w:r w:rsidRPr="008B5803">
        <w:rPr>
          <w:rFonts w:ascii="David" w:hAnsi="David"/>
          <w:sz w:val="28"/>
          <w:szCs w:val="28"/>
          <w:rtl/>
        </w:rPr>
        <w:t>בשם הנאשם:</w:t>
      </w:r>
      <w:r w:rsidRPr="008B5803">
        <w:rPr>
          <w:rFonts w:ascii="David" w:hAnsi="David"/>
          <w:sz w:val="28"/>
          <w:szCs w:val="28"/>
          <w:rtl/>
        </w:rPr>
        <w:tab/>
      </w:r>
      <w:r w:rsidRPr="008B5803">
        <w:rPr>
          <w:rFonts w:ascii="David" w:hAnsi="David"/>
          <w:sz w:val="28"/>
          <w:szCs w:val="28"/>
          <w:rtl/>
        </w:rPr>
        <w:tab/>
      </w:r>
      <w:r w:rsidRPr="008B5803">
        <w:rPr>
          <w:rFonts w:ascii="David" w:hAnsi="David"/>
          <w:sz w:val="28"/>
          <w:szCs w:val="28"/>
          <w:rtl/>
        </w:rPr>
        <w:tab/>
        <w:t>עו"ד רן קרויט</w:t>
      </w:r>
    </w:p>
    <w:p w14:paraId="07AD0456" w14:textId="77777777" w:rsidR="00555214" w:rsidRPr="008B5803" w:rsidRDefault="00555214" w:rsidP="00555214">
      <w:pPr>
        <w:spacing w:line="360" w:lineRule="auto"/>
        <w:rPr>
          <w:rFonts w:ascii="David" w:hAnsi="David"/>
          <w:sz w:val="28"/>
          <w:szCs w:val="28"/>
          <w:rtl/>
        </w:rPr>
      </w:pPr>
    </w:p>
    <w:p w14:paraId="138C0E2B" w14:textId="77777777" w:rsidR="008B5803" w:rsidRPr="008B5803" w:rsidRDefault="008B5803" w:rsidP="008B5803">
      <w:pPr>
        <w:spacing w:before="120" w:after="120" w:line="240" w:lineRule="exact"/>
        <w:ind w:left="283" w:hanging="283"/>
        <w:jc w:val="both"/>
        <w:rPr>
          <w:rFonts w:ascii="FrankRuehl" w:hAnsi="FrankRuehl" w:cs="FrankRuehl"/>
          <w:rtl/>
        </w:rPr>
      </w:pPr>
    </w:p>
    <w:p w14:paraId="7F084090" w14:textId="77777777" w:rsidR="008B5803" w:rsidRPr="008B5803" w:rsidRDefault="008B5803" w:rsidP="008B5803">
      <w:pPr>
        <w:spacing w:line="360" w:lineRule="auto"/>
        <w:jc w:val="center"/>
        <w:rPr>
          <w:rFonts w:ascii="David" w:hAnsi="David"/>
          <w:sz w:val="28"/>
          <w:szCs w:val="28"/>
          <w:rtl/>
        </w:rPr>
      </w:pPr>
    </w:p>
    <w:p w14:paraId="7AA1D64F" w14:textId="77777777" w:rsidR="003C3F22" w:rsidRPr="003C3F22" w:rsidRDefault="003C3F22" w:rsidP="003C3F22">
      <w:pPr>
        <w:spacing w:before="120" w:after="120" w:line="240" w:lineRule="exact"/>
        <w:ind w:left="283" w:hanging="283"/>
        <w:jc w:val="both"/>
        <w:rPr>
          <w:rFonts w:ascii="FrankRuehl" w:hAnsi="FrankRuehl" w:cs="FrankRuehl"/>
          <w:rtl/>
        </w:rPr>
      </w:pPr>
      <w:bookmarkStart w:id="3" w:name="LawTable"/>
      <w:bookmarkEnd w:id="3"/>
    </w:p>
    <w:p w14:paraId="2DA79A99" w14:textId="77777777" w:rsidR="003C3F22" w:rsidRPr="003C3F22" w:rsidRDefault="003C3F22" w:rsidP="003C3F22">
      <w:pPr>
        <w:spacing w:before="120" w:after="120" w:line="240" w:lineRule="exact"/>
        <w:ind w:left="283" w:hanging="283"/>
        <w:jc w:val="both"/>
        <w:rPr>
          <w:rFonts w:ascii="FrankRuehl" w:hAnsi="FrankRuehl" w:cs="FrankRuehl"/>
          <w:rtl/>
        </w:rPr>
      </w:pPr>
      <w:r w:rsidRPr="003C3F22">
        <w:rPr>
          <w:rFonts w:ascii="FrankRuehl" w:hAnsi="FrankRuehl" w:cs="FrankRuehl"/>
          <w:rtl/>
        </w:rPr>
        <w:t xml:space="preserve">חקיקה שאוזכרה: </w:t>
      </w:r>
    </w:p>
    <w:p w14:paraId="11E2A9D7" w14:textId="77777777" w:rsidR="003C3F22" w:rsidRPr="003C3F22" w:rsidRDefault="003C3F22" w:rsidP="003C3F22">
      <w:pPr>
        <w:spacing w:before="120" w:after="120" w:line="240" w:lineRule="exact"/>
        <w:ind w:left="283" w:hanging="283"/>
        <w:jc w:val="both"/>
        <w:rPr>
          <w:rFonts w:ascii="FrankRuehl" w:hAnsi="FrankRuehl" w:cs="FrankRuehl"/>
          <w:color w:val="0000FF"/>
          <w:rtl/>
        </w:rPr>
      </w:pPr>
      <w:hyperlink r:id="rId7" w:history="1">
        <w:r w:rsidRPr="003C3F22">
          <w:rPr>
            <w:rStyle w:val="Hyperlink"/>
            <w:rFonts w:ascii="FrankRuehl" w:hAnsi="FrankRuehl" w:cs="FrankRuehl"/>
            <w:u w:val="none"/>
            <w:rtl/>
          </w:rPr>
          <w:t>פקודת הסמים המסוכנים [נוסח חדש], תשל"ג-1973</w:t>
        </w:r>
      </w:hyperlink>
      <w:r w:rsidRPr="003C3F22">
        <w:rPr>
          <w:rFonts w:ascii="FrankRuehl" w:hAnsi="FrankRuehl" w:cs="FrankRuehl"/>
          <w:color w:val="0000FF"/>
          <w:rtl/>
        </w:rPr>
        <w:t xml:space="preserve">: סע'  </w:t>
      </w:r>
      <w:hyperlink r:id="rId8" w:history="1">
        <w:r w:rsidRPr="003C3F22">
          <w:rPr>
            <w:rStyle w:val="Hyperlink"/>
            <w:rFonts w:ascii="FrankRuehl" w:hAnsi="FrankRuehl" w:cs="FrankRuehl"/>
            <w:u w:val="none"/>
          </w:rPr>
          <w:t>7</w:t>
        </w:r>
      </w:hyperlink>
      <w:r w:rsidRPr="003C3F22">
        <w:rPr>
          <w:rFonts w:ascii="FrankRuehl" w:hAnsi="FrankRuehl" w:cs="FrankRuehl"/>
          <w:color w:val="0000FF"/>
          <w:rtl/>
        </w:rPr>
        <w:t xml:space="preserve">(א), </w:t>
      </w:r>
      <w:hyperlink r:id="rId9" w:history="1">
        <w:r w:rsidRPr="003C3F22">
          <w:rPr>
            <w:rStyle w:val="Hyperlink"/>
            <w:rFonts w:ascii="FrankRuehl" w:hAnsi="FrankRuehl" w:cs="FrankRuehl"/>
            <w:u w:val="none"/>
            <w:rtl/>
          </w:rPr>
          <w:t>ג</w:t>
        </w:r>
      </w:hyperlink>
    </w:p>
    <w:p w14:paraId="3F9A50CE" w14:textId="77777777" w:rsidR="003C3F22" w:rsidRPr="003C3F22" w:rsidRDefault="003C3F22" w:rsidP="003C3F22">
      <w:pPr>
        <w:spacing w:before="120" w:after="120" w:line="240" w:lineRule="exact"/>
        <w:ind w:left="283" w:hanging="283"/>
        <w:jc w:val="both"/>
        <w:rPr>
          <w:rFonts w:ascii="FrankRuehl" w:hAnsi="FrankRuehl" w:cs="FrankRuehl"/>
          <w:color w:val="0000FF"/>
          <w:rtl/>
        </w:rPr>
      </w:pPr>
      <w:hyperlink r:id="rId10" w:history="1">
        <w:r w:rsidRPr="003C3F22">
          <w:rPr>
            <w:rStyle w:val="Hyperlink"/>
            <w:rFonts w:ascii="FrankRuehl" w:hAnsi="FrankRuehl" w:cs="FrankRuehl"/>
            <w:u w:val="none"/>
            <w:rtl/>
          </w:rPr>
          <w:t>חוק העונשין, תשל"ז-1977</w:t>
        </w:r>
      </w:hyperlink>
    </w:p>
    <w:p w14:paraId="1E1AD56A" w14:textId="77777777" w:rsidR="003C3F22" w:rsidRPr="003C3F22" w:rsidRDefault="003C3F22" w:rsidP="003C3F22">
      <w:pPr>
        <w:spacing w:before="120" w:after="120" w:line="240" w:lineRule="exact"/>
        <w:ind w:left="283" w:hanging="283"/>
        <w:jc w:val="both"/>
        <w:rPr>
          <w:rFonts w:ascii="FrankRuehl" w:hAnsi="FrankRuehl" w:cs="FrankRuehl"/>
          <w:color w:val="0000FF"/>
          <w:rtl/>
        </w:rPr>
      </w:pPr>
      <w:hyperlink r:id="rId11" w:history="1">
        <w:r w:rsidRPr="003C3F22">
          <w:rPr>
            <w:rStyle w:val="Hyperlink"/>
            <w:rFonts w:ascii="FrankRuehl" w:hAnsi="FrankRuehl" w:cs="FrankRuehl"/>
            <w:u w:val="none"/>
            <w:rtl/>
          </w:rPr>
          <w:t>פקודת בתי הסוהר [נוסח חדש], תשל"ב-1971</w:t>
        </w:r>
      </w:hyperlink>
      <w:r w:rsidRPr="003C3F22">
        <w:rPr>
          <w:rFonts w:ascii="FrankRuehl" w:hAnsi="FrankRuehl" w:cs="FrankRuehl"/>
          <w:color w:val="0000FF"/>
          <w:rtl/>
        </w:rPr>
        <w:t xml:space="preserve">: סע'  </w:t>
      </w:r>
      <w:hyperlink r:id="rId12" w:history="1">
        <w:r w:rsidRPr="003C3F22">
          <w:rPr>
            <w:rStyle w:val="Hyperlink"/>
            <w:rFonts w:ascii="FrankRuehl" w:hAnsi="FrankRuehl" w:cs="FrankRuehl"/>
            <w:u w:val="none"/>
          </w:rPr>
          <w:t>6</w:t>
        </w:r>
      </w:hyperlink>
      <w:r w:rsidRPr="003C3F22">
        <w:rPr>
          <w:rFonts w:ascii="FrankRuehl" w:hAnsi="FrankRuehl" w:cs="FrankRuehl"/>
          <w:color w:val="0000FF"/>
          <w:rtl/>
        </w:rPr>
        <w:t xml:space="preserve">, </w:t>
      </w:r>
      <w:hyperlink r:id="rId13" w:history="1">
        <w:r w:rsidRPr="003C3F22">
          <w:rPr>
            <w:rStyle w:val="Hyperlink"/>
            <w:rFonts w:ascii="FrankRuehl" w:hAnsi="FrankRuehl" w:cs="FrankRuehl"/>
            <w:u w:val="none"/>
          </w:rPr>
          <w:t>16</w:t>
        </w:r>
      </w:hyperlink>
    </w:p>
    <w:p w14:paraId="067A108A" w14:textId="77777777" w:rsidR="008B5803" w:rsidRPr="003C3F22" w:rsidRDefault="008B5803" w:rsidP="003C3F22">
      <w:pPr>
        <w:spacing w:line="360" w:lineRule="auto"/>
        <w:jc w:val="center"/>
        <w:rPr>
          <w:rFonts w:ascii="David" w:hAnsi="David"/>
          <w:sz w:val="28"/>
          <w:szCs w:val="28"/>
          <w:rtl/>
        </w:rPr>
      </w:pPr>
      <w:bookmarkStart w:id="4" w:name="LawTable_End"/>
      <w:bookmarkEnd w:id="4"/>
    </w:p>
    <w:p w14:paraId="13D9271F" w14:textId="77777777" w:rsidR="008B5803" w:rsidRPr="008B5803" w:rsidRDefault="008B5803" w:rsidP="008B5803">
      <w:pPr>
        <w:spacing w:line="360" w:lineRule="auto"/>
        <w:jc w:val="center"/>
        <w:rPr>
          <w:rFonts w:ascii="David" w:hAnsi="David"/>
          <w:b/>
          <w:bCs/>
          <w:sz w:val="28"/>
          <w:szCs w:val="28"/>
          <w:u w:val="single"/>
          <w:rtl/>
        </w:rPr>
      </w:pPr>
      <w:bookmarkStart w:id="5" w:name="PsakDin"/>
      <w:r w:rsidRPr="008B5803">
        <w:rPr>
          <w:rFonts w:ascii="David" w:hAnsi="David"/>
          <w:b/>
          <w:bCs/>
          <w:sz w:val="28"/>
          <w:szCs w:val="28"/>
          <w:u w:val="single"/>
          <w:rtl/>
        </w:rPr>
        <w:t>גזר דין</w:t>
      </w:r>
    </w:p>
    <w:bookmarkEnd w:id="5"/>
    <w:p w14:paraId="0CBE9174" w14:textId="77777777" w:rsidR="00555214" w:rsidRPr="001A6CB3" w:rsidRDefault="00555214" w:rsidP="00555214">
      <w:pPr>
        <w:spacing w:line="360" w:lineRule="auto"/>
        <w:rPr>
          <w:rFonts w:ascii="David" w:hAnsi="David"/>
          <w:b/>
          <w:bCs/>
          <w:sz w:val="22"/>
          <w:szCs w:val="22"/>
          <w:u w:val="single"/>
          <w:rtl/>
        </w:rPr>
      </w:pPr>
    </w:p>
    <w:p w14:paraId="05DEC3AB" w14:textId="77777777" w:rsidR="00555214" w:rsidRDefault="00555214" w:rsidP="00555214">
      <w:pPr>
        <w:pStyle w:val="a9"/>
        <w:numPr>
          <w:ilvl w:val="0"/>
          <w:numId w:val="1"/>
        </w:numPr>
        <w:spacing w:line="360" w:lineRule="auto"/>
        <w:jc w:val="both"/>
        <w:rPr>
          <w:rFonts w:ascii="David" w:hAnsi="David" w:cs="David"/>
          <w:b/>
          <w:bCs/>
          <w:sz w:val="24"/>
          <w:szCs w:val="24"/>
          <w:u w:val="single"/>
          <w:rtl/>
        </w:rPr>
      </w:pPr>
      <w:r>
        <w:rPr>
          <w:rFonts w:ascii="David" w:hAnsi="David" w:cs="David"/>
          <w:b/>
          <w:bCs/>
          <w:sz w:val="24"/>
          <w:szCs w:val="24"/>
          <w:u w:val="double"/>
          <w:rtl/>
        </w:rPr>
        <w:t>רקע וכתב האישום</w:t>
      </w:r>
      <w:r>
        <w:rPr>
          <w:rFonts w:ascii="David" w:hAnsi="David" w:cs="David"/>
          <w:b/>
          <w:bCs/>
          <w:sz w:val="24"/>
          <w:szCs w:val="24"/>
          <w:rtl/>
        </w:rPr>
        <w:t xml:space="preserve">: </w:t>
      </w:r>
    </w:p>
    <w:p w14:paraId="4E053742" w14:textId="77777777" w:rsidR="00555214" w:rsidRPr="001A6CB3" w:rsidRDefault="00555214" w:rsidP="00555214">
      <w:pPr>
        <w:pStyle w:val="a9"/>
        <w:spacing w:line="360" w:lineRule="auto"/>
        <w:jc w:val="both"/>
        <w:rPr>
          <w:rFonts w:ascii="David" w:hAnsi="David" w:cs="David"/>
          <w:b/>
          <w:bCs/>
          <w:sz w:val="18"/>
          <w:szCs w:val="18"/>
          <w:u w:val="single"/>
          <w:rtl/>
        </w:rPr>
      </w:pPr>
    </w:p>
    <w:p w14:paraId="3925CB66" w14:textId="77777777" w:rsidR="00555214" w:rsidRDefault="00555214" w:rsidP="00555214">
      <w:pPr>
        <w:pStyle w:val="a9"/>
        <w:numPr>
          <w:ilvl w:val="0"/>
          <w:numId w:val="2"/>
        </w:numPr>
        <w:spacing w:line="36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בכתב אישום בביצוע עבירת </w:t>
      </w:r>
      <w:r>
        <w:rPr>
          <w:rFonts w:ascii="David" w:hAnsi="David" w:cs="David"/>
          <w:b/>
          <w:bCs/>
          <w:sz w:val="24"/>
          <w:szCs w:val="24"/>
          <w:rtl/>
        </w:rPr>
        <w:t xml:space="preserve">החזקת סמים שלא לצריכה עצמית </w:t>
      </w:r>
      <w:r>
        <w:rPr>
          <w:rFonts w:ascii="David" w:hAnsi="David" w:cs="David"/>
          <w:sz w:val="24"/>
          <w:szCs w:val="24"/>
          <w:rtl/>
        </w:rPr>
        <w:t xml:space="preserve">לפי </w:t>
      </w:r>
      <w:hyperlink r:id="rId14" w:history="1">
        <w:r w:rsidR="003C3F22" w:rsidRPr="003C3F22">
          <w:rPr>
            <w:rStyle w:val="Hyperlink"/>
            <w:rFonts w:ascii="David" w:hAnsi="David" w:cs="David"/>
            <w:color w:val="0000FF"/>
            <w:sz w:val="24"/>
            <w:szCs w:val="24"/>
            <w:rtl/>
          </w:rPr>
          <w:t>סעיפים 7(א)</w:t>
        </w:r>
      </w:hyperlink>
      <w:r>
        <w:rPr>
          <w:rFonts w:ascii="David" w:hAnsi="David" w:cs="David"/>
          <w:sz w:val="24"/>
          <w:szCs w:val="24"/>
          <w:rtl/>
        </w:rPr>
        <w:t xml:space="preserve"> ו-(</w:t>
      </w:r>
      <w:hyperlink r:id="rId15" w:history="1">
        <w:r w:rsidR="003C3F22" w:rsidRPr="003C3F22">
          <w:rPr>
            <w:rStyle w:val="Hyperlink"/>
            <w:rFonts w:ascii="David" w:hAnsi="David" w:cs="David"/>
            <w:color w:val="0000FF"/>
            <w:sz w:val="24"/>
            <w:szCs w:val="24"/>
            <w:rtl/>
          </w:rPr>
          <w:t>ג</w:t>
        </w:r>
      </w:hyperlink>
      <w:r>
        <w:rPr>
          <w:rFonts w:ascii="David" w:hAnsi="David" w:cs="David"/>
          <w:sz w:val="24"/>
          <w:szCs w:val="24"/>
          <w:rtl/>
        </w:rPr>
        <w:t>) רישא ל</w:t>
      </w:r>
      <w:hyperlink r:id="rId16" w:history="1">
        <w:r w:rsidR="008B5803" w:rsidRPr="008B5803">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w:t>
      </w:r>
      <w:r>
        <w:rPr>
          <w:rFonts w:ascii="David" w:hAnsi="David" w:cs="David"/>
          <w:b/>
          <w:bCs/>
          <w:sz w:val="24"/>
          <w:szCs w:val="24"/>
          <w:rtl/>
        </w:rPr>
        <w:t xml:space="preserve"> "פקודת הסמים המסוכנים"</w:t>
      </w:r>
      <w:r>
        <w:rPr>
          <w:rFonts w:ascii="David" w:hAnsi="David" w:cs="David"/>
          <w:sz w:val="24"/>
          <w:szCs w:val="24"/>
          <w:rtl/>
        </w:rPr>
        <w:t>).</w:t>
      </w:r>
    </w:p>
    <w:p w14:paraId="79F8DB86" w14:textId="77777777" w:rsidR="00555214" w:rsidRPr="001A6CB3" w:rsidRDefault="00555214" w:rsidP="00555214">
      <w:pPr>
        <w:pStyle w:val="a9"/>
        <w:spacing w:line="360" w:lineRule="auto"/>
        <w:jc w:val="both"/>
        <w:rPr>
          <w:rFonts w:ascii="David" w:hAnsi="David" w:cs="David"/>
          <w:sz w:val="16"/>
          <w:szCs w:val="16"/>
        </w:rPr>
      </w:pPr>
      <w:bookmarkStart w:id="7" w:name="ABSTRACT_END"/>
      <w:bookmarkEnd w:id="7"/>
    </w:p>
    <w:p w14:paraId="5B0A8ADB" w14:textId="77777777" w:rsidR="00555214" w:rsidRDefault="00555214" w:rsidP="00555214">
      <w:pPr>
        <w:pStyle w:val="a9"/>
        <w:numPr>
          <w:ilvl w:val="0"/>
          <w:numId w:val="2"/>
        </w:numPr>
        <w:spacing w:line="360" w:lineRule="auto"/>
        <w:jc w:val="both"/>
        <w:rPr>
          <w:rFonts w:ascii="David" w:hAnsi="David"/>
        </w:rPr>
      </w:pPr>
      <w:r>
        <w:rPr>
          <w:rFonts w:ascii="David" w:hAnsi="David" w:cs="David"/>
          <w:sz w:val="24"/>
          <w:szCs w:val="24"/>
          <w:rtl/>
        </w:rPr>
        <w:t xml:space="preserve">על פי עובדות כתב האישום, עובר ליום 2.9.24 ועד ליום 4.9.24, החזיק הנאשם בביתו בעיר רמלה, סמים מסוכנים מסוג </w:t>
      </w:r>
      <w:r>
        <w:rPr>
          <w:rFonts w:ascii="David" w:hAnsi="David" w:cs="David"/>
          <w:b/>
          <w:bCs/>
          <w:sz w:val="24"/>
          <w:szCs w:val="24"/>
          <w:rtl/>
        </w:rPr>
        <w:t>קוקאין</w:t>
      </w:r>
      <w:r>
        <w:rPr>
          <w:rFonts w:ascii="David" w:hAnsi="David" w:cs="David"/>
          <w:sz w:val="24"/>
          <w:szCs w:val="24"/>
          <w:rtl/>
        </w:rPr>
        <w:t xml:space="preserve"> במשקל של כ-</w:t>
      </w:r>
      <w:r>
        <w:rPr>
          <w:rFonts w:ascii="David" w:hAnsi="David" w:cs="David"/>
          <w:b/>
          <w:bCs/>
          <w:sz w:val="24"/>
          <w:szCs w:val="24"/>
          <w:rtl/>
        </w:rPr>
        <w:t xml:space="preserve">45.77 </w:t>
      </w:r>
      <w:r>
        <w:rPr>
          <w:rFonts w:ascii="David" w:hAnsi="David" w:cs="David"/>
          <w:sz w:val="24"/>
          <w:szCs w:val="24"/>
          <w:rtl/>
        </w:rPr>
        <w:t>גרם, מחולקים לשקיות, בכיס מעילו בארון הבגדים שבחדר השינה בדירה ובתוך קופסת גומי לעיסה במטבח הדירה</w:t>
      </w:r>
      <w:r>
        <w:rPr>
          <w:rFonts w:ascii="David" w:hAnsi="David"/>
          <w:rtl/>
        </w:rPr>
        <w:t xml:space="preserve">. </w:t>
      </w:r>
    </w:p>
    <w:p w14:paraId="3E7DD20B" w14:textId="77777777" w:rsidR="00555214" w:rsidRDefault="00555214" w:rsidP="00555214">
      <w:pPr>
        <w:pStyle w:val="a9"/>
        <w:rPr>
          <w:rFonts w:ascii="David" w:hAnsi="David" w:cs="David"/>
          <w:sz w:val="24"/>
          <w:szCs w:val="24"/>
        </w:rPr>
      </w:pPr>
    </w:p>
    <w:p w14:paraId="7BEFCBB4" w14:textId="77777777" w:rsidR="00555214" w:rsidRDefault="00555214" w:rsidP="00555214">
      <w:pPr>
        <w:pStyle w:val="a9"/>
        <w:numPr>
          <w:ilvl w:val="0"/>
          <w:numId w:val="1"/>
        </w:numPr>
        <w:tabs>
          <w:tab w:val="left" w:pos="368"/>
        </w:tabs>
        <w:spacing w:line="360" w:lineRule="auto"/>
        <w:jc w:val="both"/>
        <w:rPr>
          <w:rFonts w:ascii="David" w:hAnsi="David" w:cs="David"/>
          <w:b/>
          <w:bCs/>
          <w:sz w:val="24"/>
          <w:szCs w:val="24"/>
        </w:rPr>
      </w:pPr>
      <w:r>
        <w:rPr>
          <w:rFonts w:ascii="David" w:hAnsi="David" w:cs="David"/>
          <w:b/>
          <w:bCs/>
          <w:sz w:val="24"/>
          <w:szCs w:val="24"/>
          <w:u w:val="double"/>
          <w:rtl/>
        </w:rPr>
        <w:t>תמצית טיעוני הצדדים לעונש</w:t>
      </w:r>
      <w:r>
        <w:rPr>
          <w:rFonts w:ascii="David" w:hAnsi="David" w:cs="David"/>
          <w:b/>
          <w:bCs/>
          <w:sz w:val="24"/>
          <w:szCs w:val="24"/>
          <w:rtl/>
        </w:rPr>
        <w:t xml:space="preserve">: </w:t>
      </w:r>
    </w:p>
    <w:p w14:paraId="3966C52E" w14:textId="77777777" w:rsidR="00555214" w:rsidRPr="001A6CB3" w:rsidRDefault="00555214" w:rsidP="00555214">
      <w:pPr>
        <w:pStyle w:val="a9"/>
        <w:tabs>
          <w:tab w:val="left" w:pos="368"/>
        </w:tabs>
        <w:spacing w:line="360" w:lineRule="auto"/>
        <w:jc w:val="both"/>
        <w:rPr>
          <w:rFonts w:ascii="David" w:hAnsi="David" w:cs="David"/>
          <w:b/>
          <w:bCs/>
          <w:sz w:val="12"/>
          <w:szCs w:val="12"/>
        </w:rPr>
      </w:pPr>
    </w:p>
    <w:p w14:paraId="36A75B3D" w14:textId="77777777" w:rsidR="00555214" w:rsidRDefault="00555214" w:rsidP="00555214">
      <w:pPr>
        <w:pStyle w:val="a9"/>
        <w:numPr>
          <w:ilvl w:val="0"/>
          <w:numId w:val="2"/>
        </w:numPr>
        <w:spacing w:line="360" w:lineRule="auto"/>
        <w:jc w:val="both"/>
        <w:rPr>
          <w:rFonts w:ascii="David" w:hAnsi="David" w:cs="David"/>
          <w:sz w:val="24"/>
          <w:szCs w:val="24"/>
        </w:rPr>
      </w:pPr>
      <w:r>
        <w:rPr>
          <w:rFonts w:ascii="David" w:hAnsi="David" w:cs="David"/>
          <w:b/>
          <w:bCs/>
          <w:sz w:val="24"/>
          <w:szCs w:val="24"/>
          <w:rtl/>
        </w:rPr>
        <w:t>ב"כ המאשימה עו"ד סרי מבאריקי</w:t>
      </w:r>
      <w:r>
        <w:rPr>
          <w:rFonts w:ascii="David" w:hAnsi="David" w:cs="David"/>
          <w:sz w:val="24"/>
          <w:szCs w:val="24"/>
          <w:rtl/>
        </w:rPr>
        <w:t xml:space="preserve">, הפנה לערכים המוגנים העומדים בבסיס עבירות הסמים וביניהם, הגנה על שלום הציבור ובריאותו מפני הנזקים הנגרמים כתוצאה משימוש בסמים ולנזקים העקיפים הנגרמים כתוצאה מביצוע עבירות נלוות לשימוש בסמים; למידת הפגיעה המשמעותית בשל סוג הסם, הכמות הגדולה שנתפסה ואופן החזקתם. בהפנותו לפסיקה עתר לקביעת מתחם הנע בין שנתיים וחצי ועד חמש שנות מאסר. אשר לנסיבות שאינן קשורות לביצוע העבירה, </w:t>
      </w:r>
      <w:r>
        <w:rPr>
          <w:rFonts w:ascii="David" w:hAnsi="David" w:cs="David" w:hint="cs"/>
          <w:sz w:val="24"/>
          <w:szCs w:val="24"/>
          <w:rtl/>
        </w:rPr>
        <w:t xml:space="preserve">הפנה </w:t>
      </w:r>
      <w:r>
        <w:rPr>
          <w:rFonts w:ascii="David" w:hAnsi="David" w:cs="David"/>
          <w:sz w:val="24"/>
          <w:szCs w:val="24"/>
          <w:rtl/>
        </w:rPr>
        <w:t>לעברו הפלילי לרבות העובדה שבעבר שולב בבית המשפט הקהילתי</w:t>
      </w:r>
      <w:r>
        <w:rPr>
          <w:rFonts w:ascii="David" w:hAnsi="David" w:cs="David" w:hint="cs"/>
          <w:sz w:val="24"/>
          <w:szCs w:val="24"/>
          <w:rtl/>
        </w:rPr>
        <w:t>,</w:t>
      </w:r>
      <w:r>
        <w:rPr>
          <w:rFonts w:ascii="David" w:hAnsi="David" w:cs="David"/>
          <w:sz w:val="24"/>
          <w:szCs w:val="24"/>
          <w:rtl/>
        </w:rPr>
        <w:t xml:space="preserve"> אך לא השכיל לנצל את ההזדמנות כדי לשקם את חייו</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כך ש</w:t>
      </w:r>
      <w:r>
        <w:rPr>
          <w:rFonts w:ascii="David" w:hAnsi="David" w:cs="David"/>
          <w:sz w:val="24"/>
          <w:szCs w:val="24"/>
          <w:rtl/>
        </w:rPr>
        <w:t xml:space="preserve">לכאורה, </w:t>
      </w:r>
      <w:r>
        <w:rPr>
          <w:rFonts w:ascii="David" w:hAnsi="David" w:cs="David" w:hint="cs"/>
          <w:sz w:val="24"/>
          <w:szCs w:val="24"/>
          <w:rtl/>
        </w:rPr>
        <w:t xml:space="preserve">היה מקום לעתור להשתת רכיב המאסר </w:t>
      </w:r>
      <w:r>
        <w:rPr>
          <w:rFonts w:ascii="David" w:hAnsi="David" w:cs="David"/>
          <w:sz w:val="24"/>
          <w:szCs w:val="24"/>
          <w:rtl/>
        </w:rPr>
        <w:t>באמצע המ</w:t>
      </w:r>
      <w:r>
        <w:rPr>
          <w:rFonts w:ascii="David" w:hAnsi="David" w:cs="David" w:hint="cs"/>
          <w:sz w:val="24"/>
          <w:szCs w:val="24"/>
          <w:rtl/>
        </w:rPr>
        <w:t>תחם.</w:t>
      </w:r>
      <w:r>
        <w:rPr>
          <w:rFonts w:ascii="David" w:hAnsi="David" w:cs="David"/>
          <w:sz w:val="24"/>
          <w:szCs w:val="24"/>
          <w:rtl/>
        </w:rPr>
        <w:t xml:space="preserve"> ואולם, נוכח מצבו הרפואי המורכב והודאתו, עתר להש</w:t>
      </w:r>
      <w:r>
        <w:rPr>
          <w:rFonts w:ascii="David" w:hAnsi="David" w:cs="David" w:hint="cs"/>
          <w:sz w:val="24"/>
          <w:szCs w:val="24"/>
          <w:rtl/>
        </w:rPr>
        <w:t>ת</w:t>
      </w:r>
      <w:r>
        <w:rPr>
          <w:rFonts w:ascii="David" w:hAnsi="David" w:cs="David"/>
          <w:sz w:val="24"/>
          <w:szCs w:val="24"/>
          <w:rtl/>
        </w:rPr>
        <w:t>ת עונש בתחתית המתחם,</w:t>
      </w:r>
      <w:r>
        <w:rPr>
          <w:rFonts w:ascii="David" w:hAnsi="David" w:cs="David" w:hint="cs"/>
          <w:sz w:val="24"/>
          <w:szCs w:val="24"/>
          <w:rtl/>
        </w:rPr>
        <w:t xml:space="preserve"> קרי</w:t>
      </w:r>
      <w:r>
        <w:rPr>
          <w:rFonts w:ascii="David" w:hAnsi="David" w:cs="David"/>
          <w:sz w:val="24"/>
          <w:szCs w:val="24"/>
          <w:rtl/>
        </w:rPr>
        <w:t xml:space="preserve"> שנתיים וחצי מאסר בפועל לצד ענישה נלוות בדמות מאסר על תנאי וקנס לשיקול דעת בית המשפט. כן הטעים, שאין במצבו הרפואי של הנאשם כדי למנוע השתת </w:t>
      </w:r>
      <w:r>
        <w:rPr>
          <w:rFonts w:ascii="David" w:hAnsi="David" w:cs="David" w:hint="cs"/>
          <w:sz w:val="24"/>
          <w:szCs w:val="24"/>
          <w:rtl/>
        </w:rPr>
        <w:t xml:space="preserve">רכיב של </w:t>
      </w:r>
      <w:r>
        <w:rPr>
          <w:rFonts w:ascii="David" w:hAnsi="David" w:cs="David"/>
          <w:sz w:val="24"/>
          <w:szCs w:val="24"/>
          <w:rtl/>
        </w:rPr>
        <w:t>מאסר בפועל.</w:t>
      </w:r>
    </w:p>
    <w:p w14:paraId="4D6411B8" w14:textId="77777777" w:rsidR="00555214" w:rsidRPr="004F4FC7" w:rsidRDefault="00555214" w:rsidP="00555214">
      <w:pPr>
        <w:pStyle w:val="a9"/>
        <w:spacing w:line="360" w:lineRule="auto"/>
        <w:jc w:val="both"/>
        <w:rPr>
          <w:rFonts w:ascii="David" w:hAnsi="David" w:cs="David"/>
          <w:sz w:val="24"/>
          <w:szCs w:val="24"/>
        </w:rPr>
      </w:pPr>
    </w:p>
    <w:p w14:paraId="1308A287" w14:textId="77777777" w:rsidR="00555214" w:rsidRDefault="00555214" w:rsidP="00555214">
      <w:pPr>
        <w:pStyle w:val="a9"/>
        <w:numPr>
          <w:ilvl w:val="0"/>
          <w:numId w:val="2"/>
        </w:numPr>
        <w:spacing w:line="360" w:lineRule="auto"/>
        <w:jc w:val="both"/>
        <w:rPr>
          <w:rFonts w:ascii="David" w:hAnsi="David" w:cs="David"/>
          <w:sz w:val="24"/>
          <w:szCs w:val="24"/>
        </w:rPr>
      </w:pPr>
      <w:r>
        <w:rPr>
          <w:rFonts w:ascii="David" w:hAnsi="David" w:cs="David"/>
          <w:b/>
          <w:bCs/>
          <w:sz w:val="24"/>
          <w:szCs w:val="24"/>
          <w:rtl/>
        </w:rPr>
        <w:t xml:space="preserve">ב"כ הנאשם עו"ד רן קרויט, </w:t>
      </w:r>
      <w:r>
        <w:rPr>
          <w:rFonts w:ascii="David" w:hAnsi="David" w:cs="David"/>
          <w:sz w:val="24"/>
          <w:szCs w:val="24"/>
          <w:rtl/>
        </w:rPr>
        <w:t>עתר להשית על הנאשם עונש בדמות מאסר על תנאי וזאת בשל מצבו הרפואי המורכב והחריג של הנאשם. הנאשם, רווק ללא ילדים, סובל ממחלת לב קשה עם החמרה עקב מחלת ריאות חסימתית, עבר אירועים מוחיים וסובל ממחלות נוספות, מסתייע בהליכון וזקוק להשגחה ועזרה בכל תפקודי היום</w:t>
      </w:r>
      <w:r>
        <w:rPr>
          <w:rFonts w:ascii="David" w:hAnsi="David" w:cs="David" w:hint="cs"/>
          <w:sz w:val="24"/>
          <w:szCs w:val="24"/>
          <w:rtl/>
        </w:rPr>
        <w:t>-</w:t>
      </w:r>
      <w:r>
        <w:rPr>
          <w:rFonts w:ascii="David" w:hAnsi="David" w:cs="David"/>
          <w:sz w:val="24"/>
          <w:szCs w:val="24"/>
          <w:rtl/>
        </w:rPr>
        <w:t>יום</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ב"כ הנאשם, הגיש </w:t>
      </w:r>
      <w:r>
        <w:rPr>
          <w:rFonts w:ascii="David" w:hAnsi="David" w:cs="David"/>
          <w:sz w:val="24"/>
          <w:szCs w:val="24"/>
          <w:rtl/>
        </w:rPr>
        <w:t xml:space="preserve">אסופת מסמכים אודות מצבו הרפואי של הנאשם </w:t>
      </w:r>
      <w:r w:rsidRPr="004F4FC7">
        <w:rPr>
          <w:rFonts w:ascii="David" w:hAnsi="David" w:cs="David"/>
          <w:sz w:val="24"/>
          <w:szCs w:val="24"/>
          <w:rtl/>
        </w:rPr>
        <w:t>(טל/3-טל/8)</w:t>
      </w:r>
      <w:r>
        <w:rPr>
          <w:rFonts w:ascii="David" w:hAnsi="David" w:cs="David" w:hint="cs"/>
          <w:sz w:val="24"/>
          <w:szCs w:val="24"/>
          <w:rtl/>
        </w:rPr>
        <w:t xml:space="preserve"> וטען</w:t>
      </w:r>
      <w:r>
        <w:rPr>
          <w:rFonts w:ascii="David" w:hAnsi="David" w:cs="David"/>
          <w:sz w:val="24"/>
          <w:szCs w:val="24"/>
          <w:rtl/>
        </w:rPr>
        <w:t xml:space="preserve"> שהנאשם נוטל תרופות המיועדות בדרך כלל לחולי סרטן סופניים. עוד הטעים בטיעוניו, כי הנאשם הודה בהזדמנות הראשונה, נעצר למשך שבעה ימים, שהה במר"ש ושוחרר על רקע מצבו הרפואי למעצר באיזוק אלקטרוני, עוד בטרם התקבל תסקיר בעניינו. במהלך שהותו במעצר באיזוק פונה מספר פעמים לבית החולים ועבר התקף לב. אשר לעברו הפלילי של הנאשם, טען שעסקינן בעבר ישן. לשיטת ההגנה, במקרה זה אין לקבוע מתחם עונש הולם ויש ליתן משקל לכך שהנאשם החזיק הסמים על רקע מצבו הבריאותי ולהשית ענישה צופה פני עתיד בלבד.</w:t>
      </w:r>
    </w:p>
    <w:p w14:paraId="4D4FD0FC" w14:textId="77777777" w:rsidR="00555214" w:rsidRDefault="00555214" w:rsidP="00555214">
      <w:pPr>
        <w:pStyle w:val="a9"/>
        <w:spacing w:line="360" w:lineRule="auto"/>
        <w:jc w:val="both"/>
        <w:rPr>
          <w:rFonts w:ascii="David" w:hAnsi="David" w:cs="David"/>
          <w:sz w:val="24"/>
          <w:szCs w:val="24"/>
        </w:rPr>
      </w:pPr>
    </w:p>
    <w:p w14:paraId="0A113961" w14:textId="77777777" w:rsidR="00555214" w:rsidRDefault="00555214" w:rsidP="00555214">
      <w:pPr>
        <w:pStyle w:val="a9"/>
        <w:numPr>
          <w:ilvl w:val="0"/>
          <w:numId w:val="2"/>
        </w:numPr>
        <w:spacing w:line="360" w:lineRule="auto"/>
        <w:jc w:val="both"/>
        <w:rPr>
          <w:rFonts w:ascii="David" w:hAnsi="David" w:cs="David"/>
          <w:sz w:val="24"/>
          <w:szCs w:val="24"/>
        </w:rPr>
      </w:pPr>
      <w:r>
        <w:rPr>
          <w:rFonts w:ascii="David" w:hAnsi="David" w:cs="David"/>
          <w:b/>
          <w:bCs/>
          <w:sz w:val="24"/>
          <w:szCs w:val="24"/>
          <w:rtl/>
        </w:rPr>
        <w:t>הנאשם ניצל את זכות המילה האחרונה</w:t>
      </w:r>
      <w:r>
        <w:rPr>
          <w:rFonts w:ascii="David" w:hAnsi="David" w:cs="David"/>
          <w:sz w:val="24"/>
          <w:szCs w:val="24"/>
          <w:rtl/>
        </w:rPr>
        <w:t>, בכה וביקש את רחמיו של בית המשפט נוכח מצבו הרפואי המורכב. הנאשם מסר שעישן שלוש חפיסות סגריות ביום עד לינואר 2025, סובל מבעיות לב, עבר ניתוחים רבים, חיי מקצבת ביטוח לאומי ועתה הגיש בקשה לסיוע עובד זר. כן סיפר שהינו רווק, בן 54, ללא ילדים, יתום מהוריו, אחיו היחיד מרצה עונש מאסר וצפוי להשתחרר בחודשים הקרובים.</w:t>
      </w:r>
    </w:p>
    <w:p w14:paraId="51D2EBF2" w14:textId="77777777" w:rsidR="00555214" w:rsidRDefault="00555214" w:rsidP="00555214">
      <w:pPr>
        <w:pStyle w:val="a9"/>
        <w:spacing w:line="360" w:lineRule="auto"/>
        <w:jc w:val="both"/>
        <w:rPr>
          <w:rFonts w:ascii="David" w:hAnsi="David" w:cs="David"/>
          <w:sz w:val="24"/>
          <w:szCs w:val="24"/>
          <w:rtl/>
        </w:rPr>
      </w:pPr>
    </w:p>
    <w:p w14:paraId="23B2751D" w14:textId="77777777" w:rsidR="00555214" w:rsidRDefault="00555214" w:rsidP="00555214">
      <w:pPr>
        <w:pStyle w:val="a9"/>
        <w:numPr>
          <w:ilvl w:val="0"/>
          <w:numId w:val="1"/>
        </w:numPr>
        <w:tabs>
          <w:tab w:val="left" w:pos="226"/>
          <w:tab w:val="left" w:pos="509"/>
          <w:tab w:val="left" w:pos="651"/>
        </w:tabs>
        <w:spacing w:line="360" w:lineRule="auto"/>
        <w:jc w:val="both"/>
        <w:rPr>
          <w:rFonts w:ascii="David" w:hAnsi="David" w:cs="David"/>
          <w:b/>
          <w:bCs/>
          <w:sz w:val="24"/>
          <w:szCs w:val="24"/>
          <w:u w:val="double"/>
        </w:rPr>
      </w:pPr>
      <w:r>
        <w:rPr>
          <w:rFonts w:ascii="David" w:hAnsi="David" w:cs="David"/>
          <w:b/>
          <w:bCs/>
          <w:sz w:val="24"/>
          <w:szCs w:val="24"/>
          <w:rtl/>
        </w:rPr>
        <w:t xml:space="preserve">      </w:t>
      </w:r>
      <w:r>
        <w:rPr>
          <w:rFonts w:ascii="David" w:hAnsi="David" w:cs="David"/>
          <w:b/>
          <w:bCs/>
          <w:sz w:val="24"/>
          <w:szCs w:val="24"/>
          <w:u w:val="double"/>
          <w:rtl/>
        </w:rPr>
        <w:t>דיון והכרעה:</w:t>
      </w:r>
    </w:p>
    <w:p w14:paraId="104396FB" w14:textId="77777777" w:rsidR="00555214" w:rsidRPr="00555214" w:rsidRDefault="00555214" w:rsidP="00555214">
      <w:pPr>
        <w:spacing w:line="360" w:lineRule="auto"/>
        <w:ind w:left="720"/>
        <w:contextualSpacing/>
        <w:jc w:val="both"/>
        <w:rPr>
          <w:rFonts w:ascii="Calibri" w:eastAsia="Calibri" w:hAnsi="Calibri" w:cs="Calibri"/>
          <w:rtl/>
        </w:rPr>
      </w:pPr>
      <w:r w:rsidRPr="00555214">
        <w:rPr>
          <w:rFonts w:ascii="Calibri" w:eastAsia="Calibri" w:hAnsi="Calibri" w:cs="Times New Roman"/>
          <w:rtl/>
        </w:rPr>
        <w:t>מתחם העונש ההולם ונסיבות הקשורות בביצוע העבירה</w:t>
      </w:r>
    </w:p>
    <w:p w14:paraId="0C03CC91" w14:textId="77777777" w:rsidR="00555214" w:rsidRDefault="00555214" w:rsidP="00555214">
      <w:pPr>
        <w:spacing w:line="360" w:lineRule="auto"/>
        <w:ind w:left="720"/>
        <w:contextualSpacing/>
        <w:jc w:val="both"/>
        <w:rPr>
          <w:rFonts w:ascii="David" w:eastAsia="Calibri" w:hAnsi="David"/>
          <w:sz w:val="8"/>
          <w:szCs w:val="8"/>
          <w:rtl/>
        </w:rPr>
      </w:pPr>
    </w:p>
    <w:p w14:paraId="08CB7EB1" w14:textId="77777777" w:rsidR="00555214" w:rsidRDefault="00555214" w:rsidP="00555214">
      <w:pPr>
        <w:pStyle w:val="a9"/>
        <w:numPr>
          <w:ilvl w:val="0"/>
          <w:numId w:val="2"/>
        </w:numPr>
        <w:tabs>
          <w:tab w:val="left" w:pos="1076"/>
        </w:tabs>
        <w:spacing w:after="0" w:line="360" w:lineRule="auto"/>
        <w:jc w:val="both"/>
        <w:rPr>
          <w:rFonts w:ascii="David" w:hAnsi="David" w:cs="David"/>
          <w:sz w:val="24"/>
          <w:szCs w:val="24"/>
          <w:rtl/>
        </w:rPr>
      </w:pPr>
      <w:r>
        <w:rPr>
          <w:rFonts w:ascii="David" w:hAnsi="David" w:cs="David"/>
          <w:sz w:val="24"/>
          <w:szCs w:val="24"/>
          <w:rtl/>
        </w:rPr>
        <w:t xml:space="preserve">העיקרון המנחה בענישה הוא קיומו של יחס הולם בין חומרת מעשה העבירה בנסיבותיו ומידת אשמו של הנאשם ובין סוג ומידת העונש המוטל עליו. </w:t>
      </w:r>
      <w:r>
        <w:rPr>
          <w:rFonts w:ascii="David" w:hAnsi="David" w:cs="David"/>
          <w:b/>
          <w:bCs/>
          <w:sz w:val="24"/>
          <w:szCs w:val="24"/>
          <w:rtl/>
        </w:rPr>
        <w:t xml:space="preserve">בקביעת מתחם העונש </w:t>
      </w:r>
      <w:r>
        <w:rPr>
          <w:rFonts w:ascii="David" w:hAnsi="David" w:cs="David"/>
          <w:b/>
          <w:bCs/>
          <w:sz w:val="24"/>
          <w:szCs w:val="24"/>
          <w:rtl/>
        </w:rPr>
        <w:lastRenderedPageBreak/>
        <w:t>ההולם</w:t>
      </w:r>
      <w:r>
        <w:rPr>
          <w:rFonts w:ascii="David" w:hAnsi="David" w:cs="David"/>
          <w:sz w:val="24"/>
          <w:szCs w:val="24"/>
          <w:rtl/>
        </w:rPr>
        <w:t>, שומה על בית המשפט להתחשב בערך החברתי המוגן שנפגע מביצוע העבירה, במידת הפגיעה בו, במדיניות הענישה הנהוגה ובנסיבות הקשורות בביצוע העבירה. אינני מקבלת את טענה ב"כ הנאשם לפיה מצבו הרפואי של הנאשם משפיע על קביעת מתחם העונש ההולם, אלא שבהתאם לתיקון 113 ל</w:t>
      </w:r>
      <w:hyperlink r:id="rId17" w:history="1">
        <w:r w:rsidR="008B5803" w:rsidRPr="008B5803">
          <w:rPr>
            <w:rFonts w:ascii="David" w:hAnsi="David" w:cs="David"/>
            <w:color w:val="0000FF"/>
            <w:sz w:val="24"/>
            <w:szCs w:val="24"/>
            <w:u w:val="single"/>
            <w:rtl/>
          </w:rPr>
          <w:t>חוק העונשין</w:t>
        </w:r>
      </w:hyperlink>
      <w:r>
        <w:rPr>
          <w:rFonts w:ascii="David" w:hAnsi="David" w:cs="David"/>
          <w:sz w:val="24"/>
          <w:szCs w:val="24"/>
          <w:rtl/>
        </w:rPr>
        <w:t xml:space="preserve">, מצבו הרפואי של הנאשם נשקל במסגרת הנסיבות שאינן קשורות בביצוע העבירה, בפרט כאשר עובדות כתב האישום בהן הודה הנאשם, אינן כוללות את העובדה המשתמעת מטיעוני ההגנה, שהנאשם החזיק הסמים בשל מצבו הרפואי. [ראו: </w:t>
      </w:r>
      <w:hyperlink r:id="rId18" w:history="1">
        <w:r w:rsidR="008B5803" w:rsidRPr="008B5803">
          <w:rPr>
            <w:rFonts w:ascii="David" w:hAnsi="David" w:cs="David"/>
            <w:color w:val="0000FF"/>
            <w:sz w:val="24"/>
            <w:szCs w:val="24"/>
            <w:u w:val="single"/>
            <w:rtl/>
          </w:rPr>
          <w:t>רע"פ 1076/16</w:t>
        </w:r>
      </w:hyperlink>
      <w:r>
        <w:rPr>
          <w:rFonts w:ascii="David" w:hAnsi="David" w:cs="David"/>
          <w:sz w:val="24"/>
          <w:szCs w:val="24"/>
          <w:rtl/>
        </w:rPr>
        <w:t xml:space="preserve"> </w:t>
      </w:r>
      <w:r>
        <w:rPr>
          <w:rFonts w:ascii="David" w:hAnsi="David" w:cs="David"/>
          <w:b/>
          <w:bCs/>
          <w:sz w:val="24"/>
          <w:szCs w:val="24"/>
          <w:rtl/>
        </w:rPr>
        <w:t>כהן נ' מדינת ישראל</w:t>
      </w:r>
      <w:r>
        <w:rPr>
          <w:rFonts w:ascii="David" w:hAnsi="David" w:cs="David"/>
          <w:sz w:val="24"/>
          <w:szCs w:val="24"/>
          <w:rtl/>
        </w:rPr>
        <w:t xml:space="preserve">, פסקה 9 (11.2.2016)]. </w:t>
      </w:r>
    </w:p>
    <w:p w14:paraId="01C7FFA1" w14:textId="77777777" w:rsidR="00555214" w:rsidRDefault="00555214" w:rsidP="00555214">
      <w:pPr>
        <w:pStyle w:val="a9"/>
        <w:spacing w:after="0" w:line="360" w:lineRule="auto"/>
        <w:jc w:val="both"/>
        <w:rPr>
          <w:rFonts w:ascii="David" w:hAnsi="David" w:cs="David"/>
          <w:sz w:val="24"/>
          <w:szCs w:val="24"/>
        </w:rPr>
      </w:pPr>
    </w:p>
    <w:p w14:paraId="70A68739" w14:textId="77777777" w:rsidR="00555214" w:rsidRDefault="00555214" w:rsidP="00555214">
      <w:pPr>
        <w:pStyle w:val="a9"/>
        <w:numPr>
          <w:ilvl w:val="0"/>
          <w:numId w:val="2"/>
        </w:numPr>
        <w:spacing w:after="0" w:line="360" w:lineRule="auto"/>
        <w:jc w:val="both"/>
        <w:rPr>
          <w:rFonts w:ascii="David" w:hAnsi="David" w:cs="David"/>
          <w:sz w:val="24"/>
          <w:szCs w:val="24"/>
        </w:rPr>
      </w:pPr>
      <w:r>
        <w:rPr>
          <w:rFonts w:ascii="David" w:hAnsi="David" w:cs="David"/>
          <w:sz w:val="24"/>
          <w:szCs w:val="24"/>
          <w:rtl/>
        </w:rPr>
        <w:t xml:space="preserve">עבירות הסמים טומנות בחובן פוטנציאל נזק רב לחברה בכללותה ושומה על בית המשפט לפעול כדי למגרן ולעקרן מן השורש. מעבר לתוצאות ההרסניות המשפיעות על הגוף והנפש הנובעות כתוצאה מהשימוש בסם והפצתו, הן מובילות לביצוע קשת רחבה של עבירות נלוות לצורך מימון צריכת הסם כדוגמת עבירות אלימות ורכוש, הן מהוות תחליף תעסוקתי להפקת רווח קל תוך פגיעה בערכים המוגנים שבבסיסם שמירה על בריאות הציבור, ביטחונו, שלומו וקניינו. </w:t>
      </w:r>
    </w:p>
    <w:p w14:paraId="3F9E7757" w14:textId="77777777" w:rsidR="00555214" w:rsidRPr="001A6CB3" w:rsidRDefault="00555214" w:rsidP="00555214">
      <w:pPr>
        <w:pStyle w:val="a9"/>
        <w:spacing w:after="0" w:line="360" w:lineRule="auto"/>
        <w:jc w:val="both"/>
        <w:rPr>
          <w:rFonts w:ascii="David" w:hAnsi="David" w:cs="David"/>
          <w:sz w:val="12"/>
          <w:szCs w:val="12"/>
          <w:rtl/>
        </w:rPr>
      </w:pPr>
    </w:p>
    <w:p w14:paraId="3D552916" w14:textId="77777777" w:rsidR="00555214" w:rsidRDefault="00555214" w:rsidP="00555214">
      <w:pPr>
        <w:pStyle w:val="a9"/>
        <w:numPr>
          <w:ilvl w:val="0"/>
          <w:numId w:val="2"/>
        </w:numPr>
        <w:tabs>
          <w:tab w:val="left" w:pos="226"/>
          <w:tab w:val="left" w:pos="509"/>
          <w:tab w:val="left" w:pos="651"/>
        </w:tabs>
        <w:spacing w:after="0" w:line="360" w:lineRule="auto"/>
        <w:jc w:val="both"/>
        <w:rPr>
          <w:rFonts w:ascii="David" w:hAnsi="David" w:cs="David"/>
          <w:b/>
          <w:bCs/>
          <w:sz w:val="24"/>
          <w:szCs w:val="24"/>
        </w:rPr>
      </w:pPr>
      <w:r>
        <w:rPr>
          <w:rFonts w:ascii="David" w:hAnsi="David" w:cs="David"/>
          <w:sz w:val="24"/>
          <w:szCs w:val="24"/>
          <w:rtl/>
        </w:rPr>
        <w:t xml:space="preserve"> </w:t>
      </w:r>
      <w:r>
        <w:rPr>
          <w:rFonts w:ascii="David" w:hAnsi="David" w:cs="David" w:hint="cs"/>
          <w:sz w:val="24"/>
          <w:szCs w:val="24"/>
          <w:rtl/>
        </w:rPr>
        <w:t xml:space="preserve">פסיקת בית המשפט העליון, מתייחסת לחומרה הנובעת מביצוע עבירת החזקת סם שלא לצריכה עצמית </w:t>
      </w:r>
      <w:r>
        <w:rPr>
          <w:rFonts w:ascii="David" w:hAnsi="David" w:cs="David" w:hint="cs"/>
          <w:b/>
          <w:bCs/>
          <w:sz w:val="24"/>
          <w:szCs w:val="24"/>
          <w:rtl/>
        </w:rPr>
        <w:t>"אחותה התאומה"</w:t>
      </w:r>
      <w:r>
        <w:rPr>
          <w:rFonts w:ascii="David" w:hAnsi="David" w:cs="David" w:hint="cs"/>
          <w:sz w:val="24"/>
          <w:szCs w:val="24"/>
          <w:rtl/>
        </w:rPr>
        <w:t xml:space="preserve"> של עבירת הסחר בסמים ועל הצורך להילחם מלחמת חורמה בתופעה זו, כך למשל נקבע ב</w:t>
      </w:r>
      <w:hyperlink r:id="rId19" w:history="1">
        <w:r w:rsidR="008B5803" w:rsidRPr="008B5803">
          <w:rPr>
            <w:rFonts w:ascii="David" w:hAnsi="David" w:cs="David"/>
            <w:color w:val="0000FF"/>
            <w:sz w:val="24"/>
            <w:szCs w:val="24"/>
            <w:u w:val="single"/>
            <w:rtl/>
          </w:rPr>
          <w:t>ע"פ 211/09</w:t>
        </w:r>
      </w:hyperlink>
      <w:r>
        <w:rPr>
          <w:rFonts w:ascii="David" w:hAnsi="David" w:cs="David" w:hint="cs"/>
          <w:sz w:val="24"/>
          <w:szCs w:val="24"/>
          <w:rtl/>
        </w:rPr>
        <w:t xml:space="preserve"> </w:t>
      </w:r>
      <w:r>
        <w:rPr>
          <w:rFonts w:ascii="David" w:hAnsi="David" w:cs="David" w:hint="cs"/>
          <w:b/>
          <w:bCs/>
          <w:sz w:val="24"/>
          <w:szCs w:val="24"/>
          <w:rtl/>
        </w:rPr>
        <w:t>אזולאי נ' מדינת ישראל</w:t>
      </w:r>
      <w:r>
        <w:rPr>
          <w:rFonts w:ascii="David" w:hAnsi="David" w:cs="David" w:hint="cs"/>
          <w:sz w:val="24"/>
          <w:szCs w:val="24"/>
          <w:rtl/>
        </w:rPr>
        <w:t xml:space="preserve">, פסקה 10 (22.6.2010): </w:t>
      </w:r>
    </w:p>
    <w:p w14:paraId="0715FABA" w14:textId="77777777" w:rsidR="00555214" w:rsidRDefault="00555214" w:rsidP="00555214">
      <w:pPr>
        <w:pStyle w:val="a9"/>
        <w:tabs>
          <w:tab w:val="left" w:pos="226"/>
          <w:tab w:val="left" w:pos="509"/>
          <w:tab w:val="left" w:pos="651"/>
        </w:tabs>
        <w:spacing w:after="0" w:line="240" w:lineRule="auto"/>
        <w:ind w:left="1418" w:right="1418"/>
        <w:jc w:val="both"/>
        <w:rPr>
          <w:rFonts w:ascii="David" w:hAnsi="David" w:cs="David"/>
          <w:b/>
          <w:bCs/>
          <w:sz w:val="6"/>
          <w:szCs w:val="6"/>
        </w:rPr>
      </w:pPr>
    </w:p>
    <w:p w14:paraId="71405ADA" w14:textId="77777777" w:rsidR="00555214" w:rsidRDefault="00555214" w:rsidP="00555214">
      <w:pPr>
        <w:pStyle w:val="a9"/>
        <w:tabs>
          <w:tab w:val="left" w:pos="226"/>
          <w:tab w:val="left" w:pos="509"/>
          <w:tab w:val="left" w:pos="651"/>
        </w:tabs>
        <w:spacing w:after="0" w:line="240" w:lineRule="auto"/>
        <w:ind w:left="1418" w:right="851"/>
        <w:jc w:val="both"/>
        <w:rPr>
          <w:rFonts w:ascii="FrankRuehl" w:hAnsi="FrankRuehl" w:cs="FrankRuehl"/>
          <w:b/>
          <w:bCs/>
          <w:sz w:val="28"/>
          <w:szCs w:val="28"/>
        </w:rPr>
      </w:pPr>
      <w:r>
        <w:rPr>
          <w:rFonts w:ascii="FrankRuehl" w:hAnsi="FrankRuehl" w:cs="FrankRuehl"/>
          <w:b/>
          <w:bCs/>
          <w:sz w:val="28"/>
          <w:szCs w:val="28"/>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CEA609E" w14:textId="77777777" w:rsidR="00555214" w:rsidRPr="001A6CB3" w:rsidRDefault="00555214" w:rsidP="00555214">
      <w:pPr>
        <w:tabs>
          <w:tab w:val="left" w:pos="226"/>
          <w:tab w:val="left" w:pos="509"/>
          <w:tab w:val="left" w:pos="651"/>
        </w:tabs>
        <w:spacing w:line="360" w:lineRule="auto"/>
        <w:jc w:val="both"/>
        <w:rPr>
          <w:rFonts w:ascii="David" w:hAnsi="David"/>
          <w:b/>
          <w:bCs/>
          <w:sz w:val="12"/>
          <w:szCs w:val="12"/>
          <w:rtl/>
        </w:rPr>
      </w:pPr>
    </w:p>
    <w:p w14:paraId="56897E50" w14:textId="77777777" w:rsidR="00555214" w:rsidRDefault="00555214" w:rsidP="00555214">
      <w:pPr>
        <w:tabs>
          <w:tab w:val="left" w:pos="226"/>
          <w:tab w:val="left" w:pos="509"/>
          <w:tab w:val="left" w:pos="651"/>
        </w:tabs>
        <w:spacing w:line="360" w:lineRule="auto"/>
        <w:jc w:val="both"/>
        <w:rPr>
          <w:rFonts w:ascii="David" w:hAnsi="David"/>
          <w:b/>
          <w:bCs/>
          <w:sz w:val="10"/>
          <w:szCs w:val="10"/>
          <w:rtl/>
        </w:rPr>
      </w:pPr>
    </w:p>
    <w:p w14:paraId="73BFB8FF" w14:textId="77777777" w:rsidR="00555214" w:rsidRDefault="00555214" w:rsidP="00555214">
      <w:pPr>
        <w:tabs>
          <w:tab w:val="left" w:pos="226"/>
          <w:tab w:val="left" w:pos="509"/>
          <w:tab w:val="left" w:pos="651"/>
        </w:tabs>
        <w:spacing w:line="360" w:lineRule="auto"/>
        <w:jc w:val="both"/>
        <w:rPr>
          <w:rFonts w:ascii="David" w:hAnsi="David"/>
          <w:rtl/>
        </w:rPr>
      </w:pPr>
      <w:r>
        <w:rPr>
          <w:rFonts w:ascii="David" w:hAnsi="David"/>
          <w:rtl/>
        </w:rPr>
        <w:tab/>
      </w:r>
      <w:r>
        <w:rPr>
          <w:rFonts w:ascii="David" w:hAnsi="David"/>
          <w:rtl/>
        </w:rPr>
        <w:tab/>
      </w:r>
      <w:r>
        <w:rPr>
          <w:rFonts w:ascii="David" w:hAnsi="David"/>
          <w:rtl/>
        </w:rPr>
        <w:tab/>
      </w:r>
      <w:r>
        <w:rPr>
          <w:rFonts w:ascii="David" w:hAnsi="David"/>
          <w:rtl/>
        </w:rPr>
        <w:tab/>
        <w:t>וכן ב</w:t>
      </w:r>
      <w:hyperlink r:id="rId20" w:history="1">
        <w:r w:rsidR="008B5803" w:rsidRPr="008B5803">
          <w:rPr>
            <w:rFonts w:ascii="David" w:hAnsi="David"/>
            <w:color w:val="0000FF"/>
            <w:u w:val="single"/>
            <w:rtl/>
          </w:rPr>
          <w:t>ע"פ 8048/19</w:t>
        </w:r>
      </w:hyperlink>
      <w:r>
        <w:rPr>
          <w:rFonts w:ascii="David" w:hAnsi="David"/>
          <w:rtl/>
        </w:rPr>
        <w:t xml:space="preserve"> </w:t>
      </w:r>
      <w:r>
        <w:rPr>
          <w:rFonts w:ascii="David" w:hAnsi="David"/>
          <w:b/>
          <w:bCs/>
          <w:rtl/>
        </w:rPr>
        <w:t>פיצ'חזדה נ' מדינת ישראל</w:t>
      </w:r>
      <w:r>
        <w:rPr>
          <w:rFonts w:ascii="David" w:hAnsi="David"/>
          <w:rtl/>
        </w:rPr>
        <w:t>, פסקה 11</w:t>
      </w:r>
      <w:r>
        <w:rPr>
          <w:rFonts w:ascii="David" w:hAnsi="David"/>
          <w:b/>
          <w:bCs/>
          <w:rtl/>
        </w:rPr>
        <w:t xml:space="preserve"> </w:t>
      </w:r>
      <w:r>
        <w:rPr>
          <w:rFonts w:ascii="David" w:hAnsi="David"/>
          <w:rtl/>
        </w:rPr>
        <w:t>(4.6.2020) נקבע:</w:t>
      </w:r>
    </w:p>
    <w:p w14:paraId="1D290B18" w14:textId="77777777" w:rsidR="00555214" w:rsidRDefault="00555214" w:rsidP="00555214">
      <w:pPr>
        <w:tabs>
          <w:tab w:val="left" w:pos="226"/>
          <w:tab w:val="left" w:pos="509"/>
          <w:tab w:val="left" w:pos="651"/>
        </w:tabs>
        <w:spacing w:line="360" w:lineRule="auto"/>
        <w:jc w:val="both"/>
        <w:rPr>
          <w:rFonts w:ascii="David" w:hAnsi="David"/>
          <w:sz w:val="8"/>
          <w:szCs w:val="8"/>
          <w:rtl/>
        </w:rPr>
      </w:pPr>
    </w:p>
    <w:p w14:paraId="4A9B6651" w14:textId="77777777" w:rsidR="00555214" w:rsidRPr="001A6CB3" w:rsidRDefault="00555214" w:rsidP="00555214">
      <w:pPr>
        <w:pStyle w:val="a9"/>
        <w:tabs>
          <w:tab w:val="left" w:pos="226"/>
          <w:tab w:val="left" w:pos="509"/>
          <w:tab w:val="left" w:pos="651"/>
        </w:tabs>
        <w:spacing w:after="0" w:line="240" w:lineRule="auto"/>
        <w:ind w:left="1418" w:right="851"/>
        <w:jc w:val="both"/>
        <w:rPr>
          <w:rFonts w:ascii="FrankRuehl" w:hAnsi="FrankRuehl" w:cs="FrankRuehl"/>
          <w:b/>
          <w:bCs/>
          <w:sz w:val="28"/>
          <w:szCs w:val="28"/>
          <w:rtl/>
        </w:rPr>
      </w:pPr>
      <w:r>
        <w:rPr>
          <w:rFonts w:ascii="FrankRuehl" w:hAnsi="FrankRuehl" w:cs="FrankRuehl"/>
          <w:b/>
          <w:bCs/>
          <w:sz w:val="28"/>
          <w:szCs w:val="28"/>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r:id="rId21" w:history="1">
        <w:r w:rsidR="008B5803" w:rsidRPr="008B5803">
          <w:rPr>
            <w:rFonts w:ascii="FrankRuehl" w:hAnsi="FrankRuehl" w:cs="FrankRuehl"/>
            <w:b/>
            <w:bCs/>
            <w:color w:val="0000FF"/>
            <w:sz w:val="28"/>
            <w:szCs w:val="28"/>
            <w:u w:val="single"/>
            <w:rtl/>
          </w:rPr>
          <w:t>ע"פ 8283/17</w:t>
        </w:r>
      </w:hyperlink>
      <w:r>
        <w:rPr>
          <w:rFonts w:ascii="FrankRuehl" w:hAnsi="FrankRuehl" w:cs="FrankRuehl"/>
          <w:b/>
          <w:bCs/>
          <w:sz w:val="28"/>
          <w:szCs w:val="28"/>
          <w:rtl/>
        </w:rPr>
        <w:t xml:space="preserve"> עבאסי נ' מדינת ישראל, [פורסם בנבו] פסקה 12 (10.6.2018)). בפרט, נקבע כי: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2" w:history="1">
        <w:r w:rsidR="008B5803" w:rsidRPr="008B5803">
          <w:rPr>
            <w:rFonts w:ascii="FrankRuehl" w:hAnsi="FrankRuehl" w:cs="FrankRuehl"/>
            <w:b/>
            <w:bCs/>
            <w:color w:val="0000FF"/>
            <w:sz w:val="28"/>
            <w:szCs w:val="28"/>
            <w:u w:val="single"/>
            <w:rtl/>
          </w:rPr>
          <w:t>חוק העונשין</w:t>
        </w:r>
      </w:hyperlink>
      <w:r>
        <w:rPr>
          <w:rFonts w:ascii="FrankRuehl" w:hAnsi="FrankRuehl" w:cs="FrankRuehl"/>
          <w:b/>
          <w:bCs/>
          <w:sz w:val="28"/>
          <w:szCs w:val="28"/>
          <w:rtl/>
        </w:rPr>
        <w:t>, העומד כיום על 202,000 ש"ח [...] יידעו המעורבים בסמים שלא לצריכה עצמית, כי יד המשפט תכבד עליהם" (</w:t>
      </w:r>
      <w:hyperlink r:id="rId23" w:history="1">
        <w:r w:rsidR="008B5803" w:rsidRPr="008B5803">
          <w:rPr>
            <w:rFonts w:ascii="FrankRuehl" w:hAnsi="FrankRuehl" w:cs="FrankRuehl"/>
            <w:b/>
            <w:bCs/>
            <w:color w:val="0000FF"/>
            <w:sz w:val="28"/>
            <w:szCs w:val="28"/>
            <w:u w:val="single"/>
            <w:rtl/>
          </w:rPr>
          <w:t>ע"פ 1345/08</w:t>
        </w:r>
      </w:hyperlink>
      <w:r>
        <w:rPr>
          <w:rFonts w:ascii="FrankRuehl" w:hAnsi="FrankRuehl" w:cs="FrankRuehl"/>
          <w:b/>
          <w:bCs/>
          <w:sz w:val="28"/>
          <w:szCs w:val="28"/>
          <w:rtl/>
        </w:rPr>
        <w:t xml:space="preserve"> איסטרחוב נ' מדינת ישראל, [פורסם בנבו] פסקה כ"ג (18.5.2009))".</w:t>
      </w:r>
    </w:p>
    <w:p w14:paraId="46B12005" w14:textId="77777777" w:rsidR="00555214" w:rsidRDefault="00555214" w:rsidP="00555214">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מידת הפגיעה בערכים המוגנים</w:t>
      </w:r>
      <w:r>
        <w:rPr>
          <w:rFonts w:ascii="David" w:hAnsi="David" w:cs="David"/>
          <w:sz w:val="24"/>
          <w:szCs w:val="24"/>
          <w:rtl/>
        </w:rPr>
        <w:t xml:space="preserve"> באה לידי ביטוי, בין היתר, בכמות הסם וסוגו. במקרה דנן, החזיק הנאשם כמות גדולה של סם מסוכן מסוג קוקאין במשקל רב של למעלה מ-45 גרם מחולק לשקיות, הנמנה בין "הרעים והמרים שבסמים המסוכנים" בשל היותו ממכר, התלות הנוצרת בו ומפאת השפעותיו ההרסניות על הגוף והנפש של המשתמש והחברה כולה. אופן ההחזקה וכמות הסם שנתפסה המספיקה למאות "מנות", מצביעה על הנזק שעשוי היה להיגרם לחברה עם הפצתן. לא בכדי מכונה עבירת החזקת הסם שלא לצריכה עצמית "אחותה התאומה הסטטוטורית" של עבירת הסחר שכן, המחוקק לא ערך הבחנה בין העונש שקבע בצדן. עסקינן בשתי עבירות שנועדו להפצת נגע הסם למטרת בצע כסף ולפגיעה משמעותית בחברה.  </w:t>
      </w:r>
    </w:p>
    <w:p w14:paraId="14263D8E" w14:textId="77777777" w:rsidR="00555214" w:rsidRDefault="00555214" w:rsidP="00555214">
      <w:pPr>
        <w:pStyle w:val="a9"/>
        <w:spacing w:line="360" w:lineRule="auto"/>
        <w:jc w:val="both"/>
        <w:rPr>
          <w:rFonts w:ascii="David" w:hAnsi="David" w:cs="David"/>
          <w:sz w:val="24"/>
          <w:szCs w:val="24"/>
          <w:rtl/>
        </w:rPr>
      </w:pPr>
    </w:p>
    <w:p w14:paraId="1A142CFB" w14:textId="77777777" w:rsidR="00555214" w:rsidRDefault="00555214" w:rsidP="00555214">
      <w:pPr>
        <w:pStyle w:val="a9"/>
        <w:numPr>
          <w:ilvl w:val="0"/>
          <w:numId w:val="2"/>
        </w:numPr>
        <w:spacing w:line="360" w:lineRule="auto"/>
        <w:jc w:val="both"/>
        <w:rPr>
          <w:rFonts w:ascii="David" w:eastAsia="Times New Roman" w:hAnsi="David" w:cs="David"/>
          <w:sz w:val="24"/>
          <w:szCs w:val="24"/>
        </w:rPr>
      </w:pPr>
      <w:r>
        <w:rPr>
          <w:rFonts w:ascii="David" w:hAnsi="David" w:cs="David"/>
          <w:b/>
          <w:bCs/>
          <w:sz w:val="24"/>
          <w:szCs w:val="24"/>
          <w:rtl/>
        </w:rPr>
        <w:t>בחינת מדיניות הענישה הנוהגת</w:t>
      </w:r>
      <w:r>
        <w:rPr>
          <w:rFonts w:ascii="David" w:hAnsi="David" w:cs="David"/>
          <w:sz w:val="24"/>
          <w:szCs w:val="24"/>
          <w:rtl/>
        </w:rPr>
        <w:t xml:space="preserve"> מגלה מנעד רחב של עונשים שנגזר, בין היתר, מסוג הסם, כמות, מיקום התפיסה, נסיבות ההחזקה וכיו"ב. ב</w:t>
      </w:r>
      <w:hyperlink r:id="rId24" w:history="1">
        <w:r w:rsidR="008B5803" w:rsidRPr="008B5803">
          <w:rPr>
            <w:rFonts w:ascii="David" w:hAnsi="David" w:cs="David"/>
            <w:color w:val="0000FF"/>
            <w:sz w:val="24"/>
            <w:szCs w:val="24"/>
            <w:u w:val="single"/>
            <w:rtl/>
          </w:rPr>
          <w:t>ע"פ 4592/15</w:t>
        </w:r>
      </w:hyperlink>
      <w:r>
        <w:rPr>
          <w:rFonts w:ascii="David" w:hAnsi="David" w:cs="David"/>
          <w:sz w:val="24"/>
          <w:szCs w:val="24"/>
          <w:rtl/>
        </w:rPr>
        <w:t xml:space="preserve"> </w:t>
      </w:r>
      <w:r>
        <w:rPr>
          <w:rFonts w:ascii="David" w:hAnsi="David" w:cs="David"/>
          <w:b/>
          <w:bCs/>
          <w:sz w:val="24"/>
          <w:szCs w:val="24"/>
          <w:rtl/>
        </w:rPr>
        <w:t xml:space="preserve">פדידה נ' מדינת ישראל </w:t>
      </w:r>
      <w:r>
        <w:rPr>
          <w:rFonts w:ascii="David" w:hAnsi="David" w:cs="David"/>
          <w:sz w:val="24"/>
          <w:szCs w:val="24"/>
          <w:rtl/>
        </w:rPr>
        <w:t xml:space="preserve">(8.2.2016) [הוגש מטעם המאשימה] נקבע כדלקמן: </w:t>
      </w:r>
      <w:r>
        <w:rPr>
          <w:rFonts w:ascii="David" w:hAnsi="David" w:cs="David"/>
          <w:b/>
          <w:bCs/>
          <w:sz w:val="24"/>
          <w:szCs w:val="24"/>
          <w:rtl/>
        </w:rPr>
        <w:t>"אמנם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w:t>
      </w:r>
      <w:r>
        <w:rPr>
          <w:rFonts w:ascii="David" w:hAnsi="David" w:cs="David"/>
          <w:sz w:val="24"/>
          <w:szCs w:val="24"/>
          <w:rtl/>
        </w:rPr>
        <w:t>(</w:t>
      </w:r>
      <w:hyperlink r:id="rId25" w:history="1">
        <w:r w:rsidR="008B5803" w:rsidRPr="008B5803">
          <w:rPr>
            <w:rFonts w:ascii="David" w:hAnsi="David" w:cs="David"/>
            <w:color w:val="0000FF"/>
            <w:sz w:val="24"/>
            <w:szCs w:val="24"/>
            <w:u w:val="single"/>
            <w:rtl/>
          </w:rPr>
          <w:t>ע"פ 8820/14</w:t>
        </w:r>
      </w:hyperlink>
      <w:r>
        <w:rPr>
          <w:rFonts w:ascii="David" w:hAnsi="David" w:cs="David"/>
          <w:sz w:val="24"/>
          <w:szCs w:val="24"/>
          <w:rtl/>
        </w:rPr>
        <w:t xml:space="preserve"> </w:t>
      </w:r>
      <w:r>
        <w:rPr>
          <w:rFonts w:ascii="David" w:hAnsi="David" w:cs="David"/>
          <w:b/>
          <w:bCs/>
          <w:sz w:val="24"/>
          <w:szCs w:val="24"/>
          <w:rtl/>
        </w:rPr>
        <w:t>זהר שחר נ' מדינת ישראל</w:t>
      </w:r>
      <w:r>
        <w:rPr>
          <w:rFonts w:ascii="David" w:hAnsi="David" w:cs="David"/>
          <w:sz w:val="24"/>
          <w:szCs w:val="24"/>
          <w:rtl/>
        </w:rPr>
        <w:t xml:space="preserve"> [פורסם בנבו] (2015) בפסקה 12 וההפניות שם; 1313/14 </w:t>
      </w:r>
      <w:r>
        <w:rPr>
          <w:rFonts w:ascii="David" w:hAnsi="David" w:cs="David"/>
          <w:b/>
          <w:bCs/>
          <w:sz w:val="24"/>
          <w:szCs w:val="24"/>
          <w:rtl/>
        </w:rPr>
        <w:t>גמאל בהתימי נ' מדינת ישראל</w:t>
      </w:r>
      <w:r>
        <w:rPr>
          <w:rFonts w:ascii="David" w:hAnsi="David" w:cs="David"/>
          <w:sz w:val="24"/>
          <w:szCs w:val="24"/>
          <w:rtl/>
        </w:rPr>
        <w:t xml:space="preserve"> [פורסם בנבו] (2015); עניין פיצו, בפסקה 14 וההפניות שם; </w:t>
      </w:r>
      <w:hyperlink r:id="rId26" w:history="1">
        <w:r w:rsidR="008B5803" w:rsidRPr="008B5803">
          <w:rPr>
            <w:rFonts w:ascii="David" w:hAnsi="David" w:cs="David"/>
            <w:color w:val="0000FF"/>
            <w:sz w:val="24"/>
            <w:szCs w:val="24"/>
            <w:u w:val="single"/>
            <w:rtl/>
          </w:rPr>
          <w:t>ע"פ 5374/12</w:t>
        </w:r>
      </w:hyperlink>
      <w:r>
        <w:rPr>
          <w:rFonts w:ascii="David" w:hAnsi="David" w:cs="David"/>
          <w:sz w:val="24"/>
          <w:szCs w:val="24"/>
          <w:rtl/>
        </w:rPr>
        <w:t xml:space="preserve"> </w:t>
      </w:r>
      <w:r>
        <w:rPr>
          <w:rFonts w:ascii="David" w:hAnsi="David" w:cs="David"/>
          <w:b/>
          <w:bCs/>
          <w:sz w:val="24"/>
          <w:szCs w:val="24"/>
          <w:rtl/>
        </w:rPr>
        <w:t>אברג'יל נ' מדינת ישראל</w:t>
      </w:r>
      <w:r>
        <w:rPr>
          <w:rFonts w:ascii="David" w:hAnsi="David" w:cs="David"/>
          <w:sz w:val="24"/>
          <w:szCs w:val="24"/>
          <w:rtl/>
        </w:rPr>
        <w:t xml:space="preserve"> [פורסם בנבו] (2013); </w:t>
      </w:r>
      <w:hyperlink r:id="rId27" w:history="1">
        <w:r w:rsidR="008B5803" w:rsidRPr="008B5803">
          <w:rPr>
            <w:rFonts w:ascii="David" w:hAnsi="David" w:cs="David"/>
            <w:color w:val="0000FF"/>
            <w:sz w:val="24"/>
            <w:szCs w:val="24"/>
            <w:u w:val="single"/>
            <w:rtl/>
          </w:rPr>
          <w:t>ע"פ 11469/05</w:t>
        </w:r>
      </w:hyperlink>
      <w:r>
        <w:rPr>
          <w:rFonts w:ascii="David" w:hAnsi="David" w:cs="David"/>
          <w:sz w:val="24"/>
          <w:szCs w:val="24"/>
          <w:rtl/>
        </w:rPr>
        <w:t xml:space="preserve"> </w:t>
      </w:r>
      <w:r>
        <w:rPr>
          <w:rFonts w:ascii="David" w:hAnsi="David" w:cs="David"/>
          <w:b/>
          <w:bCs/>
          <w:sz w:val="24"/>
          <w:szCs w:val="24"/>
          <w:rtl/>
        </w:rPr>
        <w:t xml:space="preserve">מדינת ישראל נ' עייש </w:t>
      </w:r>
      <w:r>
        <w:rPr>
          <w:rFonts w:ascii="David" w:hAnsi="David" w:cs="David"/>
          <w:sz w:val="24"/>
          <w:szCs w:val="24"/>
          <w:rtl/>
        </w:rPr>
        <w:t xml:space="preserve">[פורסם בנבו] (2006); 5958/13 </w:t>
      </w:r>
      <w:r>
        <w:rPr>
          <w:rFonts w:ascii="David" w:hAnsi="David" w:cs="David"/>
          <w:b/>
          <w:bCs/>
          <w:sz w:val="24"/>
          <w:szCs w:val="24"/>
          <w:rtl/>
        </w:rPr>
        <w:t>גיא שרגא סבג נ' מדינת ישראל</w:t>
      </w:r>
      <w:r>
        <w:rPr>
          <w:rFonts w:ascii="David" w:hAnsi="David" w:cs="David"/>
          <w:sz w:val="24"/>
          <w:szCs w:val="24"/>
          <w:rtl/>
        </w:rPr>
        <w:t xml:space="preserve"> [פורסם בנבו] (2014); 4203/14 </w:t>
      </w:r>
      <w:r>
        <w:rPr>
          <w:rFonts w:ascii="David" w:hAnsi="David" w:cs="David"/>
          <w:b/>
          <w:bCs/>
          <w:sz w:val="24"/>
          <w:szCs w:val="24"/>
          <w:rtl/>
        </w:rPr>
        <w:t xml:space="preserve">אליהו כהן נ' מדינת ישראל </w:t>
      </w:r>
      <w:r>
        <w:rPr>
          <w:rFonts w:ascii="David" w:hAnsi="David" w:cs="David"/>
          <w:sz w:val="24"/>
          <w:szCs w:val="24"/>
          <w:rtl/>
        </w:rPr>
        <w:t>[פורסם בנבו] (2015))</w:t>
      </w:r>
      <w:r>
        <w:rPr>
          <w:rFonts w:ascii="David" w:hAnsi="David" w:cs="David"/>
          <w:b/>
          <w:bCs/>
          <w:sz w:val="24"/>
          <w:szCs w:val="24"/>
          <w:rtl/>
        </w:rPr>
        <w:t>"</w:t>
      </w:r>
      <w:r>
        <w:rPr>
          <w:rFonts w:ascii="David" w:hAnsi="David" w:cs="David"/>
          <w:sz w:val="24"/>
          <w:szCs w:val="24"/>
          <w:rtl/>
        </w:rPr>
        <w:t>.</w:t>
      </w:r>
    </w:p>
    <w:p w14:paraId="130E5C19" w14:textId="77777777" w:rsidR="00555214" w:rsidRDefault="00555214" w:rsidP="00555214">
      <w:pPr>
        <w:spacing w:line="360" w:lineRule="auto"/>
        <w:jc w:val="both"/>
        <w:rPr>
          <w:rFonts w:ascii="David" w:hAnsi="David"/>
        </w:rPr>
      </w:pPr>
    </w:p>
    <w:p w14:paraId="28EFE66D"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להלן אפנה לפסיקה נוספת של בתי המשפט העליון והמחוזי, במקרים דומים ושונים, מהם ניתן לגזור את מתחם העונש ההולם במקרה שלפניי, ראו למשל:  </w:t>
      </w:r>
    </w:p>
    <w:p w14:paraId="1667B80B" w14:textId="77777777" w:rsidR="00555214" w:rsidRDefault="00555214" w:rsidP="00555214">
      <w:pPr>
        <w:rPr>
          <w:rFonts w:ascii="David" w:hAnsi="David"/>
        </w:rPr>
      </w:pPr>
    </w:p>
    <w:p w14:paraId="240C4CAC" w14:textId="77777777" w:rsidR="00555214" w:rsidRPr="00DF5C76" w:rsidRDefault="008B5803" w:rsidP="00555214">
      <w:pPr>
        <w:pStyle w:val="a9"/>
        <w:numPr>
          <w:ilvl w:val="0"/>
          <w:numId w:val="3"/>
        </w:numPr>
        <w:spacing w:after="0" w:line="360" w:lineRule="auto"/>
        <w:jc w:val="both"/>
      </w:pPr>
      <w:hyperlink r:id="rId28" w:history="1">
        <w:r w:rsidRPr="008B5803">
          <w:rPr>
            <w:rFonts w:ascii="David" w:hAnsi="David" w:cs="David"/>
            <w:color w:val="0000FF"/>
            <w:sz w:val="24"/>
            <w:szCs w:val="24"/>
            <w:u w:val="single"/>
            <w:rtl/>
          </w:rPr>
          <w:t>רע"פ 1807/22</w:t>
        </w:r>
      </w:hyperlink>
      <w:r w:rsidR="00555214">
        <w:rPr>
          <w:rFonts w:ascii="David" w:hAnsi="David" w:cs="David"/>
          <w:sz w:val="24"/>
          <w:szCs w:val="24"/>
          <w:rtl/>
        </w:rPr>
        <w:t xml:space="preserve"> </w:t>
      </w:r>
      <w:r w:rsidR="00555214">
        <w:rPr>
          <w:rFonts w:ascii="David" w:hAnsi="David" w:cs="David" w:hint="cs"/>
          <w:b/>
          <w:bCs/>
          <w:sz w:val="24"/>
          <w:szCs w:val="24"/>
          <w:rtl/>
        </w:rPr>
        <w:t>פלוני נ' מדינת ישראל</w:t>
      </w:r>
      <w:r w:rsidR="00555214">
        <w:rPr>
          <w:rFonts w:ascii="David" w:hAnsi="David" w:cs="David" w:hint="cs"/>
          <w:sz w:val="24"/>
          <w:szCs w:val="24"/>
          <w:rtl/>
        </w:rPr>
        <w:t xml:space="preserve"> (16.3.2022): נדחתה בקשת רשות ערעור של מבקש אשר הורשע בכך ש</w:t>
      </w:r>
      <w:r w:rsidR="00555214">
        <w:rPr>
          <w:rFonts w:ascii="David" w:hAnsi="David" w:cs="David" w:hint="cs"/>
          <w:b/>
          <w:bCs/>
          <w:sz w:val="24"/>
          <w:szCs w:val="24"/>
          <w:rtl/>
        </w:rPr>
        <w:t>החזיק 49.3 גרם קוקאין</w:t>
      </w:r>
      <w:r w:rsidR="00555214">
        <w:rPr>
          <w:rFonts w:ascii="David" w:hAnsi="David" w:cs="David" w:hint="cs"/>
          <w:sz w:val="24"/>
          <w:szCs w:val="24"/>
          <w:rtl/>
        </w:rPr>
        <w:t xml:space="preserve">, השליכם מחלון הרכב וניסה להימלט בעודו נוהג ללא רישיון נהיגה. בית המשפט השלום השית על הנאשם, צעיר </w:t>
      </w:r>
      <w:r w:rsidR="00555214">
        <w:rPr>
          <w:rFonts w:ascii="David" w:hAnsi="David" w:cs="David" w:hint="cs"/>
          <w:b/>
          <w:bCs/>
          <w:sz w:val="24"/>
          <w:szCs w:val="24"/>
          <w:rtl/>
        </w:rPr>
        <w:t>נעדר עבר פלילי</w:t>
      </w:r>
      <w:r w:rsidR="00555214">
        <w:rPr>
          <w:rFonts w:ascii="David" w:hAnsi="David" w:cs="David" w:hint="cs"/>
          <w:sz w:val="24"/>
          <w:szCs w:val="24"/>
          <w:rtl/>
        </w:rPr>
        <w:t xml:space="preserve"> אשר </w:t>
      </w:r>
      <w:r w:rsidR="00555214">
        <w:rPr>
          <w:rFonts w:ascii="David" w:hAnsi="David" w:cs="David" w:hint="cs"/>
          <w:b/>
          <w:bCs/>
          <w:sz w:val="24"/>
          <w:szCs w:val="24"/>
          <w:rtl/>
        </w:rPr>
        <w:t>עבר הליך שיקומי</w:t>
      </w:r>
      <w:r w:rsidR="00555214">
        <w:rPr>
          <w:rFonts w:ascii="David" w:hAnsi="David" w:cs="David" w:hint="cs"/>
          <w:sz w:val="24"/>
          <w:szCs w:val="24"/>
          <w:rtl/>
        </w:rPr>
        <w:t xml:space="preserve">, 9 חודשי מאסר בעבודות שירות. </w:t>
      </w:r>
      <w:r w:rsidR="00555214">
        <w:rPr>
          <w:rFonts w:ascii="David" w:hAnsi="David" w:cs="David" w:hint="cs"/>
          <w:b/>
          <w:bCs/>
          <w:sz w:val="24"/>
          <w:szCs w:val="24"/>
          <w:rtl/>
        </w:rPr>
        <w:t>ערעור המדינה על קולת העונש התקבל ועונשו הוחמר ל- 18 חודשי מאסר</w:t>
      </w:r>
      <w:r w:rsidR="00555214">
        <w:rPr>
          <w:rFonts w:ascii="David" w:hAnsi="David" w:cs="David" w:hint="cs"/>
          <w:sz w:val="24"/>
          <w:szCs w:val="24"/>
          <w:rtl/>
        </w:rPr>
        <w:t xml:space="preserve"> כאשר נקבע כי ערכאת הערעור אינה ממצה עמו את הדין וכב' השופט אלרון, עמד על החומרה הגלומה בהחזקת סם מסוכן מסוג קוקאין בכמות משמעותית, שניתן להפיק ממנה מאות "מנות" וכי יש צורך בענישה מרתיעה בעדי למנוע הישנות עבירות אלה, המסבות נזק לחברה. </w:t>
      </w:r>
    </w:p>
    <w:p w14:paraId="06E631B0" w14:textId="77777777" w:rsidR="00555214" w:rsidRDefault="008B5803" w:rsidP="00555214">
      <w:pPr>
        <w:pStyle w:val="a9"/>
        <w:numPr>
          <w:ilvl w:val="0"/>
          <w:numId w:val="3"/>
        </w:numPr>
        <w:spacing w:after="0" w:line="360" w:lineRule="auto"/>
        <w:jc w:val="both"/>
        <w:rPr>
          <w:rFonts w:ascii="David" w:eastAsia="Times New Roman" w:hAnsi="David" w:cs="David"/>
          <w:sz w:val="24"/>
          <w:szCs w:val="24"/>
          <w:rtl/>
        </w:rPr>
      </w:pPr>
      <w:hyperlink r:id="rId29" w:history="1">
        <w:r w:rsidRPr="008B5803">
          <w:rPr>
            <w:rFonts w:ascii="David" w:eastAsia="Times New Roman" w:hAnsi="David" w:cs="David"/>
            <w:color w:val="0000FF"/>
            <w:sz w:val="24"/>
            <w:szCs w:val="24"/>
            <w:u w:val="single"/>
            <w:rtl/>
          </w:rPr>
          <w:t>ע"פ 482/20</w:t>
        </w:r>
      </w:hyperlink>
      <w:r w:rsidR="00555214">
        <w:rPr>
          <w:rFonts w:ascii="David" w:eastAsia="Times New Roman" w:hAnsi="David" w:cs="David"/>
          <w:sz w:val="24"/>
          <w:szCs w:val="24"/>
          <w:rtl/>
        </w:rPr>
        <w:t xml:space="preserve"> </w:t>
      </w:r>
      <w:r w:rsidR="00555214">
        <w:rPr>
          <w:rFonts w:ascii="David" w:eastAsia="Times New Roman" w:hAnsi="David" w:cs="David" w:hint="cs"/>
          <w:b/>
          <w:bCs/>
          <w:sz w:val="24"/>
          <w:szCs w:val="24"/>
          <w:rtl/>
        </w:rPr>
        <w:t>מטר נ' מדינת ישראל</w:t>
      </w:r>
      <w:r w:rsidR="00555214">
        <w:rPr>
          <w:rFonts w:ascii="David" w:eastAsia="Times New Roman" w:hAnsi="David" w:cs="David" w:hint="cs"/>
          <w:sz w:val="24"/>
          <w:szCs w:val="24"/>
          <w:rtl/>
        </w:rPr>
        <w:t xml:space="preserve"> (4.6.2020)[הוגש מטעם ב"כ המאשימה]: הנאשם הורשע לאחר שמיעת ראיות בכך שהחזיק בביתו חמישה משקלים אלקטרוניים, </w:t>
      </w:r>
      <w:r w:rsidR="00555214">
        <w:rPr>
          <w:rFonts w:ascii="David" w:eastAsia="Times New Roman" w:hAnsi="David" w:cs="David" w:hint="cs"/>
          <w:b/>
          <w:bCs/>
          <w:sz w:val="24"/>
          <w:szCs w:val="24"/>
          <w:rtl/>
        </w:rPr>
        <w:t>סם מסוג הרואין במשקל 65.26 גרם נטו</w:t>
      </w:r>
      <w:r w:rsidR="00555214">
        <w:rPr>
          <w:rFonts w:ascii="David" w:eastAsia="Times New Roman" w:hAnsi="David" w:cs="David" w:hint="cs"/>
          <w:sz w:val="24"/>
          <w:szCs w:val="24"/>
          <w:rtl/>
        </w:rPr>
        <w:t xml:space="preserve"> שלא לצריכתו העצמי ובעבירה של איומים על שוטר</w:t>
      </w:r>
      <w:r w:rsidR="00555214">
        <w:rPr>
          <w:rFonts w:ascii="David" w:eastAsia="Times New Roman" w:hAnsi="David" w:cs="David" w:hint="cs"/>
          <w:b/>
          <w:bCs/>
          <w:sz w:val="24"/>
          <w:szCs w:val="24"/>
          <w:rtl/>
        </w:rPr>
        <w:t>. נקבע מתחם הנע בין 3 עד 5 שנות מאסר</w:t>
      </w:r>
      <w:r w:rsidR="00555214">
        <w:rPr>
          <w:rFonts w:ascii="David" w:eastAsia="Times New Roman" w:hAnsi="David" w:cs="David" w:hint="cs"/>
          <w:sz w:val="24"/>
          <w:szCs w:val="24"/>
          <w:rtl/>
        </w:rPr>
        <w:t xml:space="preserve">, והושת על הנאשם, שלחובתו הרשעות קודמות, מאסר בפועל בן 4 שנים. ערעור שהוגש מטעם ההגנה, התקבל בשל פגם בחיפוש ועונשו הועמד על 3.5 שנות מאסר. </w:t>
      </w:r>
    </w:p>
    <w:p w14:paraId="480CE030" w14:textId="77777777" w:rsidR="00555214" w:rsidRDefault="00555214" w:rsidP="00555214">
      <w:pPr>
        <w:pStyle w:val="a9"/>
        <w:rPr>
          <w:rFonts w:ascii="David" w:eastAsia="Times New Roman" w:hAnsi="David" w:cs="David"/>
          <w:sz w:val="24"/>
          <w:szCs w:val="24"/>
        </w:rPr>
      </w:pPr>
    </w:p>
    <w:p w14:paraId="31017492" w14:textId="77777777" w:rsidR="00555214" w:rsidRDefault="008B5803" w:rsidP="00555214">
      <w:pPr>
        <w:pStyle w:val="a9"/>
        <w:numPr>
          <w:ilvl w:val="0"/>
          <w:numId w:val="3"/>
        </w:numPr>
        <w:spacing w:after="0" w:line="360" w:lineRule="auto"/>
        <w:jc w:val="both"/>
        <w:rPr>
          <w:rFonts w:ascii="David" w:eastAsia="Times New Roman" w:hAnsi="David" w:cs="David"/>
          <w:sz w:val="24"/>
          <w:szCs w:val="24"/>
          <w:rtl/>
        </w:rPr>
      </w:pPr>
      <w:hyperlink r:id="rId30" w:history="1">
        <w:r w:rsidRPr="008B5803">
          <w:rPr>
            <w:rFonts w:ascii="David" w:eastAsia="Times New Roman" w:hAnsi="David" w:cs="David"/>
            <w:color w:val="0000FF"/>
            <w:sz w:val="24"/>
            <w:szCs w:val="24"/>
            <w:u w:val="single"/>
            <w:rtl/>
          </w:rPr>
          <w:t>ע"פ 8048/19</w:t>
        </w:r>
      </w:hyperlink>
      <w:r w:rsidR="00555214">
        <w:rPr>
          <w:rFonts w:ascii="David" w:eastAsia="Times New Roman" w:hAnsi="David" w:cs="David"/>
          <w:sz w:val="24"/>
          <w:szCs w:val="24"/>
          <w:rtl/>
        </w:rPr>
        <w:t xml:space="preserve"> </w:t>
      </w:r>
      <w:r w:rsidR="00555214">
        <w:rPr>
          <w:rFonts w:ascii="David" w:eastAsia="Times New Roman" w:hAnsi="David" w:cs="David" w:hint="cs"/>
          <w:b/>
          <w:bCs/>
          <w:sz w:val="24"/>
          <w:szCs w:val="24"/>
          <w:rtl/>
        </w:rPr>
        <w:t>פיצ'חדזה נ' מדינת ישראל</w:t>
      </w:r>
      <w:r w:rsidR="00555214">
        <w:rPr>
          <w:rFonts w:ascii="David" w:eastAsia="Times New Roman" w:hAnsi="David" w:cs="David" w:hint="cs"/>
          <w:sz w:val="24"/>
          <w:szCs w:val="24"/>
          <w:rtl/>
        </w:rPr>
        <w:t xml:space="preserve"> (4.6.2020): נדחה ערעור של נאשם שהורשע בכך שהחזיק בביתו </w:t>
      </w:r>
      <w:r w:rsidR="00555214">
        <w:rPr>
          <w:rFonts w:ascii="David" w:eastAsia="Times New Roman" w:hAnsi="David" w:cs="David" w:hint="cs"/>
          <w:b/>
          <w:bCs/>
          <w:sz w:val="24"/>
          <w:szCs w:val="24"/>
          <w:rtl/>
        </w:rPr>
        <w:t>סם מסוג קוקאין במשקל 55 גרם נטו</w:t>
      </w:r>
      <w:r w:rsidR="00555214">
        <w:rPr>
          <w:rFonts w:ascii="David" w:eastAsia="Times New Roman" w:hAnsi="David" w:cs="David" w:hint="cs"/>
          <w:sz w:val="24"/>
          <w:szCs w:val="24"/>
          <w:rtl/>
        </w:rPr>
        <w:t xml:space="preserve"> מחולק ל- 38 מנות, משקל אלקטרוני וכסף מזומן בסך 4,250 ₪. </w:t>
      </w:r>
      <w:r w:rsidR="00555214">
        <w:rPr>
          <w:rFonts w:ascii="David" w:eastAsia="Times New Roman" w:hAnsi="David" w:cs="David" w:hint="cs"/>
          <w:b/>
          <w:bCs/>
          <w:sz w:val="24"/>
          <w:szCs w:val="24"/>
          <w:rtl/>
        </w:rPr>
        <w:t>נקבע מתחם עונש הנע בין 24 ל-42 חודשי מאסר בפועל</w:t>
      </w:r>
      <w:r w:rsidR="00555214">
        <w:rPr>
          <w:rFonts w:ascii="David" w:eastAsia="Times New Roman" w:hAnsi="David" w:cs="David" w:hint="cs"/>
          <w:sz w:val="24"/>
          <w:szCs w:val="24"/>
          <w:rtl/>
        </w:rPr>
        <w:t>. בית המשפט המחוזי, חרג לקולה ממתחם העונש בשל הליך שיקומי משמעותי וגזר את דינו למאסר בפועל בן 18 חודשים.</w:t>
      </w:r>
      <w:r w:rsidR="00555214">
        <w:rPr>
          <w:rFonts w:ascii="David" w:hAnsi="David"/>
          <w:rtl/>
        </w:rPr>
        <w:t xml:space="preserve"> </w:t>
      </w:r>
    </w:p>
    <w:p w14:paraId="1FE1C46E" w14:textId="77777777" w:rsidR="00555214" w:rsidRDefault="00555214" w:rsidP="00555214">
      <w:pPr>
        <w:spacing w:line="360" w:lineRule="auto"/>
        <w:jc w:val="both"/>
        <w:rPr>
          <w:rFonts w:ascii="David" w:hAnsi="David"/>
        </w:rPr>
      </w:pPr>
    </w:p>
    <w:p w14:paraId="33397D10" w14:textId="77777777" w:rsidR="00555214" w:rsidRDefault="008B5803" w:rsidP="00555214">
      <w:pPr>
        <w:pStyle w:val="a9"/>
        <w:numPr>
          <w:ilvl w:val="0"/>
          <w:numId w:val="3"/>
        </w:numPr>
        <w:spacing w:after="0" w:line="360" w:lineRule="auto"/>
        <w:jc w:val="both"/>
        <w:rPr>
          <w:rFonts w:ascii="David" w:eastAsia="Times New Roman" w:hAnsi="David" w:cs="David"/>
          <w:sz w:val="24"/>
          <w:szCs w:val="24"/>
          <w:rtl/>
        </w:rPr>
      </w:pPr>
      <w:hyperlink r:id="rId31" w:history="1">
        <w:r w:rsidRPr="008B5803">
          <w:rPr>
            <w:rFonts w:ascii="David" w:eastAsia="Times New Roman" w:hAnsi="David" w:cs="David"/>
            <w:color w:val="0000FF"/>
            <w:sz w:val="24"/>
            <w:szCs w:val="24"/>
            <w:u w:val="single"/>
            <w:rtl/>
          </w:rPr>
          <w:t>ע"פ 2371/16</w:t>
        </w:r>
      </w:hyperlink>
      <w:r w:rsidR="00555214">
        <w:rPr>
          <w:rFonts w:ascii="David" w:eastAsia="Times New Roman" w:hAnsi="David" w:cs="David"/>
          <w:sz w:val="24"/>
          <w:szCs w:val="24"/>
          <w:rtl/>
        </w:rPr>
        <w:t xml:space="preserve"> </w:t>
      </w:r>
      <w:r w:rsidR="00555214">
        <w:rPr>
          <w:rFonts w:ascii="David" w:eastAsia="Times New Roman" w:hAnsi="David" w:cs="David"/>
          <w:b/>
          <w:bCs/>
          <w:sz w:val="24"/>
          <w:szCs w:val="24"/>
          <w:rtl/>
        </w:rPr>
        <w:t>פיטוסי נ' מדינת ישראל</w:t>
      </w:r>
      <w:r w:rsidR="00555214">
        <w:rPr>
          <w:rFonts w:ascii="David" w:eastAsia="Times New Roman" w:hAnsi="David" w:cs="David"/>
          <w:sz w:val="24"/>
          <w:szCs w:val="24"/>
          <w:rtl/>
        </w:rPr>
        <w:t xml:space="preserve"> (5.10.2016): הנאשם הורשע בהחזקת סם מסוג </w:t>
      </w:r>
      <w:r w:rsidR="00555214">
        <w:rPr>
          <w:rFonts w:ascii="David" w:eastAsia="Times New Roman" w:hAnsi="David" w:cs="David"/>
          <w:b/>
          <w:bCs/>
          <w:sz w:val="24"/>
          <w:szCs w:val="24"/>
          <w:rtl/>
        </w:rPr>
        <w:t>קוקאין במשקל 50 גרם.</w:t>
      </w:r>
      <w:r w:rsidR="00555214">
        <w:rPr>
          <w:rFonts w:ascii="David" w:eastAsia="Times New Roman" w:hAnsi="David" w:cs="David"/>
          <w:sz w:val="24"/>
          <w:szCs w:val="24"/>
          <w:rtl/>
        </w:rPr>
        <w:t xml:space="preserve"> במסגרת הסדר הטיעון הוסכם בין הצדדים, כי המערער החזיק בסם, בין היתר, לצורך התמודדות עם כאבים קשים הנובעים ממחלת הפרקים ממנה הוא סובל וכי נסיבה זו הינה קשורה בנסיבות ביצוע העבירה. </w:t>
      </w:r>
      <w:r w:rsidR="00555214">
        <w:rPr>
          <w:rFonts w:ascii="David" w:eastAsia="Times New Roman" w:hAnsi="David" w:cs="David"/>
          <w:b/>
          <w:bCs/>
          <w:sz w:val="24"/>
          <w:szCs w:val="24"/>
          <w:rtl/>
        </w:rPr>
        <w:t>על המערער נגזרו 27 חודשי מאסר.</w:t>
      </w:r>
      <w:r w:rsidR="00555214">
        <w:rPr>
          <w:rFonts w:ascii="David" w:eastAsia="Times New Roman" w:hAnsi="David" w:cs="David"/>
          <w:sz w:val="24"/>
          <w:szCs w:val="24"/>
          <w:rtl/>
        </w:rPr>
        <w:t xml:space="preserve"> ערעור על חומרת העונש נדחה.</w:t>
      </w:r>
    </w:p>
    <w:p w14:paraId="3F7FA521" w14:textId="77777777" w:rsidR="00555214" w:rsidRDefault="00555214" w:rsidP="00555214">
      <w:pPr>
        <w:pStyle w:val="a9"/>
        <w:rPr>
          <w:rFonts w:ascii="David" w:eastAsia="Times New Roman" w:hAnsi="David" w:cs="David"/>
          <w:sz w:val="24"/>
          <w:szCs w:val="24"/>
        </w:rPr>
      </w:pPr>
    </w:p>
    <w:p w14:paraId="1EEEC66C" w14:textId="77777777" w:rsidR="00555214" w:rsidRDefault="008B5803" w:rsidP="00555214">
      <w:pPr>
        <w:pStyle w:val="a9"/>
        <w:numPr>
          <w:ilvl w:val="0"/>
          <w:numId w:val="3"/>
        </w:numPr>
        <w:spacing w:after="0" w:line="360" w:lineRule="auto"/>
        <w:jc w:val="both"/>
        <w:rPr>
          <w:rFonts w:ascii="David" w:eastAsia="Times New Roman" w:hAnsi="David" w:cs="David"/>
          <w:sz w:val="24"/>
          <w:szCs w:val="24"/>
          <w:rtl/>
        </w:rPr>
      </w:pPr>
      <w:hyperlink r:id="rId32" w:history="1">
        <w:r w:rsidRPr="008B5803">
          <w:rPr>
            <w:rFonts w:ascii="David" w:hAnsi="David" w:cs="David"/>
            <w:color w:val="0000FF"/>
            <w:sz w:val="24"/>
            <w:szCs w:val="24"/>
            <w:u w:val="single"/>
            <w:rtl/>
          </w:rPr>
          <w:t>רע"פ 894/16</w:t>
        </w:r>
      </w:hyperlink>
      <w:r w:rsidR="00555214">
        <w:rPr>
          <w:rFonts w:ascii="David" w:hAnsi="David" w:cs="David"/>
          <w:sz w:val="24"/>
          <w:szCs w:val="24"/>
          <w:rtl/>
        </w:rPr>
        <w:t xml:space="preserve"> </w:t>
      </w:r>
      <w:r w:rsidR="00555214">
        <w:rPr>
          <w:rFonts w:ascii="David" w:hAnsi="David" w:cs="David"/>
          <w:b/>
          <w:bCs/>
          <w:sz w:val="24"/>
          <w:szCs w:val="24"/>
          <w:rtl/>
        </w:rPr>
        <w:t xml:space="preserve">פרץ נ' מדינת ישראל </w:t>
      </w:r>
      <w:r w:rsidR="00555214">
        <w:rPr>
          <w:rFonts w:ascii="David" w:hAnsi="David" w:cs="David"/>
          <w:sz w:val="24"/>
          <w:szCs w:val="24"/>
          <w:rtl/>
        </w:rPr>
        <w:t>(10.2.2016): הנאשם הורשע בביצוע עבירה של החזקת סם שלא לצריכה עצמית בכך שהחזיק בדירתו</w:t>
      </w:r>
      <w:r w:rsidR="00555214">
        <w:rPr>
          <w:rFonts w:ascii="David" w:hAnsi="David" w:cs="David"/>
          <w:b/>
          <w:bCs/>
          <w:sz w:val="24"/>
          <w:szCs w:val="24"/>
          <w:rtl/>
        </w:rPr>
        <w:t xml:space="preserve"> 31.05 גרם </w:t>
      </w:r>
      <w:r w:rsidR="00555214">
        <w:rPr>
          <w:rFonts w:ascii="David" w:hAnsi="David" w:cs="David"/>
          <w:sz w:val="24"/>
          <w:szCs w:val="24"/>
          <w:rtl/>
        </w:rPr>
        <w:t xml:space="preserve">נטו של </w:t>
      </w:r>
      <w:r w:rsidR="00555214">
        <w:rPr>
          <w:rFonts w:ascii="David" w:hAnsi="David" w:cs="David"/>
          <w:b/>
          <w:bCs/>
          <w:sz w:val="24"/>
          <w:szCs w:val="24"/>
          <w:rtl/>
        </w:rPr>
        <w:t>סם מסוג קוקאין</w:t>
      </w:r>
      <w:r w:rsidR="00555214">
        <w:rPr>
          <w:rFonts w:ascii="David" w:hAnsi="David" w:cs="David"/>
          <w:sz w:val="24"/>
          <w:szCs w:val="24"/>
          <w:rtl/>
        </w:rPr>
        <w:t xml:space="preserve">, נקבע מתחם עונש </w:t>
      </w:r>
      <w:r w:rsidR="00555214">
        <w:rPr>
          <w:rFonts w:ascii="David" w:hAnsi="David" w:cs="David"/>
          <w:b/>
          <w:bCs/>
          <w:sz w:val="24"/>
          <w:szCs w:val="24"/>
          <w:rtl/>
        </w:rPr>
        <w:t>הנע בין 15 ל- 36 חודשי מאסר בפועל.</w:t>
      </w:r>
      <w:r w:rsidR="00555214">
        <w:rPr>
          <w:rFonts w:ascii="David" w:hAnsi="David" w:cs="David"/>
          <w:sz w:val="24"/>
          <w:szCs w:val="24"/>
          <w:rtl/>
        </w:rPr>
        <w:t xml:space="preserve"> הושתו על הנאשם 15 חודשי מאסר בפועל לצד ענישה נלווית. ערעור ובקשת רשות ערעור נדחו.</w:t>
      </w:r>
    </w:p>
    <w:p w14:paraId="493ED222" w14:textId="77777777" w:rsidR="00555214" w:rsidRDefault="00555214" w:rsidP="00555214">
      <w:pPr>
        <w:rPr>
          <w:rFonts w:ascii="David" w:hAnsi="David"/>
        </w:rPr>
      </w:pPr>
    </w:p>
    <w:p w14:paraId="0A104556" w14:textId="77777777" w:rsidR="00555214" w:rsidRDefault="008B5803" w:rsidP="00555214">
      <w:pPr>
        <w:pStyle w:val="a9"/>
        <w:numPr>
          <w:ilvl w:val="0"/>
          <w:numId w:val="3"/>
        </w:numPr>
        <w:spacing w:after="0" w:line="360" w:lineRule="auto"/>
        <w:jc w:val="both"/>
        <w:rPr>
          <w:rFonts w:ascii="David" w:eastAsia="Times New Roman" w:hAnsi="David" w:cs="David"/>
          <w:sz w:val="24"/>
          <w:szCs w:val="24"/>
          <w:rtl/>
        </w:rPr>
      </w:pPr>
      <w:hyperlink r:id="rId33" w:history="1">
        <w:r w:rsidRPr="008B5803">
          <w:rPr>
            <w:rFonts w:ascii="David" w:eastAsia="Times New Roman" w:hAnsi="David" w:cs="David"/>
            <w:color w:val="0000FF"/>
            <w:sz w:val="24"/>
            <w:szCs w:val="24"/>
            <w:u w:val="single"/>
            <w:rtl/>
          </w:rPr>
          <w:t>ע"פ 6277/14</w:t>
        </w:r>
      </w:hyperlink>
      <w:r w:rsidR="00555214">
        <w:rPr>
          <w:rFonts w:ascii="David" w:eastAsia="Times New Roman" w:hAnsi="David" w:cs="David"/>
          <w:sz w:val="24"/>
          <w:szCs w:val="24"/>
          <w:rtl/>
        </w:rPr>
        <w:t xml:space="preserve"> </w:t>
      </w:r>
      <w:r w:rsidR="00555214">
        <w:rPr>
          <w:rFonts w:ascii="David" w:eastAsia="Times New Roman" w:hAnsi="David" w:cs="David"/>
          <w:b/>
          <w:bCs/>
          <w:sz w:val="24"/>
          <w:szCs w:val="24"/>
          <w:rtl/>
        </w:rPr>
        <w:t xml:space="preserve">משלטי נ' מדינת ישראל </w:t>
      </w:r>
      <w:r w:rsidR="00555214">
        <w:rPr>
          <w:rFonts w:ascii="David" w:eastAsia="Times New Roman" w:hAnsi="David" w:cs="David"/>
          <w:sz w:val="24"/>
          <w:szCs w:val="24"/>
          <w:rtl/>
        </w:rPr>
        <w:t>(2.2.2015)</w:t>
      </w:r>
      <w:r w:rsidR="00555214">
        <w:rPr>
          <w:rFonts w:ascii="David" w:eastAsia="Times New Roman" w:hAnsi="David" w:cs="David"/>
          <w:sz w:val="24"/>
          <w:szCs w:val="24"/>
        </w:rPr>
        <w:t xml:space="preserve"> </w:t>
      </w:r>
      <w:r w:rsidR="00555214">
        <w:rPr>
          <w:rFonts w:ascii="David" w:eastAsia="Times New Roman" w:hAnsi="David" w:cs="David"/>
          <w:sz w:val="24"/>
          <w:szCs w:val="24"/>
          <w:rtl/>
        </w:rPr>
        <w:t xml:space="preserve">[הוגש מטעם המאשימה]: הנאשם הורשע בכך שהחזיק בדירתו, </w:t>
      </w:r>
      <w:r w:rsidR="00555214">
        <w:rPr>
          <w:rFonts w:ascii="David" w:eastAsia="Times New Roman" w:hAnsi="David" w:cs="David"/>
          <w:b/>
          <w:bCs/>
          <w:sz w:val="24"/>
          <w:szCs w:val="24"/>
          <w:rtl/>
        </w:rPr>
        <w:t>סם מסוג קוקאין במשקל של 51.36 גרם נטו</w:t>
      </w:r>
      <w:r w:rsidR="00555214">
        <w:rPr>
          <w:rFonts w:ascii="David" w:eastAsia="Times New Roman" w:hAnsi="David" w:cs="David"/>
          <w:sz w:val="24"/>
          <w:szCs w:val="24"/>
          <w:rtl/>
        </w:rPr>
        <w:t xml:space="preserve"> וחומר מסוג </w:t>
      </w:r>
      <w:r w:rsidR="00555214">
        <w:rPr>
          <w:rFonts w:ascii="David" w:eastAsia="Times New Roman" w:hAnsi="David" w:cs="David"/>
          <w:sz w:val="24"/>
          <w:szCs w:val="24"/>
        </w:rPr>
        <w:t>LIDOCAINE</w:t>
      </w:r>
      <w:r w:rsidR="00555214">
        <w:rPr>
          <w:rFonts w:ascii="David" w:eastAsia="Times New Roman" w:hAnsi="David" w:cs="David"/>
          <w:sz w:val="24"/>
          <w:szCs w:val="24"/>
          <w:rtl/>
        </w:rPr>
        <w:t xml:space="preserve"> במשקל 10.1 גרם נטו, ועמם שקיות ניילון קטנות גזורות ומשקל אלקטרוני. </w:t>
      </w:r>
      <w:r w:rsidR="00555214">
        <w:rPr>
          <w:rFonts w:ascii="David" w:eastAsia="Times New Roman" w:hAnsi="David" w:cs="David"/>
          <w:b/>
          <w:bCs/>
          <w:sz w:val="24"/>
          <w:szCs w:val="24"/>
          <w:rtl/>
        </w:rPr>
        <w:t>נקבע מתחם עונש הנע בין 3 ל-5 שנות מאסר</w:t>
      </w:r>
      <w:r w:rsidR="00555214">
        <w:rPr>
          <w:rFonts w:ascii="David" w:eastAsia="Times New Roman" w:hAnsi="David" w:cs="David"/>
          <w:sz w:val="24"/>
          <w:szCs w:val="24"/>
          <w:rtl/>
        </w:rPr>
        <w:t>. הנאשם נדון לחמש שנות מאסר בפועל שכללו הפעלת מאסר מותנה בן שלוש שנים מתוכם שנתיים בחופף ושנה במצטבר, לצד ענישה נלוות. ערעור על חומרת העונש נדחה.</w:t>
      </w:r>
    </w:p>
    <w:p w14:paraId="2D40A5B2" w14:textId="77777777" w:rsidR="00555214" w:rsidRDefault="00555214" w:rsidP="00555214">
      <w:pPr>
        <w:pStyle w:val="a9"/>
        <w:spacing w:after="0" w:line="240" w:lineRule="auto"/>
        <w:jc w:val="both"/>
        <w:rPr>
          <w:rFonts w:ascii="David" w:eastAsia="Times New Roman" w:hAnsi="David" w:cs="David"/>
          <w:sz w:val="24"/>
          <w:szCs w:val="24"/>
          <w:rtl/>
        </w:rPr>
      </w:pPr>
    </w:p>
    <w:p w14:paraId="24217302" w14:textId="77777777" w:rsidR="00555214" w:rsidRDefault="00555214" w:rsidP="00555214">
      <w:pPr>
        <w:pStyle w:val="a9"/>
        <w:spacing w:after="0" w:line="240" w:lineRule="auto"/>
        <w:jc w:val="both"/>
        <w:rPr>
          <w:rFonts w:ascii="David" w:eastAsia="Times New Roman" w:hAnsi="David" w:cs="David"/>
          <w:sz w:val="24"/>
          <w:szCs w:val="24"/>
          <w:rtl/>
        </w:rPr>
      </w:pPr>
    </w:p>
    <w:p w14:paraId="3245E94C" w14:textId="77777777" w:rsidR="00555214" w:rsidRDefault="00555214" w:rsidP="00555214">
      <w:pPr>
        <w:pStyle w:val="a9"/>
        <w:spacing w:after="0" w:line="240" w:lineRule="auto"/>
        <w:jc w:val="both"/>
        <w:rPr>
          <w:rFonts w:ascii="David" w:eastAsia="Times New Roman" w:hAnsi="David" w:cs="David"/>
          <w:sz w:val="24"/>
          <w:szCs w:val="24"/>
          <w:rtl/>
        </w:rPr>
      </w:pPr>
    </w:p>
    <w:p w14:paraId="3F13CCB8" w14:textId="77777777" w:rsidR="00555214" w:rsidRDefault="00555214" w:rsidP="00555214">
      <w:pPr>
        <w:pStyle w:val="a9"/>
        <w:spacing w:after="0" w:line="240" w:lineRule="auto"/>
        <w:jc w:val="both"/>
        <w:rPr>
          <w:rFonts w:ascii="David" w:eastAsia="Times New Roman" w:hAnsi="David" w:cs="David"/>
          <w:sz w:val="24"/>
          <w:szCs w:val="24"/>
          <w:rtl/>
        </w:rPr>
      </w:pPr>
    </w:p>
    <w:p w14:paraId="75A18CF3" w14:textId="77777777" w:rsidR="00555214" w:rsidRDefault="00555214" w:rsidP="00555214">
      <w:pPr>
        <w:pStyle w:val="a9"/>
        <w:spacing w:after="0" w:line="240" w:lineRule="auto"/>
        <w:jc w:val="both"/>
        <w:rPr>
          <w:rFonts w:ascii="David" w:eastAsia="Times New Roman" w:hAnsi="David" w:cs="David"/>
          <w:sz w:val="24"/>
          <w:szCs w:val="24"/>
          <w:rtl/>
        </w:rPr>
      </w:pPr>
    </w:p>
    <w:p w14:paraId="51A94BE0" w14:textId="77777777" w:rsidR="00555214" w:rsidRDefault="008B5803" w:rsidP="00555214">
      <w:pPr>
        <w:pStyle w:val="a9"/>
        <w:numPr>
          <w:ilvl w:val="0"/>
          <w:numId w:val="3"/>
        </w:numPr>
        <w:spacing w:line="360" w:lineRule="auto"/>
        <w:jc w:val="both"/>
        <w:rPr>
          <w:rFonts w:ascii="David" w:hAnsi="David" w:cs="David"/>
          <w:sz w:val="24"/>
          <w:szCs w:val="24"/>
        </w:rPr>
      </w:pPr>
      <w:hyperlink r:id="rId34" w:history="1">
        <w:r w:rsidRPr="008B5803">
          <w:rPr>
            <w:rFonts w:ascii="David" w:hAnsi="David" w:cs="David"/>
            <w:color w:val="0000FF"/>
            <w:sz w:val="24"/>
            <w:szCs w:val="24"/>
            <w:u w:val="single"/>
            <w:rtl/>
          </w:rPr>
          <w:t>עפ"ג (מרכז)28763-10-24</w:t>
        </w:r>
      </w:hyperlink>
      <w:r w:rsidR="00555214">
        <w:rPr>
          <w:rFonts w:ascii="David" w:hAnsi="David" w:cs="David"/>
          <w:sz w:val="24"/>
          <w:szCs w:val="24"/>
          <w:rtl/>
        </w:rPr>
        <w:t xml:space="preserve"> </w:t>
      </w:r>
      <w:r w:rsidR="00555214">
        <w:rPr>
          <w:rFonts w:ascii="David" w:hAnsi="David" w:cs="David"/>
          <w:b/>
          <w:bCs/>
          <w:sz w:val="24"/>
          <w:szCs w:val="24"/>
          <w:rtl/>
        </w:rPr>
        <w:t xml:space="preserve">פרץ נ' מדינת ישראל </w:t>
      </w:r>
      <w:r w:rsidR="00555214">
        <w:rPr>
          <w:rFonts w:ascii="David" w:hAnsi="David" w:cs="David"/>
          <w:sz w:val="24"/>
          <w:szCs w:val="24"/>
          <w:rtl/>
        </w:rPr>
        <w:t xml:space="preserve">(16.12.2024): נדחה ערעור של נאשם אשר נמלט מהשוטרים ברכבו, עת הגיעו לבצע צו חיפוש בביתו. הנאשם השליך מרכבו </w:t>
      </w:r>
      <w:r w:rsidR="00555214">
        <w:rPr>
          <w:rFonts w:ascii="David" w:hAnsi="David" w:cs="David"/>
          <w:b/>
          <w:bCs/>
          <w:sz w:val="24"/>
          <w:szCs w:val="24"/>
          <w:rtl/>
        </w:rPr>
        <w:t>סם מסוג קוקאין במשקל 0.4770 גרם</w:t>
      </w:r>
      <w:r w:rsidR="00555214">
        <w:rPr>
          <w:rFonts w:ascii="David" w:hAnsi="David" w:cs="David"/>
          <w:sz w:val="24"/>
          <w:szCs w:val="24"/>
          <w:rtl/>
        </w:rPr>
        <w:t>. בהמשך, במהלך חיפוש בביתו, השליך שקית ובתוכה</w:t>
      </w:r>
      <w:r w:rsidR="00555214">
        <w:rPr>
          <w:rFonts w:ascii="David" w:hAnsi="David" w:cs="David"/>
          <w:b/>
          <w:bCs/>
          <w:sz w:val="24"/>
          <w:szCs w:val="24"/>
          <w:rtl/>
        </w:rPr>
        <w:t xml:space="preserve"> סם מסוג קוקאין במשקל 38.75 גרם</w:t>
      </w:r>
      <w:r w:rsidR="00555214">
        <w:rPr>
          <w:rFonts w:ascii="David" w:hAnsi="David" w:cs="David"/>
          <w:sz w:val="24"/>
          <w:szCs w:val="24"/>
          <w:rtl/>
        </w:rPr>
        <w:t xml:space="preserve">. הנאשם הורשע בעבירה של החזקת סם שלא לצריכה עצמית ושתי עבירות שיבוש מהלכי משפט. </w:t>
      </w:r>
      <w:r w:rsidR="00555214">
        <w:rPr>
          <w:rFonts w:ascii="David" w:hAnsi="David" w:cs="David"/>
          <w:b/>
          <w:bCs/>
          <w:sz w:val="24"/>
          <w:szCs w:val="24"/>
          <w:rtl/>
        </w:rPr>
        <w:t>נקבע מתחם עונש הנע בין 20 ל-42 חודשי מאסר בפועל.</w:t>
      </w:r>
      <w:r w:rsidR="00555214">
        <w:rPr>
          <w:rFonts w:ascii="David" w:hAnsi="David" w:cs="David"/>
          <w:sz w:val="24"/>
          <w:szCs w:val="24"/>
          <w:rtl/>
        </w:rPr>
        <w:t xml:space="preserve"> הנאשם נדון ל-32 חודשי מאסר הכוללים הפעלת מאסר מותנה בן 6 חודשים וענישה נלוות. </w:t>
      </w:r>
    </w:p>
    <w:p w14:paraId="66D0A51E" w14:textId="77777777" w:rsidR="00555214" w:rsidRDefault="00555214" w:rsidP="00555214">
      <w:pPr>
        <w:pStyle w:val="a9"/>
        <w:rPr>
          <w:rFonts w:ascii="David" w:hAnsi="David" w:cs="David"/>
          <w:sz w:val="24"/>
          <w:szCs w:val="24"/>
        </w:rPr>
      </w:pPr>
    </w:p>
    <w:p w14:paraId="6D5B5A72" w14:textId="77777777" w:rsidR="00555214" w:rsidRDefault="008B5803" w:rsidP="00555214">
      <w:pPr>
        <w:pStyle w:val="a9"/>
        <w:numPr>
          <w:ilvl w:val="0"/>
          <w:numId w:val="3"/>
        </w:numPr>
        <w:spacing w:line="360" w:lineRule="auto"/>
        <w:jc w:val="both"/>
        <w:rPr>
          <w:rFonts w:ascii="David" w:hAnsi="David" w:cs="David"/>
          <w:sz w:val="24"/>
          <w:szCs w:val="24"/>
          <w:rtl/>
        </w:rPr>
      </w:pPr>
      <w:hyperlink r:id="rId35" w:history="1">
        <w:r w:rsidRPr="008B5803">
          <w:rPr>
            <w:rFonts w:ascii="David" w:hAnsi="David" w:cs="David"/>
            <w:color w:val="0000FF"/>
            <w:sz w:val="24"/>
            <w:szCs w:val="24"/>
            <w:u w:val="single"/>
            <w:rtl/>
          </w:rPr>
          <w:t>עפ"ג (מרכז) 65932-01-20</w:t>
        </w:r>
      </w:hyperlink>
      <w:r w:rsidR="00555214">
        <w:rPr>
          <w:rFonts w:ascii="David" w:hAnsi="David" w:cs="David"/>
          <w:sz w:val="24"/>
          <w:szCs w:val="24"/>
          <w:rtl/>
        </w:rPr>
        <w:t xml:space="preserve"> </w:t>
      </w:r>
      <w:r w:rsidR="00555214">
        <w:rPr>
          <w:rFonts w:ascii="David" w:hAnsi="David" w:cs="David"/>
          <w:b/>
          <w:bCs/>
          <w:sz w:val="24"/>
          <w:szCs w:val="24"/>
          <w:rtl/>
        </w:rPr>
        <w:t>מדינת ישראל נ' לולו</w:t>
      </w:r>
      <w:r w:rsidR="00555214">
        <w:rPr>
          <w:rFonts w:ascii="David" w:hAnsi="David" w:cs="David"/>
          <w:sz w:val="24"/>
          <w:szCs w:val="24"/>
          <w:rtl/>
        </w:rPr>
        <w:t xml:space="preserve"> (16.6.2020):</w:t>
      </w:r>
      <w:r>
        <w:rPr>
          <w:rFonts w:ascii="David" w:hAnsi="David" w:cs="David"/>
          <w:sz w:val="24"/>
          <w:szCs w:val="24"/>
          <w:rtl/>
        </w:rPr>
        <w:t xml:space="preserve"> </w:t>
      </w:r>
      <w:r w:rsidR="00555214">
        <w:rPr>
          <w:rFonts w:ascii="David" w:hAnsi="David" w:cs="David"/>
          <w:sz w:val="24"/>
          <w:szCs w:val="24"/>
          <w:rtl/>
        </w:rPr>
        <w:t>הנאשם הורשע בשתי עבירות של החזקת סם שלא לצריכה עצמית באישומים נפרדים;</w:t>
      </w:r>
      <w:r w:rsidR="00555214">
        <w:rPr>
          <w:rFonts w:ascii="David" w:hAnsi="David" w:cs="David"/>
          <w:sz w:val="24"/>
          <w:szCs w:val="24"/>
        </w:rPr>
        <w:t xml:space="preserve"> </w:t>
      </w:r>
      <w:r w:rsidR="00555214">
        <w:rPr>
          <w:rFonts w:ascii="David" w:hAnsi="David" w:cs="David"/>
          <w:sz w:val="24"/>
          <w:szCs w:val="24"/>
          <w:rtl/>
        </w:rPr>
        <w:t xml:space="preserve">האחד, </w:t>
      </w:r>
      <w:r w:rsidR="00555214">
        <w:rPr>
          <w:rFonts w:ascii="David" w:hAnsi="David" w:cs="David"/>
          <w:b/>
          <w:bCs/>
          <w:sz w:val="24"/>
          <w:szCs w:val="24"/>
          <w:rtl/>
        </w:rPr>
        <w:t xml:space="preserve">החזקת קוקאין במשקל 15.8 גרם </w:t>
      </w:r>
      <w:r w:rsidR="00555214">
        <w:rPr>
          <w:rFonts w:ascii="David" w:hAnsi="David" w:cs="David"/>
          <w:sz w:val="24"/>
          <w:szCs w:val="24"/>
          <w:rtl/>
        </w:rPr>
        <w:t xml:space="preserve">ומשקל דיגיטלי; השני, </w:t>
      </w:r>
      <w:r w:rsidR="00555214">
        <w:rPr>
          <w:rFonts w:ascii="David" w:hAnsi="David" w:cs="David"/>
          <w:b/>
          <w:bCs/>
          <w:sz w:val="24"/>
          <w:szCs w:val="24"/>
          <w:rtl/>
        </w:rPr>
        <w:t>החזקת קוקאין במשקל כ-34 גרם</w:t>
      </w:r>
      <w:r w:rsidR="00555214">
        <w:rPr>
          <w:rFonts w:ascii="David" w:hAnsi="David" w:cs="David"/>
          <w:sz w:val="24"/>
          <w:szCs w:val="24"/>
          <w:rtl/>
        </w:rPr>
        <w:t>, קנאביס במשקל כ-5 גרם ומשקל דיגיטלי, זאת בעת שהיה משוחרר בתנאים מגבילים בגין האישום הראשון</w:t>
      </w:r>
      <w:r w:rsidR="00555214">
        <w:rPr>
          <w:rFonts w:ascii="David" w:hAnsi="David" w:cs="David"/>
          <w:b/>
          <w:bCs/>
          <w:sz w:val="24"/>
          <w:szCs w:val="24"/>
          <w:rtl/>
        </w:rPr>
        <w:t>. לאישום הראשון נקבע מתחם עונש הולם הנע בין 9 ל-18 חודשי מאסר בפועל,</w:t>
      </w:r>
      <w:r w:rsidR="00555214">
        <w:rPr>
          <w:rFonts w:ascii="David" w:hAnsi="David" w:cs="David"/>
          <w:sz w:val="24"/>
          <w:szCs w:val="24"/>
          <w:rtl/>
        </w:rPr>
        <w:t xml:space="preserve"> </w:t>
      </w:r>
      <w:r w:rsidR="00555214">
        <w:rPr>
          <w:rFonts w:ascii="David" w:hAnsi="David" w:cs="David"/>
          <w:b/>
          <w:bCs/>
          <w:sz w:val="24"/>
          <w:szCs w:val="24"/>
          <w:rtl/>
        </w:rPr>
        <w:t>ולאישום השני נקבע מתחם עונש הולם הנע בין 12 חודשי מאסר ל- 30 חודשים.</w:t>
      </w:r>
      <w:r w:rsidR="00555214">
        <w:rPr>
          <w:rFonts w:ascii="David" w:hAnsi="David" w:cs="David"/>
          <w:sz w:val="24"/>
          <w:szCs w:val="24"/>
          <w:rtl/>
        </w:rPr>
        <w:t xml:space="preserve"> עונשו נגזר ל-26 חודשי מאסר בפועל. בית המשפט המחוזי אישר את מתחמי הענישה הנפרדים, קיבל את ערעור המדינה והעמיד את עונשו על 32 חודשי מאסר, תוך שציין שערכאת הערעור אינה ממצה עמו את הדין. </w:t>
      </w:r>
    </w:p>
    <w:p w14:paraId="64A9AC7E" w14:textId="77777777" w:rsidR="00555214" w:rsidRDefault="00555214" w:rsidP="00555214">
      <w:pPr>
        <w:pStyle w:val="a9"/>
        <w:rPr>
          <w:rFonts w:ascii="David" w:hAnsi="David" w:cs="David"/>
          <w:sz w:val="24"/>
          <w:szCs w:val="24"/>
        </w:rPr>
      </w:pPr>
    </w:p>
    <w:p w14:paraId="5C4B38F6" w14:textId="77777777" w:rsidR="00555214" w:rsidRDefault="008B5803" w:rsidP="00555214">
      <w:pPr>
        <w:pStyle w:val="a9"/>
        <w:numPr>
          <w:ilvl w:val="0"/>
          <w:numId w:val="3"/>
        </w:numPr>
        <w:spacing w:line="360" w:lineRule="auto"/>
        <w:jc w:val="both"/>
        <w:rPr>
          <w:rFonts w:ascii="David" w:hAnsi="David" w:cs="David"/>
          <w:sz w:val="24"/>
          <w:szCs w:val="24"/>
          <w:rtl/>
        </w:rPr>
      </w:pPr>
      <w:hyperlink r:id="rId36" w:history="1">
        <w:r w:rsidRPr="008B5803">
          <w:rPr>
            <w:rFonts w:ascii="David" w:hAnsi="David" w:cs="David"/>
            <w:color w:val="0000FF"/>
            <w:sz w:val="24"/>
            <w:szCs w:val="24"/>
            <w:u w:val="single"/>
            <w:rtl/>
          </w:rPr>
          <w:t>עפ"ג (מרכז) 41795-11-18</w:t>
        </w:r>
      </w:hyperlink>
      <w:r w:rsidR="00555214">
        <w:rPr>
          <w:rFonts w:ascii="David" w:hAnsi="David" w:cs="David"/>
          <w:sz w:val="24"/>
          <w:szCs w:val="24"/>
          <w:rtl/>
        </w:rPr>
        <w:t xml:space="preserve"> </w:t>
      </w:r>
      <w:r w:rsidR="00555214">
        <w:rPr>
          <w:rFonts w:ascii="David" w:hAnsi="David" w:cs="David"/>
          <w:b/>
          <w:bCs/>
          <w:sz w:val="24"/>
          <w:szCs w:val="24"/>
          <w:rtl/>
        </w:rPr>
        <w:t>חזן נ' מדינת ישראל</w:t>
      </w:r>
      <w:r w:rsidR="00555214">
        <w:rPr>
          <w:rFonts w:ascii="David" w:hAnsi="David" w:cs="David"/>
          <w:sz w:val="24"/>
          <w:szCs w:val="24"/>
          <w:rtl/>
        </w:rPr>
        <w:t xml:space="preserve"> (15.7.2019): נאשם הורשע לאחר ניהול משפט בכך שהחזיק סם מסוכן מסוג </w:t>
      </w:r>
      <w:r w:rsidR="00555214">
        <w:rPr>
          <w:rFonts w:ascii="David" w:hAnsi="David" w:cs="David"/>
          <w:b/>
          <w:bCs/>
          <w:sz w:val="24"/>
          <w:szCs w:val="24"/>
          <w:rtl/>
        </w:rPr>
        <w:t>קוקאין במשקל של 37.8942 גרם</w:t>
      </w:r>
      <w:r w:rsidR="00555214">
        <w:rPr>
          <w:rFonts w:ascii="David" w:hAnsi="David" w:cs="David"/>
          <w:sz w:val="24"/>
          <w:szCs w:val="24"/>
          <w:rtl/>
        </w:rPr>
        <w:t xml:space="preserve"> ומשקל אלקטרוני. בית משפט השלום </w:t>
      </w:r>
      <w:r w:rsidR="00555214">
        <w:rPr>
          <w:rFonts w:ascii="David" w:hAnsi="David" w:cs="David"/>
          <w:b/>
          <w:bCs/>
          <w:sz w:val="24"/>
          <w:szCs w:val="24"/>
          <w:rtl/>
        </w:rPr>
        <w:t>קבע מתחם עונש הנע בין 20 ל- 40 חודשי מאסר</w:t>
      </w:r>
      <w:r w:rsidR="00555214">
        <w:rPr>
          <w:rFonts w:ascii="David" w:hAnsi="David" w:cs="David"/>
          <w:sz w:val="24"/>
          <w:szCs w:val="24"/>
          <w:rtl/>
        </w:rPr>
        <w:t>. על הנאשם בעל עבר פלילי כבד, נגזרו 32 חודשי מאסר בפועל, הפעלת מאסר מותנה כך שירצה 33 חודשי מאסר וענישה נלוות. ערעור הנאשם נדחה ובית המשפט המחוזי הדגיש, כי המתחם שנקבע על-ידי בית המשפט השלום נטוע עמוק בפסיקה.</w:t>
      </w:r>
    </w:p>
    <w:p w14:paraId="4CD51161" w14:textId="77777777" w:rsidR="00555214" w:rsidRDefault="00555214" w:rsidP="00555214">
      <w:pPr>
        <w:rPr>
          <w:rFonts w:ascii="David" w:hAnsi="David"/>
        </w:rPr>
      </w:pPr>
    </w:p>
    <w:p w14:paraId="2508922D"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 לאחר שבחנתי את מכלול השיקולים, עקרון ההלימה, נסיבות ביצוע העבירה ומדיניות הענישה, </w:t>
      </w:r>
      <w:r>
        <w:rPr>
          <w:rFonts w:ascii="David" w:hAnsi="David" w:cs="David"/>
          <w:b/>
          <w:bCs/>
          <w:sz w:val="24"/>
          <w:szCs w:val="24"/>
          <w:rtl/>
        </w:rPr>
        <w:t>אני קובעת כי מתחם העונש ההולם נע בין 24  ועד 48 חודשי</w:t>
      </w:r>
      <w:r>
        <w:rPr>
          <w:rFonts w:ascii="David" w:hAnsi="David" w:cs="David" w:hint="cs"/>
          <w:b/>
          <w:bCs/>
          <w:sz w:val="24"/>
          <w:szCs w:val="24"/>
          <w:rtl/>
        </w:rPr>
        <w:t xml:space="preserve"> מאסר בפועל</w:t>
      </w:r>
      <w:r>
        <w:rPr>
          <w:rFonts w:ascii="David" w:hAnsi="David" w:cs="David"/>
          <w:b/>
          <w:bCs/>
          <w:sz w:val="24"/>
          <w:szCs w:val="24"/>
          <w:rtl/>
        </w:rPr>
        <w:t>.</w:t>
      </w:r>
      <w:r>
        <w:rPr>
          <w:rFonts w:ascii="David" w:hAnsi="David" w:cs="David"/>
          <w:sz w:val="24"/>
          <w:szCs w:val="24"/>
          <w:rtl/>
        </w:rPr>
        <w:t xml:space="preserve"> </w:t>
      </w:r>
    </w:p>
    <w:p w14:paraId="54DC9D51"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2E8C0584"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4CBC71AB"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7461895B"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5CDF58E6"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7F625EAB" w14:textId="77777777" w:rsidR="00555214" w:rsidRPr="00DF5C76"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7BD6D4A2" w14:textId="77777777" w:rsidR="00555214" w:rsidRPr="00555214" w:rsidRDefault="00555214" w:rsidP="00555214">
      <w:pPr>
        <w:spacing w:line="360" w:lineRule="auto"/>
        <w:ind w:left="720"/>
        <w:contextualSpacing/>
        <w:jc w:val="both"/>
        <w:rPr>
          <w:rFonts w:ascii="Calibri" w:eastAsia="Calibri" w:hAnsi="Calibri" w:cs="Calibri"/>
        </w:rPr>
      </w:pPr>
      <w:r w:rsidRPr="00555214">
        <w:rPr>
          <w:rFonts w:ascii="Calibri" w:eastAsia="Calibri" w:hAnsi="Calibri" w:cs="Times New Roman"/>
          <w:rtl/>
        </w:rPr>
        <w:t>גזירת העונש המתאים לנאשם בגדרי המתחם</w:t>
      </w:r>
      <w:r w:rsidRPr="00555214">
        <w:rPr>
          <w:rFonts w:ascii="Calibri" w:eastAsia="Calibri" w:hAnsi="Calibri" w:cs="Calibri"/>
          <w:rtl/>
        </w:rPr>
        <w:t xml:space="preserve">, </w:t>
      </w:r>
      <w:r w:rsidRPr="00555214">
        <w:rPr>
          <w:rFonts w:ascii="Calibri" w:eastAsia="Calibri" w:hAnsi="Calibri" w:cs="Times New Roman"/>
          <w:rtl/>
        </w:rPr>
        <w:t>נסיבות שאינן קשורות בביצוע העבירה</w:t>
      </w:r>
    </w:p>
    <w:p w14:paraId="7BA83745" w14:textId="77777777" w:rsidR="00555214" w:rsidRPr="003C6F8F" w:rsidRDefault="00555214" w:rsidP="00555214">
      <w:pPr>
        <w:spacing w:line="360" w:lineRule="auto"/>
        <w:contextualSpacing/>
        <w:jc w:val="both"/>
        <w:rPr>
          <w:rFonts w:ascii="David" w:hAnsi="David"/>
          <w:sz w:val="16"/>
          <w:szCs w:val="16"/>
          <w:rtl/>
        </w:rPr>
      </w:pPr>
    </w:p>
    <w:p w14:paraId="7F5D4BF9" w14:textId="77777777" w:rsidR="00555214" w:rsidRDefault="00555214" w:rsidP="00555214">
      <w:pPr>
        <w:pStyle w:val="a9"/>
        <w:numPr>
          <w:ilvl w:val="0"/>
          <w:numId w:val="2"/>
        </w:numPr>
        <w:spacing w:line="360" w:lineRule="auto"/>
        <w:jc w:val="both"/>
        <w:rPr>
          <w:rFonts w:ascii="David" w:hAnsi="David" w:cs="David"/>
          <w:sz w:val="24"/>
          <w:szCs w:val="24"/>
        </w:rPr>
      </w:pPr>
      <w:r>
        <w:rPr>
          <w:rFonts w:ascii="David" w:hAnsi="David" w:cs="David"/>
          <w:sz w:val="24"/>
          <w:szCs w:val="24"/>
          <w:rtl/>
        </w:rPr>
        <w:t>השאלה העומדת במוקד הדיון הנה האם מצבו הרפואי של הנאשם מצדיק חריגה ממתחם כעתירת ההגנה או שמא מצדיק הקלה בעונשו במסגרת המתחם באופן שימקמו בתחתית המתחם?</w:t>
      </w:r>
    </w:p>
    <w:p w14:paraId="39387DAD" w14:textId="77777777" w:rsidR="00555214" w:rsidRPr="003C6F8F" w:rsidRDefault="00555214" w:rsidP="00555214">
      <w:pPr>
        <w:pStyle w:val="a9"/>
        <w:spacing w:line="360" w:lineRule="auto"/>
        <w:jc w:val="both"/>
        <w:rPr>
          <w:rFonts w:ascii="David" w:hAnsi="David" w:cs="David"/>
          <w:sz w:val="24"/>
          <w:szCs w:val="24"/>
        </w:rPr>
      </w:pPr>
    </w:p>
    <w:p w14:paraId="473A372E" w14:textId="77777777" w:rsidR="00555214" w:rsidRDefault="00555214" w:rsidP="00555214">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 הנאשם כבן 54, רווק ללא ילדים, הודה בהזדמנות הראשונה, חסך זמן ניהול משפט ויש לזקוף זאת לזכותו. </w:t>
      </w:r>
    </w:p>
    <w:p w14:paraId="1F63B7AE" w14:textId="77777777" w:rsidR="00555214" w:rsidRPr="003C6F8F"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4F8A4B21"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לחובת הנאשם עבר פלילי הטומן בחובו 9 הרשעות קודמות ו-3 רישומים ללא הרשעה (טל/1). הנאשם החל את דרכו העבריינית בשנת 1986 בבית המשפט לנוער ועד לשנת 2017, אז נדון בגין עבירות מרמה שנעברו בשנת 2012. הנאשם נדון בגין מגוון עבירות בתחום המרמה; רכוש; אלימות; סמים לצריכה עצמית ועוד. כפי שעלה מטיעוני ב"כ הצדדים, הנאשם שולב בעבר בבית המשפט הקהילתי, עבר הליך שיקום משמעותי אשר נגדע, בשל מצבו הרפואי אך הוכר באופן חריג כמי שסיים את ההליך בבית המשפט הקהילתי בהצלחה. אעיר, כי נתון זה הועלה על-ידי ב"כ הצדדים מבלי שהוצגו מסמכים או פרוטוקולים מצד מי מהצדדים. אכן, כטענת ב"כ המאשימה, עברו הפלילי של הנאשם כמו גם העובדה שעסקינן במי שלא השכיל להתמיד בהזדמנות שניתנה לו על ידי בית המשפט הקהילתי וחזר לסורו, יש כדי להצדיק את מיקומו באמצע המתחם, לולא מצבו הרפואי. </w:t>
      </w:r>
    </w:p>
    <w:p w14:paraId="0770FE51" w14:textId="77777777" w:rsidR="00555214" w:rsidRDefault="00555214" w:rsidP="00555214">
      <w:pPr>
        <w:pStyle w:val="a9"/>
        <w:rPr>
          <w:rFonts w:ascii="David" w:hAnsi="David" w:cs="David"/>
          <w:sz w:val="24"/>
          <w:szCs w:val="24"/>
        </w:rPr>
      </w:pPr>
    </w:p>
    <w:p w14:paraId="14D92E4A"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כידוע, הפסיקה הכירה ב"חריג פסיקתי" המאפשר חריגה לקולה ממתחם העונש ההולם במצב בו ריצוי מאסר בפועל עלול לסכן או לקצר בצורה ניכרת את תוחלת חייו של נאשם ואולם, עסקינן בחריג פסיקתי נדיר, המהווה "פתח צר" בו ייעשה שימוש אך במקרים חריגים ונדירים. [ראו </w:t>
      </w:r>
      <w:hyperlink r:id="rId37" w:history="1">
        <w:r w:rsidR="008B5803" w:rsidRPr="008B5803">
          <w:rPr>
            <w:rFonts w:ascii="David" w:hAnsi="David" w:cs="David"/>
            <w:color w:val="0000FF"/>
            <w:sz w:val="24"/>
            <w:szCs w:val="24"/>
            <w:u w:val="single"/>
            <w:rtl/>
          </w:rPr>
          <w:t>ע"פ 2432/24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17 (26.12.2024)].  </w:t>
      </w:r>
    </w:p>
    <w:p w14:paraId="6AD17D95" w14:textId="77777777" w:rsidR="00555214" w:rsidRDefault="00555214" w:rsidP="00555214">
      <w:pPr>
        <w:pStyle w:val="a9"/>
        <w:rPr>
          <w:rFonts w:ascii="David" w:hAnsi="David" w:cs="David"/>
          <w:sz w:val="24"/>
          <w:szCs w:val="24"/>
          <w:rtl/>
        </w:rPr>
      </w:pPr>
    </w:p>
    <w:p w14:paraId="01CBBFE2" w14:textId="77777777" w:rsidR="00555214" w:rsidRDefault="00555214" w:rsidP="00555214">
      <w:pPr>
        <w:pStyle w:val="a9"/>
        <w:rPr>
          <w:rFonts w:ascii="David" w:hAnsi="David" w:cs="David"/>
          <w:sz w:val="24"/>
          <w:szCs w:val="24"/>
          <w:rtl/>
        </w:rPr>
      </w:pPr>
    </w:p>
    <w:p w14:paraId="008CF33C" w14:textId="77777777" w:rsidR="00555214" w:rsidRDefault="00555214" w:rsidP="00555214">
      <w:pPr>
        <w:pStyle w:val="a9"/>
        <w:rPr>
          <w:rFonts w:ascii="David" w:hAnsi="David" w:cs="David"/>
          <w:sz w:val="24"/>
          <w:szCs w:val="24"/>
          <w:rtl/>
        </w:rPr>
      </w:pPr>
    </w:p>
    <w:p w14:paraId="3A5BE5C5" w14:textId="77777777" w:rsidR="00555214" w:rsidRDefault="00555214" w:rsidP="00555214">
      <w:pPr>
        <w:pStyle w:val="a9"/>
        <w:rPr>
          <w:rFonts w:ascii="David" w:hAnsi="David" w:cs="David"/>
          <w:sz w:val="24"/>
          <w:szCs w:val="24"/>
          <w:rtl/>
        </w:rPr>
      </w:pPr>
    </w:p>
    <w:p w14:paraId="728A7E0A" w14:textId="77777777" w:rsidR="00555214" w:rsidRDefault="00555214" w:rsidP="00555214">
      <w:pPr>
        <w:pStyle w:val="a9"/>
        <w:rPr>
          <w:rFonts w:ascii="David" w:hAnsi="David" w:cs="David"/>
          <w:sz w:val="24"/>
          <w:szCs w:val="24"/>
          <w:rtl/>
        </w:rPr>
      </w:pPr>
    </w:p>
    <w:p w14:paraId="46123DAB" w14:textId="77777777" w:rsidR="00555214" w:rsidRDefault="00555214" w:rsidP="00555214">
      <w:pPr>
        <w:pStyle w:val="a9"/>
        <w:rPr>
          <w:rFonts w:ascii="David" w:hAnsi="David" w:cs="David"/>
          <w:sz w:val="24"/>
          <w:szCs w:val="24"/>
          <w:rtl/>
        </w:rPr>
      </w:pPr>
    </w:p>
    <w:p w14:paraId="44D4A2A9" w14:textId="77777777" w:rsidR="00555214" w:rsidRDefault="00555214" w:rsidP="00555214">
      <w:pPr>
        <w:pStyle w:val="a9"/>
        <w:rPr>
          <w:rFonts w:ascii="David" w:hAnsi="David" w:cs="David"/>
          <w:sz w:val="24"/>
          <w:szCs w:val="24"/>
          <w:rtl/>
        </w:rPr>
      </w:pPr>
    </w:p>
    <w:p w14:paraId="2C71098F" w14:textId="77777777" w:rsidR="00555214" w:rsidRDefault="00555214" w:rsidP="00555214">
      <w:pPr>
        <w:pStyle w:val="a9"/>
        <w:rPr>
          <w:rFonts w:ascii="David" w:hAnsi="David" w:cs="David"/>
          <w:sz w:val="24"/>
          <w:szCs w:val="24"/>
          <w:rtl/>
        </w:rPr>
      </w:pPr>
    </w:p>
    <w:p w14:paraId="07887677" w14:textId="77777777" w:rsidR="00555214" w:rsidRDefault="00555214" w:rsidP="00555214">
      <w:pPr>
        <w:pStyle w:val="a9"/>
        <w:rPr>
          <w:rFonts w:ascii="David" w:hAnsi="David" w:cs="David"/>
          <w:sz w:val="24"/>
          <w:szCs w:val="24"/>
          <w:rtl/>
        </w:rPr>
      </w:pPr>
    </w:p>
    <w:p w14:paraId="19355999" w14:textId="77777777" w:rsidR="00555214" w:rsidRDefault="00555214" w:rsidP="00555214">
      <w:pPr>
        <w:pStyle w:val="a9"/>
        <w:rPr>
          <w:rFonts w:ascii="David" w:hAnsi="David" w:cs="David"/>
          <w:sz w:val="24"/>
          <w:szCs w:val="24"/>
          <w:rtl/>
        </w:rPr>
      </w:pPr>
    </w:p>
    <w:p w14:paraId="2EBAF60F" w14:textId="77777777" w:rsidR="00555214" w:rsidRDefault="00555214" w:rsidP="00555214">
      <w:pPr>
        <w:pStyle w:val="a9"/>
        <w:rPr>
          <w:rFonts w:ascii="David" w:hAnsi="David" w:cs="David"/>
          <w:sz w:val="24"/>
          <w:szCs w:val="24"/>
          <w:rtl/>
        </w:rPr>
      </w:pPr>
    </w:p>
    <w:p w14:paraId="557E6F1F" w14:textId="77777777" w:rsidR="00555214" w:rsidRDefault="00555214" w:rsidP="00555214">
      <w:pPr>
        <w:pStyle w:val="a9"/>
        <w:rPr>
          <w:rFonts w:ascii="David" w:hAnsi="David" w:cs="David"/>
          <w:sz w:val="24"/>
          <w:szCs w:val="24"/>
          <w:rtl/>
        </w:rPr>
      </w:pPr>
    </w:p>
    <w:p w14:paraId="6E79D1A6" w14:textId="77777777" w:rsidR="00555214" w:rsidRDefault="00555214" w:rsidP="00555214">
      <w:pPr>
        <w:pStyle w:val="a9"/>
        <w:rPr>
          <w:rFonts w:ascii="David" w:hAnsi="David" w:cs="David"/>
          <w:sz w:val="24"/>
          <w:szCs w:val="24"/>
          <w:rtl/>
        </w:rPr>
      </w:pPr>
    </w:p>
    <w:p w14:paraId="526CC1E4" w14:textId="77777777" w:rsidR="00555214" w:rsidRDefault="00555214" w:rsidP="00555214">
      <w:pPr>
        <w:pStyle w:val="a9"/>
        <w:rPr>
          <w:rFonts w:ascii="David" w:hAnsi="David" w:cs="David"/>
          <w:sz w:val="24"/>
          <w:szCs w:val="24"/>
        </w:rPr>
      </w:pPr>
    </w:p>
    <w:p w14:paraId="315739F2"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בע"פ 4456/17 </w:t>
      </w:r>
      <w:r>
        <w:rPr>
          <w:rFonts w:ascii="David" w:hAnsi="David" w:cs="David"/>
          <w:b/>
          <w:bCs/>
          <w:sz w:val="24"/>
          <w:szCs w:val="24"/>
          <w:rtl/>
        </w:rPr>
        <w:t xml:space="preserve">קלנר נ' מדינת ישראל, </w:t>
      </w:r>
      <w:r>
        <w:rPr>
          <w:rFonts w:ascii="David" w:hAnsi="David" w:cs="David"/>
          <w:sz w:val="24"/>
          <w:szCs w:val="24"/>
          <w:rtl/>
        </w:rPr>
        <w:t>פסקאות 221-222 (29.12.2015) נקבע כדלקמן:</w:t>
      </w:r>
    </w:p>
    <w:p w14:paraId="7A56C4E3" w14:textId="77777777" w:rsidR="00555214" w:rsidRPr="00DF5C76" w:rsidRDefault="00555214" w:rsidP="00555214">
      <w:pPr>
        <w:pStyle w:val="a9"/>
        <w:jc w:val="both"/>
        <w:rPr>
          <w:rFonts w:ascii="David" w:hAnsi="David" w:cs="David"/>
          <w:sz w:val="12"/>
          <w:szCs w:val="12"/>
        </w:rPr>
      </w:pPr>
    </w:p>
    <w:p w14:paraId="6DCC3FB5" w14:textId="77777777" w:rsidR="00555214" w:rsidRPr="00DF5C76" w:rsidRDefault="00555214" w:rsidP="00555214">
      <w:pPr>
        <w:pStyle w:val="a9"/>
        <w:tabs>
          <w:tab w:val="left" w:pos="226"/>
          <w:tab w:val="left" w:pos="509"/>
          <w:tab w:val="left" w:pos="651"/>
        </w:tabs>
        <w:spacing w:after="0" w:line="240" w:lineRule="auto"/>
        <w:ind w:left="1418" w:right="851"/>
        <w:jc w:val="both"/>
        <w:rPr>
          <w:rFonts w:ascii="FrankRuehl" w:hAnsi="FrankRuehl" w:cs="FrankRuehl"/>
          <w:b/>
          <w:bCs/>
          <w:sz w:val="28"/>
          <w:szCs w:val="28"/>
          <w:rtl/>
        </w:rPr>
      </w:pPr>
      <w:r w:rsidRPr="00DF5C76">
        <w:rPr>
          <w:rFonts w:ascii="FrankRuehl" w:hAnsi="FrankRuehl" w:cs="FrankRuehl"/>
          <w:b/>
          <w:bCs/>
          <w:sz w:val="28"/>
          <w:szCs w:val="28"/>
          <w:rtl/>
        </w:rPr>
        <w:t>"</w:t>
      </w:r>
      <w:r>
        <w:rPr>
          <w:rFonts w:ascii="FrankRuehl" w:hAnsi="FrankRuehl" w:cs="FrankRuehl"/>
          <w:b/>
          <w:bCs/>
          <w:sz w:val="28"/>
          <w:szCs w:val="28"/>
          <w:rtl/>
        </w:rPr>
        <w:t>בבוא בית המשפט לשקול חריגה מטעמי צדק ממתחם העונש ההולם, שומה עליו לאזן בין טעמי הצדק המצדיקים חריגה מן המתחם לבין חומרת המעשים שבהם הורשע הנאשם. [...]יש לבחון אם עונש של מאסר בפועל עלול לסכן את חייו של מי שהורשע בדין או לקצר בצורה ניכרת את תוחלת חייו, ולהביא מנגד, כאמור, את חומרת המעשים שבהם הורשע. תוצאת איזון זה עשויה להיות שליחתו של הנאשם לעונש מאסר בפועל הנמוך מתחתית מתחם הענישה שנקבע; או הימנעות מהשתת מאסר בפועל, גם מקום שבו "רצפת" מתחם העונש ההולם כוללת עונש מאסר בפועל, הכל לפי נסיבות המקרה. [...] גם נאשם החולה במחלה קשה, או כזה שהמאסר יסב לו סבל רב וייחודי, עלול להישלח לשאת בעונש מאסר בפועל, מאחורי סורג ובריח. הדברים נכונים גם כאשר עסקינן במי שמצבו הבריאותי רעוע. כבר נפסק כי "[...] מצב בריאותי קשה – איננו צריך בהכרח להקנות לעבריין פטור מעונש מאסר בפועל בגין מעשיו הרעים, ככל שעונש זה מוצדק לגביו לאחר הרשעתו [...]" (עניין פלוני, פסקה 14). כאשר עסקינן במצב רפואי, ככלל, הנחת המוצא היא כי גורמי הרפואה בשירות בתי הסוהר ערוכים לטפל באסירים במצבים רפואיים שונים, כולל כאלה שאינם פשוטים כלל ועיקר. את מצבו הרפואי של מי שהורשע בדין יש לאזן עם שיקולים רלוונטיים אחרים, ובכלל אלה הסיכון שנשקף לציבור ממנו. אין אפוא בדברינו אלה משום קביעת כלל שלפיו טענה לקיצור תוחלת חיים נושאת בצידה, מניה וביה, חסינות מפני עונש מאסר בפועל..."</w:t>
      </w:r>
    </w:p>
    <w:p w14:paraId="4FB4FDB6" w14:textId="77777777" w:rsidR="00555214" w:rsidRDefault="00555214" w:rsidP="00555214">
      <w:pPr>
        <w:pStyle w:val="a9"/>
        <w:rPr>
          <w:rFonts w:ascii="David" w:hAnsi="David" w:cs="David"/>
          <w:sz w:val="24"/>
          <w:szCs w:val="24"/>
        </w:rPr>
      </w:pPr>
    </w:p>
    <w:p w14:paraId="6D760BCD"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שקלתי בכובד ראש את </w:t>
      </w:r>
      <w:r>
        <w:rPr>
          <w:rFonts w:ascii="David" w:hAnsi="David" w:cs="David"/>
          <w:b/>
          <w:bCs/>
          <w:sz w:val="24"/>
          <w:szCs w:val="24"/>
          <w:rtl/>
        </w:rPr>
        <w:t xml:space="preserve">מצבו הרפואי </w:t>
      </w:r>
      <w:r>
        <w:rPr>
          <w:rFonts w:ascii="David" w:hAnsi="David" w:cs="David"/>
          <w:sz w:val="24"/>
          <w:szCs w:val="24"/>
          <w:rtl/>
        </w:rPr>
        <w:t xml:space="preserve">של הנאשם כפי שתואר מאסופת המסמכים הרפואיים שהוגשו לעיוני (טל/3-טל/8), ואולם, אינני סבורה כי יש בהם כדי להוביל לתוצאה המצדיקה חריגה מחוץ למתחם הענישה. </w:t>
      </w:r>
    </w:p>
    <w:p w14:paraId="64AFABC2"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Pr>
      </w:pPr>
    </w:p>
    <w:p w14:paraId="425D2E15"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 אכן, הנאשם סובל ממחלת לב איסכמית קשה, עבר שני צינתורים (האחרון בחודש אוקטובר 2024) ומבעיות רפואיות נוספות. מסמכיו הרפואיים מעידים על אשפוזים קצרים במהלך תקופת מעצרו באיזוק אלקטרוני, למשך יום- יומיים על רקע תלונה שסובל מקוצר נשימה (טל/7, טל/4) כן עלה כי הנאשם מעשן והגם ששולל שימוש באלכוהול וסמים, ישנה עדות רפואית לשימוש באלכוהול וקוקאין (טל/8). עיון בסיכום ביקור הרפואי העדכני מיום 23.1.25 שנערך על-ידי מנהל מכון ריאות בבית החולים אסף הרופא (טל/6) תואר כי הנאשם ביקר במיון פעמיים בעת האחרונה, לשם בירור כאבים בחזה וקוצר נשימה, ללא אבחנה מסוימת וצוין כי יתכן וקיים מרכיב של "</w:t>
      </w:r>
      <w:r>
        <w:rPr>
          <w:rFonts w:ascii="David" w:hAnsi="David" w:cs="David"/>
          <w:sz w:val="24"/>
          <w:szCs w:val="24"/>
        </w:rPr>
        <w:t>SICK ROLE</w:t>
      </w:r>
      <w:r>
        <w:rPr>
          <w:rFonts w:ascii="David" w:hAnsi="David" w:cs="David"/>
          <w:sz w:val="24"/>
          <w:szCs w:val="24"/>
          <w:rtl/>
        </w:rPr>
        <w:t>" (בתפקיד החולה) בתלונותיו. בסיכום הרפואי, הומלץ על המשך טיפול ביתי ופנייה לביטוח לאומי לבחינת זכאות לסיוע.</w:t>
      </w:r>
    </w:p>
    <w:p w14:paraId="0BBDB818"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084C29BE"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הנאשם מקבל סיוע של מספר שעות מביטוח לאומי, התייצב לדיונים כשהוא מסתייע בהליכון. לא הוצגו בפניי מסמכים אודות אחוזי הנכות להם זכאי או כל חוות דעת אחרת התומכת בטענתו כי השמתו מאחורי סורג ובריח תוביל לפגיעה ממשית בתוחלת חייו או ששלטונות שב"ס אינם ערוכים לטפל במצבו הבריאותי. </w:t>
      </w:r>
    </w:p>
    <w:p w14:paraId="6CEA1A43" w14:textId="77777777" w:rsidR="00555214" w:rsidRDefault="00555214" w:rsidP="00555214">
      <w:pPr>
        <w:pStyle w:val="a9"/>
        <w:rPr>
          <w:rFonts w:ascii="David" w:hAnsi="David" w:cs="David"/>
          <w:sz w:val="24"/>
          <w:szCs w:val="24"/>
        </w:rPr>
      </w:pPr>
    </w:p>
    <w:p w14:paraId="6BFE7E0A"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מנגד, הוגש מטעם המאשימה מסמך כללי משלטונות שב"ס (טל/2) ממנו עולה כי מערך הרפואה בשב"ס ערוך למתן מענה רפואי לאוכלוסיית האסירים וביניהם כאלה הסובלים ממחלות כרוניות שונות, לרבות חולי דיאליזה וחולי סרטן לסוגיו, תוך שימת דגש שהמענה הרפואי מוענק באמצעות המרכז הרפואי ברמלה (מר"ש) השוכן בסמיכות למרכז הרפואי ע"ש יצחק שמיר. כן צוין, שכל נאשם שנדון לריצוי מאסר בפועל וסובל מחולי המצריך טיפול רפואי, עובר הערכת מצב רפואית בכפוף להמצאת כל מסמכיו הרפואיים ביום קליטתו בשב"ס. </w:t>
      </w:r>
    </w:p>
    <w:p w14:paraId="1D362FA9"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42CF1AC5"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דברים אלו, מגובים בהוראת </w:t>
      </w:r>
      <w:hyperlink r:id="rId38" w:history="1">
        <w:r w:rsidR="003C3F22" w:rsidRPr="003C3F22">
          <w:rPr>
            <w:rStyle w:val="Hyperlink"/>
            <w:rFonts w:ascii="David" w:hAnsi="David" w:cs="David"/>
            <w:color w:val="0000FF"/>
            <w:sz w:val="24"/>
            <w:szCs w:val="24"/>
            <w:rtl/>
          </w:rPr>
          <w:t>סעיף 6</w:t>
        </w:r>
      </w:hyperlink>
      <w:r>
        <w:rPr>
          <w:rFonts w:ascii="David" w:hAnsi="David" w:cs="David"/>
          <w:sz w:val="24"/>
          <w:szCs w:val="24"/>
          <w:rtl/>
        </w:rPr>
        <w:t xml:space="preserve"> ל</w:t>
      </w:r>
      <w:hyperlink r:id="rId39" w:history="1">
        <w:r w:rsidR="008B5803" w:rsidRPr="008B5803">
          <w:rPr>
            <w:rFonts w:ascii="David" w:hAnsi="David" w:cs="David"/>
            <w:color w:val="0000FF"/>
            <w:sz w:val="24"/>
            <w:szCs w:val="24"/>
            <w:u w:val="single"/>
            <w:rtl/>
          </w:rPr>
          <w:t>פקודת בתי הסוהר</w:t>
        </w:r>
      </w:hyperlink>
      <w:r>
        <w:rPr>
          <w:rFonts w:ascii="David" w:hAnsi="David" w:cs="David"/>
          <w:sz w:val="24"/>
          <w:szCs w:val="24"/>
          <w:rtl/>
        </w:rPr>
        <w:t xml:space="preserve"> [נוסח חדש], התשל"ב-1971 (להלן: "הפקודה") הקובעת כדלקמן: </w:t>
      </w:r>
      <w:r>
        <w:rPr>
          <w:rFonts w:ascii="David" w:hAnsi="David" w:cs="David"/>
          <w:b/>
          <w:bCs/>
          <w:sz w:val="24"/>
          <w:szCs w:val="24"/>
          <w:rtl/>
        </w:rPr>
        <w:t>"סמוך ככל האפשר לאחר שנתקבל ייבדק כל אסיר בנפרד על ידי רופא, ועד שייבדק יופרד במידת האפשר מאסירים אחרים. הרופא ירשום את מצב בריאותו של האסיר ופרטים אחרים שנקבעו"</w:t>
      </w:r>
      <w:r>
        <w:rPr>
          <w:rFonts w:ascii="David" w:hAnsi="David" w:cs="David"/>
          <w:sz w:val="24"/>
          <w:szCs w:val="24"/>
          <w:rtl/>
        </w:rPr>
        <w:t xml:space="preserve">. </w:t>
      </w:r>
    </w:p>
    <w:p w14:paraId="1E42D022"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043776A8"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הוראת </w:t>
      </w:r>
      <w:hyperlink r:id="rId40" w:history="1">
        <w:r w:rsidR="003C3F22" w:rsidRPr="003C3F22">
          <w:rPr>
            <w:rStyle w:val="Hyperlink"/>
            <w:rFonts w:ascii="David" w:hAnsi="David" w:cs="David"/>
            <w:color w:val="0000FF"/>
            <w:sz w:val="24"/>
            <w:szCs w:val="24"/>
            <w:rtl/>
          </w:rPr>
          <w:t>סעיף 16</w:t>
        </w:r>
      </w:hyperlink>
      <w:r>
        <w:rPr>
          <w:rFonts w:ascii="David" w:hAnsi="David" w:cs="David"/>
          <w:sz w:val="24"/>
          <w:szCs w:val="24"/>
          <w:rtl/>
        </w:rPr>
        <w:t xml:space="preserve"> לפקודה, קובעת כי </w:t>
      </w:r>
      <w:r>
        <w:rPr>
          <w:rFonts w:ascii="David" w:hAnsi="David" w:cs="David"/>
          <w:b/>
          <w:bCs/>
          <w:sz w:val="24"/>
          <w:szCs w:val="24"/>
          <w:rtl/>
        </w:rPr>
        <w:t>"(א) חלה אסיר במחלה ואין בבית הסוהר שבו הוא כלוא תנאי אשפוז מתאימים לכך, רשאי מנהל בית הסוהר, על סמך תעודת רופא, להורות להעבירו לבית חולים, וכל זמן שהוא נשאר שם ותקופת מאסרו טרם פגה ייחשב כאילו הוא במשמורת כדין..."</w:t>
      </w:r>
      <w:r>
        <w:rPr>
          <w:rFonts w:ascii="David" w:hAnsi="David" w:cs="David"/>
          <w:sz w:val="24"/>
          <w:szCs w:val="24"/>
          <w:rtl/>
        </w:rPr>
        <w:t xml:space="preserve">. [ראו: </w:t>
      </w:r>
      <w:hyperlink r:id="rId41" w:history="1">
        <w:r w:rsidR="008B5803" w:rsidRPr="008B5803">
          <w:rPr>
            <w:rFonts w:ascii="David" w:hAnsi="David" w:cs="David"/>
            <w:color w:val="0000FF"/>
            <w:sz w:val="24"/>
            <w:szCs w:val="24"/>
            <w:u w:val="single"/>
            <w:rtl/>
          </w:rPr>
          <w:t>ע"פ 2725/20</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(7.10.2020)]. </w:t>
      </w:r>
    </w:p>
    <w:p w14:paraId="5ECFB763"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tl/>
        </w:rPr>
      </w:pPr>
    </w:p>
    <w:p w14:paraId="61BB3F2F"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נתתי דעתי לכך שהנאשם היה עצור בין התאריכים 4.9.2024 ועד 26.9.2025 ומאז שוהה במעצר באיזוק אלקטרוני.</w:t>
      </w:r>
    </w:p>
    <w:p w14:paraId="6773CF54" w14:textId="77777777" w:rsidR="00555214" w:rsidRDefault="00555214" w:rsidP="00555214">
      <w:pPr>
        <w:pStyle w:val="a9"/>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 </w:t>
      </w:r>
    </w:p>
    <w:p w14:paraId="60E5C0E0" w14:textId="77777777" w:rsidR="00555214" w:rsidRDefault="00555214" w:rsidP="00555214">
      <w:pPr>
        <w:pStyle w:val="a9"/>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נוכח כל האמור, לא מצאתי כי יש במצבו הרפואי של הנאשם, מבלי להקל ראש, כדי למנוע ענישה מאחורי סורג ובריח ואינו מצדיק חריגה ממתחם העונש ההולם, אך בהחלט יש בו כדי להוות שיקול לקולה משמעותי כדי למקמו בתחתית מתחם העונש. </w:t>
      </w:r>
    </w:p>
    <w:p w14:paraId="692538C6" w14:textId="77777777" w:rsidR="00555214" w:rsidRDefault="00555214" w:rsidP="00555214">
      <w:pPr>
        <w:tabs>
          <w:tab w:val="left" w:pos="226"/>
          <w:tab w:val="left" w:pos="509"/>
          <w:tab w:val="left" w:pos="651"/>
        </w:tabs>
        <w:spacing w:line="360" w:lineRule="auto"/>
        <w:jc w:val="both"/>
        <w:rPr>
          <w:rFonts w:ascii="David" w:hAnsi="David"/>
        </w:rPr>
      </w:pPr>
    </w:p>
    <w:p w14:paraId="53FFF73E" w14:textId="77777777" w:rsidR="00555214" w:rsidRDefault="00555214" w:rsidP="00555214">
      <w:pPr>
        <w:pStyle w:val="a9"/>
        <w:rPr>
          <w:rFonts w:ascii="David" w:hAnsi="David" w:cs="David"/>
          <w:sz w:val="24"/>
          <w:szCs w:val="24"/>
          <w:rtl/>
        </w:rPr>
      </w:pPr>
    </w:p>
    <w:p w14:paraId="1DBCF445" w14:textId="77777777" w:rsidR="00555214" w:rsidRDefault="00555214" w:rsidP="00555214">
      <w:pPr>
        <w:pStyle w:val="a9"/>
        <w:rPr>
          <w:rFonts w:ascii="David" w:hAnsi="David" w:cs="David"/>
          <w:sz w:val="24"/>
          <w:szCs w:val="24"/>
          <w:rtl/>
        </w:rPr>
      </w:pPr>
    </w:p>
    <w:p w14:paraId="74F3C05F" w14:textId="77777777" w:rsidR="00555214" w:rsidRDefault="00555214" w:rsidP="00555214">
      <w:pPr>
        <w:pStyle w:val="a9"/>
        <w:rPr>
          <w:rFonts w:ascii="David" w:hAnsi="David" w:cs="David"/>
          <w:sz w:val="24"/>
          <w:szCs w:val="24"/>
          <w:rtl/>
        </w:rPr>
      </w:pPr>
    </w:p>
    <w:p w14:paraId="4627FD63" w14:textId="77777777" w:rsidR="00555214" w:rsidRDefault="00555214" w:rsidP="00555214">
      <w:pPr>
        <w:rPr>
          <w:rFonts w:ascii="David" w:hAnsi="David"/>
          <w:sz w:val="2"/>
          <w:szCs w:val="2"/>
          <w:rtl/>
        </w:rPr>
      </w:pPr>
    </w:p>
    <w:p w14:paraId="0730A8FE" w14:textId="77777777" w:rsidR="00555214" w:rsidRDefault="00555214" w:rsidP="00555214">
      <w:pPr>
        <w:rPr>
          <w:rFonts w:ascii="David" w:hAnsi="David"/>
          <w:sz w:val="2"/>
          <w:szCs w:val="2"/>
          <w:rtl/>
        </w:rPr>
      </w:pPr>
    </w:p>
    <w:p w14:paraId="70CFCC92" w14:textId="77777777" w:rsidR="00555214" w:rsidRPr="00765D09" w:rsidRDefault="00555214" w:rsidP="00555214">
      <w:pPr>
        <w:rPr>
          <w:rFonts w:ascii="David" w:hAnsi="David"/>
          <w:sz w:val="2"/>
          <w:szCs w:val="2"/>
          <w:rtl/>
        </w:rPr>
      </w:pPr>
    </w:p>
    <w:p w14:paraId="6EE7F4FF" w14:textId="77777777" w:rsidR="00555214" w:rsidRDefault="00555214" w:rsidP="00555214">
      <w:pPr>
        <w:pStyle w:val="a9"/>
        <w:numPr>
          <w:ilvl w:val="0"/>
          <w:numId w:val="1"/>
        </w:numPr>
        <w:tabs>
          <w:tab w:val="left" w:pos="226"/>
          <w:tab w:val="left" w:pos="509"/>
          <w:tab w:val="left" w:pos="651"/>
        </w:tabs>
        <w:spacing w:line="360" w:lineRule="auto"/>
        <w:jc w:val="both"/>
        <w:rPr>
          <w:rFonts w:ascii="David" w:hAnsi="David" w:cs="David"/>
          <w:sz w:val="24"/>
          <w:szCs w:val="24"/>
        </w:rPr>
      </w:pPr>
      <w:r w:rsidRPr="00DF5C76">
        <w:rPr>
          <w:rFonts w:ascii="David" w:hAnsi="David" w:cs="David"/>
          <w:b/>
          <w:bCs/>
          <w:sz w:val="24"/>
          <w:szCs w:val="24"/>
          <w:u w:val="double"/>
          <w:rtl/>
        </w:rPr>
        <w:t>סוף דבר</w:t>
      </w:r>
      <w:r>
        <w:rPr>
          <w:rFonts w:ascii="David" w:hAnsi="David" w:cs="David"/>
          <w:sz w:val="24"/>
          <w:szCs w:val="24"/>
          <w:rtl/>
        </w:rPr>
        <w:t>:</w:t>
      </w:r>
    </w:p>
    <w:p w14:paraId="53AED37F" w14:textId="77777777" w:rsidR="00555214" w:rsidRPr="00765D09" w:rsidRDefault="00555214" w:rsidP="00555214">
      <w:pPr>
        <w:pStyle w:val="a9"/>
        <w:tabs>
          <w:tab w:val="left" w:pos="226"/>
          <w:tab w:val="left" w:pos="509"/>
          <w:tab w:val="left" w:pos="651"/>
        </w:tabs>
        <w:spacing w:line="360" w:lineRule="auto"/>
        <w:jc w:val="both"/>
        <w:rPr>
          <w:rFonts w:ascii="David" w:hAnsi="David" w:cs="David"/>
          <w:sz w:val="2"/>
          <w:szCs w:val="2"/>
          <w:rtl/>
        </w:rPr>
      </w:pPr>
    </w:p>
    <w:p w14:paraId="74F48886" w14:textId="77777777" w:rsidR="00555214" w:rsidRDefault="00555214" w:rsidP="00555214">
      <w:pPr>
        <w:numPr>
          <w:ilvl w:val="0"/>
          <w:numId w:val="2"/>
        </w:numPr>
        <w:tabs>
          <w:tab w:val="left" w:pos="226"/>
          <w:tab w:val="left" w:pos="509"/>
          <w:tab w:val="left" w:pos="651"/>
        </w:tabs>
        <w:spacing w:after="160" w:line="360" w:lineRule="auto"/>
        <w:jc w:val="both"/>
        <w:rPr>
          <w:rFonts w:ascii="David" w:hAnsi="David"/>
          <w:rtl/>
        </w:rPr>
      </w:pPr>
      <w:r>
        <w:rPr>
          <w:rFonts w:ascii="David" w:hAnsi="David"/>
          <w:rtl/>
        </w:rPr>
        <w:t xml:space="preserve"> </w:t>
      </w:r>
      <w:r>
        <w:rPr>
          <w:rFonts w:ascii="David" w:hAnsi="David"/>
          <w:b/>
          <w:bCs/>
          <w:u w:val="single"/>
          <w:rtl/>
        </w:rPr>
        <w:t>אני גוזרת על הנאשם את העונשים הבאים</w:t>
      </w:r>
      <w:r>
        <w:rPr>
          <w:rFonts w:ascii="David" w:hAnsi="David"/>
          <w:rtl/>
        </w:rPr>
        <w:t>:</w:t>
      </w:r>
    </w:p>
    <w:p w14:paraId="64267144" w14:textId="77777777" w:rsidR="00555214" w:rsidRPr="00765D09" w:rsidRDefault="00555214" w:rsidP="00555214">
      <w:pPr>
        <w:tabs>
          <w:tab w:val="left" w:pos="226"/>
          <w:tab w:val="left" w:pos="509"/>
          <w:tab w:val="left" w:pos="651"/>
        </w:tabs>
        <w:spacing w:line="360" w:lineRule="auto"/>
        <w:ind w:left="720"/>
        <w:jc w:val="both"/>
        <w:rPr>
          <w:rFonts w:ascii="David" w:hAnsi="David"/>
          <w:sz w:val="2"/>
          <w:szCs w:val="2"/>
          <w:rtl/>
        </w:rPr>
      </w:pPr>
    </w:p>
    <w:p w14:paraId="31D42FD2" w14:textId="77777777" w:rsidR="00555214" w:rsidRDefault="00555214" w:rsidP="00555214">
      <w:pPr>
        <w:pStyle w:val="a9"/>
        <w:numPr>
          <w:ilvl w:val="0"/>
          <w:numId w:val="4"/>
        </w:numPr>
        <w:spacing w:after="0" w:line="360" w:lineRule="auto"/>
        <w:jc w:val="both"/>
        <w:rPr>
          <w:rFonts w:ascii="David" w:hAnsi="David" w:cs="David"/>
          <w:sz w:val="24"/>
          <w:szCs w:val="24"/>
        </w:rPr>
      </w:pPr>
      <w:r>
        <w:rPr>
          <w:rFonts w:ascii="David" w:hAnsi="David" w:cs="David"/>
          <w:sz w:val="24"/>
          <w:szCs w:val="24"/>
          <w:rtl/>
        </w:rPr>
        <w:t>24 חודשי מאסר בפועל בניכוי תקופת מעצרו לפי רישומי שב"ס.</w:t>
      </w:r>
    </w:p>
    <w:p w14:paraId="343B5744" w14:textId="77777777" w:rsidR="00555214" w:rsidRPr="00765D09" w:rsidRDefault="00555214" w:rsidP="00555214">
      <w:pPr>
        <w:pStyle w:val="a9"/>
        <w:spacing w:after="0" w:line="360" w:lineRule="auto"/>
        <w:ind w:left="1080"/>
        <w:jc w:val="both"/>
        <w:rPr>
          <w:rFonts w:ascii="David" w:hAnsi="David" w:cs="David"/>
          <w:sz w:val="24"/>
          <w:szCs w:val="24"/>
          <w:rtl/>
        </w:rPr>
      </w:pPr>
      <w:r w:rsidRPr="005D6B96">
        <w:rPr>
          <w:rFonts w:ascii="David" w:hAnsi="David" w:cs="David"/>
          <w:sz w:val="24"/>
          <w:szCs w:val="24"/>
          <w:rtl/>
        </w:rPr>
        <w:t>הנאשם יתייצב לנשיאת מאסרו בבית סוהר</w:t>
      </w:r>
      <w:r>
        <w:rPr>
          <w:rFonts w:ascii="David" w:hAnsi="David" w:cs="David" w:hint="cs"/>
          <w:sz w:val="24"/>
          <w:szCs w:val="24"/>
          <w:rtl/>
        </w:rPr>
        <w:t xml:space="preserve"> הדרים </w:t>
      </w:r>
      <w:r w:rsidRPr="005D6B96">
        <w:rPr>
          <w:rFonts w:ascii="David" w:hAnsi="David" w:cs="David"/>
          <w:sz w:val="24"/>
          <w:szCs w:val="24"/>
          <w:rtl/>
        </w:rPr>
        <w:t xml:space="preserve">ביום  </w:t>
      </w:r>
      <w:r>
        <w:rPr>
          <w:rFonts w:ascii="David" w:hAnsi="David" w:cs="David" w:hint="cs"/>
          <w:sz w:val="24"/>
          <w:szCs w:val="24"/>
          <w:rtl/>
        </w:rPr>
        <w:t>11.5.2025</w:t>
      </w:r>
      <w:r w:rsidRPr="005D6B96">
        <w:rPr>
          <w:rFonts w:ascii="David" w:hAnsi="David" w:cs="David"/>
          <w:sz w:val="24"/>
          <w:szCs w:val="24"/>
          <w:rtl/>
        </w:rPr>
        <w:t xml:space="preserve"> עד השעה 10:00 או על פי החלטת שב"ס כשברשותו תעודת זהות וגזר דין. על ב"כ הנאשם לתאם את הכניסה למאסר, כולל האפשרות למיון מוקדם, עם ענף אבחון ומיון של שב"ס, טלפונים: 08-9787377, 08-9787336 ולהתעדכן באתר האינטרנט של שב"ס, ברשימת הציוד הראשוני שניתן להביא </w:t>
      </w:r>
      <w:r w:rsidRPr="00765D09">
        <w:rPr>
          <w:rFonts w:ascii="David" w:hAnsi="David" w:cs="David"/>
          <w:sz w:val="24"/>
          <w:szCs w:val="24"/>
          <w:rtl/>
        </w:rPr>
        <w:t>בעת ההתייצבות.</w:t>
      </w:r>
      <w:r w:rsidRPr="00765D09">
        <w:rPr>
          <w:rFonts w:ascii="David" w:hAnsi="David" w:cs="David" w:hint="cs"/>
          <w:sz w:val="24"/>
          <w:szCs w:val="24"/>
          <w:rtl/>
        </w:rPr>
        <w:t xml:space="preserve"> </w:t>
      </w:r>
      <w:r w:rsidRPr="00765D09">
        <w:rPr>
          <w:rFonts w:ascii="David" w:hAnsi="David" w:cs="David"/>
          <w:sz w:val="24"/>
          <w:szCs w:val="24"/>
          <w:rtl/>
        </w:rPr>
        <w:t>כן אני מורה על הוצאת צו עיכוב יציאה מהארץ למשך 180 יום או עד להתייצבות ה</w:t>
      </w:r>
      <w:r>
        <w:rPr>
          <w:rFonts w:ascii="David" w:hAnsi="David" w:cs="David"/>
          <w:sz w:val="24"/>
          <w:szCs w:val="24"/>
          <w:rtl/>
        </w:rPr>
        <w:t xml:space="preserve">נאשם במאסר לפי המוקדם. </w:t>
      </w:r>
      <w:r w:rsidRPr="00765D09">
        <w:rPr>
          <w:rFonts w:ascii="David" w:hAnsi="David" w:cs="David"/>
          <w:sz w:val="24"/>
          <w:szCs w:val="24"/>
          <w:rtl/>
        </w:rPr>
        <w:t>תנאי הפיקוח האלקטרוני יעמדו בתוקף עד כניסה למאסר.</w:t>
      </w:r>
    </w:p>
    <w:p w14:paraId="638FAC95" w14:textId="77777777" w:rsidR="00555214" w:rsidRPr="00765D09" w:rsidRDefault="00555214" w:rsidP="00555214">
      <w:pPr>
        <w:spacing w:line="360" w:lineRule="auto"/>
        <w:jc w:val="both"/>
        <w:rPr>
          <w:rFonts w:ascii="David" w:hAnsi="David"/>
          <w:sz w:val="14"/>
          <w:szCs w:val="14"/>
        </w:rPr>
      </w:pPr>
    </w:p>
    <w:p w14:paraId="19DCCB04" w14:textId="77777777" w:rsidR="00555214" w:rsidRDefault="00555214" w:rsidP="00555214">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6 חודשי מאסר, אותם לא ירצה הנאשם אלא אם יעבור בתוך שלוש שנים מיום שחרורו כל עבירת סמים מסוג פשע. </w:t>
      </w:r>
    </w:p>
    <w:p w14:paraId="466507BC" w14:textId="77777777" w:rsidR="00555214" w:rsidRPr="00765D09" w:rsidRDefault="00555214" w:rsidP="00555214">
      <w:pPr>
        <w:pStyle w:val="a9"/>
        <w:rPr>
          <w:rFonts w:ascii="David" w:hAnsi="David" w:cs="David"/>
          <w:sz w:val="18"/>
          <w:szCs w:val="18"/>
          <w:rtl/>
        </w:rPr>
      </w:pPr>
    </w:p>
    <w:p w14:paraId="2CE68260" w14:textId="77777777" w:rsidR="00555214" w:rsidRDefault="00555214" w:rsidP="00555214">
      <w:pPr>
        <w:pStyle w:val="a9"/>
        <w:numPr>
          <w:ilvl w:val="0"/>
          <w:numId w:val="4"/>
        </w:numPr>
        <w:spacing w:after="0" w:line="360" w:lineRule="auto"/>
        <w:jc w:val="both"/>
        <w:rPr>
          <w:rFonts w:ascii="David" w:hAnsi="David" w:cs="David"/>
          <w:sz w:val="24"/>
          <w:szCs w:val="24"/>
        </w:rPr>
      </w:pPr>
      <w:r>
        <w:rPr>
          <w:rFonts w:ascii="David" w:hAnsi="David" w:cs="David"/>
          <w:sz w:val="24"/>
          <w:szCs w:val="24"/>
          <w:rtl/>
        </w:rPr>
        <w:t>3 חודשי מאסר, אותם לא ירצה הנאשם אלא אם יעבור בתוך שלוש שנים מיום שחרורו כל עבירת סמים מסוג עוון.</w:t>
      </w:r>
    </w:p>
    <w:p w14:paraId="222476DE" w14:textId="77777777" w:rsidR="00555214" w:rsidRPr="00765D09" w:rsidRDefault="00555214" w:rsidP="00555214">
      <w:pPr>
        <w:pStyle w:val="a9"/>
        <w:rPr>
          <w:rFonts w:ascii="David" w:hAnsi="David" w:cs="David"/>
          <w:sz w:val="16"/>
          <w:szCs w:val="16"/>
        </w:rPr>
      </w:pPr>
    </w:p>
    <w:p w14:paraId="6BF0DBE4" w14:textId="77777777" w:rsidR="00555214" w:rsidRPr="003C6F8F" w:rsidRDefault="00555214" w:rsidP="00555214">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קנס בסך 8,000 ₪  או 80 ימי מאסר תמורתו. הקנס ישולם ב-5 תשלומים חודשיים שווים ורצופים, החל מיום 1.</w:t>
      </w:r>
      <w:r>
        <w:rPr>
          <w:rFonts w:ascii="David" w:hAnsi="David" w:cs="David" w:hint="cs"/>
          <w:sz w:val="24"/>
          <w:szCs w:val="24"/>
          <w:rtl/>
        </w:rPr>
        <w:t>6</w:t>
      </w:r>
      <w:r>
        <w:rPr>
          <w:rFonts w:ascii="David" w:hAnsi="David" w:cs="David"/>
          <w:sz w:val="24"/>
          <w:szCs w:val="24"/>
          <w:rtl/>
        </w:rPr>
        <w:t xml:space="preserve">.2025 ובכל אחד בחודש שלאחריו. לא ישולם איזה מהתשלומים במועדו, תעמוד יתרת הקנס לפירעון מידי. </w:t>
      </w:r>
      <w:r>
        <w:rPr>
          <w:rFonts w:ascii="David" w:hAnsi="David" w:cs="David" w:hint="cs"/>
          <w:sz w:val="24"/>
          <w:szCs w:val="24"/>
          <w:rtl/>
        </w:rPr>
        <w:t xml:space="preserve"> בהסכמת הנאשם, ככל שקיימת הפקדה היא תקוזז לטובת הקנס והיתרה תשולם לא יאוחר מיום 1.7.2025.</w:t>
      </w:r>
    </w:p>
    <w:p w14:paraId="1230B158" w14:textId="77777777" w:rsidR="00555214" w:rsidRPr="00765D09" w:rsidRDefault="00555214" w:rsidP="00555214">
      <w:pPr>
        <w:spacing w:line="360" w:lineRule="auto"/>
        <w:jc w:val="both"/>
        <w:rPr>
          <w:rFonts w:ascii="David" w:hAnsi="David"/>
          <w:sz w:val="8"/>
          <w:szCs w:val="8"/>
        </w:rPr>
      </w:pPr>
    </w:p>
    <w:p w14:paraId="711025A7" w14:textId="77777777" w:rsidR="00555214" w:rsidRDefault="00555214" w:rsidP="00555214">
      <w:pPr>
        <w:pStyle w:val="a9"/>
        <w:spacing w:after="0" w:line="360" w:lineRule="auto"/>
        <w:ind w:left="1080"/>
        <w:jc w:val="both"/>
        <w:rPr>
          <w:rFonts w:ascii="David" w:hAnsi="David" w:cs="David"/>
          <w:sz w:val="24"/>
          <w:szCs w:val="24"/>
        </w:rPr>
      </w:pPr>
      <w:r>
        <w:rPr>
          <w:rFonts w:ascii="David" w:hAnsi="David" w:cs="David"/>
          <w:sz w:val="24"/>
          <w:szCs w:val="24"/>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138169B6" w14:textId="77777777" w:rsidR="00555214" w:rsidRPr="00765D09" w:rsidRDefault="00555214" w:rsidP="00555214">
      <w:pPr>
        <w:numPr>
          <w:ilvl w:val="0"/>
          <w:numId w:val="5"/>
        </w:numPr>
        <w:ind w:left="1434" w:hanging="357"/>
        <w:jc w:val="both"/>
        <w:rPr>
          <w:rFonts w:ascii="David" w:hAnsi="David"/>
          <w:sz w:val="22"/>
          <w:szCs w:val="22"/>
        </w:rPr>
      </w:pPr>
      <w:r w:rsidRPr="00765D09">
        <w:rPr>
          <w:rFonts w:ascii="David" w:hAnsi="David"/>
          <w:sz w:val="22"/>
          <w:szCs w:val="22"/>
          <w:rtl/>
        </w:rPr>
        <w:t xml:space="preserve">כרטיס אשראי באתר המקוון של רשות האכיפה והגביה </w:t>
      </w:r>
      <w:hyperlink r:id="rId42" w:history="1">
        <w:r w:rsidRPr="00765D09">
          <w:rPr>
            <w:rStyle w:val="Hyperlink"/>
            <w:rFonts w:ascii="David" w:hAnsi="David"/>
            <w:sz w:val="22"/>
            <w:szCs w:val="22"/>
          </w:rPr>
          <w:t>www.eca.gov.il</w:t>
        </w:r>
      </w:hyperlink>
      <w:r w:rsidRPr="00765D09">
        <w:rPr>
          <w:rFonts w:ascii="David" w:hAnsi="David"/>
          <w:sz w:val="22"/>
          <w:szCs w:val="22"/>
          <w:rtl/>
        </w:rPr>
        <w:t xml:space="preserve">; </w:t>
      </w:r>
    </w:p>
    <w:p w14:paraId="66C13046" w14:textId="77777777" w:rsidR="00555214" w:rsidRPr="00765D09" w:rsidRDefault="00555214" w:rsidP="00555214">
      <w:pPr>
        <w:numPr>
          <w:ilvl w:val="0"/>
          <w:numId w:val="5"/>
        </w:numPr>
        <w:ind w:left="1434" w:hanging="357"/>
        <w:jc w:val="both"/>
        <w:rPr>
          <w:rFonts w:ascii="David" w:hAnsi="David"/>
          <w:sz w:val="22"/>
          <w:szCs w:val="22"/>
          <w:rtl/>
        </w:rPr>
      </w:pPr>
      <w:r w:rsidRPr="00765D09">
        <w:rPr>
          <w:rFonts w:ascii="David" w:hAnsi="David"/>
          <w:sz w:val="22"/>
          <w:szCs w:val="22"/>
          <w:rtl/>
        </w:rPr>
        <w:t xml:space="preserve">מוקד שירות טלפוני בשירות עצמי (מרכז גביה) 35592* או בטלפון 073-2055000; </w:t>
      </w:r>
    </w:p>
    <w:p w14:paraId="1C65E05F" w14:textId="77777777" w:rsidR="00555214" w:rsidRPr="00765D09" w:rsidRDefault="00555214" w:rsidP="00555214">
      <w:pPr>
        <w:numPr>
          <w:ilvl w:val="0"/>
          <w:numId w:val="5"/>
        </w:numPr>
        <w:ind w:left="1434" w:hanging="357"/>
        <w:jc w:val="both"/>
        <w:rPr>
          <w:rFonts w:ascii="David" w:hAnsi="David"/>
          <w:sz w:val="22"/>
          <w:szCs w:val="22"/>
        </w:rPr>
      </w:pPr>
      <w:r w:rsidRPr="00765D09">
        <w:rPr>
          <w:rFonts w:ascii="David" w:hAnsi="David"/>
          <w:sz w:val="22"/>
          <w:szCs w:val="22"/>
          <w:rtl/>
        </w:rPr>
        <w:t xml:space="preserve">במזומן בכל סניף של בנק דואר בהצגת תעודת זהות בלבד (אין צורך בשוברים). </w:t>
      </w:r>
    </w:p>
    <w:p w14:paraId="0B5D686B" w14:textId="77777777" w:rsidR="00555214" w:rsidRDefault="00555214" w:rsidP="00555214">
      <w:pPr>
        <w:spacing w:line="360" w:lineRule="auto"/>
        <w:jc w:val="both"/>
        <w:rPr>
          <w:rFonts w:ascii="David" w:eastAsia="David" w:hAnsi="David"/>
          <w:rtl/>
        </w:rPr>
      </w:pPr>
      <w:r w:rsidRPr="00765D09">
        <w:rPr>
          <w:rFonts w:ascii="David" w:eastAsia="David" w:hAnsi="David"/>
          <w:sz w:val="22"/>
          <w:szCs w:val="22"/>
          <w:rtl/>
        </w:rPr>
        <w:t xml:space="preserve"> </w:t>
      </w:r>
    </w:p>
    <w:p w14:paraId="197B846D" w14:textId="77777777" w:rsidR="00555214" w:rsidRDefault="00555214" w:rsidP="00555214">
      <w:pPr>
        <w:spacing w:line="360" w:lineRule="auto"/>
        <w:jc w:val="both"/>
        <w:rPr>
          <w:rFonts w:ascii="David" w:eastAsia="David" w:hAnsi="David"/>
          <w:rtl/>
        </w:rPr>
      </w:pPr>
    </w:p>
    <w:p w14:paraId="3293FBE0" w14:textId="77777777" w:rsidR="00555214" w:rsidRDefault="00555214" w:rsidP="00555214">
      <w:pPr>
        <w:spacing w:line="360" w:lineRule="auto"/>
        <w:jc w:val="both"/>
        <w:rPr>
          <w:rFonts w:ascii="David" w:eastAsia="David" w:hAnsi="David"/>
          <w:rtl/>
        </w:rPr>
      </w:pPr>
    </w:p>
    <w:p w14:paraId="723295A4" w14:textId="77777777" w:rsidR="00555214" w:rsidRDefault="00555214" w:rsidP="00555214">
      <w:pPr>
        <w:spacing w:line="360" w:lineRule="auto"/>
        <w:jc w:val="both"/>
        <w:rPr>
          <w:rFonts w:ascii="David" w:eastAsia="David" w:hAnsi="David"/>
          <w:rtl/>
        </w:rPr>
      </w:pPr>
    </w:p>
    <w:p w14:paraId="19A3A98B" w14:textId="77777777" w:rsidR="00555214" w:rsidRDefault="00555214" w:rsidP="00555214">
      <w:pPr>
        <w:spacing w:line="360" w:lineRule="auto"/>
        <w:jc w:val="both"/>
        <w:rPr>
          <w:rFonts w:ascii="David" w:eastAsia="David" w:hAnsi="David"/>
          <w:rtl/>
        </w:rPr>
      </w:pPr>
    </w:p>
    <w:p w14:paraId="36AC01CE" w14:textId="77777777" w:rsidR="00555214" w:rsidRDefault="00555214" w:rsidP="00555214">
      <w:pPr>
        <w:spacing w:line="360" w:lineRule="auto"/>
        <w:jc w:val="both"/>
        <w:rPr>
          <w:rFonts w:ascii="David" w:eastAsia="David" w:hAnsi="David"/>
          <w:rtl/>
        </w:rPr>
      </w:pPr>
    </w:p>
    <w:p w14:paraId="7FCDFA2C" w14:textId="77777777" w:rsidR="00555214" w:rsidRDefault="00555214" w:rsidP="00555214">
      <w:pPr>
        <w:spacing w:line="360" w:lineRule="auto"/>
        <w:jc w:val="both"/>
        <w:rPr>
          <w:rFonts w:ascii="David" w:eastAsia="David" w:hAnsi="David"/>
          <w:rtl/>
        </w:rPr>
      </w:pPr>
    </w:p>
    <w:p w14:paraId="1C036EFC" w14:textId="77777777" w:rsidR="00555214" w:rsidRDefault="00555214" w:rsidP="00555214">
      <w:pPr>
        <w:spacing w:line="360" w:lineRule="auto"/>
        <w:jc w:val="both"/>
        <w:rPr>
          <w:rFonts w:ascii="David" w:eastAsia="David" w:hAnsi="David"/>
          <w:rtl/>
        </w:rPr>
      </w:pPr>
    </w:p>
    <w:p w14:paraId="4AC57CE8" w14:textId="77777777" w:rsidR="00555214" w:rsidRDefault="00555214" w:rsidP="00555214">
      <w:pPr>
        <w:spacing w:line="360" w:lineRule="auto"/>
        <w:jc w:val="both"/>
        <w:rPr>
          <w:rFonts w:ascii="David" w:eastAsia="David" w:hAnsi="David"/>
          <w:rtl/>
        </w:rPr>
      </w:pPr>
      <w:r>
        <w:rPr>
          <w:rFonts w:ascii="David" w:eastAsia="David" w:hAnsi="David"/>
          <w:rtl/>
        </w:rPr>
        <w:t xml:space="preserve"> </w:t>
      </w:r>
      <w:r w:rsidRPr="00765D09">
        <w:rPr>
          <w:rFonts w:ascii="David" w:eastAsia="David" w:hAnsi="David"/>
          <w:rtl/>
        </w:rPr>
        <w:t>המזכירות תעביר העתק לשירות המבחן ולמנהלת האיזוק האלקטרוני</w:t>
      </w:r>
      <w:r>
        <w:rPr>
          <w:rFonts w:ascii="David" w:eastAsia="David" w:hAnsi="David" w:hint="cs"/>
          <w:rtl/>
        </w:rPr>
        <w:t>.</w:t>
      </w:r>
      <w:r w:rsidRPr="00765D09">
        <w:rPr>
          <w:rFonts w:ascii="David" w:eastAsia="David" w:hAnsi="David"/>
          <w:rtl/>
        </w:rPr>
        <w:t xml:space="preserve"> </w:t>
      </w:r>
    </w:p>
    <w:p w14:paraId="1555B570" w14:textId="77777777" w:rsidR="00555214" w:rsidRPr="00555214" w:rsidRDefault="00555214" w:rsidP="00555214">
      <w:pPr>
        <w:tabs>
          <w:tab w:val="left" w:pos="226"/>
          <w:tab w:val="left" w:pos="509"/>
          <w:tab w:val="left" w:pos="651"/>
        </w:tabs>
        <w:spacing w:line="360" w:lineRule="auto"/>
        <w:jc w:val="both"/>
        <w:rPr>
          <w:rFonts w:ascii="David" w:eastAsia="Calibri" w:hAnsi="David"/>
          <w:u w:val="single"/>
        </w:rPr>
      </w:pPr>
      <w:r>
        <w:rPr>
          <w:rFonts w:ascii="David" w:hAnsi="David"/>
          <w:u w:val="single"/>
          <w:rtl/>
        </w:rPr>
        <w:t>ניתן צו כללי למוצגים</w:t>
      </w:r>
    </w:p>
    <w:p w14:paraId="141E4569" w14:textId="77777777" w:rsidR="00555214" w:rsidRPr="00555214" w:rsidRDefault="00555214" w:rsidP="00555214">
      <w:pPr>
        <w:tabs>
          <w:tab w:val="left" w:pos="226"/>
          <w:tab w:val="left" w:pos="509"/>
          <w:tab w:val="left" w:pos="651"/>
        </w:tabs>
        <w:spacing w:line="360" w:lineRule="auto"/>
        <w:jc w:val="both"/>
        <w:rPr>
          <w:rFonts w:ascii="David" w:eastAsia="Calibri" w:hAnsi="David"/>
          <w:sz w:val="8"/>
          <w:szCs w:val="8"/>
          <w:u w:val="single"/>
          <w:rtl/>
        </w:rPr>
      </w:pPr>
    </w:p>
    <w:p w14:paraId="685977B4" w14:textId="77777777" w:rsidR="00555214" w:rsidRPr="00765D09" w:rsidRDefault="00555214" w:rsidP="00555214">
      <w:pPr>
        <w:tabs>
          <w:tab w:val="left" w:pos="226"/>
          <w:tab w:val="left" w:pos="509"/>
          <w:tab w:val="left" w:pos="651"/>
        </w:tabs>
        <w:spacing w:line="360" w:lineRule="auto"/>
        <w:jc w:val="both"/>
      </w:pPr>
      <w:r>
        <w:rPr>
          <w:rFonts w:ascii="David" w:hAnsi="David"/>
          <w:b/>
          <w:bCs/>
          <w:u w:val="single"/>
          <w:rtl/>
        </w:rPr>
        <w:t xml:space="preserve">זכות ערעור לבית המשפט המחוזי מרכז- לוד תוך 45 יום. </w:t>
      </w:r>
      <w:r>
        <w:rPr>
          <w:rFonts w:ascii="David" w:hAnsi="David"/>
          <w:b/>
          <w:bCs/>
          <w:sz w:val="26"/>
          <w:szCs w:val="26"/>
          <w:rtl/>
        </w:rPr>
        <w:t xml:space="preserve">   </w:t>
      </w:r>
      <w:r>
        <w:rPr>
          <w:rFonts w:ascii="David" w:hAnsi="David"/>
          <w:b/>
          <w:bCs/>
          <w:sz w:val="26"/>
          <w:szCs w:val="26"/>
          <w:rtl/>
        </w:rPr>
        <w:tab/>
      </w:r>
      <w:r>
        <w:rPr>
          <w:rFonts w:ascii="David" w:hAnsi="David"/>
          <w:b/>
          <w:bCs/>
          <w:sz w:val="26"/>
          <w:szCs w:val="26"/>
          <w:rtl/>
        </w:rPr>
        <w:tab/>
      </w:r>
      <w:r>
        <w:rPr>
          <w:rFonts w:ascii="David" w:hAnsi="David"/>
          <w:b/>
          <w:bCs/>
          <w:sz w:val="26"/>
          <w:szCs w:val="26"/>
          <w:rtl/>
        </w:rPr>
        <w:tab/>
      </w:r>
      <w:r>
        <w:rPr>
          <w:rFonts w:ascii="David" w:hAnsi="David"/>
          <w:b/>
          <w:bCs/>
          <w:sz w:val="26"/>
          <w:szCs w:val="26"/>
          <w:rtl/>
        </w:rPr>
        <w:tab/>
      </w:r>
      <w:r>
        <w:rPr>
          <w:rFonts w:ascii="David" w:hAnsi="David"/>
          <w:b/>
          <w:bCs/>
          <w:sz w:val="26"/>
          <w:szCs w:val="26"/>
          <w:rtl/>
        </w:rPr>
        <w:tab/>
      </w:r>
      <w:r w:rsidR="002A38D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64.25pt;height:77.25pt;visibility:visible">
            <v:imagedata r:id="rId43" o:title=""/>
          </v:shape>
        </w:pict>
      </w:r>
    </w:p>
    <w:p w14:paraId="4B5214D3" w14:textId="77777777" w:rsidR="00555214" w:rsidRPr="008B5803" w:rsidRDefault="008B5803" w:rsidP="00555214">
      <w:pPr>
        <w:tabs>
          <w:tab w:val="left" w:pos="226"/>
          <w:tab w:val="left" w:pos="509"/>
          <w:tab w:val="left" w:pos="651"/>
        </w:tabs>
        <w:spacing w:line="360" w:lineRule="auto"/>
        <w:jc w:val="both"/>
        <w:rPr>
          <w:rFonts w:ascii="David" w:hAnsi="David"/>
          <w:b/>
          <w:bCs/>
          <w:color w:val="FFFFFF"/>
          <w:sz w:val="2"/>
          <w:szCs w:val="2"/>
          <w:u w:val="single"/>
          <w:rtl/>
        </w:rPr>
      </w:pPr>
      <w:r w:rsidRPr="008B5803">
        <w:rPr>
          <w:rFonts w:ascii="David" w:hAnsi="David"/>
          <w:b/>
          <w:bCs/>
          <w:color w:val="FFFFFF"/>
          <w:sz w:val="2"/>
          <w:szCs w:val="2"/>
          <w:u w:val="single"/>
          <w:rtl/>
        </w:rPr>
        <w:t>5129371</w:t>
      </w:r>
    </w:p>
    <w:p w14:paraId="26F5B3BA" w14:textId="77777777" w:rsidR="00555214" w:rsidRDefault="008B5803" w:rsidP="00555214">
      <w:pPr>
        <w:spacing w:line="360" w:lineRule="auto"/>
        <w:jc w:val="both"/>
        <w:rPr>
          <w:rFonts w:ascii="Arial" w:hAnsi="Arial"/>
          <w:b/>
          <w:bCs/>
          <w:sz w:val="26"/>
          <w:szCs w:val="26"/>
          <w:rtl/>
        </w:rPr>
      </w:pPr>
      <w:bookmarkStart w:id="8" w:name="Nitan"/>
      <w:r w:rsidRPr="008B5803">
        <w:rPr>
          <w:rFonts w:ascii="Arial" w:hAnsi="Arial"/>
          <w:b/>
          <w:bCs/>
          <w:color w:val="FFFFFF"/>
          <w:sz w:val="2"/>
          <w:szCs w:val="2"/>
          <w:rtl/>
        </w:rPr>
        <w:t>54678313</w:t>
      </w:r>
      <w:r>
        <w:rPr>
          <w:rFonts w:ascii="Arial" w:hAnsi="Arial"/>
          <w:b/>
          <w:bCs/>
          <w:sz w:val="26"/>
          <w:szCs w:val="26"/>
          <w:rtl/>
        </w:rPr>
        <w:t xml:space="preserve">ניתן היום,  כ"ז אדר תשפ"ה, 27 מרץ 2025, במעמד הצדדים. </w:t>
      </w:r>
      <w:bookmarkEnd w:id="8"/>
    </w:p>
    <w:p w14:paraId="3AFCAE94" w14:textId="77777777" w:rsidR="00555214" w:rsidRDefault="00555214" w:rsidP="00555214">
      <w:pPr>
        <w:spacing w:line="360" w:lineRule="auto"/>
        <w:jc w:val="both"/>
        <w:rPr>
          <w:rFonts w:ascii="Arial" w:hAnsi="Arial"/>
          <w:b/>
          <w:bCs/>
          <w:sz w:val="26"/>
          <w:szCs w:val="26"/>
          <w:rtl/>
        </w:rPr>
      </w:pPr>
    </w:p>
    <w:p w14:paraId="0AC22C99" w14:textId="77777777" w:rsidR="00555214" w:rsidRDefault="00555214" w:rsidP="00555214">
      <w:pPr>
        <w:spacing w:line="360" w:lineRule="auto"/>
        <w:jc w:val="both"/>
        <w:rPr>
          <w:rFonts w:ascii="Arial" w:hAnsi="Arial"/>
          <w:b/>
          <w:bCs/>
          <w:sz w:val="26"/>
          <w:szCs w:val="26"/>
          <w:rtl/>
        </w:rPr>
      </w:pPr>
    </w:p>
    <w:p w14:paraId="5635B256" w14:textId="77777777" w:rsidR="00555214" w:rsidRPr="000F2247" w:rsidRDefault="00555214" w:rsidP="0055521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65077564" w14:textId="77777777" w:rsidR="00555214" w:rsidRPr="000F2247" w:rsidRDefault="003C3F22" w:rsidP="00555214">
      <w:pPr>
        <w:jc w:val="center"/>
        <w:rPr>
          <w:rFonts w:ascii="Arial" w:hAnsi="Arial"/>
          <w:b/>
          <w:bCs/>
          <w:sz w:val="26"/>
          <w:szCs w:val="26"/>
          <w:rtl/>
        </w:rPr>
      </w:pPr>
      <w:r w:rsidRPr="003C3F22">
        <w:rPr>
          <w:rFonts w:ascii="Arial" w:hAnsi="Arial"/>
          <w:b/>
          <w:bCs/>
          <w:color w:val="FFFFFF"/>
          <w:sz w:val="2"/>
          <w:szCs w:val="2"/>
          <w:rtl/>
        </w:rPr>
        <w:t>5129371</w:t>
      </w:r>
      <w:r w:rsidR="00555214" w:rsidRPr="000F2247">
        <w:rPr>
          <w:rFonts w:ascii="Arial" w:hAnsi="Arial"/>
          <w:b/>
          <w:bCs/>
          <w:sz w:val="26"/>
          <w:szCs w:val="26"/>
          <w:rtl/>
        </w:rPr>
        <w:t xml:space="preserve">   </w:t>
      </w:r>
      <w:r w:rsidR="00555214" w:rsidRPr="000F2247">
        <w:rPr>
          <w:rFonts w:ascii="Arial" w:hAnsi="Arial"/>
          <w:b/>
          <w:bCs/>
          <w:sz w:val="26"/>
          <w:szCs w:val="26"/>
          <w:rtl/>
        </w:rPr>
        <w:tab/>
      </w:r>
      <w:r w:rsidR="00555214" w:rsidRPr="000F2247">
        <w:rPr>
          <w:rFonts w:ascii="Arial" w:hAnsi="Arial"/>
          <w:b/>
          <w:bCs/>
          <w:sz w:val="26"/>
          <w:szCs w:val="26"/>
          <w:rtl/>
        </w:rPr>
        <w:tab/>
      </w:r>
      <w:r w:rsidR="00555214" w:rsidRPr="000F2247">
        <w:rPr>
          <w:rFonts w:ascii="Arial" w:hAnsi="Arial"/>
          <w:b/>
          <w:bCs/>
          <w:sz w:val="26"/>
          <w:szCs w:val="26"/>
          <w:rtl/>
        </w:rPr>
        <w:tab/>
      </w:r>
      <w:r w:rsidR="00555214" w:rsidRPr="000F2247">
        <w:rPr>
          <w:rFonts w:ascii="Arial" w:hAnsi="Arial"/>
          <w:b/>
          <w:bCs/>
          <w:sz w:val="26"/>
          <w:szCs w:val="26"/>
          <w:rtl/>
        </w:rPr>
        <w:tab/>
      </w:r>
      <w:r w:rsidR="00555214" w:rsidRPr="000F2247">
        <w:rPr>
          <w:rFonts w:ascii="Arial" w:hAnsi="Arial"/>
          <w:b/>
          <w:bCs/>
          <w:sz w:val="26"/>
          <w:szCs w:val="26"/>
          <w:rtl/>
        </w:rPr>
        <w:tab/>
        <w:t>חתימה</w:t>
      </w:r>
    </w:p>
    <w:p w14:paraId="6A2F6999" w14:textId="77777777" w:rsidR="00EE3042" w:rsidRPr="003C3F22" w:rsidRDefault="003C3F22" w:rsidP="008B5803">
      <w:pPr>
        <w:keepNext/>
        <w:rPr>
          <w:rFonts w:ascii="David" w:hAnsi="David"/>
          <w:color w:val="FFFFFF"/>
          <w:sz w:val="2"/>
          <w:szCs w:val="2"/>
          <w:rtl/>
        </w:rPr>
      </w:pPr>
      <w:r w:rsidRPr="003C3F22">
        <w:rPr>
          <w:rFonts w:ascii="David" w:hAnsi="David"/>
          <w:color w:val="FFFFFF"/>
          <w:sz w:val="2"/>
          <w:szCs w:val="2"/>
          <w:rtl/>
        </w:rPr>
        <w:t>54678313</w:t>
      </w:r>
    </w:p>
    <w:p w14:paraId="37F2FE7B" w14:textId="77777777" w:rsidR="008B5803" w:rsidRDefault="008B5803" w:rsidP="008B5803">
      <w:pPr>
        <w:rPr>
          <w:rtl/>
        </w:rPr>
      </w:pPr>
    </w:p>
    <w:p w14:paraId="00197DBE" w14:textId="77777777" w:rsidR="008B5803" w:rsidRDefault="008B5803" w:rsidP="008B5803">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CF99951" w14:textId="77777777" w:rsidR="003C3F22" w:rsidRPr="003C3F22" w:rsidRDefault="003C3F22" w:rsidP="003C3F22">
      <w:pPr>
        <w:keepNext/>
        <w:rPr>
          <w:rFonts w:ascii="David" w:hAnsi="David"/>
          <w:color w:val="000000"/>
          <w:sz w:val="22"/>
          <w:szCs w:val="22"/>
          <w:rtl/>
        </w:rPr>
      </w:pPr>
    </w:p>
    <w:p w14:paraId="3E7BBA94" w14:textId="77777777" w:rsidR="003C3F22" w:rsidRPr="003C3F22" w:rsidRDefault="003C3F22" w:rsidP="003C3F22">
      <w:pPr>
        <w:keepNext/>
        <w:rPr>
          <w:rFonts w:ascii="David" w:hAnsi="David"/>
          <w:color w:val="000000"/>
          <w:sz w:val="22"/>
          <w:szCs w:val="22"/>
          <w:rtl/>
        </w:rPr>
      </w:pPr>
      <w:r w:rsidRPr="003C3F22">
        <w:rPr>
          <w:rFonts w:ascii="David" w:hAnsi="David"/>
          <w:color w:val="000000"/>
          <w:sz w:val="22"/>
          <w:szCs w:val="22"/>
          <w:rtl/>
        </w:rPr>
        <w:t>דורית סבן 54678313-/</w:t>
      </w:r>
    </w:p>
    <w:p w14:paraId="2BB19483" w14:textId="77777777" w:rsidR="008B5803" w:rsidRPr="008B5803" w:rsidRDefault="003C3F22" w:rsidP="003C3F22">
      <w:pPr>
        <w:rPr>
          <w:color w:val="0000FF"/>
          <w:u w:val="single"/>
        </w:rPr>
      </w:pPr>
      <w:r w:rsidRPr="003C3F22">
        <w:rPr>
          <w:color w:val="000000"/>
          <w:u w:val="single"/>
          <w:rtl/>
        </w:rPr>
        <w:t>נוסח מסמך זה כפוף לשינויי ניסוח ועריכה</w:t>
      </w:r>
    </w:p>
    <w:sectPr w:rsidR="008B5803" w:rsidRPr="008B5803" w:rsidSect="003C3F22">
      <w:headerReference w:type="even" r:id="rId45"/>
      <w:headerReference w:type="default" r:id="rId46"/>
      <w:footerReference w:type="even" r:id="rId47"/>
      <w:footerReference w:type="default" r:id="rId48"/>
      <w:pgSz w:w="11907" w:h="16840" w:code="9"/>
      <w:pgMar w:top="1701" w:right="1701" w:bottom="2552" w:left="1701" w:header="17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FCDC0" w14:textId="77777777" w:rsidR="00FD2DE1" w:rsidRDefault="00FD2DE1" w:rsidP="002A38DB">
      <w:r>
        <w:separator/>
      </w:r>
    </w:p>
  </w:endnote>
  <w:endnote w:type="continuationSeparator" w:id="0">
    <w:p w14:paraId="78D96CDA" w14:textId="77777777" w:rsidR="00FD2DE1" w:rsidRDefault="00FD2DE1" w:rsidP="002A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798C" w14:textId="77777777" w:rsidR="003C3F22" w:rsidRDefault="003C3F22" w:rsidP="003C3F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51DBBDEF" w14:textId="77777777" w:rsidR="00EE3042" w:rsidRPr="003C3F22" w:rsidRDefault="003C3F22" w:rsidP="003C3F22">
    <w:pPr>
      <w:pStyle w:val="a5"/>
      <w:pBdr>
        <w:top w:val="single" w:sz="4" w:space="1" w:color="auto"/>
        <w:between w:val="single" w:sz="4" w:space="0" w:color="auto"/>
      </w:pBdr>
      <w:spacing w:after="60"/>
      <w:jc w:val="center"/>
      <w:rPr>
        <w:rFonts w:ascii="FrankRuehl" w:hAnsi="FrankRuehl" w:cs="FrankRuehl"/>
        <w:color w:val="000000"/>
      </w:rPr>
    </w:pPr>
    <w:r w:rsidRPr="003C3F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D2095" w14:textId="77777777" w:rsidR="003C3F22" w:rsidRDefault="003C3F22" w:rsidP="003C3F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2EA9">
      <w:rPr>
        <w:rFonts w:ascii="FrankRuehl" w:hAnsi="FrankRuehl" w:cs="FrankRuehl"/>
        <w:noProof/>
        <w:rtl/>
      </w:rPr>
      <w:t>1</w:t>
    </w:r>
    <w:r>
      <w:rPr>
        <w:rFonts w:ascii="FrankRuehl" w:hAnsi="FrankRuehl" w:cs="FrankRuehl"/>
        <w:rtl/>
      </w:rPr>
      <w:fldChar w:fldCharType="end"/>
    </w:r>
  </w:p>
  <w:p w14:paraId="41C7D443" w14:textId="77777777" w:rsidR="00EE3042" w:rsidRPr="003C3F22" w:rsidRDefault="003C3F22" w:rsidP="003C3F22">
    <w:pPr>
      <w:pStyle w:val="a5"/>
      <w:pBdr>
        <w:top w:val="single" w:sz="4" w:space="1" w:color="auto"/>
        <w:between w:val="single" w:sz="4" w:space="0" w:color="auto"/>
      </w:pBdr>
      <w:spacing w:after="60"/>
      <w:jc w:val="center"/>
      <w:rPr>
        <w:rFonts w:ascii="FrankRuehl" w:hAnsi="FrankRuehl" w:cs="FrankRuehl"/>
        <w:color w:val="000000"/>
      </w:rPr>
    </w:pPr>
    <w:r w:rsidRPr="003C3F22">
      <w:rPr>
        <w:rFonts w:ascii="FrankRuehl" w:hAnsi="FrankRuehl" w:cs="FrankRuehl"/>
        <w:color w:val="000000"/>
      </w:rPr>
      <w:pict w14:anchorId="30705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E7603" w14:textId="77777777" w:rsidR="00FD2DE1" w:rsidRDefault="00FD2DE1" w:rsidP="002A38DB">
      <w:r>
        <w:separator/>
      </w:r>
    </w:p>
  </w:footnote>
  <w:footnote w:type="continuationSeparator" w:id="0">
    <w:p w14:paraId="0746DE27" w14:textId="77777777" w:rsidR="00FD2DE1" w:rsidRDefault="00FD2DE1" w:rsidP="002A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40AFA" w14:textId="77777777" w:rsidR="008B5803" w:rsidRPr="003C3F22" w:rsidRDefault="003C3F22" w:rsidP="003C3F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33040-09-24</w:t>
    </w:r>
    <w:r>
      <w:rPr>
        <w:rFonts w:ascii="David" w:hAnsi="David"/>
        <w:color w:val="000000"/>
        <w:sz w:val="22"/>
        <w:szCs w:val="22"/>
        <w:rtl/>
      </w:rPr>
      <w:tab/>
      <w:t xml:space="preserve"> מדינת ישראל נ' יוסף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A5260" w14:textId="77777777" w:rsidR="008B5803" w:rsidRPr="003C3F22" w:rsidRDefault="003C3F22" w:rsidP="003C3F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33040-09-24</w:t>
    </w:r>
    <w:r>
      <w:rPr>
        <w:rFonts w:ascii="David" w:hAnsi="David"/>
        <w:color w:val="000000"/>
        <w:sz w:val="22"/>
        <w:szCs w:val="22"/>
        <w:rtl/>
      </w:rPr>
      <w:tab/>
      <w:t xml:space="preserve"> מדינת ישראל נ' יוסף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792"/>
    <w:multiLevelType w:val="hybridMultilevel"/>
    <w:tmpl w:val="72E2C316"/>
    <w:lvl w:ilvl="0" w:tplc="D84A26DC">
      <w:start w:val="1"/>
      <w:numFmt w:val="hebrew1"/>
      <w:lvlText w:val="%1."/>
      <w:lvlJc w:val="left"/>
      <w:pPr>
        <w:ind w:left="1080" w:hanging="360"/>
      </w:pPr>
      <w:rPr>
        <w:rFonts w:ascii="David" w:hAnsi="David" w:cs="David"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D00B1E"/>
    <w:multiLevelType w:val="hybridMultilevel"/>
    <w:tmpl w:val="90A0DF1A"/>
    <w:lvl w:ilvl="0" w:tplc="93A0071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5C10F48"/>
    <w:multiLevelType w:val="hybridMultilevel"/>
    <w:tmpl w:val="DD78C8AC"/>
    <w:lvl w:ilvl="0" w:tplc="0A4E9EC2">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059553A"/>
    <w:multiLevelType w:val="hybridMultilevel"/>
    <w:tmpl w:val="A5425D36"/>
    <w:lvl w:ilvl="0" w:tplc="579EC2B4">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311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8518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4866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4695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7941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5214"/>
    <w:rsid w:val="0018641C"/>
    <w:rsid w:val="002A38DB"/>
    <w:rsid w:val="003C3F22"/>
    <w:rsid w:val="003D6F4D"/>
    <w:rsid w:val="00555214"/>
    <w:rsid w:val="00676B76"/>
    <w:rsid w:val="008B5803"/>
    <w:rsid w:val="00D82EA9"/>
    <w:rsid w:val="00EE3042"/>
    <w:rsid w:val="00FD2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B5B7BE"/>
  <w15:chartTrackingRefBased/>
  <w15:docId w15:val="{9F89EE8C-B8C5-48DF-8618-B7053A36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2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5214"/>
    <w:pPr>
      <w:tabs>
        <w:tab w:val="center" w:pos="4153"/>
        <w:tab w:val="right" w:pos="8306"/>
      </w:tabs>
    </w:pPr>
  </w:style>
  <w:style w:type="character" w:customStyle="1" w:styleId="a4">
    <w:name w:val="כותרת עליונה תו"/>
    <w:link w:val="a3"/>
    <w:rsid w:val="00555214"/>
    <w:rPr>
      <w:rFonts w:ascii="Times New Roman" w:eastAsia="Times New Roman" w:hAnsi="Times New Roman" w:cs="David"/>
      <w:sz w:val="24"/>
      <w:szCs w:val="24"/>
    </w:rPr>
  </w:style>
  <w:style w:type="paragraph" w:styleId="a5">
    <w:name w:val="footer"/>
    <w:basedOn w:val="a"/>
    <w:link w:val="a6"/>
    <w:rsid w:val="00555214"/>
    <w:pPr>
      <w:tabs>
        <w:tab w:val="center" w:pos="4153"/>
        <w:tab w:val="right" w:pos="8306"/>
      </w:tabs>
    </w:pPr>
  </w:style>
  <w:style w:type="character" w:customStyle="1" w:styleId="a6">
    <w:name w:val="כותרת תחתונה תו"/>
    <w:link w:val="a5"/>
    <w:rsid w:val="00555214"/>
    <w:rPr>
      <w:rFonts w:ascii="Times New Roman" w:eastAsia="Times New Roman" w:hAnsi="Times New Roman" w:cs="David"/>
      <w:sz w:val="24"/>
      <w:szCs w:val="24"/>
    </w:rPr>
  </w:style>
  <w:style w:type="character" w:styleId="a7">
    <w:name w:val="page number"/>
    <w:rsid w:val="00555214"/>
  </w:style>
  <w:style w:type="character" w:styleId="Hyperlink">
    <w:name w:val="Hyperlink"/>
    <w:rsid w:val="00555214"/>
    <w:rPr>
      <w:color w:val="0563C1"/>
      <w:u w:val="single"/>
    </w:rPr>
  </w:style>
  <w:style w:type="character" w:customStyle="1" w:styleId="a8">
    <w:name w:val="פיסקת רשימה תו"/>
    <w:link w:val="a9"/>
    <w:locked/>
    <w:rsid w:val="00555214"/>
  </w:style>
  <w:style w:type="paragraph" w:styleId="a9">
    <w:name w:val="List Paragraph"/>
    <w:basedOn w:val="a"/>
    <w:link w:val="a8"/>
    <w:qFormat/>
    <w:rsid w:val="00555214"/>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5015/16" TargetMode="External"/><Relationship Id="rId18" Type="http://schemas.openxmlformats.org/officeDocument/2006/relationships/hyperlink" Target="http://www.nevo.co.il/case/20956329" TargetMode="External"/><Relationship Id="rId26" Type="http://schemas.openxmlformats.org/officeDocument/2006/relationships/hyperlink" Target="http://www.nevo.co.il/case/5590128" TargetMode="External"/><Relationship Id="rId39" Type="http://schemas.openxmlformats.org/officeDocument/2006/relationships/hyperlink" Target="http://www.nevo.co.il/law/75015" TargetMode="External"/><Relationship Id="rId21" Type="http://schemas.openxmlformats.org/officeDocument/2006/relationships/hyperlink" Target="http://www.nevo.co.il/case/23237993" TargetMode="External"/><Relationship Id="rId34" Type="http://schemas.openxmlformats.org/officeDocument/2006/relationships/hyperlink" Target="http://www.nevo.co.il/case/33156014" TargetMode="External"/><Relationship Id="rId42" Type="http://schemas.openxmlformats.org/officeDocument/2006/relationships/hyperlink" Target="http://www.eca.gov.i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375569" TargetMode="External"/><Relationship Id="rId11" Type="http://schemas.openxmlformats.org/officeDocument/2006/relationships/hyperlink" Target="http://www.nevo.co.il/law/75015" TargetMode="External"/><Relationship Id="rId24" Type="http://schemas.openxmlformats.org/officeDocument/2006/relationships/hyperlink" Target="http://www.nevo.co.il/case/20412551" TargetMode="External"/><Relationship Id="rId32" Type="http://schemas.openxmlformats.org/officeDocument/2006/relationships/hyperlink" Target="http://www.nevo.co.il/case/20956295" TargetMode="External"/><Relationship Id="rId37" Type="http://schemas.openxmlformats.org/officeDocument/2006/relationships/hyperlink" Target="http://www.nevo.co.il/case/30549043" TargetMode="External"/><Relationship Id="rId40" Type="http://schemas.openxmlformats.org/officeDocument/2006/relationships/hyperlink" Target="http://www.nevo.co.il/law/75015/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763166" TargetMode="External"/><Relationship Id="rId28" Type="http://schemas.openxmlformats.org/officeDocument/2006/relationships/hyperlink" Target="http://www.nevo.co.il/case/28400049" TargetMode="External"/><Relationship Id="rId36" Type="http://schemas.openxmlformats.org/officeDocument/2006/relationships/hyperlink" Target="http://www.nevo.co.il/case/25156420"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698919" TargetMode="External"/><Relationship Id="rId31" Type="http://schemas.openxmlformats.org/officeDocument/2006/relationships/hyperlink" Target="http://www.nevo.co.il/case/2106681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180833" TargetMode="External"/><Relationship Id="rId30" Type="http://schemas.openxmlformats.org/officeDocument/2006/relationships/hyperlink" Target="http://www.nevo.co.il/case/26246488" TargetMode="External"/><Relationship Id="rId35" Type="http://schemas.openxmlformats.org/officeDocument/2006/relationships/hyperlink" Target="http://www.nevo.co.il/case/26402047" TargetMode="External"/><Relationship Id="rId43" Type="http://schemas.openxmlformats.org/officeDocument/2006/relationships/image" Target="media/image1.jpeg"/><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5015/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8753213" TargetMode="External"/><Relationship Id="rId33" Type="http://schemas.openxmlformats.org/officeDocument/2006/relationships/hyperlink" Target="http://www.nevo.co.il/case/17947582" TargetMode="External"/><Relationship Id="rId38" Type="http://schemas.openxmlformats.org/officeDocument/2006/relationships/hyperlink" Target="http://www.nevo.co.il/law/75015/6" TargetMode="External"/><Relationship Id="rId46" Type="http://schemas.openxmlformats.org/officeDocument/2006/relationships/header" Target="header2.xml"/><Relationship Id="rId20" Type="http://schemas.openxmlformats.org/officeDocument/2006/relationships/hyperlink" Target="http://www.nevo.co.il/case/26246488" TargetMode="External"/><Relationship Id="rId41" Type="http://schemas.openxmlformats.org/officeDocument/2006/relationships/hyperlink" Target="http://www.nevo.co.il/case/266266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3373</Words>
  <Characters>16869</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20202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3276918</vt:i4>
      </vt:variant>
      <vt:variant>
        <vt:i4>102</vt:i4>
      </vt:variant>
      <vt:variant>
        <vt:i4>0</vt:i4>
      </vt:variant>
      <vt:variant>
        <vt:i4>5</vt:i4>
      </vt:variant>
      <vt:variant>
        <vt:lpwstr>http://www.nevo.co.il/case/26626601</vt:lpwstr>
      </vt:variant>
      <vt:variant>
        <vt:lpwstr/>
      </vt:variant>
      <vt:variant>
        <vt:i4>6750307</vt:i4>
      </vt:variant>
      <vt:variant>
        <vt:i4>99</vt:i4>
      </vt:variant>
      <vt:variant>
        <vt:i4>0</vt:i4>
      </vt:variant>
      <vt:variant>
        <vt:i4>5</vt:i4>
      </vt:variant>
      <vt:variant>
        <vt:lpwstr>http://www.nevo.co.il/law/75015/16</vt:lpwstr>
      </vt:variant>
      <vt:variant>
        <vt:lpwstr/>
      </vt:variant>
      <vt:variant>
        <vt:i4>8257639</vt:i4>
      </vt:variant>
      <vt:variant>
        <vt:i4>96</vt:i4>
      </vt:variant>
      <vt:variant>
        <vt:i4>0</vt:i4>
      </vt:variant>
      <vt:variant>
        <vt:i4>5</vt:i4>
      </vt:variant>
      <vt:variant>
        <vt:lpwstr>http://www.nevo.co.il/law/75015</vt:lpwstr>
      </vt:variant>
      <vt:variant>
        <vt:lpwstr/>
      </vt:variant>
      <vt:variant>
        <vt:i4>5308498</vt:i4>
      </vt:variant>
      <vt:variant>
        <vt:i4>93</vt:i4>
      </vt:variant>
      <vt:variant>
        <vt:i4>0</vt:i4>
      </vt:variant>
      <vt:variant>
        <vt:i4>5</vt:i4>
      </vt:variant>
      <vt:variant>
        <vt:lpwstr>http://www.nevo.co.il/law/75015/6</vt:lpwstr>
      </vt:variant>
      <vt:variant>
        <vt:lpwstr/>
      </vt:variant>
      <vt:variant>
        <vt:i4>3866736</vt:i4>
      </vt:variant>
      <vt:variant>
        <vt:i4>90</vt:i4>
      </vt:variant>
      <vt:variant>
        <vt:i4>0</vt:i4>
      </vt:variant>
      <vt:variant>
        <vt:i4>5</vt:i4>
      </vt:variant>
      <vt:variant>
        <vt:lpwstr>http://www.nevo.co.il/case/30549043</vt:lpwstr>
      </vt:variant>
      <vt:variant>
        <vt:lpwstr/>
      </vt:variant>
      <vt:variant>
        <vt:i4>3604592</vt:i4>
      </vt:variant>
      <vt:variant>
        <vt:i4>87</vt:i4>
      </vt:variant>
      <vt:variant>
        <vt:i4>0</vt:i4>
      </vt:variant>
      <vt:variant>
        <vt:i4>5</vt:i4>
      </vt:variant>
      <vt:variant>
        <vt:lpwstr>http://www.nevo.co.il/case/25156420</vt:lpwstr>
      </vt:variant>
      <vt:variant>
        <vt:lpwstr/>
      </vt:variant>
      <vt:variant>
        <vt:i4>3145842</vt:i4>
      </vt:variant>
      <vt:variant>
        <vt:i4>84</vt:i4>
      </vt:variant>
      <vt:variant>
        <vt:i4>0</vt:i4>
      </vt:variant>
      <vt:variant>
        <vt:i4>5</vt:i4>
      </vt:variant>
      <vt:variant>
        <vt:lpwstr>http://www.nevo.co.il/case/26402047</vt:lpwstr>
      </vt:variant>
      <vt:variant>
        <vt:lpwstr/>
      </vt:variant>
      <vt:variant>
        <vt:i4>3473522</vt:i4>
      </vt:variant>
      <vt:variant>
        <vt:i4>81</vt:i4>
      </vt:variant>
      <vt:variant>
        <vt:i4>0</vt:i4>
      </vt:variant>
      <vt:variant>
        <vt:i4>5</vt:i4>
      </vt:variant>
      <vt:variant>
        <vt:lpwstr>http://www.nevo.co.il/case/33156014</vt:lpwstr>
      </vt:variant>
      <vt:variant>
        <vt:lpwstr/>
      </vt:variant>
      <vt:variant>
        <vt:i4>3604594</vt:i4>
      </vt:variant>
      <vt:variant>
        <vt:i4>78</vt:i4>
      </vt:variant>
      <vt:variant>
        <vt:i4>0</vt:i4>
      </vt:variant>
      <vt:variant>
        <vt:i4>5</vt:i4>
      </vt:variant>
      <vt:variant>
        <vt:lpwstr>http://www.nevo.co.il/case/17947582</vt:lpwstr>
      </vt:variant>
      <vt:variant>
        <vt:lpwstr/>
      </vt:variant>
      <vt:variant>
        <vt:i4>3407987</vt:i4>
      </vt:variant>
      <vt:variant>
        <vt:i4>75</vt:i4>
      </vt:variant>
      <vt:variant>
        <vt:i4>0</vt:i4>
      </vt:variant>
      <vt:variant>
        <vt:i4>5</vt:i4>
      </vt:variant>
      <vt:variant>
        <vt:lpwstr>http://www.nevo.co.il/case/20956295</vt:lpwstr>
      </vt:variant>
      <vt:variant>
        <vt:lpwstr/>
      </vt:variant>
      <vt:variant>
        <vt:i4>3473531</vt:i4>
      </vt:variant>
      <vt:variant>
        <vt:i4>72</vt:i4>
      </vt:variant>
      <vt:variant>
        <vt:i4>0</vt:i4>
      </vt:variant>
      <vt:variant>
        <vt:i4>5</vt:i4>
      </vt:variant>
      <vt:variant>
        <vt:lpwstr>http://www.nevo.co.il/case/21066819</vt:lpwstr>
      </vt:variant>
      <vt:variant>
        <vt:lpwstr/>
      </vt:variant>
      <vt:variant>
        <vt:i4>4063346</vt:i4>
      </vt:variant>
      <vt:variant>
        <vt:i4>69</vt:i4>
      </vt:variant>
      <vt:variant>
        <vt:i4>0</vt:i4>
      </vt:variant>
      <vt:variant>
        <vt:i4>5</vt:i4>
      </vt:variant>
      <vt:variant>
        <vt:lpwstr>http://www.nevo.co.il/case/26246488</vt:lpwstr>
      </vt:variant>
      <vt:variant>
        <vt:lpwstr/>
      </vt:variant>
      <vt:variant>
        <vt:i4>3276912</vt:i4>
      </vt:variant>
      <vt:variant>
        <vt:i4>66</vt:i4>
      </vt:variant>
      <vt:variant>
        <vt:i4>0</vt:i4>
      </vt:variant>
      <vt:variant>
        <vt:i4>5</vt:i4>
      </vt:variant>
      <vt:variant>
        <vt:lpwstr>http://www.nevo.co.il/case/26375569</vt:lpwstr>
      </vt:variant>
      <vt:variant>
        <vt:lpwstr/>
      </vt:variant>
      <vt:variant>
        <vt:i4>3276924</vt:i4>
      </vt:variant>
      <vt:variant>
        <vt:i4>63</vt:i4>
      </vt:variant>
      <vt:variant>
        <vt:i4>0</vt:i4>
      </vt:variant>
      <vt:variant>
        <vt:i4>5</vt:i4>
      </vt:variant>
      <vt:variant>
        <vt:lpwstr>http://www.nevo.co.il/case/28400049</vt:lpwstr>
      </vt:variant>
      <vt:variant>
        <vt:lpwstr/>
      </vt:variant>
      <vt:variant>
        <vt:i4>3473526</vt:i4>
      </vt:variant>
      <vt:variant>
        <vt:i4>60</vt:i4>
      </vt:variant>
      <vt:variant>
        <vt:i4>0</vt:i4>
      </vt:variant>
      <vt:variant>
        <vt:i4>5</vt:i4>
      </vt:variant>
      <vt:variant>
        <vt:lpwstr>http://www.nevo.co.il/case/6180833</vt:lpwstr>
      </vt:variant>
      <vt:variant>
        <vt:lpwstr/>
      </vt:variant>
      <vt:variant>
        <vt:i4>3473523</vt:i4>
      </vt:variant>
      <vt:variant>
        <vt:i4>57</vt:i4>
      </vt:variant>
      <vt:variant>
        <vt:i4>0</vt:i4>
      </vt:variant>
      <vt:variant>
        <vt:i4>5</vt:i4>
      </vt:variant>
      <vt:variant>
        <vt:lpwstr>http://www.nevo.co.il/case/5590128</vt:lpwstr>
      </vt:variant>
      <vt:variant>
        <vt:lpwstr/>
      </vt:variant>
      <vt:variant>
        <vt:i4>3407995</vt:i4>
      </vt:variant>
      <vt:variant>
        <vt:i4>54</vt:i4>
      </vt:variant>
      <vt:variant>
        <vt:i4>0</vt:i4>
      </vt:variant>
      <vt:variant>
        <vt:i4>5</vt:i4>
      </vt:variant>
      <vt:variant>
        <vt:lpwstr>http://www.nevo.co.il/case/18753213</vt:lpwstr>
      </vt:variant>
      <vt:variant>
        <vt:lpwstr/>
      </vt:variant>
      <vt:variant>
        <vt:i4>3211376</vt:i4>
      </vt:variant>
      <vt:variant>
        <vt:i4>51</vt:i4>
      </vt:variant>
      <vt:variant>
        <vt:i4>0</vt:i4>
      </vt:variant>
      <vt:variant>
        <vt:i4>5</vt:i4>
      </vt:variant>
      <vt:variant>
        <vt:lpwstr>http://www.nevo.co.il/case/20412551</vt:lpwstr>
      </vt:variant>
      <vt:variant>
        <vt:lpwstr/>
      </vt:variant>
      <vt:variant>
        <vt:i4>3407990</vt:i4>
      </vt:variant>
      <vt:variant>
        <vt:i4>48</vt:i4>
      </vt:variant>
      <vt:variant>
        <vt:i4>0</vt:i4>
      </vt:variant>
      <vt:variant>
        <vt:i4>5</vt:i4>
      </vt:variant>
      <vt:variant>
        <vt:lpwstr>http://www.nevo.co.il/case/5763166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4063357</vt:i4>
      </vt:variant>
      <vt:variant>
        <vt:i4>42</vt:i4>
      </vt:variant>
      <vt:variant>
        <vt:i4>0</vt:i4>
      </vt:variant>
      <vt:variant>
        <vt:i4>5</vt:i4>
      </vt:variant>
      <vt:variant>
        <vt:lpwstr>http://www.nevo.co.il/case/23237993</vt:lpwstr>
      </vt:variant>
      <vt:variant>
        <vt:lpwstr/>
      </vt:variant>
      <vt:variant>
        <vt:i4>4063346</vt:i4>
      </vt:variant>
      <vt:variant>
        <vt:i4>39</vt:i4>
      </vt:variant>
      <vt:variant>
        <vt:i4>0</vt:i4>
      </vt:variant>
      <vt:variant>
        <vt:i4>5</vt:i4>
      </vt:variant>
      <vt:variant>
        <vt:lpwstr>http://www.nevo.co.il/case/26246488</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4128882</vt:i4>
      </vt:variant>
      <vt:variant>
        <vt:i4>33</vt:i4>
      </vt:variant>
      <vt:variant>
        <vt:i4>0</vt:i4>
      </vt:variant>
      <vt:variant>
        <vt:i4>5</vt:i4>
      </vt:variant>
      <vt:variant>
        <vt:lpwstr>http://www.nevo.co.il/case/20956329</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6750307</vt:i4>
      </vt:variant>
      <vt:variant>
        <vt:i4>18</vt:i4>
      </vt:variant>
      <vt:variant>
        <vt:i4>0</vt:i4>
      </vt:variant>
      <vt:variant>
        <vt:i4>5</vt:i4>
      </vt:variant>
      <vt:variant>
        <vt:lpwstr>http://www.nevo.co.il/law/75015/16</vt:lpwstr>
      </vt:variant>
      <vt:variant>
        <vt:lpwstr/>
      </vt:variant>
      <vt:variant>
        <vt:i4>5308498</vt:i4>
      </vt:variant>
      <vt:variant>
        <vt:i4>15</vt:i4>
      </vt:variant>
      <vt:variant>
        <vt:i4>0</vt:i4>
      </vt:variant>
      <vt:variant>
        <vt:i4>5</vt:i4>
      </vt:variant>
      <vt:variant>
        <vt:lpwstr>http://www.nevo.co.il/law/75015/6</vt:lpwstr>
      </vt:variant>
      <vt:variant>
        <vt:lpwstr/>
      </vt:variant>
      <vt:variant>
        <vt:i4>8257639</vt:i4>
      </vt:variant>
      <vt:variant>
        <vt:i4>12</vt:i4>
      </vt:variant>
      <vt:variant>
        <vt:i4>0</vt:i4>
      </vt:variant>
      <vt:variant>
        <vt:i4>5</vt:i4>
      </vt:variant>
      <vt:variant>
        <vt:lpwstr>http://www.nevo.co.il/law/75015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2025-04-23T01:59:00Z</dcterms:created>
  <dcterms:modified xsi:type="dcterms:W3CDTF">2025-04-23T01:59:00Z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33040</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יוסף אברהם</vt:lpwstr>
  </property>
  <property fmtid="{D5CDD505-2E9C-101B-9397-08002B2CF9AE}" pid="10" name="LAWYER">
    <vt:lpwstr>סרי מבאריקי;רן קרויט</vt:lpwstr>
  </property>
  <property fmtid="{D5CDD505-2E9C-101B-9397-08002B2CF9AE}" pid="11" name="JUDGE">
    <vt:lpwstr>דורית סבן</vt:lpwstr>
  </property>
  <property fmtid="{D5CDD505-2E9C-101B-9397-08002B2CF9AE}" pid="12" name="CITY">
    <vt:lpwstr>רמ'</vt:lpwstr>
  </property>
  <property fmtid="{D5CDD505-2E9C-101B-9397-08002B2CF9AE}" pid="13" name="DATE">
    <vt:lpwstr>20250327</vt:lpwstr>
  </property>
  <property fmtid="{D5CDD505-2E9C-101B-9397-08002B2CF9AE}" pid="14" name="TYPE_N_DATE">
    <vt:lpwstr>38020250327</vt:lpwstr>
  </property>
  <property fmtid="{D5CDD505-2E9C-101B-9397-08002B2CF9AE}" pid="15" name="CASESLISTTMP1">
    <vt:lpwstr>20956329;5698919;26246488:2;23237993;5763166;20412551;18753213;5590128;6180833;28400049;26375569;21066819;20956295;17947582;33156014;26402047;25156420;30549043;26626601</vt:lpwstr>
  </property>
  <property fmtid="{D5CDD505-2E9C-101B-9397-08002B2CF9AE}" pid="16" name="CASENOTES1">
    <vt:lpwstr>ProcID=133;209&amp;PartA=4456&amp;PartC=17</vt:lpwstr>
  </property>
  <property fmtid="{D5CDD505-2E9C-101B-9397-08002B2CF9AE}" pid="17" name="CASENOTES2">
    <vt:lpwstr>ProcID=213&amp;PartA=221&amp;PartC=22</vt:lpwstr>
  </property>
  <property fmtid="{D5CDD505-2E9C-101B-9397-08002B2CF9AE}" pid="18" name="WORDNUMPAGES">
    <vt:lpwstr>11</vt:lpwstr>
  </property>
  <property fmtid="{D5CDD505-2E9C-101B-9397-08002B2CF9AE}" pid="19" name="TYPE_ABS_DATE">
    <vt:lpwstr>380020250327</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70301:2</vt:lpwstr>
  </property>
  <property fmtid="{D5CDD505-2E9C-101B-9397-08002B2CF9AE}" pid="39" name="LAWLISTTMP3">
    <vt:lpwstr>75015/006;016</vt:lpwstr>
  </property>
  <property fmtid="{D5CDD505-2E9C-101B-9397-08002B2CF9AE}" pid="40" name="ISABSTRACT">
    <vt:lpwstr>Y</vt:lpwstr>
  </property>
</Properties>
</file>