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2C611A" w:rsidRPr="00DC2A9D" w14:paraId="0042E28F" w14:textId="77777777">
        <w:trPr>
          <w:trHeight w:hRule="exact" w:val="704"/>
          <w:jc w:val="center"/>
        </w:trPr>
        <w:tc>
          <w:tcPr>
            <w:tcW w:w="8721" w:type="dxa"/>
            <w:gridSpan w:val="2"/>
          </w:tcPr>
          <w:p w14:paraId="3C756F7D" w14:textId="77777777" w:rsidR="002C611A" w:rsidRPr="00DC2A9D" w:rsidRDefault="00DC2A9D">
            <w:pPr>
              <w:pStyle w:val="a3"/>
              <w:jc w:val="center"/>
              <w:rPr>
                <w:rFonts w:ascii="Tahoma" w:hAnsi="Tahoma" w:cs="Tahoma"/>
                <w:noProof w:val="0"/>
                <w:color w:val="000080"/>
                <w:rtl/>
              </w:rPr>
            </w:pPr>
            <w:bookmarkStart w:id="0" w:name="LastJudge"/>
            <w:r w:rsidRPr="00DC2A9D">
              <w:rPr>
                <w:rFonts w:ascii="Tahoma" w:hAnsi="Tahoma" w:cs="Tahoma"/>
                <w:b/>
                <w:bCs/>
                <w:color w:val="000080"/>
                <w:rtl/>
              </w:rPr>
              <w:t>בית משפט השלום לתעבורה בירושלים</w:t>
            </w:r>
          </w:p>
        </w:tc>
      </w:tr>
      <w:tr w:rsidR="002C611A" w:rsidRPr="00DC2A9D" w14:paraId="0F0603D4" w14:textId="77777777">
        <w:trPr>
          <w:trHeight w:val="337"/>
          <w:jc w:val="center"/>
        </w:trPr>
        <w:tc>
          <w:tcPr>
            <w:tcW w:w="5047" w:type="dxa"/>
          </w:tcPr>
          <w:p w14:paraId="20FA3AC1" w14:textId="77777777" w:rsidR="002C611A" w:rsidRPr="00DC2A9D" w:rsidRDefault="002C611A">
            <w:pPr>
              <w:rPr>
                <w:b/>
                <w:bCs/>
                <w:noProof w:val="0"/>
                <w:sz w:val="26"/>
                <w:szCs w:val="26"/>
                <w:rtl/>
              </w:rPr>
            </w:pPr>
          </w:p>
        </w:tc>
        <w:tc>
          <w:tcPr>
            <w:tcW w:w="3674" w:type="dxa"/>
          </w:tcPr>
          <w:p w14:paraId="3AACB76F" w14:textId="77777777" w:rsidR="002C611A" w:rsidRPr="00DC2A9D" w:rsidRDefault="002C611A">
            <w:pPr>
              <w:pStyle w:val="a3"/>
              <w:jc w:val="right"/>
              <w:rPr>
                <w:b/>
                <w:bCs/>
                <w:noProof w:val="0"/>
                <w:sz w:val="26"/>
                <w:szCs w:val="26"/>
                <w:rtl/>
              </w:rPr>
            </w:pPr>
          </w:p>
        </w:tc>
      </w:tr>
      <w:tr w:rsidR="002C611A" w:rsidRPr="00DC2A9D" w14:paraId="1518EB17" w14:textId="77777777">
        <w:trPr>
          <w:trHeight w:val="337"/>
          <w:jc w:val="center"/>
        </w:trPr>
        <w:tc>
          <w:tcPr>
            <w:tcW w:w="8721" w:type="dxa"/>
            <w:gridSpan w:val="2"/>
          </w:tcPr>
          <w:p w14:paraId="74CDA212" w14:textId="77777777" w:rsidR="002C611A" w:rsidRPr="00DC2A9D" w:rsidRDefault="00DC2A9D">
            <w:pPr>
              <w:rPr>
                <w:b/>
                <w:bCs/>
                <w:noProof w:val="0"/>
                <w:sz w:val="26"/>
                <w:szCs w:val="26"/>
                <w:rtl/>
              </w:rPr>
            </w:pPr>
            <w:r w:rsidRPr="00DC2A9D">
              <w:rPr>
                <w:b/>
                <w:bCs/>
                <w:noProof w:val="0"/>
                <w:sz w:val="26"/>
                <w:szCs w:val="26"/>
                <w:rtl/>
              </w:rPr>
              <w:t>פ"ל 9037-11-12 מדינת ישראל נ' קדם(עציר)</w:t>
            </w:r>
          </w:p>
          <w:p w14:paraId="0FCF8660" w14:textId="77777777" w:rsidR="002C611A" w:rsidRPr="00DC2A9D" w:rsidRDefault="002C611A">
            <w:pPr>
              <w:rPr>
                <w:rtl/>
              </w:rPr>
            </w:pPr>
          </w:p>
          <w:p w14:paraId="2762D1D7" w14:textId="77777777" w:rsidR="002C611A" w:rsidRPr="00DC2A9D" w:rsidRDefault="00DC2A9D">
            <w:pPr>
              <w:rPr>
                <w:rtl/>
              </w:rPr>
            </w:pPr>
            <w:r w:rsidRPr="00DC2A9D">
              <w:rPr>
                <w:rFonts w:hint="cs"/>
                <w:sz w:val="20"/>
                <w:szCs w:val="20"/>
                <w:rtl/>
              </w:rPr>
              <w:t>תיק חיצוני</w:t>
            </w:r>
            <w:r w:rsidRPr="00DC2A9D">
              <w:rPr>
                <w:rFonts w:hint="cs"/>
                <w:rtl/>
              </w:rPr>
              <w:t xml:space="preserve">: </w:t>
            </w:r>
            <w:r w:rsidRPr="00DC2A9D">
              <w:rPr>
                <w:sz w:val="20"/>
                <w:szCs w:val="20"/>
                <w:rtl/>
              </w:rPr>
              <w:t>392/12</w:t>
            </w:r>
          </w:p>
        </w:tc>
      </w:tr>
    </w:tbl>
    <w:p w14:paraId="77FF9DDB" w14:textId="77777777" w:rsidR="002C611A" w:rsidRPr="00DC2A9D" w:rsidRDefault="00DC2A9D">
      <w:pPr>
        <w:pStyle w:val="a3"/>
        <w:rPr>
          <w:noProof w:val="0"/>
          <w:rtl/>
        </w:rPr>
      </w:pPr>
      <w:r w:rsidRPr="00DC2A9D">
        <w:rPr>
          <w:noProof w:val="0"/>
          <w:rtl/>
        </w:rPr>
        <w:t xml:space="preserve"> </w:t>
      </w:r>
    </w:p>
    <w:p w14:paraId="2457C5DC" w14:textId="77777777" w:rsidR="002C611A" w:rsidRPr="00DC2A9D" w:rsidRDefault="00DC2A9D">
      <w:pPr>
        <w:rPr>
          <w:rtl/>
        </w:rPr>
      </w:pPr>
      <w:r w:rsidRPr="00DC2A9D">
        <w:rPr>
          <w:rtl/>
        </w:rPr>
        <w:t xml:space="preserve"> </w:t>
      </w:r>
    </w:p>
    <w:tbl>
      <w:tblPr>
        <w:bidiVisual/>
        <w:tblW w:w="8820" w:type="dxa"/>
        <w:jc w:val="center"/>
        <w:tblLook w:val="01E0" w:firstRow="1" w:lastRow="1" w:firstColumn="1" w:lastColumn="1" w:noHBand="0" w:noVBand="0"/>
      </w:tblPr>
      <w:tblGrid>
        <w:gridCol w:w="743"/>
        <w:gridCol w:w="2506"/>
        <w:gridCol w:w="5571"/>
      </w:tblGrid>
      <w:tr w:rsidR="002C611A" w:rsidRPr="00DC2A9D" w14:paraId="6DA7A4F2" w14:textId="77777777">
        <w:trPr>
          <w:jc w:val="center"/>
        </w:trPr>
        <w:tc>
          <w:tcPr>
            <w:tcW w:w="743" w:type="dxa"/>
          </w:tcPr>
          <w:p w14:paraId="564E4098" w14:textId="77777777" w:rsidR="002C611A" w:rsidRPr="00DC2A9D" w:rsidRDefault="00DC2A9D">
            <w:pPr>
              <w:jc w:val="both"/>
              <w:rPr>
                <w:rFonts w:ascii="Arial" w:hAnsi="Arial"/>
                <w:b/>
                <w:bCs/>
              </w:rPr>
            </w:pPr>
            <w:r w:rsidRPr="00DC2A9D">
              <w:rPr>
                <w:rFonts w:ascii="Arial" w:hAnsi="Arial" w:hint="cs"/>
                <w:b/>
                <w:bCs/>
                <w:rtl/>
              </w:rPr>
              <w:t>ב</w:t>
            </w:r>
            <w:r w:rsidRPr="00DC2A9D">
              <w:rPr>
                <w:rFonts w:ascii="Arial" w:hAnsi="Arial"/>
                <w:b/>
                <w:bCs/>
                <w:rtl/>
              </w:rPr>
              <w:t xml:space="preserve">פני </w:t>
            </w:r>
          </w:p>
        </w:tc>
        <w:tc>
          <w:tcPr>
            <w:tcW w:w="8077" w:type="dxa"/>
            <w:gridSpan w:val="2"/>
          </w:tcPr>
          <w:p w14:paraId="1310DF7D" w14:textId="77777777" w:rsidR="002C611A" w:rsidRPr="00DC2A9D" w:rsidRDefault="00DC2A9D">
            <w:pPr>
              <w:rPr>
                <w:rFonts w:ascii="Arial" w:hAnsi="Arial"/>
                <w:b/>
                <w:bCs/>
                <w:rtl/>
              </w:rPr>
            </w:pPr>
            <w:r w:rsidRPr="00DC2A9D">
              <w:rPr>
                <w:rFonts w:ascii="Arial" w:hAnsi="Arial" w:hint="cs"/>
                <w:b/>
                <w:bCs/>
                <w:rtl/>
              </w:rPr>
              <w:t>כב' ה</w:t>
            </w:r>
            <w:r w:rsidRPr="00DC2A9D">
              <w:rPr>
                <w:rFonts w:hint="cs"/>
                <w:rtl/>
              </w:rPr>
              <w:t>שופט</w:t>
            </w:r>
            <w:r w:rsidRPr="00DC2A9D">
              <w:rPr>
                <w:rFonts w:ascii="Arial" w:hAnsi="Arial" w:hint="cs"/>
                <w:b/>
                <w:bCs/>
                <w:rtl/>
              </w:rPr>
              <w:t xml:space="preserve">  </w:t>
            </w:r>
            <w:r w:rsidRPr="00DC2A9D">
              <w:rPr>
                <w:rFonts w:hint="cs"/>
                <w:rtl/>
              </w:rPr>
              <w:t>אברהם טננבוים</w:t>
            </w:r>
          </w:p>
          <w:p w14:paraId="095A70D7" w14:textId="77777777" w:rsidR="002C611A" w:rsidRPr="00DC2A9D" w:rsidRDefault="002C611A">
            <w:pPr>
              <w:rPr>
                <w:rFonts w:ascii="Arial" w:hAnsi="Arial" w:cs="FrankRuehl"/>
                <w:sz w:val="28"/>
                <w:szCs w:val="28"/>
                <w:highlight w:val="yellow"/>
              </w:rPr>
            </w:pPr>
          </w:p>
        </w:tc>
      </w:tr>
      <w:tr w:rsidR="002C611A" w:rsidRPr="00DC2A9D" w14:paraId="69497C74" w14:textId="77777777">
        <w:trPr>
          <w:jc w:val="center"/>
        </w:trPr>
        <w:tc>
          <w:tcPr>
            <w:tcW w:w="3249" w:type="dxa"/>
            <w:gridSpan w:val="2"/>
          </w:tcPr>
          <w:p w14:paraId="536FC4A2" w14:textId="77777777" w:rsidR="002C611A" w:rsidRPr="00DC2A9D" w:rsidRDefault="002C611A">
            <w:pPr>
              <w:bidi w:val="0"/>
              <w:jc w:val="right"/>
              <w:rPr>
                <w:rFonts w:ascii="Arial" w:hAnsi="Arial"/>
                <w:b/>
                <w:bCs/>
                <w:noProof w:val="0"/>
                <w:sz w:val="26"/>
                <w:szCs w:val="26"/>
              </w:rPr>
            </w:pPr>
            <w:bookmarkStart w:id="1" w:name="FirstAppellant"/>
          </w:p>
          <w:p w14:paraId="01D76A46" w14:textId="77777777" w:rsidR="002C611A" w:rsidRPr="00DC2A9D" w:rsidRDefault="00DC2A9D">
            <w:pPr>
              <w:bidi w:val="0"/>
              <w:jc w:val="right"/>
              <w:rPr>
                <w:rFonts w:ascii="Arial" w:hAnsi="Arial"/>
                <w:b/>
                <w:bCs/>
                <w:noProof w:val="0"/>
                <w:sz w:val="26"/>
                <w:szCs w:val="26"/>
                <w:rtl/>
              </w:rPr>
            </w:pPr>
            <w:r w:rsidRPr="00DC2A9D">
              <w:rPr>
                <w:rFonts w:hint="cs"/>
                <w:rtl/>
              </w:rPr>
              <w:t>מאשימה</w:t>
            </w:r>
          </w:p>
        </w:tc>
        <w:tc>
          <w:tcPr>
            <w:tcW w:w="5571" w:type="dxa"/>
          </w:tcPr>
          <w:p w14:paraId="4014B6BA" w14:textId="77777777" w:rsidR="002C611A" w:rsidRPr="00DC2A9D" w:rsidRDefault="002C611A">
            <w:pPr>
              <w:rPr>
                <w:rFonts w:ascii="Arial" w:hAnsi="Arial"/>
                <w:b/>
                <w:bCs/>
                <w:noProof w:val="0"/>
                <w:sz w:val="26"/>
                <w:szCs w:val="26"/>
                <w:rtl/>
              </w:rPr>
            </w:pPr>
          </w:p>
          <w:p w14:paraId="75B2D95B" w14:textId="77777777" w:rsidR="002C611A" w:rsidRPr="00DC2A9D" w:rsidRDefault="00DC2A9D">
            <w:pPr>
              <w:rPr>
                <w:b/>
                <w:bCs/>
                <w:noProof w:val="0"/>
                <w:sz w:val="26"/>
                <w:szCs w:val="26"/>
              </w:rPr>
            </w:pPr>
            <w:r w:rsidRPr="00DC2A9D">
              <w:rPr>
                <w:rFonts w:hint="cs"/>
                <w:rtl/>
              </w:rPr>
              <w:t>מדינת ישראל</w:t>
            </w:r>
          </w:p>
        </w:tc>
      </w:tr>
      <w:bookmarkEnd w:id="1"/>
      <w:tr w:rsidR="002C611A" w:rsidRPr="00DC2A9D" w14:paraId="0D0DDF44" w14:textId="77777777">
        <w:trPr>
          <w:jc w:val="center"/>
        </w:trPr>
        <w:tc>
          <w:tcPr>
            <w:tcW w:w="8820" w:type="dxa"/>
            <w:gridSpan w:val="3"/>
          </w:tcPr>
          <w:p w14:paraId="43386CD8" w14:textId="77777777" w:rsidR="002C611A" w:rsidRPr="00DC2A9D" w:rsidRDefault="002C611A">
            <w:pPr>
              <w:rPr>
                <w:rFonts w:ascii="Arial" w:hAnsi="Arial"/>
                <w:b/>
                <w:bCs/>
                <w:noProof w:val="0"/>
                <w:sz w:val="26"/>
                <w:szCs w:val="26"/>
                <w:rtl/>
              </w:rPr>
            </w:pPr>
          </w:p>
          <w:p w14:paraId="66B47A3A" w14:textId="77777777" w:rsidR="002C611A" w:rsidRPr="00DC2A9D" w:rsidRDefault="00DC2A9D">
            <w:pPr>
              <w:jc w:val="center"/>
              <w:rPr>
                <w:rFonts w:ascii="Arial" w:hAnsi="Arial"/>
                <w:b/>
                <w:bCs/>
                <w:noProof w:val="0"/>
                <w:sz w:val="26"/>
                <w:szCs w:val="26"/>
                <w:rtl/>
              </w:rPr>
            </w:pPr>
            <w:r w:rsidRPr="00DC2A9D">
              <w:rPr>
                <w:rFonts w:ascii="Arial" w:hAnsi="Arial"/>
                <w:b/>
                <w:bCs/>
                <w:noProof w:val="0"/>
                <w:sz w:val="26"/>
                <w:szCs w:val="26"/>
                <w:rtl/>
              </w:rPr>
              <w:t>נגד</w:t>
            </w:r>
          </w:p>
          <w:p w14:paraId="34C1E228" w14:textId="77777777" w:rsidR="002C611A" w:rsidRPr="00DC2A9D" w:rsidRDefault="002C611A">
            <w:pPr>
              <w:rPr>
                <w:rFonts w:ascii="Arial" w:hAnsi="Arial"/>
                <w:b/>
                <w:bCs/>
                <w:noProof w:val="0"/>
                <w:sz w:val="26"/>
                <w:szCs w:val="26"/>
              </w:rPr>
            </w:pPr>
          </w:p>
        </w:tc>
      </w:tr>
      <w:tr w:rsidR="002C611A" w:rsidRPr="00DC2A9D" w14:paraId="6EF875CF" w14:textId="77777777">
        <w:trPr>
          <w:jc w:val="center"/>
        </w:trPr>
        <w:tc>
          <w:tcPr>
            <w:tcW w:w="3249" w:type="dxa"/>
            <w:gridSpan w:val="2"/>
          </w:tcPr>
          <w:p w14:paraId="683AF929" w14:textId="77777777" w:rsidR="002C611A" w:rsidRPr="00DC2A9D" w:rsidRDefault="002C611A">
            <w:pPr>
              <w:rPr>
                <w:rFonts w:ascii="Arial" w:hAnsi="Arial"/>
                <w:b/>
                <w:bCs/>
                <w:noProof w:val="0"/>
                <w:sz w:val="26"/>
                <w:szCs w:val="26"/>
                <w:rtl/>
              </w:rPr>
            </w:pPr>
          </w:p>
          <w:p w14:paraId="39758258" w14:textId="77777777" w:rsidR="002C611A" w:rsidRPr="00DC2A9D" w:rsidRDefault="00DC2A9D">
            <w:pPr>
              <w:rPr>
                <w:rFonts w:ascii="Arial" w:hAnsi="Arial"/>
                <w:b/>
                <w:bCs/>
                <w:noProof w:val="0"/>
                <w:sz w:val="26"/>
                <w:szCs w:val="26"/>
              </w:rPr>
            </w:pPr>
            <w:r w:rsidRPr="00DC2A9D">
              <w:rPr>
                <w:rFonts w:hint="cs"/>
                <w:rtl/>
              </w:rPr>
              <w:t>נאשם</w:t>
            </w:r>
          </w:p>
        </w:tc>
        <w:tc>
          <w:tcPr>
            <w:tcW w:w="5571" w:type="dxa"/>
          </w:tcPr>
          <w:p w14:paraId="6C164BBF" w14:textId="77777777" w:rsidR="002C611A" w:rsidRPr="00DC2A9D" w:rsidRDefault="002C611A">
            <w:pPr>
              <w:rPr>
                <w:rFonts w:ascii="Arial" w:hAnsi="Arial"/>
                <w:b/>
                <w:bCs/>
                <w:noProof w:val="0"/>
                <w:sz w:val="26"/>
                <w:szCs w:val="26"/>
                <w:rtl/>
              </w:rPr>
            </w:pPr>
          </w:p>
          <w:p w14:paraId="2E64E02A" w14:textId="77777777" w:rsidR="002C611A" w:rsidRPr="00DC2A9D" w:rsidRDefault="00DC2A9D">
            <w:pPr>
              <w:rPr>
                <w:b/>
                <w:bCs/>
                <w:noProof w:val="0"/>
                <w:sz w:val="26"/>
                <w:szCs w:val="26"/>
                <w:rtl/>
              </w:rPr>
            </w:pPr>
            <w:r w:rsidRPr="00DC2A9D">
              <w:rPr>
                <w:rFonts w:hint="cs"/>
                <w:rtl/>
              </w:rPr>
              <w:t>אברהם קדם (עציר)</w:t>
            </w:r>
          </w:p>
        </w:tc>
      </w:tr>
    </w:tbl>
    <w:p w14:paraId="4CCC7C23" w14:textId="77777777" w:rsidR="002C611A" w:rsidRPr="00DC2A9D" w:rsidRDefault="002C611A">
      <w:pPr>
        <w:rPr>
          <w:rtl/>
        </w:rPr>
      </w:pPr>
    </w:p>
    <w:p w14:paraId="5BC320F5" w14:textId="77777777" w:rsidR="002C611A" w:rsidRPr="00DC2A9D" w:rsidRDefault="002C611A">
      <w:pPr>
        <w:rPr>
          <w:rtl/>
        </w:rPr>
      </w:pPr>
    </w:p>
    <w:p w14:paraId="67D43377" w14:textId="77777777" w:rsidR="002C611A" w:rsidRPr="00DC2A9D" w:rsidRDefault="002C611A"/>
    <w:p w14:paraId="52C73B9D" w14:textId="77777777" w:rsidR="002C611A" w:rsidRPr="00DC2A9D" w:rsidRDefault="002C611A">
      <w:pPr>
        <w:suppressLineNumbers/>
        <w:rPr>
          <w:rtl/>
        </w:rPr>
      </w:pPr>
    </w:p>
    <w:p w14:paraId="4046D8A4" w14:textId="77777777" w:rsidR="002C611A" w:rsidRPr="00DC2A9D" w:rsidRDefault="002C611A">
      <w:pPr>
        <w:suppressLineNumbers/>
      </w:pPr>
    </w:p>
    <w:tbl>
      <w:tblPr>
        <w:bidiVisual/>
        <w:tblW w:w="8820" w:type="dxa"/>
        <w:jc w:val="center"/>
        <w:tblLook w:val="01E0" w:firstRow="1" w:lastRow="1" w:firstColumn="1" w:lastColumn="1" w:noHBand="0" w:noVBand="0"/>
      </w:tblPr>
      <w:tblGrid>
        <w:gridCol w:w="8820"/>
      </w:tblGrid>
      <w:tr w:rsidR="002C611A" w14:paraId="1D4A7C18" w14:textId="77777777">
        <w:trPr>
          <w:jc w:val="center"/>
        </w:trPr>
        <w:tc>
          <w:tcPr>
            <w:tcW w:w="8820" w:type="dxa"/>
          </w:tcPr>
          <w:p w14:paraId="78F1E6EA" w14:textId="77777777" w:rsidR="00562872" w:rsidRDefault="00562872">
            <w:pPr>
              <w:bidi w:val="0"/>
              <w:jc w:val="center"/>
              <w:rPr>
                <w:rFonts w:ascii="Arial" w:hAnsi="Arial"/>
                <w:b/>
                <w:bCs/>
                <w:noProof w:val="0"/>
                <w:sz w:val="28"/>
                <w:szCs w:val="28"/>
              </w:rPr>
            </w:pPr>
          </w:p>
          <w:p w14:paraId="733488F4" w14:textId="77777777" w:rsidR="00DC2A9D" w:rsidRPr="00DC2A9D" w:rsidRDefault="00DC2A9D">
            <w:pPr>
              <w:bidi w:val="0"/>
              <w:jc w:val="center"/>
              <w:rPr>
                <w:rFonts w:ascii="Arial" w:hAnsi="Arial"/>
                <w:b/>
                <w:bCs/>
                <w:noProof w:val="0"/>
                <w:sz w:val="28"/>
                <w:szCs w:val="28"/>
                <w:rtl/>
              </w:rPr>
            </w:pPr>
          </w:p>
          <w:p w14:paraId="4176F2D9" w14:textId="77777777" w:rsidR="00562872" w:rsidRDefault="00562872" w:rsidP="00DC2A9D">
            <w:pPr>
              <w:bidi w:val="0"/>
              <w:jc w:val="center"/>
              <w:rPr>
                <w:rFonts w:ascii="Arial" w:hAnsi="Arial"/>
                <w:noProof w:val="0"/>
                <w:sz w:val="28"/>
                <w:szCs w:val="28"/>
              </w:rPr>
            </w:pPr>
            <w:bookmarkStart w:id="2" w:name="PsakDin"/>
            <w:bookmarkStart w:id="3" w:name="LawTable"/>
            <w:bookmarkEnd w:id="3"/>
          </w:p>
          <w:p w14:paraId="0B4F5291" w14:textId="77777777" w:rsidR="00562872" w:rsidRPr="00562872" w:rsidRDefault="00562872" w:rsidP="00562872">
            <w:pPr>
              <w:bidi w:val="0"/>
              <w:spacing w:after="120" w:line="240" w:lineRule="exact"/>
              <w:ind w:left="283" w:hanging="283"/>
              <w:jc w:val="both"/>
              <w:rPr>
                <w:rFonts w:ascii="FrankRuehl" w:hAnsi="FrankRuehl" w:cs="FrankRuehl"/>
                <w:noProof w:val="0"/>
              </w:rPr>
            </w:pPr>
          </w:p>
          <w:p w14:paraId="7D1F2F15" w14:textId="77777777" w:rsidR="00562872" w:rsidRPr="00562872" w:rsidRDefault="00562872" w:rsidP="00562872">
            <w:pPr>
              <w:bidi w:val="0"/>
              <w:spacing w:after="120" w:line="240" w:lineRule="exact"/>
              <w:ind w:left="283" w:hanging="283"/>
              <w:jc w:val="both"/>
              <w:rPr>
                <w:rFonts w:ascii="FrankRuehl" w:hAnsi="FrankRuehl" w:cs="FrankRuehl"/>
                <w:noProof w:val="0"/>
                <w:rtl/>
              </w:rPr>
            </w:pPr>
            <w:r w:rsidRPr="00562872">
              <w:rPr>
                <w:rFonts w:ascii="FrankRuehl" w:hAnsi="FrankRuehl" w:cs="FrankRuehl"/>
                <w:noProof w:val="0"/>
                <w:rtl/>
              </w:rPr>
              <w:t>חקיקה שאוזכרה</w:t>
            </w:r>
            <w:r w:rsidRPr="00562872">
              <w:rPr>
                <w:rFonts w:ascii="FrankRuehl" w:hAnsi="FrankRuehl" w:cs="FrankRuehl"/>
                <w:noProof w:val="0"/>
              </w:rPr>
              <w:t xml:space="preserve">: </w:t>
            </w:r>
          </w:p>
          <w:p w14:paraId="305E317D" w14:textId="77777777" w:rsidR="00562872" w:rsidRPr="00562872" w:rsidRDefault="00562872" w:rsidP="00562872">
            <w:pPr>
              <w:bidi w:val="0"/>
              <w:spacing w:after="120" w:line="240" w:lineRule="exact"/>
              <w:ind w:left="283" w:hanging="283"/>
              <w:jc w:val="both"/>
              <w:rPr>
                <w:rFonts w:ascii="FrankRuehl" w:hAnsi="FrankRuehl" w:cs="FrankRuehl"/>
                <w:noProof w:val="0"/>
                <w:rtl/>
              </w:rPr>
            </w:pPr>
            <w:hyperlink r:id="rId7" w:history="1">
              <w:r w:rsidRPr="00562872">
                <w:rPr>
                  <w:rFonts w:ascii="FrankRuehl" w:hAnsi="FrankRuehl" w:cs="FrankRuehl"/>
                  <w:noProof w:val="0"/>
                  <w:color w:val="0000FF"/>
                  <w:u w:val="single"/>
                  <w:rtl/>
                </w:rPr>
                <w:t>פקודת התעבורה [נוסח חדש</w:t>
              </w:r>
              <w:r w:rsidRPr="00562872">
                <w:rPr>
                  <w:rFonts w:ascii="FrankRuehl" w:hAnsi="FrankRuehl" w:cs="FrankRuehl"/>
                  <w:noProof w:val="0"/>
                  <w:color w:val="0000FF"/>
                  <w:u w:val="single"/>
                </w:rPr>
                <w:t>]</w:t>
              </w:r>
            </w:hyperlink>
          </w:p>
          <w:p w14:paraId="289D61CD" w14:textId="77777777" w:rsidR="00562872" w:rsidRPr="00562872" w:rsidRDefault="00562872" w:rsidP="00562872">
            <w:pPr>
              <w:bidi w:val="0"/>
              <w:spacing w:after="120" w:line="240" w:lineRule="exact"/>
              <w:ind w:left="283" w:hanging="283"/>
              <w:jc w:val="both"/>
              <w:rPr>
                <w:rFonts w:ascii="FrankRuehl" w:hAnsi="FrankRuehl" w:cs="FrankRuehl"/>
                <w:noProof w:val="0"/>
                <w:rtl/>
              </w:rPr>
            </w:pPr>
            <w:hyperlink r:id="rId8" w:history="1">
              <w:r w:rsidRPr="00562872">
                <w:rPr>
                  <w:rFonts w:ascii="FrankRuehl" w:hAnsi="FrankRuehl" w:cs="FrankRuehl"/>
                  <w:noProof w:val="0"/>
                  <w:color w:val="0000FF"/>
                  <w:u w:val="single"/>
                  <w:rtl/>
                </w:rPr>
                <w:t>פקודת ביטוח רכב מנועי [נוסח חדש], תש"ל-1970</w:t>
              </w:r>
            </w:hyperlink>
          </w:p>
          <w:p w14:paraId="38BDC3B3" w14:textId="77777777" w:rsidR="00562872" w:rsidRPr="00562872" w:rsidRDefault="00562872" w:rsidP="00562872">
            <w:pPr>
              <w:bidi w:val="0"/>
              <w:spacing w:after="120" w:line="240" w:lineRule="exact"/>
              <w:ind w:left="283" w:hanging="283"/>
              <w:jc w:val="both"/>
              <w:rPr>
                <w:rFonts w:ascii="FrankRuehl" w:hAnsi="FrankRuehl" w:cs="FrankRuehl"/>
                <w:noProof w:val="0"/>
                <w:rtl/>
              </w:rPr>
            </w:pPr>
            <w:hyperlink r:id="rId9" w:history="1">
              <w:r w:rsidRPr="00562872">
                <w:rPr>
                  <w:rFonts w:ascii="FrankRuehl" w:hAnsi="FrankRuehl" w:cs="FrankRuehl"/>
                  <w:noProof w:val="0"/>
                  <w:color w:val="0000FF"/>
                  <w:u w:val="single"/>
                  <w:rtl/>
                </w:rPr>
                <w:t>חוק העונשין, תשל"ז-1977</w:t>
              </w:r>
            </w:hyperlink>
          </w:p>
          <w:p w14:paraId="630975C7" w14:textId="77777777" w:rsidR="00562872" w:rsidRPr="00562872" w:rsidRDefault="00562872" w:rsidP="00562872">
            <w:pPr>
              <w:bidi w:val="0"/>
              <w:spacing w:after="120" w:line="240" w:lineRule="exact"/>
              <w:ind w:left="283" w:hanging="283"/>
              <w:jc w:val="both"/>
              <w:rPr>
                <w:rFonts w:ascii="FrankRuehl" w:hAnsi="FrankRuehl" w:cs="FrankRuehl"/>
                <w:noProof w:val="0"/>
                <w:rtl/>
              </w:rPr>
            </w:pPr>
            <w:hyperlink r:id="rId10" w:history="1">
              <w:r w:rsidRPr="00562872">
                <w:rPr>
                  <w:rFonts w:ascii="FrankRuehl" w:hAnsi="FrankRuehl" w:cs="FrankRuehl"/>
                  <w:noProof w:val="0"/>
                  <w:color w:val="0000FF"/>
                  <w:u w:val="single"/>
                  <w:rtl/>
                </w:rPr>
                <w:t>פקודת הסמים המסוכנים [נוסח חדש], תשל"ג-1973</w:t>
              </w:r>
            </w:hyperlink>
          </w:p>
          <w:p w14:paraId="7CF845A1" w14:textId="77777777" w:rsidR="00562872" w:rsidRPr="00562872" w:rsidRDefault="00562872" w:rsidP="00562872">
            <w:pPr>
              <w:bidi w:val="0"/>
              <w:spacing w:after="120" w:line="240" w:lineRule="exact"/>
              <w:ind w:left="283" w:hanging="283"/>
              <w:jc w:val="both"/>
              <w:rPr>
                <w:rFonts w:ascii="FrankRuehl" w:hAnsi="FrankRuehl" w:cs="FrankRuehl"/>
                <w:noProof w:val="0"/>
                <w:rtl/>
              </w:rPr>
            </w:pPr>
            <w:hyperlink r:id="rId11" w:history="1">
              <w:r w:rsidRPr="00562872">
                <w:rPr>
                  <w:rFonts w:ascii="FrankRuehl" w:hAnsi="FrankRuehl" w:cs="FrankRuehl"/>
                  <w:noProof w:val="0"/>
                  <w:color w:val="0000FF"/>
                  <w:u w:val="single"/>
                  <w:rtl/>
                </w:rPr>
                <w:t>חוק בתי המשפט [נוסח משולב], תשמ"ד-1984</w:t>
              </w:r>
            </w:hyperlink>
          </w:p>
          <w:p w14:paraId="5B9438BC" w14:textId="77777777" w:rsidR="00562872" w:rsidRPr="00562872" w:rsidRDefault="00562872" w:rsidP="00562872">
            <w:pPr>
              <w:bidi w:val="0"/>
              <w:spacing w:after="120" w:line="240" w:lineRule="exact"/>
              <w:ind w:left="283" w:hanging="283"/>
              <w:jc w:val="both"/>
              <w:rPr>
                <w:rFonts w:ascii="FrankRuehl" w:hAnsi="FrankRuehl" w:cs="FrankRuehl"/>
                <w:noProof w:val="0"/>
              </w:rPr>
            </w:pPr>
          </w:p>
          <w:p w14:paraId="605158E4" w14:textId="77777777" w:rsidR="00562872" w:rsidRPr="00562872" w:rsidRDefault="00562872" w:rsidP="00DC2A9D">
            <w:pPr>
              <w:bidi w:val="0"/>
              <w:jc w:val="center"/>
              <w:rPr>
                <w:rFonts w:ascii="Arial" w:hAnsi="Arial"/>
                <w:noProof w:val="0"/>
                <w:sz w:val="28"/>
                <w:szCs w:val="28"/>
                <w:rtl/>
              </w:rPr>
            </w:pPr>
            <w:bookmarkStart w:id="4" w:name="LawTable_End"/>
            <w:bookmarkEnd w:id="4"/>
          </w:p>
          <w:p w14:paraId="2BCBFF71" w14:textId="77777777" w:rsidR="00DC2A9D" w:rsidRPr="00DC2A9D" w:rsidRDefault="00DC2A9D" w:rsidP="00DC2A9D">
            <w:pPr>
              <w:bidi w:val="0"/>
              <w:jc w:val="center"/>
              <w:rPr>
                <w:rFonts w:ascii="Arial" w:hAnsi="Arial"/>
                <w:b/>
                <w:bCs/>
                <w:noProof w:val="0"/>
                <w:sz w:val="28"/>
                <w:szCs w:val="28"/>
                <w:u w:val="single"/>
                <w:rtl/>
              </w:rPr>
            </w:pPr>
            <w:r w:rsidRPr="00DC2A9D">
              <w:rPr>
                <w:rFonts w:ascii="Arial" w:hAnsi="Arial"/>
                <w:b/>
                <w:bCs/>
                <w:noProof w:val="0"/>
                <w:sz w:val="28"/>
                <w:szCs w:val="28"/>
                <w:u w:val="single"/>
                <w:rtl/>
              </w:rPr>
              <w:t>גזר דין</w:t>
            </w:r>
          </w:p>
          <w:bookmarkEnd w:id="2"/>
          <w:p w14:paraId="4C135902" w14:textId="77777777" w:rsidR="002C611A" w:rsidRDefault="002C611A">
            <w:pPr>
              <w:bidi w:val="0"/>
              <w:jc w:val="center"/>
              <w:rPr>
                <w:rFonts w:ascii="Arial" w:hAnsi="Arial"/>
                <w:b/>
                <w:bCs/>
                <w:noProof w:val="0"/>
                <w:sz w:val="28"/>
                <w:szCs w:val="28"/>
                <w:u w:val="single"/>
              </w:rPr>
            </w:pPr>
          </w:p>
        </w:tc>
      </w:tr>
    </w:tbl>
    <w:bookmarkEnd w:id="0"/>
    <w:p w14:paraId="4D875A71" w14:textId="77777777" w:rsidR="002C611A" w:rsidRDefault="00DC2A9D">
      <w:pPr>
        <w:spacing w:line="360" w:lineRule="auto"/>
        <w:jc w:val="center"/>
        <w:rPr>
          <w:u w:val="single"/>
          <w:rtl/>
        </w:rPr>
      </w:pPr>
      <w:r>
        <w:rPr>
          <w:u w:val="single"/>
          <w:rtl/>
        </w:rPr>
        <w:t>האשמה ומהלך הדיון</w:t>
      </w:r>
    </w:p>
    <w:p w14:paraId="5CA583F4" w14:textId="77777777" w:rsidR="002C611A" w:rsidRDefault="002C611A">
      <w:pPr>
        <w:spacing w:line="360" w:lineRule="auto"/>
        <w:jc w:val="both"/>
        <w:rPr>
          <w:rtl/>
        </w:rPr>
      </w:pPr>
    </w:p>
    <w:p w14:paraId="54C41EDA" w14:textId="77777777" w:rsidR="002C611A" w:rsidRDefault="00DC2A9D">
      <w:pPr>
        <w:spacing w:line="360" w:lineRule="auto"/>
        <w:jc w:val="both"/>
        <w:rPr>
          <w:rtl/>
        </w:rPr>
      </w:pPr>
      <w:bookmarkStart w:id="5" w:name="ABSTRACT_START"/>
      <w:bookmarkEnd w:id="5"/>
      <w:r>
        <w:rPr>
          <w:rtl/>
        </w:rPr>
        <w:t>הנאשם בפני, אברהם קדם (להלן: "הנאשם"), הורשע לאחר ניהול הוכחות בעביר</w:t>
      </w:r>
      <w:r>
        <w:rPr>
          <w:rFonts w:hint="cs"/>
          <w:rtl/>
        </w:rPr>
        <w:t>ות</w:t>
      </w:r>
      <w:r>
        <w:rPr>
          <w:rtl/>
        </w:rPr>
        <w:t xml:space="preserve"> של נהיגה ללא רישיון נהיגה, עבירה לפי סעיף 10(א) ל</w:t>
      </w:r>
      <w:hyperlink r:id="rId12" w:history="1">
        <w:r w:rsidR="00562872" w:rsidRPr="00562872">
          <w:rPr>
            <w:rStyle w:val="Hyperlink"/>
            <w:rtl/>
          </w:rPr>
          <w:t>פקודת התעבורה</w:t>
        </w:r>
      </w:hyperlink>
      <w:r>
        <w:rPr>
          <w:rtl/>
        </w:rPr>
        <w:t>, התשכ"א-1961 (להלן: "פקודת התעבורה")</w:t>
      </w:r>
      <w:r>
        <w:t>;</w:t>
      </w:r>
      <w:r>
        <w:rPr>
          <w:rtl/>
        </w:rPr>
        <w:t xml:space="preserve"> נהיגה תחת פסילה ביודעין, עבירה על סעיף 67 לפקודת התעבורה</w:t>
      </w:r>
      <w:r>
        <w:t>;</w:t>
      </w:r>
      <w:r>
        <w:rPr>
          <w:rtl/>
        </w:rPr>
        <w:t xml:space="preserve"> נהיגה ללא ביטוח, </w:t>
      </w:r>
      <w:r>
        <w:rPr>
          <w:rtl/>
        </w:rPr>
        <w:lastRenderedPageBreak/>
        <w:t>עבירה לפי סעיף 2 ל</w:t>
      </w:r>
      <w:hyperlink r:id="rId13" w:history="1">
        <w:r w:rsidR="00562872" w:rsidRPr="00562872">
          <w:rPr>
            <w:rStyle w:val="Hyperlink"/>
            <w:rtl/>
          </w:rPr>
          <w:t>פקודת ביטוח רכב מנועי</w:t>
        </w:r>
      </w:hyperlink>
      <w:r>
        <w:rPr>
          <w:rtl/>
        </w:rPr>
        <w:t xml:space="preserve"> [נוסח חדש], תש"ל-1970</w:t>
      </w:r>
      <w:r>
        <w:t>;</w:t>
      </w:r>
      <w:r>
        <w:rPr>
          <w:rtl/>
        </w:rPr>
        <w:t xml:space="preserve"> הכשלת שוטר, עבירה לפי סעיף 275 ל</w:t>
      </w:r>
      <w:hyperlink r:id="rId14" w:history="1">
        <w:r w:rsidR="00562872" w:rsidRPr="00562872">
          <w:rPr>
            <w:rStyle w:val="Hyperlink"/>
            <w:rtl/>
          </w:rPr>
          <w:t>חוק העונשין</w:t>
        </w:r>
      </w:hyperlink>
      <w:r>
        <w:rPr>
          <w:rtl/>
        </w:rPr>
        <w:t>, התשל"ז-1977 (להלן: "חוק העונשין")</w:t>
      </w:r>
      <w:r>
        <w:t>;</w:t>
      </w:r>
      <w:r>
        <w:rPr>
          <w:rtl/>
        </w:rPr>
        <w:t xml:space="preserve"> החזקת סם שלא לצריכה עצמית, עבירה לפי סעיף 7(א)+(ג) רישא, ל</w:t>
      </w:r>
      <w:hyperlink r:id="rId15" w:history="1">
        <w:r w:rsidR="00562872" w:rsidRPr="00562872">
          <w:rPr>
            <w:rStyle w:val="Hyperlink"/>
            <w:rtl/>
          </w:rPr>
          <w:t>פקודת הסמים המסוכנים</w:t>
        </w:r>
      </w:hyperlink>
      <w:r>
        <w:rPr>
          <w:rtl/>
        </w:rPr>
        <w:t xml:space="preserve"> (נוסח חדש), התשל"ג-1973 (להלן:"פקודת הסמים")</w:t>
      </w:r>
      <w:r>
        <w:t>;</w:t>
      </w:r>
      <w:r>
        <w:rPr>
          <w:rtl/>
        </w:rPr>
        <w:t xml:space="preserve"> החזקת סם לצריכה עצמית, עבירה לפי סעיף 7(א)+(ג) סיפא, לפקודת הסמים ונהיגה בפזיזות, עבירה לפי סעיף 338(1) לחוק העונשין.</w:t>
      </w:r>
    </w:p>
    <w:p w14:paraId="02E06AAA" w14:textId="77777777" w:rsidR="002C611A" w:rsidRDefault="002C611A">
      <w:pPr>
        <w:spacing w:line="360" w:lineRule="auto"/>
        <w:jc w:val="both"/>
        <w:rPr>
          <w:rtl/>
        </w:rPr>
      </w:pPr>
      <w:bookmarkStart w:id="6" w:name="ABSTRACT_END"/>
      <w:bookmarkEnd w:id="6"/>
    </w:p>
    <w:p w14:paraId="7668AA96" w14:textId="77777777" w:rsidR="002C611A" w:rsidRDefault="00DC2A9D">
      <w:pPr>
        <w:spacing w:line="360" w:lineRule="auto"/>
        <w:jc w:val="both"/>
        <w:rPr>
          <w:rtl/>
        </w:rPr>
      </w:pPr>
      <w:r>
        <w:rPr>
          <w:rtl/>
        </w:rPr>
        <w:t xml:space="preserve">על פי המתואר בכתב האישום, ביום 21.10.12 בסמוך לשעה 23:00 גנב הנאשם קטנוע מ"ר 38-079-64 ע"י התחזות לקונה המעוניין לבצע סיבוב "ניסיון". בסביבות השעה 23:45 הגיע הנאשם עם הקטנוע לרח' "עץ הדר", החנה את הקטנוע ונכנס לתוך דירה אשר תוצפתה ע"י שוטרים. בדירה רכש הנאשם סמים ולאחר הרכישה חזר אל הקטנוע ונסע לכיוון צומת בר אילן. השוטרים נסעו אחרי הנאשם והורו לו לעצור בצד הדרך. בתגובה פתח הנאשם בנסיעה פרועה תוך שהוא חוצה מספר רמזורים באור אדום עד שאיבד שליטה, נפל לכביש ופתח בריצה. באותו שלב נפלה חבילת חשיש לרצפה. על פי הנטען החזיק הנאשם באירוע זה בסם מסוכן מסוג חשיש במשקל כולל של 1,254 גרם ברוטו. כמו כן נטען בכתב האישום כי ביום 19.11.12 החזיק הנאשם בביתו  סם מסוכן מסוג חשיש ללא היתר לשימוש עצמי ומשקל. המעשים הנ"ל נעשו בזמן שהנאשם היה פסול מלקבל רישיון נהיגה בשל עונש פסילה לשלוש שנים שהוטל עליו בנוכחותו ביום 26.1.12 בתיק </w:t>
      </w:r>
      <w:hyperlink r:id="rId16" w:history="1">
        <w:r w:rsidR="00562872" w:rsidRPr="00562872">
          <w:rPr>
            <w:rStyle w:val="Hyperlink"/>
            <w:rtl/>
          </w:rPr>
          <w:t>פ"ל 5246-01-12</w:t>
        </w:r>
      </w:hyperlink>
      <w:r>
        <w:rPr>
          <w:rtl/>
        </w:rPr>
        <w:t>.</w:t>
      </w:r>
    </w:p>
    <w:p w14:paraId="28652A7E" w14:textId="77777777" w:rsidR="002C611A" w:rsidRDefault="002C611A">
      <w:pPr>
        <w:spacing w:line="360" w:lineRule="auto"/>
        <w:jc w:val="both"/>
        <w:rPr>
          <w:rtl/>
        </w:rPr>
      </w:pPr>
    </w:p>
    <w:p w14:paraId="4C1BE0D7" w14:textId="77777777" w:rsidR="002C611A" w:rsidRDefault="00DC2A9D">
      <w:pPr>
        <w:spacing w:line="360" w:lineRule="auto"/>
        <w:jc w:val="both"/>
        <w:rPr>
          <w:rtl/>
        </w:rPr>
      </w:pPr>
      <w:r>
        <w:rPr>
          <w:rtl/>
        </w:rPr>
        <w:t xml:space="preserve">עם תחילת משפטו כפר הנאשם באשמתו וטען כי המשטרה טעתה בזיהוי וכי לא הוא היה נהג הקטנוע. לאחר שמיעת העדים נקבע כי אכן היה זה הנאשם שביצע את המעשים המתוארים בכתב האישום </w:t>
      </w:r>
      <w:r>
        <w:rPr>
          <w:u w:val="single"/>
          <w:rtl/>
        </w:rPr>
        <w:t>והוא הורשע בעבירות שיוחסו לו, פרט לעבירת גניבת רכב.</w:t>
      </w:r>
      <w:r>
        <w:rPr>
          <w:rtl/>
        </w:rPr>
        <w:t xml:space="preserve"> </w:t>
      </w:r>
    </w:p>
    <w:p w14:paraId="648D735E" w14:textId="77777777" w:rsidR="002C611A" w:rsidRDefault="002C611A">
      <w:pPr>
        <w:spacing w:line="360" w:lineRule="auto"/>
        <w:jc w:val="both"/>
        <w:rPr>
          <w:rtl/>
        </w:rPr>
      </w:pPr>
    </w:p>
    <w:p w14:paraId="218FC022" w14:textId="77777777" w:rsidR="002C611A" w:rsidRDefault="00DC2A9D">
      <w:pPr>
        <w:spacing w:line="360" w:lineRule="auto"/>
        <w:jc w:val="center"/>
        <w:rPr>
          <w:u w:val="single"/>
          <w:rtl/>
        </w:rPr>
      </w:pPr>
      <w:r>
        <w:rPr>
          <w:u w:val="single"/>
          <w:rtl/>
        </w:rPr>
        <w:t>טיעוני הצדדים לעונש</w:t>
      </w:r>
    </w:p>
    <w:p w14:paraId="22CA89CE" w14:textId="77777777" w:rsidR="002C611A" w:rsidRDefault="002C611A">
      <w:pPr>
        <w:spacing w:line="360" w:lineRule="auto"/>
        <w:jc w:val="both"/>
        <w:rPr>
          <w:rtl/>
        </w:rPr>
      </w:pPr>
    </w:p>
    <w:p w14:paraId="4F15792E" w14:textId="77777777" w:rsidR="002C611A" w:rsidRDefault="00DC2A9D">
      <w:pPr>
        <w:spacing w:line="360" w:lineRule="auto"/>
        <w:jc w:val="both"/>
        <w:rPr>
          <w:rtl/>
        </w:rPr>
      </w:pPr>
      <w:r>
        <w:rPr>
          <w:rtl/>
        </w:rPr>
        <w:t>ב"כ המאשימה הדגיש כי הנאשם ביצע את העבירות בזמן פסילה וציין כי לנאשם עבר פלילי לא מבוטל. עוד טען ב"כ המאשימה כי הנאשם מבצע את אותן עבירות פעם אחר פעם, ולמרות שעוד אך השתחרר מן הכלא, חזר מהר לסורו. כמו כן ביקש להפעיל שני מאסרים על תנאי, של שנה ושל חצי שנה, שהוטלו על הנאשם ב</w:t>
      </w:r>
      <w:hyperlink r:id="rId17" w:history="1">
        <w:r w:rsidR="00562872" w:rsidRPr="00562872">
          <w:rPr>
            <w:rStyle w:val="Hyperlink"/>
            <w:rtl/>
          </w:rPr>
          <w:t>פ"ל 5246-01-12</w:t>
        </w:r>
      </w:hyperlink>
      <w:r>
        <w:rPr>
          <w:rtl/>
        </w:rPr>
        <w:t xml:space="preserve">. ב"כ המאשימה ביקש להטיל על הנאשם עונש מאסר בפועל ארוך, פסילה לצמיתות, פסילה על תנאי וקנס מרתיע. </w:t>
      </w:r>
    </w:p>
    <w:p w14:paraId="05D6AF48" w14:textId="77777777" w:rsidR="002C611A" w:rsidRDefault="002C611A">
      <w:pPr>
        <w:spacing w:line="360" w:lineRule="auto"/>
        <w:jc w:val="both"/>
        <w:rPr>
          <w:rtl/>
        </w:rPr>
      </w:pPr>
    </w:p>
    <w:p w14:paraId="180F2145" w14:textId="77777777" w:rsidR="002C611A" w:rsidRDefault="00DC2A9D">
      <w:pPr>
        <w:spacing w:line="360" w:lineRule="auto"/>
        <w:jc w:val="both"/>
        <w:rPr>
          <w:rtl/>
        </w:rPr>
      </w:pPr>
      <w:r>
        <w:rPr>
          <w:rtl/>
        </w:rPr>
        <w:t>ב"כ הנאשם טען כי גזר הדין ב</w:t>
      </w:r>
      <w:hyperlink r:id="rId18" w:history="1">
        <w:r w:rsidR="00562872" w:rsidRPr="00562872">
          <w:rPr>
            <w:rStyle w:val="Hyperlink"/>
            <w:rtl/>
          </w:rPr>
          <w:t>פ"ל 5246-01-12</w:t>
        </w:r>
      </w:hyperlink>
      <w:r>
        <w:rPr>
          <w:rtl/>
        </w:rPr>
        <w:t xml:space="preserve"> אינו חוקי מאחר שתיקונו נעשה בניגוד לחוק אחד-עשר חודשים לאחר שניתן. עוד טען ב"כ הנאשם כי לא ניתן להפעיל במצטבר שני מאסרים על תנאי שהוטלו באותו גזר דין. ב"כ הנאשם התייחס לתיקון 113 ל</w:t>
      </w:r>
      <w:hyperlink r:id="rId19" w:history="1">
        <w:r w:rsidR="00562872" w:rsidRPr="00562872">
          <w:rPr>
            <w:rStyle w:val="Hyperlink"/>
            <w:rtl/>
          </w:rPr>
          <w:t>חוק העונשין</w:t>
        </w:r>
      </w:hyperlink>
      <w:r>
        <w:rPr>
          <w:rtl/>
        </w:rPr>
        <w:t xml:space="preserve"> וטען כי אין להתחשב בעברו הפלילי של נאשם לעניין מתחם העונש ההולם. טענתו הייתה כי מדיניות הענישה בעבירות דומות </w:t>
      </w:r>
      <w:r>
        <w:rPr>
          <w:rtl/>
        </w:rPr>
        <w:lastRenderedPageBreak/>
        <w:t>אינה חמורה וכי לפי מדיניות זו יש לקבוע את מתחם העונש. לבסוף ציין את נסיבותיו האישיות של הנאשם וביקש להטיל עליו עונש מתון.</w:t>
      </w:r>
    </w:p>
    <w:p w14:paraId="177C0BD1" w14:textId="77777777" w:rsidR="002C611A" w:rsidRDefault="002C611A">
      <w:pPr>
        <w:spacing w:line="360" w:lineRule="auto"/>
        <w:jc w:val="both"/>
        <w:rPr>
          <w:rtl/>
        </w:rPr>
      </w:pPr>
    </w:p>
    <w:p w14:paraId="0CDE09CD" w14:textId="77777777" w:rsidR="002C611A" w:rsidRDefault="00DC2A9D">
      <w:pPr>
        <w:spacing w:line="360" w:lineRule="auto"/>
        <w:jc w:val="center"/>
        <w:rPr>
          <w:u w:val="single"/>
          <w:rtl/>
        </w:rPr>
      </w:pPr>
      <w:r>
        <w:rPr>
          <w:u w:val="single"/>
          <w:rtl/>
        </w:rPr>
        <w:t>גזירת הדין בהתאם לתיקון 113 ל</w:t>
      </w:r>
      <w:hyperlink r:id="rId20" w:history="1">
        <w:r w:rsidR="00562872" w:rsidRPr="00562872">
          <w:rPr>
            <w:rStyle w:val="Hyperlink"/>
            <w:rtl/>
          </w:rPr>
          <w:t>חוק העונשין</w:t>
        </w:r>
      </w:hyperlink>
    </w:p>
    <w:p w14:paraId="3D2AABC7" w14:textId="77777777" w:rsidR="002C611A" w:rsidRDefault="002C611A">
      <w:pPr>
        <w:spacing w:line="360" w:lineRule="auto"/>
        <w:jc w:val="both"/>
        <w:rPr>
          <w:rtl/>
        </w:rPr>
      </w:pPr>
    </w:p>
    <w:p w14:paraId="290CD4E0" w14:textId="77777777" w:rsidR="002C611A" w:rsidRDefault="00DC2A9D">
      <w:pPr>
        <w:spacing w:line="360" w:lineRule="auto"/>
        <w:jc w:val="both"/>
        <w:rPr>
          <w:rtl/>
        </w:rPr>
      </w:pPr>
      <w:r>
        <w:rPr>
          <w:rtl/>
        </w:rPr>
        <w:t>לפי סעיף 40יג ל</w:t>
      </w:r>
      <w:hyperlink r:id="rId21" w:history="1">
        <w:r w:rsidR="00562872" w:rsidRPr="00562872">
          <w:rPr>
            <w:rStyle w:val="Hyperlink"/>
            <w:rtl/>
          </w:rPr>
          <w:t>חוק העונשין</w:t>
        </w:r>
      </w:hyperlink>
      <w:r>
        <w:rPr>
          <w:rtl/>
        </w:rPr>
        <w:t xml:space="preserve">, אני קובע כי העבירות אותן ביצע הנאשם נעשו במהלך אירוע אחד בו החזיק הנאשם 1.254 קילוגרם חשיש תוך נסיעה פרועה תחת פסילה. עבירת אחזקת הסם לשימוש עצמי נבלעת גם היא באירוע זה. לפיכך, אקבע להלן מתחם עונש הולם אחד ומתוכו אגזור את עונשו של הנאשם. הליך קביעת מתחם העונש ההולם וגזירת העונש ייעשו בהתאם לדבריו של כב' השופט נ' סולברג בפסק הדין המנחה </w:t>
      </w:r>
      <w:hyperlink r:id="rId22" w:history="1">
        <w:r w:rsidR="00562872" w:rsidRPr="00562872">
          <w:rPr>
            <w:rStyle w:val="Hyperlink"/>
            <w:rtl/>
          </w:rPr>
          <w:t>ע"פ 8641/12</w:t>
        </w:r>
      </w:hyperlink>
      <w:r>
        <w:rPr>
          <w:rtl/>
        </w:rPr>
        <w:t xml:space="preserve"> מוחמד סעד נ' מדינת ישראל (פורסם בנבו).</w:t>
      </w:r>
    </w:p>
    <w:p w14:paraId="6C4F5835" w14:textId="77777777" w:rsidR="002C611A" w:rsidRDefault="002C611A">
      <w:pPr>
        <w:spacing w:line="360" w:lineRule="auto"/>
        <w:jc w:val="both"/>
        <w:rPr>
          <w:rtl/>
        </w:rPr>
      </w:pPr>
    </w:p>
    <w:p w14:paraId="3AF7EA5B" w14:textId="77777777" w:rsidR="002C611A" w:rsidRDefault="00DC2A9D">
      <w:pPr>
        <w:spacing w:line="360" w:lineRule="auto"/>
        <w:jc w:val="center"/>
        <w:rPr>
          <w:u w:val="single"/>
          <w:rtl/>
        </w:rPr>
      </w:pPr>
      <w:r>
        <w:rPr>
          <w:u w:val="single"/>
          <w:rtl/>
        </w:rPr>
        <w:t>מתחם העונש ההולם</w:t>
      </w:r>
    </w:p>
    <w:p w14:paraId="53E67DB3" w14:textId="77777777" w:rsidR="002C611A" w:rsidRDefault="00DC2A9D">
      <w:pPr>
        <w:spacing w:line="360" w:lineRule="auto"/>
        <w:jc w:val="both"/>
        <w:rPr>
          <w:b/>
          <w:bCs/>
          <w:rtl/>
        </w:rPr>
      </w:pPr>
      <w:r>
        <w:rPr>
          <w:b/>
          <w:bCs/>
          <w:rtl/>
        </w:rPr>
        <w:t>הערך החברתי הנפגע-</w:t>
      </w:r>
    </w:p>
    <w:p w14:paraId="4C71114C" w14:textId="77777777" w:rsidR="002C611A" w:rsidRDefault="00DC2A9D">
      <w:pPr>
        <w:numPr>
          <w:ilvl w:val="12"/>
          <w:numId w:val="0"/>
        </w:numPr>
        <w:tabs>
          <w:tab w:val="left" w:pos="8306"/>
        </w:tabs>
        <w:spacing w:line="360" w:lineRule="auto"/>
        <w:ind w:left="26"/>
        <w:jc w:val="both"/>
        <w:rPr>
          <w:rtl/>
        </w:rPr>
      </w:pPr>
      <w:r>
        <w:rPr>
          <w:rtl/>
        </w:rPr>
        <w:t>במעשיו פגע הנאשם בערך החברתי בדבר הרחקת נגע הסמים מהחברה. בית המשפט העליון הראה את דעתו כי החזקה של כמות גדולה של סם מסוכן מהווה השתתפות פעילה בשרשרת הפצת הסם בדומה לסחר עצמו: "יש טעם בדין, שכן מי שמחזיק סם בכמות מסחרית להבדיל מסם בכמות קטנה לצריכה עצמית, מחזיק אותו, מסתמא, לצורך מסחר" (</w:t>
      </w:r>
      <w:r w:rsidRPr="00495B45">
        <w:rPr>
          <w:color w:val="000000"/>
          <w:rtl/>
        </w:rPr>
        <w:t>ע"א 4667/93</w:t>
      </w:r>
      <w:r>
        <w:rPr>
          <w:rtl/>
        </w:rPr>
        <w:t xml:space="preserve"> מיכאלשווילי נ' מדינת ישראל (פורסם בנבו)). כמו כן בהימלטותו מהמשטרה ובנסיעתו הפרועה תחת פסילה פגע הנאשם בערכים החברתיים בדבר ציות לגורמי אכיפת החוק ושמירה על ביטחון ציבור הנהגים.</w:t>
      </w:r>
    </w:p>
    <w:p w14:paraId="28B15F36" w14:textId="77777777" w:rsidR="002C611A" w:rsidRDefault="002C611A">
      <w:pPr>
        <w:numPr>
          <w:ilvl w:val="12"/>
          <w:numId w:val="0"/>
        </w:numPr>
        <w:tabs>
          <w:tab w:val="left" w:pos="8306"/>
        </w:tabs>
        <w:spacing w:line="360" w:lineRule="auto"/>
        <w:ind w:left="26"/>
        <w:jc w:val="both"/>
        <w:rPr>
          <w:rtl/>
        </w:rPr>
      </w:pPr>
    </w:p>
    <w:p w14:paraId="379E62D9" w14:textId="77777777" w:rsidR="002C611A" w:rsidRDefault="00DC2A9D">
      <w:pPr>
        <w:numPr>
          <w:ilvl w:val="12"/>
          <w:numId w:val="0"/>
        </w:numPr>
        <w:tabs>
          <w:tab w:val="left" w:pos="8306"/>
        </w:tabs>
        <w:spacing w:line="360" w:lineRule="auto"/>
        <w:ind w:left="26"/>
        <w:jc w:val="both"/>
        <w:rPr>
          <w:b/>
          <w:bCs/>
          <w:rtl/>
        </w:rPr>
      </w:pPr>
      <w:r>
        <w:rPr>
          <w:b/>
          <w:bCs/>
          <w:rtl/>
        </w:rPr>
        <w:t>מדיניות הענישה-</w:t>
      </w:r>
    </w:p>
    <w:p w14:paraId="5242FC91" w14:textId="77777777" w:rsidR="002C611A" w:rsidRDefault="00DC2A9D">
      <w:pPr>
        <w:numPr>
          <w:ilvl w:val="12"/>
          <w:numId w:val="0"/>
        </w:numPr>
        <w:tabs>
          <w:tab w:val="left" w:pos="8306"/>
        </w:tabs>
        <w:spacing w:line="360" w:lineRule="auto"/>
        <w:ind w:left="26"/>
        <w:jc w:val="both"/>
        <w:rPr>
          <w:rtl/>
        </w:rPr>
      </w:pPr>
      <w:r>
        <w:rPr>
          <w:rtl/>
        </w:rPr>
        <w:t xml:space="preserve">ב"כ הנאשם הפנה את בית המשפט למספר פסקי דין בהם הוטלו על נאשמים בעבירות אחזקת וסחר סמים עונשים קלים יחסית, כגון של"צ, מאסר על תנאי או עבודות שירות. עם זאת פסקי דין אלה ניתנו בנסיבות מיוחדות כמו הליך שיקומי פורה (ראה לדוג' </w:t>
      </w:r>
      <w:r w:rsidRPr="00495B45">
        <w:rPr>
          <w:color w:val="000000"/>
          <w:rtl/>
        </w:rPr>
        <w:t>ת"פ 2020/09</w:t>
      </w:r>
      <w:r>
        <w:rPr>
          <w:rtl/>
        </w:rPr>
        <w:t xml:space="preserve"> משטרת רחובות שלוחת תביעית נ' עפגין (פורסם בנבו)) או כמויות סם קטנות (ראה לדוג' </w:t>
      </w:r>
      <w:hyperlink r:id="rId23" w:history="1">
        <w:r w:rsidR="00562872" w:rsidRPr="00562872">
          <w:rPr>
            <w:rStyle w:val="Hyperlink"/>
            <w:rtl/>
          </w:rPr>
          <w:t>ת"פ 13819-05-12</w:t>
        </w:r>
      </w:hyperlink>
      <w:r>
        <w:rPr>
          <w:rtl/>
        </w:rPr>
        <w:t xml:space="preserve"> מדינת ישראל נ' בר טוב (פורסם בנבו)). בחלק מפסקי הדין אף מציינים בתי המשפט במפורש כי עונשים אלה הם חריגים. לעומת פסקי דין אלה, קיימות גם פסיקות מחמירות יותר כגון </w:t>
      </w:r>
      <w:r w:rsidRPr="00495B45">
        <w:rPr>
          <w:color w:val="000000"/>
          <w:rtl/>
        </w:rPr>
        <w:t>ת"פ (יר') 1258/00</w:t>
      </w:r>
      <w:r>
        <w:rPr>
          <w:rtl/>
        </w:rPr>
        <w:t xml:space="preserve"> מדינת ישראל נ' רוני בצלאל (פורסם בנבו), בו בגין עבירת החזקה שלא לשימוש עצמי בלבד הוטל עונש של שמונה-עשר חודשי מאסר בפועל. </w:t>
      </w:r>
    </w:p>
    <w:p w14:paraId="6EE0296E" w14:textId="77777777" w:rsidR="002C611A" w:rsidRDefault="002C611A">
      <w:pPr>
        <w:numPr>
          <w:ilvl w:val="12"/>
          <w:numId w:val="0"/>
        </w:numPr>
        <w:tabs>
          <w:tab w:val="left" w:pos="8306"/>
        </w:tabs>
        <w:spacing w:line="360" w:lineRule="auto"/>
        <w:ind w:left="26"/>
        <w:jc w:val="both"/>
        <w:rPr>
          <w:rtl/>
        </w:rPr>
      </w:pPr>
    </w:p>
    <w:p w14:paraId="28A24A3D" w14:textId="77777777" w:rsidR="002C611A" w:rsidRDefault="00DC2A9D">
      <w:pPr>
        <w:numPr>
          <w:ilvl w:val="12"/>
          <w:numId w:val="0"/>
        </w:numPr>
        <w:tabs>
          <w:tab w:val="left" w:pos="8306"/>
        </w:tabs>
        <w:spacing w:line="360" w:lineRule="auto"/>
        <w:ind w:left="26"/>
        <w:jc w:val="both"/>
        <w:rPr>
          <w:rtl/>
        </w:rPr>
      </w:pPr>
      <w:r>
        <w:rPr>
          <w:rtl/>
        </w:rPr>
        <w:t>עניינו של הנאשם דנן, אשר לא חטא אך בהחזקת הסם אלא גם נמלט מהמשטרה בצורה פרועה ומסוכנת</w:t>
      </w:r>
      <w:r>
        <w:rPr>
          <w:rFonts w:hint="cs"/>
          <w:rtl/>
        </w:rPr>
        <w:t xml:space="preserve"> תחת פסילה</w:t>
      </w:r>
      <w:r>
        <w:rPr>
          <w:rtl/>
        </w:rPr>
        <w:t>, דומה יותר לפסק הדין ב</w:t>
      </w:r>
      <w:hyperlink r:id="rId24" w:history="1">
        <w:r w:rsidR="00562872" w:rsidRPr="00562872">
          <w:rPr>
            <w:rStyle w:val="Hyperlink"/>
            <w:rtl/>
          </w:rPr>
          <w:t>ע"פ 308/06</w:t>
        </w:r>
      </w:hyperlink>
      <w:r>
        <w:rPr>
          <w:rtl/>
        </w:rPr>
        <w:t xml:space="preserve"> מדינת ישראל נ' יונתן סבן (פורסם בנבו). פסק דין זה עוסק בנאשם שהחזיק כ-4 ק"ג סם מסוכן מסוג קנבוס, ולאחר שהבחין במשטרה נהג בצורה פרועה וסיכן חיי אדם. בית המשפט העליון הותיר את העונש של שלוש וחצי שנות מאסר בפועל שהוטל במחוזי, ואף החמיר את עונשו בכך שהפעיל מאסר על תנאי בן 12 חודשים באופן מצטבר לעונש זה. כל זאת תוך קביעה כי בית המשפט אינו ממצה את הדין עם הנאשם. </w:t>
      </w:r>
    </w:p>
    <w:p w14:paraId="7506C193" w14:textId="77777777" w:rsidR="002C611A" w:rsidRDefault="002C611A">
      <w:pPr>
        <w:numPr>
          <w:ilvl w:val="12"/>
          <w:numId w:val="0"/>
        </w:numPr>
        <w:tabs>
          <w:tab w:val="left" w:pos="8306"/>
        </w:tabs>
        <w:spacing w:line="360" w:lineRule="auto"/>
        <w:ind w:left="26"/>
        <w:jc w:val="both"/>
        <w:rPr>
          <w:rtl/>
        </w:rPr>
      </w:pPr>
    </w:p>
    <w:p w14:paraId="1F3D262E" w14:textId="77777777" w:rsidR="002C611A" w:rsidRDefault="00DC2A9D">
      <w:pPr>
        <w:numPr>
          <w:ilvl w:val="12"/>
          <w:numId w:val="0"/>
        </w:numPr>
        <w:tabs>
          <w:tab w:val="left" w:pos="8306"/>
        </w:tabs>
        <w:spacing w:line="360" w:lineRule="auto"/>
        <w:ind w:left="26"/>
        <w:jc w:val="both"/>
        <w:rPr>
          <w:b/>
          <w:bCs/>
          <w:rtl/>
        </w:rPr>
      </w:pPr>
      <w:r>
        <w:rPr>
          <w:b/>
          <w:bCs/>
          <w:rtl/>
        </w:rPr>
        <w:t>הנסיבות הנוגעות לביצוע העבירה-</w:t>
      </w:r>
    </w:p>
    <w:p w14:paraId="07EE7D45" w14:textId="77777777" w:rsidR="002C611A" w:rsidRDefault="00DC2A9D">
      <w:pPr>
        <w:numPr>
          <w:ilvl w:val="12"/>
          <w:numId w:val="0"/>
        </w:numPr>
        <w:tabs>
          <w:tab w:val="left" w:pos="8306"/>
        </w:tabs>
        <w:spacing w:line="360" w:lineRule="auto"/>
        <w:ind w:left="26"/>
        <w:jc w:val="both"/>
        <w:rPr>
          <w:rtl/>
        </w:rPr>
      </w:pPr>
      <w:r>
        <w:rPr>
          <w:rtl/>
        </w:rPr>
        <w:t xml:space="preserve">הנאשם עלה על קטנוע כשהוא פסול מלהחזיק רשיון נהיגה ואינו מבוטח. בזמן </w:t>
      </w:r>
      <w:r>
        <w:rPr>
          <w:rFonts w:hint="cs"/>
          <w:rtl/>
        </w:rPr>
        <w:t>נסיעתו</w:t>
      </w:r>
      <w:r>
        <w:rPr>
          <w:rtl/>
        </w:rPr>
        <w:t xml:space="preserve"> החזיק כמות גדולה של סם מסוכן אשר יכולה להספיק לשימושים רבים מאוד וכמובן למכירה ואספקה לאחרים. לאחר שהבחין במשטרה נהג בצורה מסוכנת על מנת להימלט תוך חציית רמזורים באדום. הנזק שיכול היה להיגרם הן מנהיגתו הפרועה תחת פסילה והן מההחזקה בכמות כזו של סם הוא רב ומעיד על חומרת המעשים. </w:t>
      </w:r>
    </w:p>
    <w:p w14:paraId="63486946" w14:textId="77777777" w:rsidR="002C611A" w:rsidRDefault="002C611A">
      <w:pPr>
        <w:numPr>
          <w:ilvl w:val="12"/>
          <w:numId w:val="0"/>
        </w:numPr>
        <w:tabs>
          <w:tab w:val="left" w:pos="8306"/>
        </w:tabs>
        <w:spacing w:line="360" w:lineRule="auto"/>
        <w:ind w:left="26"/>
        <w:jc w:val="both"/>
        <w:rPr>
          <w:rtl/>
        </w:rPr>
      </w:pPr>
    </w:p>
    <w:p w14:paraId="6BFB9EE2" w14:textId="77777777" w:rsidR="002C611A" w:rsidRDefault="00DC2A9D">
      <w:pPr>
        <w:numPr>
          <w:ilvl w:val="12"/>
          <w:numId w:val="0"/>
        </w:numPr>
        <w:tabs>
          <w:tab w:val="left" w:pos="8306"/>
        </w:tabs>
        <w:spacing w:line="360" w:lineRule="auto"/>
        <w:ind w:left="26"/>
        <w:jc w:val="both"/>
        <w:rPr>
          <w:rtl/>
        </w:rPr>
      </w:pPr>
      <w:r>
        <w:rPr>
          <w:rtl/>
        </w:rPr>
        <w:t xml:space="preserve">לאור כל האמור לעיל אני קובע כי מתחם הענישה בעניינו של הנאשם הוא בין </w:t>
      </w:r>
      <w:r>
        <w:rPr>
          <w:rFonts w:hint="cs"/>
          <w:rtl/>
        </w:rPr>
        <w:t xml:space="preserve">שמונה עשרה חודש לארבע </w:t>
      </w:r>
      <w:r>
        <w:rPr>
          <w:rtl/>
        </w:rPr>
        <w:t xml:space="preserve">שנים מאסר בפועל. </w:t>
      </w:r>
    </w:p>
    <w:p w14:paraId="2F0B38FE" w14:textId="77777777" w:rsidR="002C611A" w:rsidRDefault="002C611A">
      <w:pPr>
        <w:numPr>
          <w:ilvl w:val="12"/>
          <w:numId w:val="0"/>
        </w:numPr>
        <w:tabs>
          <w:tab w:val="left" w:pos="8306"/>
        </w:tabs>
        <w:spacing w:line="360" w:lineRule="auto"/>
        <w:ind w:left="26"/>
        <w:jc w:val="both"/>
        <w:rPr>
          <w:rtl/>
        </w:rPr>
      </w:pPr>
    </w:p>
    <w:p w14:paraId="5C962989" w14:textId="77777777" w:rsidR="002C611A" w:rsidRDefault="00DC2A9D">
      <w:pPr>
        <w:numPr>
          <w:ilvl w:val="12"/>
          <w:numId w:val="0"/>
        </w:numPr>
        <w:tabs>
          <w:tab w:val="left" w:pos="8306"/>
        </w:tabs>
        <w:spacing w:line="360" w:lineRule="auto"/>
        <w:ind w:left="26"/>
        <w:jc w:val="both"/>
        <w:rPr>
          <w:rtl/>
        </w:rPr>
      </w:pPr>
      <w:r>
        <w:rPr>
          <w:rFonts w:hint="cs"/>
          <w:u w:val="single"/>
          <w:rtl/>
        </w:rPr>
        <w:t>האם ניתן להפעיל את ה</w:t>
      </w:r>
      <w:r>
        <w:rPr>
          <w:u w:val="single"/>
          <w:rtl/>
        </w:rPr>
        <w:t>מאסר על תנאי ב</w:t>
      </w:r>
      <w:hyperlink r:id="rId25" w:history="1">
        <w:r w:rsidR="00562872" w:rsidRPr="00562872">
          <w:rPr>
            <w:rStyle w:val="Hyperlink"/>
            <w:rtl/>
          </w:rPr>
          <w:t>פ"ל 5246-01-12</w:t>
        </w:r>
        <w:r w:rsidR="00562872" w:rsidRPr="00562872">
          <w:rPr>
            <w:rStyle w:val="Hyperlink"/>
            <w:rtl/>
          </w:rPr>
          <w:cr/>
        </w:r>
      </w:hyperlink>
    </w:p>
    <w:p w14:paraId="07C44EA1" w14:textId="77777777" w:rsidR="002C611A" w:rsidRDefault="00DC2A9D">
      <w:pPr>
        <w:numPr>
          <w:ilvl w:val="12"/>
          <w:numId w:val="0"/>
        </w:numPr>
        <w:tabs>
          <w:tab w:val="left" w:pos="8306"/>
        </w:tabs>
        <w:spacing w:line="360" w:lineRule="auto"/>
        <w:ind w:left="26"/>
        <w:jc w:val="both"/>
        <w:rPr>
          <w:rtl/>
        </w:rPr>
      </w:pPr>
      <w:r>
        <w:rPr>
          <w:rtl/>
        </w:rPr>
        <w:t xml:space="preserve">גזר הדין בעניינו של הנאשם בתיק </w:t>
      </w:r>
      <w:hyperlink r:id="rId26" w:history="1">
        <w:r w:rsidR="00562872" w:rsidRPr="00562872">
          <w:rPr>
            <w:rStyle w:val="Hyperlink"/>
            <w:rtl/>
          </w:rPr>
          <w:t>פ"ל 5246-01-12</w:t>
        </w:r>
      </w:hyperlink>
      <w:r>
        <w:rPr>
          <w:rtl/>
        </w:rPr>
        <w:t xml:space="preserve"> ניתן ביום 26.1.12. בגזר הדין הוטלו על הנאשם בין היתר שני מאסרים על תנאי:</w:t>
      </w:r>
    </w:p>
    <w:p w14:paraId="11093282" w14:textId="77777777" w:rsidR="002C611A" w:rsidRDefault="002C611A">
      <w:pPr>
        <w:numPr>
          <w:ilvl w:val="12"/>
          <w:numId w:val="0"/>
        </w:numPr>
        <w:tabs>
          <w:tab w:val="left" w:pos="8306"/>
        </w:tabs>
        <w:spacing w:line="360" w:lineRule="auto"/>
        <w:ind w:left="26"/>
        <w:jc w:val="both"/>
        <w:rPr>
          <w:rtl/>
        </w:rPr>
      </w:pPr>
    </w:p>
    <w:p w14:paraId="28E36BA9" w14:textId="77777777" w:rsidR="002C611A" w:rsidRDefault="00DC2A9D">
      <w:pPr>
        <w:numPr>
          <w:ilvl w:val="12"/>
          <w:numId w:val="0"/>
        </w:numPr>
        <w:tabs>
          <w:tab w:val="left" w:pos="8306"/>
        </w:tabs>
        <w:spacing w:line="360" w:lineRule="auto"/>
        <w:ind w:left="26"/>
        <w:jc w:val="both"/>
        <w:rPr>
          <w:rtl/>
        </w:rPr>
      </w:pPr>
      <w:r>
        <w:rPr>
          <w:rtl/>
        </w:rPr>
        <w:t xml:space="preserve"> 1. מאסר על תנאי של שנה למשך שלוש שנים שלא יעבור על עבירות נהיגה ללא רשיון נהיגה, נהיגה בשכרות, נהיגה תחת השפעת משקה משכר, סירוב, נהיגה בפזיזות, הכשלת שוטר וכל עבירה לפי פקודת הסמים למעט עבירה לשם שימוש עצמי.  </w:t>
      </w:r>
    </w:p>
    <w:p w14:paraId="37A60258" w14:textId="77777777" w:rsidR="002C611A" w:rsidRDefault="002C611A">
      <w:pPr>
        <w:numPr>
          <w:ilvl w:val="12"/>
          <w:numId w:val="0"/>
        </w:numPr>
        <w:tabs>
          <w:tab w:val="left" w:pos="8306"/>
        </w:tabs>
        <w:spacing w:line="360" w:lineRule="auto"/>
        <w:ind w:left="26"/>
        <w:jc w:val="both"/>
        <w:rPr>
          <w:rtl/>
        </w:rPr>
      </w:pPr>
    </w:p>
    <w:p w14:paraId="76B4BC89" w14:textId="77777777" w:rsidR="002C611A" w:rsidRDefault="00DC2A9D">
      <w:pPr>
        <w:numPr>
          <w:ilvl w:val="12"/>
          <w:numId w:val="0"/>
        </w:numPr>
        <w:tabs>
          <w:tab w:val="left" w:pos="8306"/>
        </w:tabs>
        <w:spacing w:line="360" w:lineRule="auto"/>
        <w:ind w:left="26"/>
        <w:jc w:val="both"/>
        <w:rPr>
          <w:rtl/>
        </w:rPr>
      </w:pPr>
      <w:r>
        <w:rPr>
          <w:rtl/>
        </w:rPr>
        <w:t xml:space="preserve">2. מאסר על תנאי של חצי שנה למשך שלוש שנים שלא יעבור עבירות של החזקת סם לשימוש עצמי ונהיגה ללא ביטוח. </w:t>
      </w:r>
    </w:p>
    <w:p w14:paraId="0EB1DA6B" w14:textId="77777777" w:rsidR="002C611A" w:rsidRDefault="002C611A">
      <w:pPr>
        <w:numPr>
          <w:ilvl w:val="12"/>
          <w:numId w:val="0"/>
        </w:numPr>
        <w:tabs>
          <w:tab w:val="left" w:pos="8306"/>
        </w:tabs>
        <w:spacing w:line="360" w:lineRule="auto"/>
        <w:ind w:left="26"/>
        <w:jc w:val="both"/>
        <w:rPr>
          <w:rtl/>
        </w:rPr>
      </w:pPr>
    </w:p>
    <w:p w14:paraId="5814FE15" w14:textId="77777777" w:rsidR="002C611A" w:rsidRDefault="00DC2A9D">
      <w:pPr>
        <w:numPr>
          <w:ilvl w:val="12"/>
          <w:numId w:val="0"/>
        </w:numPr>
        <w:tabs>
          <w:tab w:val="left" w:pos="8306"/>
        </w:tabs>
        <w:spacing w:line="360" w:lineRule="auto"/>
        <w:ind w:left="26"/>
        <w:jc w:val="both"/>
        <w:rPr>
          <w:rtl/>
        </w:rPr>
      </w:pPr>
      <w:r>
        <w:rPr>
          <w:rtl/>
        </w:rPr>
        <w:t xml:space="preserve">אין מחלוקת כי המאסר המותנה הראשון הינו בר הפעלה בתיק דנן. על פניו נראה כי גם המאסר המותנה השני הינו בר הפעלה. זאת משום שטרם חלף תוקף התנאי ומאחר שהנאשם עבר על עבירות התנאי המנויות בו. אלא שבעניין מאסר מותנה זה נעשה תיקון סופר על ידי בית המשפט בהתאם לבקשת המדינה ביום 13.11.12, כעשרה חודשים לאחר מתן גזר הדין. במקור נכתב בסעיף ג' לגזר הדין כך: </w:t>
      </w:r>
      <w:r>
        <w:rPr>
          <w:b/>
          <w:bCs/>
          <w:rtl/>
        </w:rPr>
        <w:t>"חצי שנה מאסר על החזקת סם לשימוש עצמי ונהיגה ללא ביטוח".</w:t>
      </w:r>
      <w:r>
        <w:rPr>
          <w:rtl/>
        </w:rPr>
        <w:t xml:space="preserve"> לאחר התיקון נכתב: </w:t>
      </w:r>
      <w:r>
        <w:rPr>
          <w:b/>
          <w:bCs/>
          <w:rtl/>
        </w:rPr>
        <w:t>"חצי שנה מאסר על תנאי ל-3 שנים לגבי עבירות של החזקת סם לשימוש עצמי ונהיגה ללא בטוח"</w:t>
      </w:r>
      <w:r>
        <w:rPr>
          <w:rtl/>
        </w:rPr>
        <w:t>. ב"כ הנאשם טוען כי התיקון נעשה בניגוד לחוק ולפיכך הוא בטל. בחצי פה טען כי כתוצאה מהתיקון שלא כדין, תוקפו של כלל גזר הדין המקורי בטל.</w:t>
      </w:r>
    </w:p>
    <w:p w14:paraId="386442D9" w14:textId="77777777" w:rsidR="002C611A" w:rsidRDefault="00DC2A9D">
      <w:pPr>
        <w:numPr>
          <w:ilvl w:val="12"/>
          <w:numId w:val="0"/>
        </w:numPr>
        <w:tabs>
          <w:tab w:val="left" w:pos="8306"/>
        </w:tabs>
        <w:spacing w:line="360" w:lineRule="auto"/>
        <w:ind w:left="26"/>
        <w:jc w:val="both"/>
        <w:rPr>
          <w:rtl/>
        </w:rPr>
      </w:pPr>
      <w:r>
        <w:rPr>
          <w:rFonts w:hint="cs"/>
          <w:rtl/>
        </w:rPr>
        <w:t xml:space="preserve">יש רגליים לטענת הנאשם כי </w:t>
      </w:r>
      <w:r>
        <w:rPr>
          <w:rtl/>
        </w:rPr>
        <w:t xml:space="preserve">בגזר הדין נפלה טעות סופר. בהחלטתו לתיקון גזר הדין מיום 13.11.12 כתב כב' השופט ריבלין כי מדובר בטעות בהקלדה וכי גזר הדין ניתן בהתאם להסדר בין הצדדים בו מפורטים העונשים. </w:t>
      </w:r>
    </w:p>
    <w:p w14:paraId="796542CA" w14:textId="77777777" w:rsidR="002C611A" w:rsidRDefault="002C611A">
      <w:pPr>
        <w:numPr>
          <w:ilvl w:val="12"/>
          <w:numId w:val="0"/>
        </w:numPr>
        <w:tabs>
          <w:tab w:val="left" w:pos="8306"/>
        </w:tabs>
        <w:spacing w:line="360" w:lineRule="auto"/>
        <w:ind w:left="26"/>
        <w:jc w:val="both"/>
        <w:rPr>
          <w:rtl/>
        </w:rPr>
      </w:pPr>
    </w:p>
    <w:p w14:paraId="3CC035EB" w14:textId="77777777" w:rsidR="002C611A" w:rsidRDefault="00DC2A9D">
      <w:pPr>
        <w:numPr>
          <w:ilvl w:val="12"/>
          <w:numId w:val="0"/>
        </w:numPr>
        <w:tabs>
          <w:tab w:val="left" w:pos="8306"/>
        </w:tabs>
        <w:spacing w:line="360" w:lineRule="auto"/>
        <w:ind w:left="26"/>
        <w:jc w:val="both"/>
        <w:rPr>
          <w:rtl/>
        </w:rPr>
      </w:pPr>
      <w:r>
        <w:rPr>
          <w:rFonts w:hint="cs"/>
          <w:rtl/>
        </w:rPr>
        <w:t xml:space="preserve">אולם </w:t>
      </w:r>
      <w:r>
        <w:rPr>
          <w:rtl/>
        </w:rPr>
        <w:t>סעיף 81 ל</w:t>
      </w:r>
      <w:hyperlink r:id="rId27" w:history="1">
        <w:r w:rsidR="00562872" w:rsidRPr="00562872">
          <w:rPr>
            <w:rStyle w:val="Hyperlink"/>
            <w:rtl/>
          </w:rPr>
          <w:t>חוק בתי המשפט</w:t>
        </w:r>
      </w:hyperlink>
      <w:r w:rsidRPr="00495B45">
        <w:rPr>
          <w:color w:val="000000"/>
          <w:rtl/>
        </w:rPr>
        <w:t xml:space="preserve"> [נוסח משולב]</w:t>
      </w:r>
      <w:r>
        <w:rPr>
          <w:rtl/>
        </w:rPr>
        <w:t xml:space="preserve">, התשמ"ד-1984 מורה כי בקשה לתיקון טעות סופר צריכה להיות מוגשת תוך 21 יום מיום מתן פסק הדין. לפיכך, יש ממש בדבריו של ב"כ הנאשם לפיהם תיקון גזר הדין נעשה בניגוד להוראות החוק. אף על פי כן, אין כל בסיס משפטי לטענה כי יש לכך השלכה לגבי תוקפם של שאר חלקי גזר הדין המקורי. </w:t>
      </w:r>
      <w:r>
        <w:rPr>
          <w:rFonts w:hint="cs"/>
          <w:rtl/>
        </w:rPr>
        <w:t xml:space="preserve">אשר לכן, אני קובע כי רק המאסר המותנה </w:t>
      </w:r>
      <w:r>
        <w:rPr>
          <w:rtl/>
        </w:rPr>
        <w:t xml:space="preserve">הראשון והארוך יותר, עומד בתוקפו והינו בר הפעלה. </w:t>
      </w:r>
    </w:p>
    <w:p w14:paraId="34E15FFF" w14:textId="77777777" w:rsidR="002C611A" w:rsidRDefault="002C611A">
      <w:pPr>
        <w:numPr>
          <w:ilvl w:val="12"/>
          <w:numId w:val="0"/>
        </w:numPr>
        <w:tabs>
          <w:tab w:val="left" w:pos="8306"/>
        </w:tabs>
        <w:spacing w:line="360" w:lineRule="auto"/>
        <w:ind w:left="26"/>
        <w:jc w:val="both"/>
        <w:rPr>
          <w:rtl/>
        </w:rPr>
      </w:pPr>
    </w:p>
    <w:p w14:paraId="452C9B7E" w14:textId="77777777" w:rsidR="002C611A" w:rsidRDefault="00DC2A9D">
      <w:pPr>
        <w:numPr>
          <w:ilvl w:val="12"/>
          <w:numId w:val="0"/>
        </w:numPr>
        <w:tabs>
          <w:tab w:val="left" w:pos="8306"/>
        </w:tabs>
        <w:spacing w:line="360" w:lineRule="auto"/>
        <w:ind w:left="26"/>
        <w:jc w:val="center"/>
        <w:rPr>
          <w:u w:val="single"/>
          <w:rtl/>
        </w:rPr>
      </w:pPr>
      <w:r>
        <w:rPr>
          <w:u w:val="single"/>
          <w:rtl/>
        </w:rPr>
        <w:t>גזירת עונשו של הנאשם</w:t>
      </w:r>
    </w:p>
    <w:p w14:paraId="5B561327" w14:textId="77777777" w:rsidR="002C611A" w:rsidRDefault="002C611A">
      <w:pPr>
        <w:numPr>
          <w:ilvl w:val="12"/>
          <w:numId w:val="0"/>
        </w:numPr>
        <w:tabs>
          <w:tab w:val="left" w:pos="8306"/>
        </w:tabs>
        <w:spacing w:line="360" w:lineRule="auto"/>
        <w:ind w:left="26"/>
        <w:jc w:val="both"/>
        <w:rPr>
          <w:rtl/>
        </w:rPr>
      </w:pPr>
    </w:p>
    <w:p w14:paraId="1029ABF8" w14:textId="77777777" w:rsidR="002C611A" w:rsidRDefault="00DC2A9D">
      <w:pPr>
        <w:numPr>
          <w:ilvl w:val="12"/>
          <w:numId w:val="0"/>
        </w:numPr>
        <w:tabs>
          <w:tab w:val="left" w:pos="8306"/>
        </w:tabs>
        <w:spacing w:line="360" w:lineRule="auto"/>
        <w:ind w:left="26"/>
        <w:jc w:val="both"/>
        <w:rPr>
          <w:rtl/>
        </w:rPr>
      </w:pPr>
      <w:r>
        <w:rPr>
          <w:rtl/>
        </w:rPr>
        <w:t>גזירת עונשו של נאשם מתוך מתחם העונש ההולם נעשית בהתחשב בנסיבות שאינן קשורות בביצוע העבירה. הנאשם ביצע את העבירות זמן קצר לאחר שהשתחרר ממאסר בגין עבירות דומות. עברו הפלילי של הנאשם כולל עבירות סמים, רכוש ואלימות, בהן עבירת הריגה. ב"כ הנאשם טען כי הנאשם מאס בחיי הפשע וכי הוא "התעייף". לא שוכנעתי מדבריו. מחקרים מראים כי עבריינים חוזרים כדוגמת הנאשם מתחילים "להתעייף" מדרכם העבריינית רק</w:t>
      </w:r>
      <w:r>
        <w:rPr>
          <w:rFonts w:hint="cs"/>
          <w:rtl/>
        </w:rPr>
        <w:t xml:space="preserve"> בתחילת שנות הארבעים שלהם, ולעיתים בסוף שנות השלושים</w:t>
      </w:r>
      <w:r>
        <w:rPr>
          <w:rtl/>
        </w:rPr>
        <w:t>.</w:t>
      </w:r>
      <w:r>
        <w:rPr>
          <w:rFonts w:hint="cs"/>
          <w:rtl/>
        </w:rPr>
        <w:t xml:space="preserve">  בנוסף, </w:t>
      </w:r>
      <w:r>
        <w:rPr>
          <w:rtl/>
        </w:rPr>
        <w:t xml:space="preserve">לא מצאתי דבר מיוחד בנסיבותיו האישיות של הנאשם שיוכלו להטות את הכף לזכותו ולו במעט. </w:t>
      </w:r>
    </w:p>
    <w:p w14:paraId="29B6F2AE" w14:textId="77777777" w:rsidR="002C611A" w:rsidRDefault="002C611A">
      <w:pPr>
        <w:numPr>
          <w:ilvl w:val="12"/>
          <w:numId w:val="0"/>
        </w:numPr>
        <w:tabs>
          <w:tab w:val="left" w:pos="8306"/>
        </w:tabs>
        <w:spacing w:line="360" w:lineRule="auto"/>
        <w:ind w:left="26"/>
        <w:jc w:val="both"/>
        <w:rPr>
          <w:rtl/>
        </w:rPr>
      </w:pPr>
    </w:p>
    <w:p w14:paraId="6A88CFC8" w14:textId="77777777" w:rsidR="002C611A" w:rsidRDefault="00DC2A9D">
      <w:pPr>
        <w:numPr>
          <w:ilvl w:val="12"/>
          <w:numId w:val="0"/>
        </w:numPr>
        <w:tabs>
          <w:tab w:val="left" w:pos="8306"/>
        </w:tabs>
        <w:spacing w:line="360" w:lineRule="auto"/>
        <w:ind w:left="26"/>
        <w:jc w:val="both"/>
        <w:rPr>
          <w:rtl/>
        </w:rPr>
      </w:pPr>
      <w:r>
        <w:rPr>
          <w:rtl/>
        </w:rPr>
        <w:t>לאחר ששקלתי את הדברים, אני גוזר על הנאשם את העונשים הבאים:</w:t>
      </w:r>
    </w:p>
    <w:p w14:paraId="1D980BF1" w14:textId="77777777" w:rsidR="002C611A" w:rsidRDefault="002C611A">
      <w:pPr>
        <w:tabs>
          <w:tab w:val="left" w:pos="8306"/>
        </w:tabs>
        <w:spacing w:line="360" w:lineRule="auto"/>
        <w:jc w:val="both"/>
        <w:rPr>
          <w:rtl/>
        </w:rPr>
      </w:pPr>
    </w:p>
    <w:p w14:paraId="6D0EDFAF" w14:textId="77777777" w:rsidR="002C611A" w:rsidRDefault="00DC2A9D">
      <w:pPr>
        <w:pStyle w:val="ListParagraph"/>
        <w:numPr>
          <w:ilvl w:val="0"/>
          <w:numId w:val="1"/>
        </w:numPr>
        <w:tabs>
          <w:tab w:val="left" w:pos="8306"/>
        </w:tabs>
        <w:spacing w:line="360" w:lineRule="auto"/>
        <w:jc w:val="both"/>
        <w:rPr>
          <w:rtl/>
        </w:rPr>
      </w:pPr>
      <w:r>
        <w:rPr>
          <w:rFonts w:hint="cs"/>
          <w:rtl/>
        </w:rPr>
        <w:t xml:space="preserve">30 </w:t>
      </w:r>
      <w:r>
        <w:rPr>
          <w:rtl/>
        </w:rPr>
        <w:t xml:space="preserve">חודשים  מאסר בפועל, שיחלו מיום מעצרו. </w:t>
      </w:r>
    </w:p>
    <w:p w14:paraId="6EA8332F" w14:textId="77777777" w:rsidR="002C611A" w:rsidRDefault="00DC2A9D">
      <w:pPr>
        <w:pStyle w:val="ListParagraph"/>
        <w:tabs>
          <w:tab w:val="left" w:pos="8306"/>
        </w:tabs>
        <w:spacing w:line="360" w:lineRule="auto"/>
        <w:ind w:left="386"/>
        <w:jc w:val="both"/>
        <w:rPr>
          <w:b/>
          <w:bCs/>
          <w:rtl/>
        </w:rPr>
      </w:pPr>
      <w:r>
        <w:rPr>
          <w:rtl/>
        </w:rPr>
        <w:t xml:space="preserve">כמו כן אני מורה על הפעלתו של המאסר המותנה בן 12 חודשים שהוטל על הנאשם בפ"ל </w:t>
      </w:r>
      <w:r>
        <w:rPr>
          <w:rFonts w:hint="cs"/>
          <w:rtl/>
        </w:rPr>
        <w:t xml:space="preserve">         </w:t>
      </w:r>
      <w:r>
        <w:rPr>
          <w:rtl/>
        </w:rPr>
        <w:t>5246-01-12, כשמחציתו תרוצה בחופף לעונש המאסר בפועל ומחציתו במצטבר.</w:t>
      </w:r>
      <w:r>
        <w:rPr>
          <w:rFonts w:hint="cs"/>
          <w:rtl/>
        </w:rPr>
        <w:t xml:space="preserve">  </w:t>
      </w:r>
      <w:r>
        <w:rPr>
          <w:b/>
          <w:bCs/>
          <w:rtl/>
        </w:rPr>
        <w:t>סך הכל ירצה לכן הנאשם 36 חודשי מאסר בפועל</w:t>
      </w:r>
      <w:r>
        <w:rPr>
          <w:rFonts w:hint="cs"/>
          <w:b/>
          <w:bCs/>
          <w:rtl/>
        </w:rPr>
        <w:t xml:space="preserve"> החל מיום מאסרו.</w:t>
      </w:r>
    </w:p>
    <w:p w14:paraId="45C08098" w14:textId="77777777" w:rsidR="002C611A" w:rsidRDefault="00DC2A9D">
      <w:pPr>
        <w:numPr>
          <w:ilvl w:val="0"/>
          <w:numId w:val="1"/>
        </w:numPr>
        <w:tabs>
          <w:tab w:val="left" w:pos="8306"/>
        </w:tabs>
        <w:spacing w:line="360" w:lineRule="auto"/>
        <w:jc w:val="both"/>
      </w:pPr>
      <w:r>
        <w:rPr>
          <w:b/>
          <w:bCs/>
          <w:rtl/>
        </w:rPr>
        <w:t>18 חודשים מאסר על תנאי, למשך שלוש שנים</w:t>
      </w:r>
      <w:r>
        <w:rPr>
          <w:rtl/>
        </w:rPr>
        <w:t xml:space="preserve">, שלא יעבור </w:t>
      </w:r>
      <w:r>
        <w:rPr>
          <w:rFonts w:hint="cs"/>
          <w:rtl/>
        </w:rPr>
        <w:t>עבירה של נהיגה בפסילה, או עבירה של החזקת סמים שלא לשימוש עצמי.</w:t>
      </w:r>
    </w:p>
    <w:p w14:paraId="05121E11" w14:textId="77777777" w:rsidR="002C611A" w:rsidRDefault="00DC2A9D">
      <w:pPr>
        <w:numPr>
          <w:ilvl w:val="0"/>
          <w:numId w:val="1"/>
        </w:numPr>
        <w:tabs>
          <w:tab w:val="left" w:pos="8306"/>
        </w:tabs>
        <w:spacing w:line="360" w:lineRule="auto"/>
        <w:jc w:val="both"/>
      </w:pPr>
      <w:r w:rsidRPr="00DC2A9D">
        <w:rPr>
          <w:color w:val="FFFFFF"/>
          <w:sz w:val="2"/>
          <w:szCs w:val="2"/>
          <w:rtl/>
        </w:rPr>
        <w:t>5129371</w:t>
      </w:r>
      <w:r>
        <w:rPr>
          <w:rtl/>
        </w:rPr>
        <w:t xml:space="preserve"> </w:t>
      </w:r>
      <w:r>
        <w:rPr>
          <w:b/>
          <w:bCs/>
          <w:rtl/>
        </w:rPr>
        <w:t>5 שנים פסילת רשיון נהיגה</w:t>
      </w:r>
      <w:r>
        <w:rPr>
          <w:rFonts w:hint="cs"/>
          <w:b/>
          <w:bCs/>
          <w:rtl/>
        </w:rPr>
        <w:t xml:space="preserve"> החל מהיום</w:t>
      </w:r>
      <w:r>
        <w:rPr>
          <w:rFonts w:hint="cs"/>
          <w:rtl/>
        </w:rPr>
        <w:t xml:space="preserve"> בחופף לכל פסילה אחרת. אין צורך בהפקדה.</w:t>
      </w:r>
    </w:p>
    <w:p w14:paraId="2318134C" w14:textId="77777777" w:rsidR="002C611A" w:rsidRPr="00DC2A9D" w:rsidRDefault="00DC2A9D">
      <w:pPr>
        <w:spacing w:line="360" w:lineRule="auto"/>
        <w:jc w:val="both"/>
        <w:rPr>
          <w:rFonts w:ascii="Arial" w:hAnsi="Arial"/>
          <w:noProof w:val="0"/>
          <w:color w:val="FFFFFF"/>
          <w:sz w:val="2"/>
          <w:szCs w:val="2"/>
          <w:rtl/>
        </w:rPr>
      </w:pPr>
      <w:r w:rsidRPr="00DC2A9D">
        <w:rPr>
          <w:rFonts w:ascii="Arial" w:hAnsi="Arial"/>
          <w:noProof w:val="0"/>
          <w:color w:val="FFFFFF"/>
          <w:sz w:val="2"/>
          <w:szCs w:val="2"/>
          <w:rtl/>
        </w:rPr>
        <w:t>54678313</w:t>
      </w:r>
    </w:p>
    <w:p w14:paraId="6DA90906" w14:textId="77777777" w:rsidR="002C611A" w:rsidRDefault="00DC2A9D">
      <w:pPr>
        <w:spacing w:line="360" w:lineRule="auto"/>
        <w:jc w:val="both"/>
        <w:rPr>
          <w:rFonts w:ascii="Arial" w:hAnsi="Arial"/>
          <w:noProof w:val="0"/>
          <w:rtl/>
        </w:rPr>
      </w:pPr>
      <w:r>
        <w:rPr>
          <w:rFonts w:ascii="Arial" w:hAnsi="Arial"/>
          <w:noProof w:val="0"/>
          <w:rtl/>
        </w:rPr>
        <w:t xml:space="preserve">ניתנה היום, 11.9.2013, בנוכחות הצדדים, ב"כ המאשימה עו"ד רוויטל מוסקוביץ, ב"כ הנאשם </w:t>
      </w:r>
      <w:r>
        <w:rPr>
          <w:rFonts w:ascii="Arial" w:hAnsi="Arial" w:hint="cs"/>
          <w:noProof w:val="0"/>
          <w:rtl/>
        </w:rPr>
        <w:t>עו"ד עירוני מיכאל והנאשם.</w:t>
      </w:r>
    </w:p>
    <w:p w14:paraId="08CC10C9" w14:textId="77777777" w:rsidR="002C611A" w:rsidRDefault="00DC2A9D">
      <w:pPr>
        <w:tabs>
          <w:tab w:val="left" w:pos="2553"/>
        </w:tabs>
        <w:ind w:left="5040"/>
        <w:rPr>
          <w:rtl/>
        </w:rPr>
      </w:pPr>
      <w:r>
        <w:rPr>
          <w:rFonts w:hint="cs"/>
          <w:rtl/>
        </w:rPr>
        <w:t xml:space="preserve">     </w:t>
      </w:r>
    </w:p>
    <w:p w14:paraId="17ACAE30" w14:textId="77777777" w:rsidR="002C611A" w:rsidRDefault="002C611A">
      <w:pPr>
        <w:tabs>
          <w:tab w:val="left" w:pos="2553"/>
        </w:tabs>
        <w:ind w:left="5040"/>
      </w:pPr>
    </w:p>
    <w:p w14:paraId="56A31FA2" w14:textId="77777777" w:rsidR="002C611A" w:rsidRDefault="002C611A">
      <w:pPr>
        <w:tabs>
          <w:tab w:val="left" w:pos="2553"/>
        </w:tabs>
        <w:ind w:left="5040"/>
        <w:rPr>
          <w:rFonts w:ascii="Arial" w:hAnsi="Arial"/>
          <w:noProof w:val="0"/>
          <w:rtl/>
        </w:rPr>
      </w:pPr>
    </w:p>
    <w:p w14:paraId="4B016C88" w14:textId="77777777" w:rsidR="00DC2A9D" w:rsidRPr="00DC2A9D" w:rsidRDefault="00DC2A9D" w:rsidP="00DC2A9D">
      <w:pPr>
        <w:keepNext/>
        <w:rPr>
          <w:rFonts w:ascii="David" w:hAnsi="David"/>
          <w:color w:val="000000"/>
          <w:sz w:val="22"/>
          <w:szCs w:val="22"/>
          <w:rtl/>
        </w:rPr>
      </w:pPr>
    </w:p>
    <w:p w14:paraId="10AD7FB7" w14:textId="77777777" w:rsidR="00DC2A9D" w:rsidRPr="00DC2A9D" w:rsidRDefault="00DC2A9D" w:rsidP="00DC2A9D">
      <w:pPr>
        <w:keepNext/>
        <w:rPr>
          <w:rFonts w:ascii="David" w:hAnsi="David"/>
          <w:color w:val="000000"/>
          <w:sz w:val="22"/>
          <w:szCs w:val="22"/>
          <w:rtl/>
        </w:rPr>
      </w:pPr>
      <w:r w:rsidRPr="00DC2A9D">
        <w:rPr>
          <w:rFonts w:ascii="David" w:hAnsi="David"/>
          <w:color w:val="000000"/>
          <w:sz w:val="22"/>
          <w:szCs w:val="22"/>
          <w:rtl/>
        </w:rPr>
        <w:t>אברהם טננבוים 54678313</w:t>
      </w:r>
    </w:p>
    <w:p w14:paraId="6B094EF1" w14:textId="77777777" w:rsidR="00DC2A9D" w:rsidRDefault="00DC2A9D" w:rsidP="00DC2A9D">
      <w:r w:rsidRPr="00DC2A9D">
        <w:rPr>
          <w:color w:val="000000"/>
          <w:rtl/>
        </w:rPr>
        <w:t>נוסח מסמך זה כפוף לשינויי ניסוח ועריכה</w:t>
      </w:r>
    </w:p>
    <w:p w14:paraId="5F266DFB" w14:textId="77777777" w:rsidR="00DC2A9D" w:rsidRDefault="00DC2A9D" w:rsidP="00DC2A9D">
      <w:pPr>
        <w:rPr>
          <w:rtl/>
        </w:rPr>
      </w:pPr>
    </w:p>
    <w:p w14:paraId="60562EE4" w14:textId="77777777" w:rsidR="00DC2A9D" w:rsidRDefault="00DC2A9D" w:rsidP="00DC2A9D">
      <w:pPr>
        <w:jc w:val="center"/>
        <w:rPr>
          <w:color w:val="0000FF"/>
          <w:u w:val="single"/>
        </w:rPr>
      </w:pPr>
      <w:r w:rsidRPr="00495B45">
        <w:rPr>
          <w:color w:val="000000"/>
          <w:rtl/>
        </w:rPr>
        <w:t>בעניין עריכה ושינויים במסמכי פסיקה, חקיקה ועוד באתר נבו – הקש כאן</w:t>
      </w:r>
    </w:p>
    <w:p w14:paraId="6551D291" w14:textId="77777777" w:rsidR="002C611A" w:rsidRPr="00DC2A9D" w:rsidRDefault="002C611A" w:rsidP="00DC2A9D">
      <w:pPr>
        <w:jc w:val="center"/>
        <w:rPr>
          <w:color w:val="0000FF"/>
          <w:u w:val="single"/>
        </w:rPr>
      </w:pPr>
    </w:p>
    <w:sectPr w:rsidR="002C611A" w:rsidRPr="00DC2A9D" w:rsidSect="00DC2A9D">
      <w:headerReference w:type="even" r:id="rId28"/>
      <w:headerReference w:type="default" r:id="rId29"/>
      <w:footerReference w:type="even" r:id="rId30"/>
      <w:footerReference w:type="default" r:id="rId31"/>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BA438" w14:textId="77777777" w:rsidR="00CF6FFE" w:rsidRPr="002B62E5" w:rsidRDefault="00CF6FFE">
      <w:pPr>
        <w:rPr>
          <w:rFonts w:cs="Arial"/>
          <w:noProof w:val="0"/>
          <w:szCs w:val="20"/>
        </w:rPr>
      </w:pPr>
      <w:r>
        <w:separator/>
      </w:r>
    </w:p>
  </w:endnote>
  <w:endnote w:type="continuationSeparator" w:id="0">
    <w:p w14:paraId="1226CB7A" w14:textId="77777777" w:rsidR="00CF6FFE" w:rsidRPr="002B62E5" w:rsidRDefault="00CF6FFE">
      <w:pPr>
        <w:rPr>
          <w:rFonts w:cs="Arial"/>
          <w:noProof w:val="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37FFE" w14:textId="77777777" w:rsidR="00CF6FFE" w:rsidRDefault="00CF6FFE" w:rsidP="00DC2A9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7721FD99" w14:textId="77777777" w:rsidR="00CF6FFE" w:rsidRPr="00DC2A9D" w:rsidRDefault="00CF6FFE" w:rsidP="00DC2A9D">
    <w:pPr>
      <w:pStyle w:val="a4"/>
      <w:pBdr>
        <w:top w:val="single" w:sz="4" w:space="1" w:color="auto"/>
        <w:between w:val="single" w:sz="4" w:space="0" w:color="auto"/>
      </w:pBdr>
      <w:spacing w:after="60"/>
      <w:jc w:val="center"/>
      <w:rPr>
        <w:rFonts w:ascii="FrankRuehl" w:hAnsi="FrankRuehl" w:cs="FrankRuehl"/>
        <w:color w:val="000000"/>
      </w:rPr>
    </w:pPr>
    <w:r w:rsidRPr="00DC2A9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A25A" w14:textId="77777777" w:rsidR="00CF6FFE" w:rsidRDefault="00CF6FFE" w:rsidP="00DC2A9D">
    <w:pPr>
      <w:pStyle w:val="a4"/>
      <w:jc w:val="center"/>
      <w:rPr>
        <w:rStyle w:val="a5"/>
        <w:rFonts w:ascii="FrankRuehl" w:hAnsi="FrankRuehl" w:cs="FrankRueh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rPr>
      <w:instrText>PAGE</w:instrText>
    </w:r>
    <w:r>
      <w:rPr>
        <w:rStyle w:val="a5"/>
        <w:rFonts w:ascii="FrankRuehl" w:hAnsi="FrankRuehl" w:cs="FrankRuehl"/>
        <w:rtl/>
      </w:rPr>
      <w:instrText xml:space="preserve">  \* </w:instrText>
    </w:r>
    <w:r>
      <w:rPr>
        <w:rStyle w:val="a5"/>
        <w:rFonts w:ascii="FrankRuehl" w:hAnsi="FrankRuehl" w:cs="FrankRuehl"/>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310AA1">
      <w:rPr>
        <w:rStyle w:val="a5"/>
        <w:rFonts w:ascii="FrankRuehl" w:hAnsi="FrankRuehl" w:cs="FrankRuehl"/>
        <w:rtl/>
      </w:rPr>
      <w:t>1</w:t>
    </w:r>
    <w:r>
      <w:rPr>
        <w:rStyle w:val="a5"/>
        <w:rFonts w:ascii="FrankRuehl" w:hAnsi="FrankRuehl" w:cs="FrankRuehl"/>
        <w:rtl/>
      </w:rPr>
      <w:fldChar w:fldCharType="end"/>
    </w:r>
  </w:p>
  <w:p w14:paraId="444B2B24" w14:textId="77777777" w:rsidR="00CF6FFE" w:rsidRPr="00DC2A9D" w:rsidRDefault="00CF6FFE" w:rsidP="00DC2A9D">
    <w:pPr>
      <w:pStyle w:val="a4"/>
      <w:pBdr>
        <w:top w:val="single" w:sz="4" w:space="1" w:color="auto"/>
        <w:between w:val="single" w:sz="4" w:space="0" w:color="auto"/>
      </w:pBdr>
      <w:spacing w:after="60"/>
      <w:jc w:val="center"/>
      <w:rPr>
        <w:rStyle w:val="a5"/>
        <w:rFonts w:ascii="FrankRuehl" w:hAnsi="FrankRuehl" w:cs="FrankRuehl"/>
        <w:color w:val="000000"/>
      </w:rPr>
    </w:pPr>
    <w:r w:rsidRPr="00DC2A9D">
      <w:rPr>
        <w:rStyle w:val="a5"/>
        <w:rFonts w:ascii="FrankRuehl" w:hAnsi="FrankRuehl" w:cs="FrankRuehl"/>
        <w:color w:val="000000"/>
      </w:rPr>
      <w:pict w14:anchorId="6904A7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34F42" w14:textId="77777777" w:rsidR="00CF6FFE" w:rsidRPr="002B62E5" w:rsidRDefault="00CF6FFE">
      <w:pPr>
        <w:rPr>
          <w:rFonts w:cs="Arial"/>
          <w:noProof w:val="0"/>
          <w:szCs w:val="20"/>
        </w:rPr>
      </w:pPr>
      <w:r>
        <w:separator/>
      </w:r>
    </w:p>
  </w:footnote>
  <w:footnote w:type="continuationSeparator" w:id="0">
    <w:p w14:paraId="2F74E004" w14:textId="77777777" w:rsidR="00CF6FFE" w:rsidRPr="002B62E5" w:rsidRDefault="00CF6FFE">
      <w:pPr>
        <w:rPr>
          <w:rFonts w:cs="Arial"/>
          <w:noProof w:val="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D14EE" w14:textId="77777777" w:rsidR="00CF6FFE" w:rsidRPr="00DC2A9D" w:rsidRDefault="00CF6FFE" w:rsidP="00DC2A9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פל (י-ם) 9037-11-12</w:t>
    </w:r>
    <w:r>
      <w:rPr>
        <w:rFonts w:ascii="David" w:hAnsi="David"/>
        <w:color w:val="000000"/>
        <w:sz w:val="22"/>
        <w:szCs w:val="22"/>
        <w:rtl/>
      </w:rPr>
      <w:tab/>
      <w:t xml:space="preserve"> מדינת ישראל נ' אברהם קדם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3D52A" w14:textId="77777777" w:rsidR="00CF6FFE" w:rsidRPr="00DC2A9D" w:rsidRDefault="00CF6FFE" w:rsidP="00DC2A9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פל (י-ם) 9037-11-12</w:t>
    </w:r>
    <w:r>
      <w:rPr>
        <w:rFonts w:ascii="David" w:hAnsi="David"/>
        <w:color w:val="000000"/>
        <w:sz w:val="22"/>
        <w:szCs w:val="22"/>
        <w:rtl/>
      </w:rPr>
      <w:tab/>
      <w:t xml:space="preserve"> מדינת ישראל נ' אברהם קדם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6C45EA"/>
    <w:multiLevelType w:val="hybridMultilevel"/>
    <w:tmpl w:val="7876CB1E"/>
    <w:lvl w:ilvl="0" w:tplc="3920D582">
      <w:start w:val="2"/>
      <w:numFmt w:val="bullet"/>
      <w:lvlText w:val=""/>
      <w:lvlJc w:val="left"/>
      <w:pPr>
        <w:tabs>
          <w:tab w:val="num" w:pos="386"/>
        </w:tabs>
        <w:ind w:left="386" w:hanging="360"/>
      </w:pPr>
      <w:rPr>
        <w:rFonts w:ascii="Symbol" w:eastAsia="Times New Roman" w:hAnsi="Symbol" w:hint="default"/>
      </w:rPr>
    </w:lvl>
    <w:lvl w:ilvl="1" w:tplc="04090003">
      <w:start w:val="1"/>
      <w:numFmt w:val="bullet"/>
      <w:lvlText w:val="o"/>
      <w:lvlJc w:val="left"/>
      <w:pPr>
        <w:tabs>
          <w:tab w:val="num" w:pos="1106"/>
        </w:tabs>
        <w:ind w:left="1106" w:hanging="360"/>
      </w:pPr>
      <w:rPr>
        <w:rFonts w:ascii="Courier New" w:hAnsi="Courier New" w:hint="default"/>
      </w:rPr>
    </w:lvl>
    <w:lvl w:ilvl="2" w:tplc="04090005">
      <w:start w:val="1"/>
      <w:numFmt w:val="bullet"/>
      <w:lvlText w:val=""/>
      <w:lvlJc w:val="left"/>
      <w:pPr>
        <w:tabs>
          <w:tab w:val="num" w:pos="1826"/>
        </w:tabs>
        <w:ind w:left="1826" w:hanging="360"/>
      </w:pPr>
      <w:rPr>
        <w:rFonts w:ascii="Wingdings" w:hAnsi="Wingdings" w:hint="default"/>
      </w:rPr>
    </w:lvl>
    <w:lvl w:ilvl="3" w:tplc="04090001">
      <w:start w:val="1"/>
      <w:numFmt w:val="bullet"/>
      <w:lvlText w:val=""/>
      <w:lvlJc w:val="left"/>
      <w:pPr>
        <w:tabs>
          <w:tab w:val="num" w:pos="2546"/>
        </w:tabs>
        <w:ind w:left="2546" w:hanging="360"/>
      </w:pPr>
      <w:rPr>
        <w:rFonts w:ascii="Symbol" w:hAnsi="Symbol" w:hint="default"/>
      </w:rPr>
    </w:lvl>
    <w:lvl w:ilvl="4" w:tplc="04090003">
      <w:start w:val="1"/>
      <w:numFmt w:val="bullet"/>
      <w:lvlText w:val="o"/>
      <w:lvlJc w:val="left"/>
      <w:pPr>
        <w:tabs>
          <w:tab w:val="num" w:pos="3266"/>
        </w:tabs>
        <w:ind w:left="3266" w:hanging="360"/>
      </w:pPr>
      <w:rPr>
        <w:rFonts w:ascii="Courier New" w:hAnsi="Courier New" w:hint="default"/>
      </w:rPr>
    </w:lvl>
    <w:lvl w:ilvl="5" w:tplc="04090005">
      <w:start w:val="1"/>
      <w:numFmt w:val="bullet"/>
      <w:lvlText w:val=""/>
      <w:lvlJc w:val="left"/>
      <w:pPr>
        <w:tabs>
          <w:tab w:val="num" w:pos="3986"/>
        </w:tabs>
        <w:ind w:left="3986" w:hanging="360"/>
      </w:pPr>
      <w:rPr>
        <w:rFonts w:ascii="Wingdings" w:hAnsi="Wingdings" w:hint="default"/>
      </w:rPr>
    </w:lvl>
    <w:lvl w:ilvl="6" w:tplc="04090001">
      <w:start w:val="1"/>
      <w:numFmt w:val="bullet"/>
      <w:lvlText w:val=""/>
      <w:lvlJc w:val="left"/>
      <w:pPr>
        <w:tabs>
          <w:tab w:val="num" w:pos="4706"/>
        </w:tabs>
        <w:ind w:left="4706" w:hanging="360"/>
      </w:pPr>
      <w:rPr>
        <w:rFonts w:ascii="Symbol" w:hAnsi="Symbol" w:hint="default"/>
      </w:rPr>
    </w:lvl>
    <w:lvl w:ilvl="7" w:tplc="04090003">
      <w:start w:val="1"/>
      <w:numFmt w:val="bullet"/>
      <w:lvlText w:val="o"/>
      <w:lvlJc w:val="left"/>
      <w:pPr>
        <w:tabs>
          <w:tab w:val="num" w:pos="5426"/>
        </w:tabs>
        <w:ind w:left="5426" w:hanging="360"/>
      </w:pPr>
      <w:rPr>
        <w:rFonts w:ascii="Courier New" w:hAnsi="Courier New" w:hint="default"/>
      </w:rPr>
    </w:lvl>
    <w:lvl w:ilvl="8" w:tplc="04090005">
      <w:start w:val="1"/>
      <w:numFmt w:val="bullet"/>
      <w:lvlText w:val=""/>
      <w:lvlJc w:val="left"/>
      <w:pPr>
        <w:tabs>
          <w:tab w:val="num" w:pos="6146"/>
        </w:tabs>
        <w:ind w:left="6146" w:hanging="360"/>
      </w:pPr>
      <w:rPr>
        <w:rFonts w:ascii="Wingdings" w:hAnsi="Wingdings" w:hint="default"/>
      </w:rPr>
    </w:lvl>
  </w:abstractNum>
  <w:num w:numId="1" w16cid:durableId="2114665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C611A"/>
    <w:rsid w:val="00265D79"/>
    <w:rsid w:val="002744F1"/>
    <w:rsid w:val="002C611A"/>
    <w:rsid w:val="00310AA1"/>
    <w:rsid w:val="003B09F3"/>
    <w:rsid w:val="00495B45"/>
    <w:rsid w:val="00562872"/>
    <w:rsid w:val="005C689D"/>
    <w:rsid w:val="006E09B9"/>
    <w:rsid w:val="00AF6E3B"/>
    <w:rsid w:val="00CF6FFE"/>
    <w:rsid w:val="00DC2A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F7AE93"/>
  <w15:chartTrackingRefBased/>
  <w15:docId w15:val="{6DA572BC-1C66-4AB3-8E13-4BE8AAF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611A"/>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C611A"/>
    <w:pPr>
      <w:tabs>
        <w:tab w:val="center" w:pos="4153"/>
        <w:tab w:val="right" w:pos="8306"/>
      </w:tabs>
    </w:pPr>
  </w:style>
  <w:style w:type="paragraph" w:styleId="a4">
    <w:name w:val="footer"/>
    <w:basedOn w:val="a"/>
    <w:rsid w:val="002C611A"/>
    <w:pPr>
      <w:tabs>
        <w:tab w:val="center" w:pos="4153"/>
        <w:tab w:val="right" w:pos="8306"/>
      </w:tabs>
    </w:pPr>
  </w:style>
  <w:style w:type="character" w:styleId="a5">
    <w:name w:val="page number"/>
    <w:basedOn w:val="a0"/>
    <w:rsid w:val="002C611A"/>
  </w:style>
  <w:style w:type="paragraph" w:customStyle="1" w:styleId="ListParagraph">
    <w:name w:val="List Paragraph"/>
    <w:basedOn w:val="a"/>
    <w:rsid w:val="002C611A"/>
    <w:pPr>
      <w:ind w:left="720"/>
      <w:contextualSpacing/>
    </w:pPr>
  </w:style>
  <w:style w:type="character" w:styleId="a6">
    <w:name w:val="line number"/>
    <w:basedOn w:val="a0"/>
    <w:rsid w:val="002C611A"/>
  </w:style>
  <w:style w:type="character" w:styleId="Hyperlink">
    <w:name w:val="Hyperlink"/>
    <w:basedOn w:val="a0"/>
    <w:rsid w:val="00DC2A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501" TargetMode="External"/><Relationship Id="rId18" Type="http://schemas.openxmlformats.org/officeDocument/2006/relationships/hyperlink" Target="http://www.nevo.co.il/case/6531172" TargetMode="External"/><Relationship Id="rId26" Type="http://schemas.openxmlformats.org/officeDocument/2006/relationships/hyperlink" Target="http://www.nevo.co.il/case/6531172"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5227" TargetMode="External"/><Relationship Id="rId12" Type="http://schemas.openxmlformats.org/officeDocument/2006/relationships/hyperlink" Target="http://www.nevo.co.il/law/5227" TargetMode="External"/><Relationship Id="rId17" Type="http://schemas.openxmlformats.org/officeDocument/2006/relationships/hyperlink" Target="http://www.nevo.co.il/case/6531172" TargetMode="External"/><Relationship Id="rId25" Type="http://schemas.openxmlformats.org/officeDocument/2006/relationships/hyperlink" Target="http://www.nevo.co.il/case/653117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6531172" TargetMode="External"/><Relationship Id="rId20" Type="http://schemas.openxmlformats.org/officeDocument/2006/relationships/hyperlink" Target="http://www.nevo.co.il/law/70301"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849" TargetMode="External"/><Relationship Id="rId24" Type="http://schemas.openxmlformats.org/officeDocument/2006/relationships/hyperlink" Target="http://www.nevo.co.il/case/569188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4728640" TargetMode="External"/><Relationship Id="rId28" Type="http://schemas.openxmlformats.org/officeDocument/2006/relationships/header" Target="header1.xml"/><Relationship Id="rId10" Type="http://schemas.openxmlformats.org/officeDocument/2006/relationships/hyperlink" Target="http://www.nevo.co.il/law/4216" TargetMode="External"/><Relationship Id="rId19" Type="http://schemas.openxmlformats.org/officeDocument/2006/relationships/hyperlink" Target="http://www.nevo.co.il/law/70301"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573417" TargetMode="External"/><Relationship Id="rId27" Type="http://schemas.openxmlformats.org/officeDocument/2006/relationships/hyperlink" Target="http://www.nevo.co.il/law/74849" TargetMode="External"/><Relationship Id="rId30" Type="http://schemas.openxmlformats.org/officeDocument/2006/relationships/footer" Target="footer1.xml"/><Relationship Id="rId8" Type="http://schemas.openxmlformats.org/officeDocument/2006/relationships/hyperlink" Target="http://www.nevo.co.il/law/745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1609</Words>
  <Characters>8050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9640</CharactersWithSpaces>
  <SharedDoc>false</SharedDoc>
  <HLinks>
    <vt:vector size="126" baseType="variant">
      <vt:variant>
        <vt:i4>7995503</vt:i4>
      </vt:variant>
      <vt:variant>
        <vt:i4>60</vt:i4>
      </vt:variant>
      <vt:variant>
        <vt:i4>0</vt:i4>
      </vt:variant>
      <vt:variant>
        <vt:i4>5</vt:i4>
      </vt:variant>
      <vt:variant>
        <vt:lpwstr>http://www.nevo.co.il/law/74849</vt:lpwstr>
      </vt:variant>
      <vt:variant>
        <vt:lpwstr/>
      </vt:variant>
      <vt:variant>
        <vt:i4>3539063</vt:i4>
      </vt:variant>
      <vt:variant>
        <vt:i4>57</vt:i4>
      </vt:variant>
      <vt:variant>
        <vt:i4>0</vt:i4>
      </vt:variant>
      <vt:variant>
        <vt:i4>5</vt:i4>
      </vt:variant>
      <vt:variant>
        <vt:lpwstr>http://www.nevo.co.il/case/6531172</vt:lpwstr>
      </vt:variant>
      <vt:variant>
        <vt:lpwstr/>
      </vt:variant>
      <vt:variant>
        <vt:i4>3539063</vt:i4>
      </vt:variant>
      <vt:variant>
        <vt:i4>54</vt:i4>
      </vt:variant>
      <vt:variant>
        <vt:i4>0</vt:i4>
      </vt:variant>
      <vt:variant>
        <vt:i4>5</vt:i4>
      </vt:variant>
      <vt:variant>
        <vt:lpwstr>http://www.nevo.co.il/case/6531172</vt:lpwstr>
      </vt:variant>
      <vt:variant>
        <vt:lpwstr/>
      </vt:variant>
      <vt:variant>
        <vt:i4>3604603</vt:i4>
      </vt:variant>
      <vt:variant>
        <vt:i4>51</vt:i4>
      </vt:variant>
      <vt:variant>
        <vt:i4>0</vt:i4>
      </vt:variant>
      <vt:variant>
        <vt:i4>5</vt:i4>
      </vt:variant>
      <vt:variant>
        <vt:lpwstr>http://www.nevo.co.il/case/5691883</vt:lpwstr>
      </vt:variant>
      <vt:variant>
        <vt:lpwstr/>
      </vt:variant>
      <vt:variant>
        <vt:i4>3145855</vt:i4>
      </vt:variant>
      <vt:variant>
        <vt:i4>48</vt:i4>
      </vt:variant>
      <vt:variant>
        <vt:i4>0</vt:i4>
      </vt:variant>
      <vt:variant>
        <vt:i4>5</vt:i4>
      </vt:variant>
      <vt:variant>
        <vt:lpwstr>http://www.nevo.co.il/case/4728640</vt:lpwstr>
      </vt:variant>
      <vt:variant>
        <vt:lpwstr/>
      </vt:variant>
      <vt:variant>
        <vt:i4>3211379</vt:i4>
      </vt:variant>
      <vt:variant>
        <vt:i4>45</vt:i4>
      </vt:variant>
      <vt:variant>
        <vt:i4>0</vt:i4>
      </vt:variant>
      <vt:variant>
        <vt:i4>5</vt:i4>
      </vt:variant>
      <vt:variant>
        <vt:lpwstr>http://www.nevo.co.il/case/5573417</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3539063</vt:i4>
      </vt:variant>
      <vt:variant>
        <vt:i4>33</vt:i4>
      </vt:variant>
      <vt:variant>
        <vt:i4>0</vt:i4>
      </vt:variant>
      <vt:variant>
        <vt:i4>5</vt:i4>
      </vt:variant>
      <vt:variant>
        <vt:lpwstr>http://www.nevo.co.il/case/6531172</vt:lpwstr>
      </vt:variant>
      <vt:variant>
        <vt:lpwstr/>
      </vt:variant>
      <vt:variant>
        <vt:i4>3539063</vt:i4>
      </vt:variant>
      <vt:variant>
        <vt:i4>30</vt:i4>
      </vt:variant>
      <vt:variant>
        <vt:i4>0</vt:i4>
      </vt:variant>
      <vt:variant>
        <vt:i4>5</vt:i4>
      </vt:variant>
      <vt:variant>
        <vt:lpwstr>http://www.nevo.co.il/case/6531172</vt:lpwstr>
      </vt:variant>
      <vt:variant>
        <vt:lpwstr/>
      </vt:variant>
      <vt:variant>
        <vt:i4>3539063</vt:i4>
      </vt:variant>
      <vt:variant>
        <vt:i4>27</vt:i4>
      </vt:variant>
      <vt:variant>
        <vt:i4>0</vt:i4>
      </vt:variant>
      <vt:variant>
        <vt:i4>5</vt:i4>
      </vt:variant>
      <vt:variant>
        <vt:lpwstr>http://www.nevo.co.il/case/6531172</vt:lpwstr>
      </vt:variant>
      <vt:variant>
        <vt:lpwstr/>
      </vt:variant>
      <vt:variant>
        <vt:i4>8257637</vt:i4>
      </vt:variant>
      <vt:variant>
        <vt:i4>24</vt:i4>
      </vt:variant>
      <vt:variant>
        <vt:i4>0</vt:i4>
      </vt:variant>
      <vt:variant>
        <vt:i4>5</vt:i4>
      </vt:variant>
      <vt:variant>
        <vt:lpwstr>http://www.nevo.co.il/law/4216</vt:lpwstr>
      </vt:variant>
      <vt:variant>
        <vt:lpwstr/>
      </vt:variant>
      <vt:variant>
        <vt:i4>7995492</vt:i4>
      </vt:variant>
      <vt:variant>
        <vt:i4>21</vt:i4>
      </vt:variant>
      <vt:variant>
        <vt:i4>0</vt:i4>
      </vt:variant>
      <vt:variant>
        <vt:i4>5</vt:i4>
      </vt:variant>
      <vt:variant>
        <vt:lpwstr>http://www.nevo.co.il/law/70301</vt:lpwstr>
      </vt:variant>
      <vt:variant>
        <vt:lpwstr/>
      </vt:variant>
      <vt:variant>
        <vt:i4>8257634</vt:i4>
      </vt:variant>
      <vt:variant>
        <vt:i4>18</vt:i4>
      </vt:variant>
      <vt:variant>
        <vt:i4>0</vt:i4>
      </vt:variant>
      <vt:variant>
        <vt:i4>5</vt:i4>
      </vt:variant>
      <vt:variant>
        <vt:lpwstr>http://www.nevo.co.il/law/74501</vt:lpwstr>
      </vt:variant>
      <vt:variant>
        <vt:lpwstr/>
      </vt:variant>
      <vt:variant>
        <vt:i4>8323175</vt:i4>
      </vt:variant>
      <vt:variant>
        <vt:i4>15</vt:i4>
      </vt:variant>
      <vt:variant>
        <vt:i4>0</vt:i4>
      </vt:variant>
      <vt:variant>
        <vt:i4>5</vt:i4>
      </vt:variant>
      <vt:variant>
        <vt:lpwstr>http://www.nevo.co.il/law/5227</vt:lpwstr>
      </vt:variant>
      <vt:variant>
        <vt:lpwstr/>
      </vt:variant>
      <vt:variant>
        <vt:i4>7995503</vt:i4>
      </vt:variant>
      <vt:variant>
        <vt:i4>12</vt:i4>
      </vt:variant>
      <vt:variant>
        <vt:i4>0</vt:i4>
      </vt:variant>
      <vt:variant>
        <vt:i4>5</vt:i4>
      </vt:variant>
      <vt:variant>
        <vt:lpwstr>http://www.nevo.co.il/law/74849</vt:lpwstr>
      </vt:variant>
      <vt:variant>
        <vt:lpwstr/>
      </vt:variant>
      <vt:variant>
        <vt:i4>8257637</vt:i4>
      </vt:variant>
      <vt:variant>
        <vt:i4>9</vt:i4>
      </vt:variant>
      <vt:variant>
        <vt:i4>0</vt:i4>
      </vt:variant>
      <vt:variant>
        <vt:i4>5</vt:i4>
      </vt:variant>
      <vt:variant>
        <vt:lpwstr>http://www.nevo.co.il/law/4216</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8257634</vt:i4>
      </vt:variant>
      <vt:variant>
        <vt:i4>3</vt:i4>
      </vt:variant>
      <vt:variant>
        <vt:i4>0</vt:i4>
      </vt:variant>
      <vt:variant>
        <vt:i4>5</vt:i4>
      </vt:variant>
      <vt:variant>
        <vt:lpwstr>http://www.nevo.co.il/law/74501</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2025-04-23T01:59:00Z</dcterms:created>
  <dcterms:modified xsi:type="dcterms:W3CDTF">2025-04-23T01:59:00Z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7</vt:lpwstr>
  </property>
  <property fmtid="{D5CDD505-2E9C-101B-9397-08002B2CF9AE}" pid="3" name="PSAKDIN">
    <vt:lpwstr>גזר-דין</vt:lpwstr>
  </property>
  <property fmtid="{D5CDD505-2E9C-101B-9397-08002B2CF9AE}" pid="4" name="NEWPROC">
    <vt:lpwstr>פל</vt:lpwstr>
  </property>
  <property fmtid="{D5CDD505-2E9C-101B-9397-08002B2CF9AE}" pid="5" name="NEWPARTA">
    <vt:lpwstr>9037</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אברהם קדם</vt:lpwstr>
  </property>
  <property fmtid="{D5CDD505-2E9C-101B-9397-08002B2CF9AE}" pid="10" name="JUDGE">
    <vt:lpwstr>אברהם טננבוים</vt:lpwstr>
  </property>
  <property fmtid="{D5CDD505-2E9C-101B-9397-08002B2CF9AE}" pid="11" name="CITY">
    <vt:lpwstr>י-ם</vt:lpwstr>
  </property>
  <property fmtid="{D5CDD505-2E9C-101B-9397-08002B2CF9AE}" pid="12" name="DATE">
    <vt:lpwstr>20130911</vt:lpwstr>
  </property>
  <property fmtid="{D5CDD505-2E9C-101B-9397-08002B2CF9AE}" pid="13" name="TYPE_N_DATE">
    <vt:lpwstr>34020130911</vt:lpwstr>
  </property>
  <property fmtid="{D5CDD505-2E9C-101B-9397-08002B2CF9AE}" pid="14" name="WORDNUMPAGES">
    <vt:lpwstr>5</vt:lpwstr>
  </property>
  <property fmtid="{D5CDD505-2E9C-101B-9397-08002B2CF9AE}" pid="15" name="TYPE_ABS_DATE">
    <vt:lpwstr>340020130911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6531172:5;5573417;4728640;5691883</vt:lpwstr>
  </property>
  <property fmtid="{D5CDD505-2E9C-101B-9397-08002B2CF9AE}" pid="36" name="CASENOTES1">
    <vt:lpwstr>ProcID=87;184&amp;PartA=4667&amp;PartC=93</vt:lpwstr>
  </property>
  <property fmtid="{D5CDD505-2E9C-101B-9397-08002B2CF9AE}" pid="37" name="CASENOTES2">
    <vt:lpwstr>ProcID=209&amp;PartA=2020&amp;PartC=09</vt:lpwstr>
  </property>
  <property fmtid="{D5CDD505-2E9C-101B-9397-08002B2CF9AE}" pid="38" name="CASENOTES3">
    <vt:lpwstr>ProcID=209&amp;PartA=1258&amp;PartC=00</vt:lpwstr>
  </property>
  <property fmtid="{D5CDD505-2E9C-101B-9397-08002B2CF9AE}" pid="39" name="LAWLISTTMP1">
    <vt:lpwstr>5227</vt:lpwstr>
  </property>
  <property fmtid="{D5CDD505-2E9C-101B-9397-08002B2CF9AE}" pid="40" name="LAWLISTTMP2">
    <vt:lpwstr>74501</vt:lpwstr>
  </property>
  <property fmtid="{D5CDD505-2E9C-101B-9397-08002B2CF9AE}" pid="41" name="LAWLISTTMP3">
    <vt:lpwstr>70301:4</vt:lpwstr>
  </property>
  <property fmtid="{D5CDD505-2E9C-101B-9397-08002B2CF9AE}" pid="42" name="LAWLISTTMP4">
    <vt:lpwstr>4216</vt:lpwstr>
  </property>
  <property fmtid="{D5CDD505-2E9C-101B-9397-08002B2CF9AE}" pid="43" name="LAWLISTTMP5">
    <vt:lpwstr>74849</vt:lpwstr>
  </property>
</Properties>
</file>