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63868" w:rsidRPr="00302973" w14:paraId="1B43C19F" w14:textId="77777777">
        <w:trPr>
          <w:trHeight w:hRule="exact" w:val="418"/>
          <w:jc w:val="center"/>
        </w:trPr>
        <w:tc>
          <w:tcPr>
            <w:tcW w:w="8721" w:type="dxa"/>
            <w:gridSpan w:val="2"/>
          </w:tcPr>
          <w:p w14:paraId="3641F43E" w14:textId="77777777" w:rsidR="00063868" w:rsidRPr="00302973" w:rsidRDefault="00302973">
            <w:pPr>
              <w:pStyle w:val="a3"/>
              <w:jc w:val="center"/>
              <w:rPr>
                <w:rFonts w:ascii="Tahoma" w:hAnsi="Tahoma" w:cs="Tahoma"/>
                <w:color w:val="000080"/>
                <w:rtl/>
              </w:rPr>
            </w:pPr>
            <w:bookmarkStart w:id="0" w:name="LastJudge"/>
            <w:r w:rsidRPr="00302973">
              <w:rPr>
                <w:rFonts w:ascii="Tahoma" w:hAnsi="Tahoma" w:cs="Tahoma"/>
                <w:b/>
                <w:bCs/>
                <w:color w:val="000080"/>
                <w:rtl/>
              </w:rPr>
              <w:t>בית המשפט המחוזי בחיפה</w:t>
            </w:r>
          </w:p>
        </w:tc>
      </w:tr>
      <w:tr w:rsidR="00063868" w:rsidRPr="00302973" w14:paraId="45DC966A" w14:textId="77777777">
        <w:trPr>
          <w:trHeight w:val="337"/>
          <w:jc w:val="center"/>
        </w:trPr>
        <w:tc>
          <w:tcPr>
            <w:tcW w:w="5047" w:type="dxa"/>
          </w:tcPr>
          <w:p w14:paraId="1167B519" w14:textId="77777777" w:rsidR="00063868" w:rsidRPr="00302973" w:rsidRDefault="00302973">
            <w:pPr>
              <w:rPr>
                <w:rFonts w:cs="FrankRuehl"/>
                <w:sz w:val="28"/>
                <w:szCs w:val="28"/>
                <w:rtl/>
              </w:rPr>
            </w:pPr>
            <w:r w:rsidRPr="00302973">
              <w:rPr>
                <w:rFonts w:cs="FrankRuehl"/>
                <w:sz w:val="28"/>
                <w:szCs w:val="28"/>
                <w:rtl/>
              </w:rPr>
              <w:t>ת"פ</w:t>
            </w:r>
            <w:r w:rsidRPr="00302973">
              <w:rPr>
                <w:rFonts w:cs="FrankRuehl" w:hint="cs"/>
                <w:sz w:val="28"/>
                <w:szCs w:val="28"/>
                <w:rtl/>
              </w:rPr>
              <w:t xml:space="preserve"> </w:t>
            </w:r>
            <w:r w:rsidRPr="00302973">
              <w:rPr>
                <w:rFonts w:cs="FrankRuehl"/>
                <w:sz w:val="28"/>
                <w:szCs w:val="28"/>
                <w:rtl/>
              </w:rPr>
              <w:t>16192-05-09</w:t>
            </w:r>
            <w:r w:rsidRPr="00302973">
              <w:rPr>
                <w:rFonts w:cs="FrankRuehl" w:hint="cs"/>
                <w:sz w:val="28"/>
                <w:szCs w:val="28"/>
                <w:rtl/>
              </w:rPr>
              <w:t xml:space="preserve"> </w:t>
            </w:r>
            <w:r w:rsidRPr="00302973">
              <w:rPr>
                <w:rFonts w:cs="FrankRuehl"/>
                <w:sz w:val="28"/>
                <w:szCs w:val="28"/>
                <w:rtl/>
              </w:rPr>
              <w:t>מדינת ישראל נ' מחאג'נה</w:t>
            </w:r>
          </w:p>
          <w:p w14:paraId="529B4CBC" w14:textId="77777777" w:rsidR="00063868" w:rsidRPr="00302973" w:rsidRDefault="00063868">
            <w:pPr>
              <w:pStyle w:val="a3"/>
              <w:rPr>
                <w:rFonts w:cs="FrankRuehl"/>
                <w:sz w:val="28"/>
                <w:szCs w:val="28"/>
                <w:rtl/>
              </w:rPr>
            </w:pPr>
          </w:p>
        </w:tc>
        <w:tc>
          <w:tcPr>
            <w:tcW w:w="3674" w:type="dxa"/>
          </w:tcPr>
          <w:p w14:paraId="2ADB9B2B" w14:textId="77777777" w:rsidR="00063868" w:rsidRPr="00302973" w:rsidRDefault="00302973">
            <w:pPr>
              <w:pStyle w:val="a3"/>
              <w:jc w:val="right"/>
              <w:rPr>
                <w:rFonts w:cs="FrankRuehl"/>
                <w:sz w:val="28"/>
                <w:szCs w:val="28"/>
                <w:rtl/>
              </w:rPr>
            </w:pPr>
            <w:r w:rsidRPr="00302973">
              <w:rPr>
                <w:rFonts w:cs="FrankRuehl"/>
                <w:sz w:val="28"/>
                <w:szCs w:val="28"/>
                <w:rtl/>
              </w:rPr>
              <w:t>1</w:t>
            </w:r>
            <w:r w:rsidRPr="00302973">
              <w:rPr>
                <w:rFonts w:cs="FrankRuehl" w:hint="cs"/>
                <w:sz w:val="28"/>
                <w:szCs w:val="28"/>
                <w:rtl/>
              </w:rPr>
              <w:t>8</w:t>
            </w:r>
            <w:r w:rsidRPr="00302973">
              <w:rPr>
                <w:rFonts w:cs="FrankRuehl"/>
                <w:sz w:val="28"/>
                <w:szCs w:val="28"/>
                <w:rtl/>
              </w:rPr>
              <w:t xml:space="preserve"> אוקטובר 2009</w:t>
            </w:r>
          </w:p>
        </w:tc>
      </w:tr>
    </w:tbl>
    <w:p w14:paraId="3A833986" w14:textId="77777777" w:rsidR="00063868" w:rsidRPr="00302973" w:rsidRDefault="00302973">
      <w:pPr>
        <w:pStyle w:val="a3"/>
        <w:rPr>
          <w:rtl/>
        </w:rPr>
      </w:pPr>
      <w:r w:rsidRPr="00302973">
        <w:rPr>
          <w:rFonts w:hint="cs"/>
          <w:rtl/>
        </w:rPr>
        <w:t xml:space="preserve"> </w:t>
      </w:r>
    </w:p>
    <w:p w14:paraId="57429B6D" w14:textId="77777777" w:rsidR="00063868" w:rsidRPr="00302973" w:rsidRDefault="00302973">
      <w:pPr>
        <w:pStyle w:val="a3"/>
      </w:pPr>
      <w:r w:rsidRPr="00302973">
        <w:rPr>
          <w:rFonts w:cs="Times New Roman" w:hint="cs"/>
          <w:b/>
          <w:bCs/>
          <w:sz w:val="26"/>
          <w:szCs w:val="28"/>
          <w:rtl/>
        </w:rPr>
        <w:t xml:space="preserve"> </w:t>
      </w:r>
    </w:p>
    <w:p w14:paraId="315184F5" w14:textId="77777777" w:rsidR="00063868" w:rsidRPr="00302973" w:rsidRDefault="0006386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63868" w:rsidRPr="00302973" w14:paraId="38A77F4D" w14:textId="77777777" w:rsidTr="00C0076C">
        <w:trPr>
          <w:gridAfter w:val="1"/>
          <w:wAfter w:w="3771" w:type="dxa"/>
          <w:trHeight w:val="295"/>
          <w:jc w:val="center"/>
        </w:trPr>
        <w:tc>
          <w:tcPr>
            <w:tcW w:w="5049" w:type="dxa"/>
            <w:gridSpan w:val="2"/>
            <w:tcBorders>
              <w:top w:val="nil"/>
              <w:left w:val="nil"/>
              <w:bottom w:val="nil"/>
              <w:right w:val="nil"/>
            </w:tcBorders>
            <w:shd w:val="clear" w:color="auto" w:fill="auto"/>
          </w:tcPr>
          <w:p w14:paraId="1F66751C" w14:textId="77777777" w:rsidR="00063868" w:rsidRPr="00C0076C" w:rsidRDefault="00063868" w:rsidP="00C0076C">
            <w:pPr>
              <w:jc w:val="both"/>
              <w:rPr>
                <w:rFonts w:ascii="Arial" w:hAnsi="Arial" w:cs="FrankRuehl"/>
                <w:noProof w:val="0"/>
                <w:sz w:val="28"/>
                <w:szCs w:val="28"/>
                <w:rtl/>
              </w:rPr>
            </w:pPr>
          </w:p>
        </w:tc>
      </w:tr>
      <w:tr w:rsidR="00063868" w:rsidRPr="00302973" w14:paraId="35FAC0C6" w14:textId="77777777" w:rsidTr="00C0076C">
        <w:trPr>
          <w:trHeight w:val="295"/>
          <w:jc w:val="center"/>
        </w:trPr>
        <w:tc>
          <w:tcPr>
            <w:tcW w:w="923" w:type="dxa"/>
            <w:tcBorders>
              <w:top w:val="nil"/>
              <w:left w:val="nil"/>
              <w:bottom w:val="nil"/>
              <w:right w:val="nil"/>
            </w:tcBorders>
            <w:shd w:val="clear" w:color="auto" w:fill="auto"/>
          </w:tcPr>
          <w:p w14:paraId="0CCB756F" w14:textId="77777777" w:rsidR="00063868" w:rsidRPr="00C0076C" w:rsidRDefault="00302973" w:rsidP="00C0076C">
            <w:pPr>
              <w:jc w:val="both"/>
              <w:rPr>
                <w:rFonts w:ascii="Arial" w:hAnsi="Arial" w:cs="FrankRuehl"/>
                <w:sz w:val="28"/>
                <w:szCs w:val="28"/>
              </w:rPr>
            </w:pPr>
            <w:r w:rsidRPr="00C0076C">
              <w:rPr>
                <w:rFonts w:ascii="Arial" w:hAnsi="Arial" w:cs="FrankRuehl" w:hint="cs"/>
                <w:sz w:val="28"/>
                <w:szCs w:val="28"/>
                <w:rtl/>
              </w:rPr>
              <w:t>ב</w:t>
            </w:r>
            <w:r w:rsidRPr="00C0076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464C93C" w14:textId="77777777" w:rsidR="00063868" w:rsidRPr="00C0076C" w:rsidRDefault="00302973" w:rsidP="00C0076C">
            <w:pPr>
              <w:jc w:val="both"/>
              <w:rPr>
                <w:rFonts w:ascii="Arial" w:hAnsi="Arial"/>
                <w:b/>
                <w:bCs/>
                <w:rtl/>
              </w:rPr>
            </w:pPr>
            <w:r w:rsidRPr="00C0076C">
              <w:rPr>
                <w:rFonts w:ascii="Arial" w:hAnsi="Arial" w:hint="cs"/>
                <w:b/>
                <w:bCs/>
                <w:rtl/>
              </w:rPr>
              <w:t>כב' ה</w:t>
            </w:r>
            <w:r w:rsidRPr="00C0076C">
              <w:rPr>
                <w:rFonts w:ascii="Arial" w:hAnsi="Arial"/>
                <w:b/>
                <w:bCs/>
                <w:rtl/>
              </w:rPr>
              <w:t>שופט</w:t>
            </w:r>
            <w:r w:rsidRPr="00C0076C">
              <w:rPr>
                <w:rFonts w:ascii="Arial" w:hAnsi="Arial" w:hint="cs"/>
                <w:b/>
                <w:bCs/>
                <w:rtl/>
              </w:rPr>
              <w:t xml:space="preserve"> </w:t>
            </w:r>
            <w:r w:rsidRPr="00C0076C">
              <w:rPr>
                <w:rFonts w:ascii="Arial" w:hAnsi="Arial"/>
                <w:b/>
                <w:bCs/>
                <w:rtl/>
              </w:rPr>
              <w:t>משה גלעד</w:t>
            </w:r>
          </w:p>
          <w:p w14:paraId="5988FF8D" w14:textId="77777777" w:rsidR="00063868" w:rsidRPr="00302973" w:rsidRDefault="00063868" w:rsidP="00C0076C">
            <w:pPr>
              <w:jc w:val="both"/>
              <w:rPr>
                <w:rtl/>
              </w:rPr>
            </w:pPr>
          </w:p>
          <w:p w14:paraId="77C0AEB1" w14:textId="77777777" w:rsidR="00063868" w:rsidRPr="00C0076C" w:rsidRDefault="00063868" w:rsidP="00C0076C">
            <w:pPr>
              <w:jc w:val="both"/>
              <w:rPr>
                <w:rFonts w:ascii="Arial" w:hAnsi="Arial" w:cs="FrankRuehl"/>
                <w:sz w:val="28"/>
                <w:szCs w:val="28"/>
              </w:rPr>
            </w:pPr>
          </w:p>
        </w:tc>
      </w:tr>
      <w:tr w:rsidR="00063868" w:rsidRPr="00302973" w14:paraId="0CFC9721" w14:textId="77777777" w:rsidTr="00C0076C">
        <w:trPr>
          <w:trHeight w:val="355"/>
          <w:jc w:val="center"/>
        </w:trPr>
        <w:tc>
          <w:tcPr>
            <w:tcW w:w="923" w:type="dxa"/>
            <w:tcBorders>
              <w:top w:val="nil"/>
              <w:left w:val="nil"/>
              <w:bottom w:val="nil"/>
              <w:right w:val="nil"/>
            </w:tcBorders>
            <w:shd w:val="clear" w:color="auto" w:fill="auto"/>
          </w:tcPr>
          <w:p w14:paraId="6FC24B29" w14:textId="77777777" w:rsidR="00063868" w:rsidRPr="00C0076C" w:rsidRDefault="00063868" w:rsidP="00C0076C">
            <w:pPr>
              <w:jc w:val="both"/>
              <w:rPr>
                <w:rFonts w:ascii="Arial" w:hAnsi="Arial" w:cs="FrankRuehl"/>
                <w:sz w:val="28"/>
                <w:szCs w:val="28"/>
                <w:rtl/>
              </w:rPr>
            </w:pPr>
            <w:bookmarkStart w:id="1" w:name="FirstAppellant" w:colFirst="0" w:colLast="1"/>
          </w:p>
          <w:p w14:paraId="0BCA5EEE" w14:textId="77777777" w:rsidR="00063868" w:rsidRPr="00C0076C" w:rsidRDefault="00302973" w:rsidP="00C0076C">
            <w:pPr>
              <w:jc w:val="both"/>
              <w:rPr>
                <w:rFonts w:ascii="Arial" w:hAnsi="Arial" w:cs="FrankRuehl"/>
                <w:sz w:val="28"/>
                <w:szCs w:val="28"/>
              </w:rPr>
            </w:pPr>
            <w:r w:rsidRPr="00C0076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DA88DD3" w14:textId="77777777" w:rsidR="00063868" w:rsidRPr="00C0076C" w:rsidRDefault="00063868" w:rsidP="00C0076C">
            <w:pPr>
              <w:jc w:val="both"/>
              <w:rPr>
                <w:rFonts w:ascii="Arial" w:hAnsi="Arial" w:cs="FrankRuehl"/>
                <w:sz w:val="28"/>
                <w:szCs w:val="28"/>
                <w:rtl/>
              </w:rPr>
            </w:pPr>
          </w:p>
          <w:p w14:paraId="7655CEC9" w14:textId="77777777" w:rsidR="00063868" w:rsidRPr="00C0076C" w:rsidRDefault="00302973" w:rsidP="00C0076C">
            <w:pPr>
              <w:jc w:val="both"/>
              <w:rPr>
                <w:rFonts w:ascii="Arial" w:hAnsi="Arial" w:cs="FrankRuehl"/>
                <w:sz w:val="28"/>
                <w:szCs w:val="28"/>
                <w:rtl/>
              </w:rPr>
            </w:pPr>
            <w:r w:rsidRPr="00C0076C">
              <w:rPr>
                <w:rFonts w:ascii="Arial" w:hAnsi="Arial" w:cs="FrankRuehl"/>
                <w:sz w:val="28"/>
                <w:szCs w:val="28"/>
                <w:rtl/>
              </w:rPr>
              <w:t>מדינת ישראל</w:t>
            </w:r>
          </w:p>
          <w:p w14:paraId="54EAEE07" w14:textId="77777777" w:rsidR="00063868" w:rsidRPr="00C0076C" w:rsidRDefault="00302973" w:rsidP="00C0076C">
            <w:pPr>
              <w:jc w:val="both"/>
              <w:rPr>
                <w:rFonts w:ascii="Arial" w:hAnsi="Arial" w:cs="FrankRuehl"/>
                <w:sz w:val="28"/>
                <w:szCs w:val="28"/>
                <w:rtl/>
              </w:rPr>
            </w:pPr>
            <w:r w:rsidRPr="00C0076C">
              <w:rPr>
                <w:rFonts w:ascii="Arial" w:hAnsi="Arial" w:cs="FrankRuehl" w:hint="cs"/>
                <w:sz w:val="28"/>
                <w:szCs w:val="28"/>
                <w:rtl/>
              </w:rPr>
              <w:t>פרקליטות מחוז חיפה</w:t>
            </w:r>
          </w:p>
          <w:p w14:paraId="53BA69DE" w14:textId="77777777" w:rsidR="00063868" w:rsidRPr="00302973" w:rsidRDefault="00302973" w:rsidP="00C0076C">
            <w:pPr>
              <w:jc w:val="both"/>
            </w:pPr>
            <w:r w:rsidRPr="00C0076C">
              <w:rPr>
                <w:rFonts w:ascii="Arial" w:hAnsi="Arial" w:cs="FrankRuehl" w:hint="cs"/>
                <w:sz w:val="28"/>
                <w:szCs w:val="28"/>
                <w:rtl/>
              </w:rPr>
              <w:t>ע"י עו"ד ר. סלאמה</w:t>
            </w:r>
          </w:p>
          <w:p w14:paraId="317C55FF" w14:textId="77777777" w:rsidR="00063868" w:rsidRPr="00C0076C" w:rsidRDefault="00063868" w:rsidP="00C0076C">
            <w:pPr>
              <w:jc w:val="both"/>
              <w:rPr>
                <w:rFonts w:ascii="Arial" w:hAnsi="Arial" w:cs="FrankRuehl"/>
                <w:sz w:val="28"/>
                <w:szCs w:val="28"/>
              </w:rPr>
            </w:pPr>
          </w:p>
        </w:tc>
        <w:tc>
          <w:tcPr>
            <w:tcW w:w="3771" w:type="dxa"/>
            <w:tcBorders>
              <w:top w:val="nil"/>
              <w:left w:val="nil"/>
              <w:bottom w:val="nil"/>
              <w:right w:val="nil"/>
            </w:tcBorders>
            <w:shd w:val="clear" w:color="auto" w:fill="auto"/>
          </w:tcPr>
          <w:p w14:paraId="09FBE424" w14:textId="77777777" w:rsidR="00063868" w:rsidRPr="00C0076C" w:rsidRDefault="00063868" w:rsidP="00C0076C">
            <w:pPr>
              <w:jc w:val="both"/>
              <w:rPr>
                <w:rFonts w:ascii="Arial" w:hAnsi="Arial" w:cs="FrankRuehl"/>
                <w:sz w:val="28"/>
                <w:szCs w:val="28"/>
                <w:rtl/>
              </w:rPr>
            </w:pPr>
          </w:p>
          <w:p w14:paraId="1F6BFE04" w14:textId="77777777" w:rsidR="00063868" w:rsidRPr="00C0076C" w:rsidRDefault="00302973" w:rsidP="00C0076C">
            <w:pPr>
              <w:jc w:val="both"/>
              <w:rPr>
                <w:rFonts w:ascii="Arial" w:hAnsi="Arial" w:cs="FrankRuehl"/>
                <w:sz w:val="28"/>
                <w:szCs w:val="28"/>
              </w:rPr>
            </w:pPr>
            <w:r w:rsidRPr="00C0076C">
              <w:rPr>
                <w:rFonts w:ascii="Arial" w:hAnsi="Arial" w:cs="FrankRuehl" w:hint="cs"/>
                <w:sz w:val="28"/>
                <w:szCs w:val="28"/>
                <w:rtl/>
              </w:rPr>
              <w:t xml:space="preserve">                                             המאשימה</w:t>
            </w:r>
          </w:p>
        </w:tc>
      </w:tr>
      <w:tr w:rsidR="00063868" w:rsidRPr="00302973" w14:paraId="0139661B" w14:textId="77777777" w:rsidTr="00C0076C">
        <w:trPr>
          <w:trHeight w:val="355"/>
          <w:jc w:val="center"/>
        </w:trPr>
        <w:tc>
          <w:tcPr>
            <w:tcW w:w="923" w:type="dxa"/>
            <w:tcBorders>
              <w:top w:val="nil"/>
              <w:left w:val="nil"/>
              <w:bottom w:val="nil"/>
              <w:right w:val="nil"/>
            </w:tcBorders>
            <w:shd w:val="clear" w:color="auto" w:fill="auto"/>
          </w:tcPr>
          <w:p w14:paraId="513E7EE4" w14:textId="77777777" w:rsidR="00063868" w:rsidRPr="00C0076C" w:rsidRDefault="00063868" w:rsidP="00C0076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596C99E" w14:textId="77777777" w:rsidR="00063868" w:rsidRPr="00C0076C" w:rsidRDefault="00063868" w:rsidP="00C0076C">
            <w:pPr>
              <w:jc w:val="both"/>
              <w:rPr>
                <w:rFonts w:ascii="Arial" w:hAnsi="Arial" w:cs="FrankRuehl"/>
                <w:b/>
                <w:bCs/>
                <w:sz w:val="28"/>
                <w:szCs w:val="28"/>
                <w:rtl/>
              </w:rPr>
            </w:pPr>
          </w:p>
          <w:p w14:paraId="64C1959A" w14:textId="77777777" w:rsidR="00063868" w:rsidRPr="00C0076C" w:rsidRDefault="00302973" w:rsidP="00C0076C">
            <w:pPr>
              <w:jc w:val="both"/>
              <w:rPr>
                <w:rFonts w:ascii="Arial" w:hAnsi="Arial" w:cs="FrankRuehl"/>
                <w:b/>
                <w:bCs/>
                <w:sz w:val="28"/>
                <w:szCs w:val="28"/>
                <w:rtl/>
              </w:rPr>
            </w:pPr>
            <w:r w:rsidRPr="00C0076C">
              <w:rPr>
                <w:rFonts w:ascii="Arial" w:hAnsi="Arial" w:cs="FrankRuehl"/>
                <w:b/>
                <w:bCs/>
                <w:sz w:val="28"/>
                <w:szCs w:val="28"/>
                <w:rtl/>
              </w:rPr>
              <w:t>נגד</w:t>
            </w:r>
          </w:p>
          <w:p w14:paraId="719521AA" w14:textId="77777777" w:rsidR="00063868" w:rsidRPr="00C0076C" w:rsidRDefault="00063868" w:rsidP="00C0076C">
            <w:pPr>
              <w:jc w:val="both"/>
              <w:rPr>
                <w:rFonts w:ascii="Arial" w:hAnsi="Arial" w:cs="FrankRuehl"/>
                <w:sz w:val="28"/>
                <w:szCs w:val="28"/>
              </w:rPr>
            </w:pPr>
          </w:p>
        </w:tc>
      </w:tr>
      <w:tr w:rsidR="00063868" w:rsidRPr="00302973" w14:paraId="0EBA8DB1" w14:textId="77777777" w:rsidTr="00C0076C">
        <w:trPr>
          <w:trHeight w:val="355"/>
          <w:jc w:val="center"/>
        </w:trPr>
        <w:tc>
          <w:tcPr>
            <w:tcW w:w="923" w:type="dxa"/>
            <w:tcBorders>
              <w:top w:val="nil"/>
              <w:left w:val="nil"/>
              <w:bottom w:val="nil"/>
              <w:right w:val="nil"/>
            </w:tcBorders>
            <w:shd w:val="clear" w:color="auto" w:fill="auto"/>
          </w:tcPr>
          <w:p w14:paraId="120ECA4A" w14:textId="77777777" w:rsidR="00063868" w:rsidRPr="00C0076C" w:rsidRDefault="00063868" w:rsidP="00C0076C">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5C73405D" w14:textId="77777777" w:rsidR="00063868" w:rsidRPr="00C0076C" w:rsidRDefault="00302973" w:rsidP="00C0076C">
            <w:pPr>
              <w:jc w:val="both"/>
              <w:rPr>
                <w:rFonts w:ascii="Arial" w:hAnsi="Arial" w:cs="FrankRuehl"/>
                <w:sz w:val="28"/>
                <w:szCs w:val="28"/>
                <w:rtl/>
              </w:rPr>
            </w:pPr>
            <w:r w:rsidRPr="00C0076C">
              <w:rPr>
                <w:rFonts w:ascii="Arial" w:hAnsi="Arial" w:cs="FrankRuehl"/>
                <w:sz w:val="28"/>
                <w:szCs w:val="28"/>
                <w:rtl/>
              </w:rPr>
              <w:t>מוחמד מחאג'נה</w:t>
            </w:r>
            <w:r w:rsidRPr="00C0076C">
              <w:rPr>
                <w:rFonts w:ascii="Arial" w:hAnsi="Arial" w:cs="FrankRuehl" w:hint="cs"/>
                <w:sz w:val="28"/>
                <w:szCs w:val="28"/>
                <w:rtl/>
              </w:rPr>
              <w:t xml:space="preserve"> ת.ז. </w:t>
            </w:r>
            <w:r w:rsidR="00A22D46" w:rsidRPr="00C0076C">
              <w:rPr>
                <w:rFonts w:ascii="Arial" w:hAnsi="Arial" w:cs="FrankRuehl"/>
                <w:sz w:val="28"/>
                <w:szCs w:val="28"/>
              </w:rPr>
              <w:t>xxxxxxxxx</w:t>
            </w:r>
          </w:p>
          <w:p w14:paraId="4C792011" w14:textId="77777777" w:rsidR="00063868" w:rsidRPr="00302973" w:rsidRDefault="00302973" w:rsidP="00C0076C">
            <w:pPr>
              <w:jc w:val="both"/>
              <w:rPr>
                <w:rtl/>
              </w:rPr>
            </w:pPr>
            <w:r w:rsidRPr="00C0076C">
              <w:rPr>
                <w:rFonts w:ascii="Arial" w:hAnsi="Arial" w:cs="FrankRuehl" w:hint="cs"/>
                <w:sz w:val="28"/>
                <w:szCs w:val="28"/>
                <w:rtl/>
              </w:rPr>
              <w:t>ע"י ב"כ עו"ד ר. מחאג'נה</w:t>
            </w:r>
          </w:p>
        </w:tc>
        <w:tc>
          <w:tcPr>
            <w:tcW w:w="3771" w:type="dxa"/>
            <w:tcBorders>
              <w:top w:val="nil"/>
              <w:left w:val="nil"/>
              <w:bottom w:val="nil"/>
              <w:right w:val="nil"/>
            </w:tcBorders>
            <w:shd w:val="clear" w:color="auto" w:fill="auto"/>
          </w:tcPr>
          <w:p w14:paraId="5DCFFA1A" w14:textId="77777777" w:rsidR="00063868" w:rsidRPr="00C0076C" w:rsidRDefault="00302973" w:rsidP="00C0076C">
            <w:pPr>
              <w:jc w:val="both"/>
              <w:rPr>
                <w:rFonts w:ascii="Arial" w:hAnsi="Arial" w:cs="FrankRuehl"/>
                <w:sz w:val="28"/>
                <w:szCs w:val="28"/>
              </w:rPr>
            </w:pPr>
            <w:r w:rsidRPr="00C0076C">
              <w:rPr>
                <w:rFonts w:ascii="Arial" w:hAnsi="Arial" w:cs="FrankRuehl" w:hint="cs"/>
                <w:sz w:val="28"/>
                <w:szCs w:val="28"/>
                <w:rtl/>
              </w:rPr>
              <w:t xml:space="preserve">                                              הנאשם</w:t>
            </w:r>
          </w:p>
        </w:tc>
      </w:tr>
      <w:bookmarkEnd w:id="2"/>
      <w:tr w:rsidR="00063868" w:rsidRPr="00302973" w14:paraId="1E90E896" w14:textId="77777777" w:rsidTr="00C0076C">
        <w:trPr>
          <w:trHeight w:val="355"/>
          <w:jc w:val="center"/>
        </w:trPr>
        <w:tc>
          <w:tcPr>
            <w:tcW w:w="923" w:type="dxa"/>
            <w:tcBorders>
              <w:top w:val="nil"/>
              <w:left w:val="nil"/>
              <w:bottom w:val="nil"/>
              <w:right w:val="nil"/>
            </w:tcBorders>
            <w:shd w:val="clear" w:color="auto" w:fill="auto"/>
          </w:tcPr>
          <w:p w14:paraId="25DA7567" w14:textId="77777777" w:rsidR="00063868" w:rsidRPr="00C0076C" w:rsidRDefault="00063868" w:rsidP="00C0076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D6A970" w14:textId="77777777" w:rsidR="00063868" w:rsidRPr="00302973" w:rsidRDefault="00063868" w:rsidP="00C0076C">
            <w:pPr>
              <w:jc w:val="both"/>
              <w:rPr>
                <w:rtl/>
              </w:rPr>
            </w:pPr>
          </w:p>
        </w:tc>
        <w:tc>
          <w:tcPr>
            <w:tcW w:w="3771" w:type="dxa"/>
            <w:tcBorders>
              <w:top w:val="nil"/>
              <w:left w:val="nil"/>
              <w:bottom w:val="nil"/>
              <w:right w:val="nil"/>
            </w:tcBorders>
            <w:shd w:val="clear" w:color="auto" w:fill="auto"/>
          </w:tcPr>
          <w:p w14:paraId="6E2F104A" w14:textId="77777777" w:rsidR="00063868" w:rsidRPr="00C0076C" w:rsidRDefault="00063868" w:rsidP="00C0076C">
            <w:pPr>
              <w:jc w:val="both"/>
              <w:rPr>
                <w:rFonts w:ascii="Arial" w:hAnsi="Arial" w:cs="FrankRuehl"/>
                <w:sz w:val="28"/>
                <w:szCs w:val="28"/>
                <w:rtl/>
              </w:rPr>
            </w:pPr>
          </w:p>
        </w:tc>
      </w:tr>
    </w:tbl>
    <w:p w14:paraId="38378627" w14:textId="77777777" w:rsidR="00AE1C4F" w:rsidRDefault="00AE1C4F">
      <w:pPr>
        <w:jc w:val="both"/>
        <w:rPr>
          <w:rtl/>
        </w:rPr>
      </w:pPr>
      <w:bookmarkStart w:id="3" w:name="LawTable"/>
      <w:bookmarkEnd w:id="3"/>
    </w:p>
    <w:p w14:paraId="452260D5" w14:textId="77777777" w:rsidR="00AE1C4F" w:rsidRPr="00AE1C4F" w:rsidRDefault="00AE1C4F" w:rsidP="00AE1C4F">
      <w:pPr>
        <w:spacing w:after="120" w:line="240" w:lineRule="exact"/>
        <w:ind w:left="283" w:hanging="283"/>
        <w:jc w:val="both"/>
        <w:rPr>
          <w:rFonts w:ascii="FrankRuehl" w:hAnsi="FrankRuehl" w:cs="FrankRuehl"/>
          <w:rtl/>
        </w:rPr>
      </w:pPr>
    </w:p>
    <w:p w14:paraId="52E99CFA" w14:textId="77777777" w:rsidR="00AE1C4F" w:rsidRPr="00AE1C4F" w:rsidRDefault="00AE1C4F" w:rsidP="00AE1C4F">
      <w:pPr>
        <w:spacing w:after="120" w:line="240" w:lineRule="exact"/>
        <w:ind w:left="283" w:hanging="283"/>
        <w:jc w:val="both"/>
        <w:rPr>
          <w:rFonts w:ascii="FrankRuehl" w:hAnsi="FrankRuehl" w:cs="FrankRuehl"/>
          <w:rtl/>
        </w:rPr>
      </w:pPr>
      <w:r w:rsidRPr="00AE1C4F">
        <w:rPr>
          <w:rFonts w:ascii="FrankRuehl" w:hAnsi="FrankRuehl" w:cs="FrankRuehl"/>
          <w:rtl/>
        </w:rPr>
        <w:t xml:space="preserve">חקיקה שאוזכרה: </w:t>
      </w:r>
    </w:p>
    <w:p w14:paraId="6737F53D" w14:textId="77777777" w:rsidR="00AE1C4F" w:rsidRPr="00AE1C4F" w:rsidRDefault="00AE1C4F" w:rsidP="00AE1C4F">
      <w:pPr>
        <w:spacing w:after="120" w:line="240" w:lineRule="exact"/>
        <w:ind w:left="283" w:hanging="283"/>
        <w:jc w:val="both"/>
        <w:rPr>
          <w:rFonts w:ascii="FrankRuehl" w:hAnsi="FrankRuehl" w:cs="FrankRuehl"/>
          <w:rtl/>
        </w:rPr>
      </w:pPr>
      <w:hyperlink r:id="rId7" w:history="1">
        <w:r w:rsidRPr="00AE1C4F">
          <w:rPr>
            <w:rFonts w:ascii="FrankRuehl" w:hAnsi="FrankRuehl" w:cs="FrankRuehl"/>
            <w:color w:val="0000FF"/>
            <w:u w:val="single"/>
            <w:rtl/>
          </w:rPr>
          <w:t>חוק העונשין, תשל"ז-1977</w:t>
        </w:r>
      </w:hyperlink>
      <w:r w:rsidRPr="00AE1C4F">
        <w:rPr>
          <w:rFonts w:ascii="FrankRuehl" w:hAnsi="FrankRuehl" w:cs="FrankRuehl"/>
          <w:rtl/>
        </w:rPr>
        <w:t xml:space="preserve">: סע'  </w:t>
      </w:r>
      <w:hyperlink r:id="rId8" w:history="1">
        <w:r w:rsidRPr="00AE1C4F">
          <w:rPr>
            <w:rFonts w:ascii="FrankRuehl" w:hAnsi="FrankRuehl" w:cs="FrankRuehl"/>
            <w:color w:val="0000FF"/>
            <w:u w:val="single"/>
            <w:rtl/>
          </w:rPr>
          <w:t>29</w:t>
        </w:r>
      </w:hyperlink>
      <w:r w:rsidRPr="00AE1C4F">
        <w:rPr>
          <w:rFonts w:ascii="FrankRuehl" w:hAnsi="FrankRuehl" w:cs="FrankRuehl"/>
          <w:rtl/>
        </w:rPr>
        <w:t xml:space="preserve">, </w:t>
      </w:r>
      <w:hyperlink r:id="rId9" w:history="1">
        <w:r w:rsidRPr="00AE1C4F">
          <w:rPr>
            <w:rFonts w:ascii="FrankRuehl" w:hAnsi="FrankRuehl" w:cs="FrankRuehl"/>
            <w:color w:val="0000FF"/>
            <w:u w:val="single"/>
            <w:rtl/>
          </w:rPr>
          <w:t>144</w:t>
        </w:r>
      </w:hyperlink>
      <w:r w:rsidRPr="00AE1C4F">
        <w:rPr>
          <w:rFonts w:ascii="FrankRuehl" w:hAnsi="FrankRuehl" w:cs="FrankRuehl"/>
          <w:rtl/>
        </w:rPr>
        <w:t xml:space="preserve">, </w:t>
      </w:r>
      <w:hyperlink r:id="rId10" w:history="1">
        <w:r w:rsidRPr="00AE1C4F">
          <w:rPr>
            <w:rFonts w:ascii="FrankRuehl" w:hAnsi="FrankRuehl" w:cs="FrankRuehl"/>
            <w:color w:val="0000FF"/>
            <w:u w:val="single"/>
            <w:rtl/>
          </w:rPr>
          <w:t>144(ב)</w:t>
        </w:r>
      </w:hyperlink>
    </w:p>
    <w:p w14:paraId="68C81DDE" w14:textId="77777777" w:rsidR="00AE1C4F" w:rsidRPr="00AE1C4F" w:rsidRDefault="00AE1C4F" w:rsidP="00AE1C4F">
      <w:pPr>
        <w:spacing w:after="120" w:line="240" w:lineRule="exact"/>
        <w:ind w:left="283" w:hanging="283"/>
        <w:jc w:val="both"/>
        <w:rPr>
          <w:rFonts w:ascii="FrankRuehl" w:hAnsi="FrankRuehl" w:cs="FrankRuehl"/>
          <w:rtl/>
        </w:rPr>
      </w:pPr>
    </w:p>
    <w:p w14:paraId="602EBF63" w14:textId="77777777" w:rsidR="00AE1C4F" w:rsidRPr="00AE1C4F" w:rsidRDefault="00AE1C4F">
      <w:pPr>
        <w:jc w:val="both"/>
        <w:rPr>
          <w:rtl/>
        </w:rPr>
      </w:pPr>
      <w:bookmarkStart w:id="4" w:name="LawTable_End"/>
      <w:bookmarkEnd w:id="4"/>
    </w:p>
    <w:p w14:paraId="7C712ED3" w14:textId="77777777" w:rsidR="00A22D46" w:rsidRPr="00A22D46" w:rsidRDefault="00A22D46">
      <w:pPr>
        <w:jc w:val="both"/>
        <w:rPr>
          <w:rtl/>
        </w:rPr>
      </w:pPr>
    </w:p>
    <w:p w14:paraId="1D1E4A24" w14:textId="77777777" w:rsidR="00A22D46" w:rsidRPr="00A22D46" w:rsidRDefault="00A22D46">
      <w:pPr>
        <w:jc w:val="both"/>
        <w:rPr>
          <w:rtl/>
        </w:rPr>
      </w:pPr>
    </w:p>
    <w:p w14:paraId="2E0F19BA" w14:textId="77777777" w:rsidR="00063868" w:rsidRPr="00A22D46" w:rsidRDefault="00063868">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3868" w14:paraId="774364B9" w14:textId="77777777" w:rsidTr="00C0076C">
        <w:trPr>
          <w:trHeight w:val="355"/>
          <w:jc w:val="center"/>
        </w:trPr>
        <w:tc>
          <w:tcPr>
            <w:tcW w:w="8820" w:type="dxa"/>
            <w:tcBorders>
              <w:top w:val="nil"/>
              <w:left w:val="nil"/>
              <w:bottom w:val="nil"/>
              <w:right w:val="nil"/>
            </w:tcBorders>
            <w:shd w:val="clear" w:color="auto" w:fill="auto"/>
          </w:tcPr>
          <w:p w14:paraId="145AB576" w14:textId="77777777" w:rsidR="00302973" w:rsidRPr="00C0076C" w:rsidRDefault="00302973" w:rsidP="00C0076C">
            <w:pPr>
              <w:jc w:val="center"/>
              <w:rPr>
                <w:rFonts w:ascii="Arial" w:hAnsi="Arial" w:cs="FrankRuehl"/>
                <w:b/>
                <w:bCs/>
                <w:sz w:val="32"/>
                <w:szCs w:val="32"/>
                <w:u w:val="single"/>
                <w:rtl/>
              </w:rPr>
            </w:pPr>
            <w:bookmarkStart w:id="5" w:name="PsakDin" w:colFirst="0" w:colLast="0"/>
            <w:bookmarkEnd w:id="0"/>
            <w:r w:rsidRPr="00C0076C">
              <w:rPr>
                <w:rFonts w:ascii="Arial" w:hAnsi="Arial" w:cs="FrankRuehl"/>
                <w:b/>
                <w:bCs/>
                <w:sz w:val="32"/>
                <w:szCs w:val="32"/>
                <w:u w:val="single"/>
                <w:rtl/>
              </w:rPr>
              <w:t>גזר דין</w:t>
            </w:r>
          </w:p>
          <w:p w14:paraId="76F02EE1" w14:textId="77777777" w:rsidR="00063868" w:rsidRPr="00C0076C" w:rsidRDefault="00063868" w:rsidP="00C0076C">
            <w:pPr>
              <w:jc w:val="center"/>
              <w:rPr>
                <w:rFonts w:ascii="Arial" w:hAnsi="Arial" w:cs="FrankRuehl"/>
                <w:bCs/>
                <w:sz w:val="32"/>
                <w:szCs w:val="32"/>
                <w:u w:val="single"/>
                <w:rtl/>
              </w:rPr>
            </w:pPr>
          </w:p>
        </w:tc>
      </w:tr>
      <w:bookmarkEnd w:id="5"/>
    </w:tbl>
    <w:p w14:paraId="6F7BF821" w14:textId="77777777" w:rsidR="00063868" w:rsidRDefault="00063868">
      <w:pPr>
        <w:jc w:val="both"/>
        <w:rPr>
          <w:rFonts w:ascii="Arial" w:hAnsi="Arial" w:cs="FrankRuehl"/>
          <w:sz w:val="28"/>
          <w:szCs w:val="28"/>
          <w:rtl/>
        </w:rPr>
      </w:pPr>
    </w:p>
    <w:p w14:paraId="01EAEBA0" w14:textId="77777777" w:rsidR="00063868" w:rsidRDefault="00063868">
      <w:pPr>
        <w:jc w:val="both"/>
        <w:rPr>
          <w:rFonts w:cs="FrankRuehl"/>
          <w:sz w:val="28"/>
          <w:szCs w:val="28"/>
          <w:rtl/>
        </w:rPr>
      </w:pPr>
    </w:p>
    <w:p w14:paraId="2C5E0050" w14:textId="77777777" w:rsidR="00063868" w:rsidRDefault="00302973">
      <w:pPr>
        <w:spacing w:line="360" w:lineRule="auto"/>
        <w:jc w:val="both"/>
        <w:rPr>
          <w:sz w:val="28"/>
          <w:szCs w:val="28"/>
        </w:rPr>
      </w:pPr>
      <w:bookmarkStart w:id="6" w:name="ABSTRACT_START"/>
      <w:bookmarkEnd w:id="6"/>
      <w:r>
        <w:rPr>
          <w:rFonts w:hint="cs"/>
          <w:sz w:val="28"/>
          <w:szCs w:val="28"/>
          <w:rtl/>
        </w:rPr>
        <w:t xml:space="preserve">ביום 1.9.09 הורשע הנאשם על פי הודייתו, במסגרת הסדר טיעון, אשר בא בעקבות הליך גישור שהתקיים בפני, בעבירה של נשיאת והובלת נשק לפי </w:t>
      </w:r>
      <w:hyperlink r:id="rId11" w:history="1">
        <w:r w:rsidR="00AE1C4F" w:rsidRPr="00AE1C4F">
          <w:rPr>
            <w:color w:val="0000FF"/>
            <w:sz w:val="28"/>
            <w:szCs w:val="28"/>
            <w:u w:val="single"/>
            <w:rtl/>
          </w:rPr>
          <w:t>סעיפים 144(ב)</w:t>
        </w:r>
      </w:hyperlink>
      <w:r>
        <w:rPr>
          <w:rFonts w:hint="cs"/>
          <w:sz w:val="28"/>
          <w:szCs w:val="28"/>
          <w:rtl/>
        </w:rPr>
        <w:t xml:space="preserve"> רישא+</w:t>
      </w:r>
      <w:hyperlink r:id="rId12" w:history="1">
        <w:r w:rsidR="00AE1C4F" w:rsidRPr="00AE1C4F">
          <w:rPr>
            <w:color w:val="0000FF"/>
            <w:sz w:val="28"/>
            <w:szCs w:val="28"/>
            <w:u w:val="single"/>
            <w:rtl/>
          </w:rPr>
          <w:t>29</w:t>
        </w:r>
      </w:hyperlink>
      <w:r>
        <w:rPr>
          <w:rFonts w:hint="cs"/>
          <w:sz w:val="28"/>
          <w:szCs w:val="28"/>
          <w:rtl/>
        </w:rPr>
        <w:t xml:space="preserve"> ל</w:t>
      </w:r>
      <w:hyperlink r:id="rId13" w:history="1">
        <w:r w:rsidR="00A22D46" w:rsidRPr="00A22D46">
          <w:rPr>
            <w:rStyle w:val="Hyperlink"/>
            <w:sz w:val="28"/>
            <w:szCs w:val="28"/>
            <w:rtl/>
          </w:rPr>
          <w:t>חוק העונשין</w:t>
        </w:r>
      </w:hyperlink>
      <w:r>
        <w:rPr>
          <w:rFonts w:hint="cs"/>
          <w:sz w:val="28"/>
          <w:szCs w:val="28"/>
          <w:rtl/>
        </w:rPr>
        <w:t>, התשל"ז – 1977 (להלן: "חוק העונשין"), אשר יוחסה לו בכתב אישום מתוקן (ת/1 – להלן: "כתב האישום").</w:t>
      </w:r>
    </w:p>
    <w:p w14:paraId="2D3ED6D5" w14:textId="77777777" w:rsidR="00063868" w:rsidRDefault="00063868">
      <w:pPr>
        <w:spacing w:line="360" w:lineRule="auto"/>
        <w:jc w:val="both"/>
        <w:rPr>
          <w:sz w:val="28"/>
          <w:szCs w:val="28"/>
          <w:rtl/>
        </w:rPr>
      </w:pPr>
      <w:bookmarkStart w:id="7" w:name="ABSTRACT_END"/>
      <w:bookmarkEnd w:id="7"/>
    </w:p>
    <w:p w14:paraId="5EC464B8" w14:textId="77777777" w:rsidR="00063868" w:rsidRDefault="00302973">
      <w:pPr>
        <w:spacing w:line="360" w:lineRule="auto"/>
        <w:jc w:val="both"/>
        <w:rPr>
          <w:sz w:val="28"/>
          <w:szCs w:val="28"/>
          <w:rtl/>
        </w:rPr>
      </w:pPr>
      <w:r>
        <w:rPr>
          <w:rFonts w:hint="cs"/>
          <w:sz w:val="28"/>
          <w:szCs w:val="28"/>
          <w:rtl/>
        </w:rPr>
        <w:t>על פי הסדר הטיעון כל צד רשאי לטעון כראות עיניו לעניין העונש.</w:t>
      </w:r>
    </w:p>
    <w:p w14:paraId="2F58E1A7" w14:textId="77777777" w:rsidR="00063868" w:rsidRDefault="00063868">
      <w:pPr>
        <w:spacing w:line="360" w:lineRule="auto"/>
        <w:jc w:val="both"/>
        <w:rPr>
          <w:sz w:val="28"/>
          <w:szCs w:val="28"/>
          <w:rtl/>
        </w:rPr>
      </w:pPr>
    </w:p>
    <w:p w14:paraId="7FD59257" w14:textId="77777777" w:rsidR="00063868" w:rsidRDefault="00302973">
      <w:pPr>
        <w:spacing w:line="360" w:lineRule="auto"/>
        <w:jc w:val="both"/>
        <w:rPr>
          <w:b/>
          <w:bCs/>
          <w:sz w:val="28"/>
          <w:szCs w:val="28"/>
          <w:rtl/>
        </w:rPr>
      </w:pPr>
      <w:r>
        <w:rPr>
          <w:rFonts w:hint="cs"/>
          <w:b/>
          <w:bCs/>
          <w:sz w:val="28"/>
          <w:szCs w:val="28"/>
          <w:rtl/>
        </w:rPr>
        <w:t>כתב האישום</w:t>
      </w:r>
    </w:p>
    <w:p w14:paraId="3F5C092B" w14:textId="77777777" w:rsidR="00063868" w:rsidRDefault="00302973">
      <w:pPr>
        <w:spacing w:line="360" w:lineRule="auto"/>
        <w:jc w:val="both"/>
        <w:rPr>
          <w:sz w:val="28"/>
          <w:szCs w:val="28"/>
          <w:rtl/>
        </w:rPr>
      </w:pPr>
      <w:r>
        <w:rPr>
          <w:rFonts w:hint="cs"/>
          <w:sz w:val="28"/>
          <w:szCs w:val="28"/>
          <w:rtl/>
        </w:rPr>
        <w:t xml:space="preserve">ביום 19.5.09, בשעה 23:30 לערך, נסע הנאשם באום אל פחם יחד עם בן משפחתו, אחמד מחאג'נה (להלן: "האחר") ברכב טויוטה שבבעלות האחר (להלן: "הרכב"), כאשר בתא המטען של הרכב החזיקו הנאשם והאחר רובה תת מקלע מסוג "קרלו", שמסוגל לירות כדור (להלן:"הרובה") ומחסנית המכילה 10 כדורי </w:t>
      </w:r>
      <w:smartTag w:uri="urn:schemas-microsoft-com:office:smarttags" w:element="metricconverter">
        <w:smartTagPr>
          <w:attr w:name="ProductID" w:val="9 מ&quot;מ"/>
        </w:smartTagPr>
        <w:r>
          <w:rPr>
            <w:rFonts w:hint="cs"/>
            <w:sz w:val="28"/>
            <w:szCs w:val="28"/>
            <w:rtl/>
          </w:rPr>
          <w:t>9 מ"מ</w:t>
        </w:r>
      </w:smartTag>
      <w:r>
        <w:rPr>
          <w:rFonts w:hint="cs"/>
          <w:sz w:val="28"/>
          <w:szCs w:val="28"/>
          <w:rtl/>
        </w:rPr>
        <w:t xml:space="preserve"> אשר היתה במצב הכנס. </w:t>
      </w:r>
    </w:p>
    <w:p w14:paraId="48D8904F" w14:textId="77777777" w:rsidR="00063868" w:rsidRDefault="00302973">
      <w:pPr>
        <w:spacing w:line="360" w:lineRule="auto"/>
        <w:jc w:val="both"/>
        <w:rPr>
          <w:sz w:val="28"/>
          <w:szCs w:val="28"/>
          <w:rtl/>
        </w:rPr>
      </w:pPr>
      <w:r>
        <w:rPr>
          <w:rFonts w:hint="cs"/>
          <w:sz w:val="28"/>
          <w:szCs w:val="28"/>
          <w:rtl/>
        </w:rPr>
        <w:t xml:space="preserve">במהלך הנסיעה הגיעו הנאשם והאחר סמוך למחסום משטרתי והשוטרים הורו להם לעצור אך האחר שנהג ברכב, עצר בפתאומיות והחל לנסוע לאחור בניסיון להימלט מהשוטרים. </w:t>
      </w:r>
    </w:p>
    <w:p w14:paraId="372510CC" w14:textId="77777777" w:rsidR="00063868" w:rsidRDefault="00302973">
      <w:pPr>
        <w:spacing w:line="360" w:lineRule="auto"/>
        <w:jc w:val="both"/>
        <w:rPr>
          <w:sz w:val="28"/>
          <w:szCs w:val="28"/>
          <w:rtl/>
        </w:rPr>
      </w:pPr>
      <w:r>
        <w:rPr>
          <w:rFonts w:hint="cs"/>
          <w:sz w:val="28"/>
          <w:szCs w:val="28"/>
          <w:rtl/>
        </w:rPr>
        <w:t xml:space="preserve">השוטרים שהיו במקום דלקו אחר הרכב ובהגיעם אליו, פתחו את דלת הנהג ודוממו את הרכב. </w:t>
      </w:r>
    </w:p>
    <w:p w14:paraId="240243BE" w14:textId="77777777" w:rsidR="00063868" w:rsidRDefault="00302973">
      <w:pPr>
        <w:spacing w:line="360" w:lineRule="auto"/>
        <w:jc w:val="both"/>
        <w:rPr>
          <w:sz w:val="28"/>
          <w:szCs w:val="28"/>
          <w:rtl/>
        </w:rPr>
      </w:pPr>
      <w:r>
        <w:rPr>
          <w:rFonts w:hint="cs"/>
          <w:sz w:val="28"/>
          <w:szCs w:val="28"/>
          <w:rtl/>
        </w:rPr>
        <w:t>בחיפוש שנערך ברכב נתפסו הרובה והמחסנית.</w:t>
      </w:r>
    </w:p>
    <w:p w14:paraId="05ED9D81" w14:textId="77777777" w:rsidR="00063868" w:rsidRDefault="00302973">
      <w:pPr>
        <w:spacing w:line="360" w:lineRule="auto"/>
        <w:jc w:val="both"/>
        <w:rPr>
          <w:sz w:val="28"/>
          <w:szCs w:val="28"/>
          <w:rtl/>
        </w:rPr>
      </w:pPr>
      <w:r>
        <w:rPr>
          <w:rFonts w:hint="cs"/>
          <w:sz w:val="28"/>
          <w:szCs w:val="28"/>
          <w:rtl/>
        </w:rPr>
        <w:t>בעשותו  את המתואר לעיל, נשא והוביל הנאשם בצוותא עם האחר, נשק המסוגל לירות כדור ותחמושת שבכוחם להמית אדם, בלא רשות על פי דין להחזקתם, הובלתם ונשיאתם.</w:t>
      </w:r>
    </w:p>
    <w:p w14:paraId="07C00A4D" w14:textId="77777777" w:rsidR="00063868" w:rsidRDefault="00063868">
      <w:pPr>
        <w:spacing w:line="360" w:lineRule="auto"/>
        <w:jc w:val="both"/>
        <w:rPr>
          <w:sz w:val="28"/>
          <w:szCs w:val="28"/>
          <w:rtl/>
        </w:rPr>
      </w:pPr>
    </w:p>
    <w:p w14:paraId="6D57D46E" w14:textId="77777777" w:rsidR="00063868" w:rsidRDefault="00302973">
      <w:pPr>
        <w:spacing w:line="360" w:lineRule="auto"/>
        <w:jc w:val="both"/>
        <w:rPr>
          <w:b/>
          <w:bCs/>
          <w:sz w:val="28"/>
          <w:szCs w:val="28"/>
          <w:rtl/>
        </w:rPr>
      </w:pPr>
      <w:r>
        <w:rPr>
          <w:rFonts w:hint="cs"/>
          <w:b/>
          <w:bCs/>
          <w:sz w:val="28"/>
          <w:szCs w:val="28"/>
          <w:rtl/>
        </w:rPr>
        <w:t>תסקיר שירות המבחן</w:t>
      </w:r>
    </w:p>
    <w:p w14:paraId="5D7D8375" w14:textId="77777777" w:rsidR="00063868" w:rsidRDefault="00302973">
      <w:pPr>
        <w:spacing w:line="360" w:lineRule="auto"/>
        <w:jc w:val="both"/>
        <w:rPr>
          <w:sz w:val="28"/>
          <w:szCs w:val="28"/>
          <w:rtl/>
        </w:rPr>
      </w:pPr>
      <w:r>
        <w:rPr>
          <w:rFonts w:hint="cs"/>
          <w:sz w:val="28"/>
          <w:szCs w:val="28"/>
          <w:rtl/>
        </w:rPr>
        <w:t>בטרם הטיעונים לעונש, נעתרתי לבקשת ב"כ הנאשם והוריתי להגיש תסקיר קצין מבחן בעניינו.</w:t>
      </w:r>
    </w:p>
    <w:p w14:paraId="33291751" w14:textId="77777777" w:rsidR="00063868" w:rsidRDefault="00302973">
      <w:pPr>
        <w:spacing w:line="360" w:lineRule="auto"/>
        <w:jc w:val="both"/>
        <w:rPr>
          <w:sz w:val="28"/>
          <w:szCs w:val="28"/>
          <w:rtl/>
        </w:rPr>
      </w:pPr>
      <w:r>
        <w:rPr>
          <w:rFonts w:hint="cs"/>
          <w:sz w:val="28"/>
          <w:szCs w:val="28"/>
          <w:rtl/>
        </w:rPr>
        <w:t xml:space="preserve">כעולה מהתסקיר, הנאשם בן 38 שנים, נשוי ואב לארבעה ילדים בגילאי 3-10 שנים. בתו השלישית, סובלת מכוויות קשות בגבה ובזרועה ונמצאת מזה 3 שנים בטיפולים רפואיים. כן פורטו נסיבותיו האישיות והמשפחתיות של הנאשם. </w:t>
      </w:r>
    </w:p>
    <w:p w14:paraId="4A7042E9" w14:textId="77777777" w:rsidR="00063868" w:rsidRDefault="00302973">
      <w:pPr>
        <w:spacing w:line="360" w:lineRule="auto"/>
        <w:jc w:val="both"/>
        <w:rPr>
          <w:sz w:val="28"/>
          <w:szCs w:val="28"/>
          <w:rtl/>
        </w:rPr>
      </w:pPr>
      <w:r>
        <w:rPr>
          <w:rFonts w:hint="cs"/>
          <w:sz w:val="28"/>
          <w:szCs w:val="28"/>
          <w:rtl/>
        </w:rPr>
        <w:t xml:space="preserve">באשר לעבירה נשוא תיק זה, נמנע הנאשם בפני קצין המבחן לשאת באחריות למיוחס לו וטען כי אין לו כל קשר לנשק שנתפס ברכב וכי הנשק שייך לאחר והוא לא ידע על קיומו ברכב. </w:t>
      </w:r>
    </w:p>
    <w:p w14:paraId="4FC3BF3B" w14:textId="77777777" w:rsidR="00063868" w:rsidRDefault="00302973">
      <w:pPr>
        <w:spacing w:line="360" w:lineRule="auto"/>
        <w:jc w:val="both"/>
        <w:rPr>
          <w:sz w:val="28"/>
          <w:szCs w:val="28"/>
          <w:rtl/>
        </w:rPr>
      </w:pPr>
      <w:r>
        <w:rPr>
          <w:rFonts w:hint="cs"/>
          <w:sz w:val="28"/>
          <w:szCs w:val="28"/>
          <w:rtl/>
        </w:rPr>
        <w:t xml:space="preserve">שירות המבחן ציין כי מהתרשמותו מהנאשם ומהיכרות קודמת עימו בשירותם, משנת 2006, לנאשם קווים אנטי סוציאליים ואמביוולנטיים, והוא מתקשה להציב לעצמו גבולות, לדחות סיפוקים וליטול אחריות. כן התרשמו מנטייתו להעצים את קשייו, מחוסר מחוברות מצידו למצבו הבעייתי ולמשמעות טיפול ועריכת שינוי חיצוני </w:t>
      </w:r>
      <w:r>
        <w:rPr>
          <w:rFonts w:hint="cs"/>
          <w:sz w:val="28"/>
          <w:szCs w:val="28"/>
          <w:rtl/>
        </w:rPr>
        <w:lastRenderedPageBreak/>
        <w:t>ופנימי. שירות המבחן סבור כי העבירה נשוא תיק זה מבטאת דפוס התנהגות חוזר, תוך היעדר מודעות לחומרה ולמשמעות התנהגותו.</w:t>
      </w:r>
    </w:p>
    <w:p w14:paraId="238C2B6D" w14:textId="77777777" w:rsidR="00063868" w:rsidRDefault="00302973">
      <w:pPr>
        <w:spacing w:line="360" w:lineRule="auto"/>
        <w:jc w:val="both"/>
        <w:rPr>
          <w:sz w:val="28"/>
          <w:szCs w:val="28"/>
          <w:rtl/>
        </w:rPr>
      </w:pPr>
      <w:r>
        <w:rPr>
          <w:rFonts w:hint="cs"/>
          <w:sz w:val="28"/>
          <w:szCs w:val="28"/>
          <w:rtl/>
        </w:rPr>
        <w:t xml:space="preserve">לאור האמור, ונוכח העובדה כי הנאשם אינו נוטל אחריות לעבירה וכן, כי מדובר בהתנהגות עבריינית חוזרת ללא רצון או יכולת לשינוי כוללני, אין הם באים בכל המלצה בעניינו. </w:t>
      </w:r>
    </w:p>
    <w:p w14:paraId="536ACB24" w14:textId="77777777" w:rsidR="00063868" w:rsidRDefault="00063868">
      <w:pPr>
        <w:spacing w:line="360" w:lineRule="auto"/>
        <w:jc w:val="both"/>
        <w:rPr>
          <w:sz w:val="28"/>
          <w:szCs w:val="28"/>
          <w:rtl/>
        </w:rPr>
      </w:pPr>
    </w:p>
    <w:p w14:paraId="42FFF60D" w14:textId="77777777" w:rsidR="00063868" w:rsidRDefault="00302973">
      <w:pPr>
        <w:spacing w:line="360" w:lineRule="auto"/>
        <w:jc w:val="both"/>
        <w:rPr>
          <w:sz w:val="28"/>
          <w:szCs w:val="28"/>
          <w:rtl/>
        </w:rPr>
      </w:pPr>
      <w:r>
        <w:rPr>
          <w:rFonts w:hint="cs"/>
          <w:sz w:val="28"/>
          <w:szCs w:val="28"/>
          <w:rtl/>
        </w:rPr>
        <w:t xml:space="preserve">בשל העובדה כי בפני קצין המבחן חזר בו הנאשם מהודאתו, משפניתי אליו, טען בפני, כי מדובר באי הבנה עם קצין המבחן, סניגורו החרה החזיק אחריו, ושניהם חזרו והודו בעובדות כתב האישום (עמ' 14 לפרוט'). </w:t>
      </w:r>
    </w:p>
    <w:p w14:paraId="708F1F9F" w14:textId="77777777" w:rsidR="00063868" w:rsidRDefault="00063868">
      <w:pPr>
        <w:spacing w:line="360" w:lineRule="auto"/>
        <w:jc w:val="both"/>
        <w:rPr>
          <w:sz w:val="28"/>
          <w:szCs w:val="28"/>
          <w:rtl/>
        </w:rPr>
      </w:pPr>
    </w:p>
    <w:p w14:paraId="3DBCFADE" w14:textId="77777777" w:rsidR="00063868" w:rsidRDefault="00302973">
      <w:pPr>
        <w:spacing w:line="360" w:lineRule="auto"/>
        <w:jc w:val="both"/>
        <w:rPr>
          <w:b/>
          <w:bCs/>
          <w:sz w:val="28"/>
          <w:szCs w:val="28"/>
          <w:rtl/>
        </w:rPr>
      </w:pPr>
      <w:r>
        <w:rPr>
          <w:rFonts w:hint="cs"/>
          <w:b/>
          <w:bCs/>
          <w:sz w:val="28"/>
          <w:szCs w:val="28"/>
          <w:rtl/>
        </w:rPr>
        <w:t>ראיות המאשימה לעונש</w:t>
      </w:r>
    </w:p>
    <w:p w14:paraId="15F0E3E7" w14:textId="77777777" w:rsidR="00063868" w:rsidRDefault="00302973">
      <w:pPr>
        <w:spacing w:line="360" w:lineRule="auto"/>
        <w:jc w:val="both"/>
        <w:rPr>
          <w:sz w:val="28"/>
          <w:szCs w:val="28"/>
          <w:rtl/>
        </w:rPr>
      </w:pPr>
      <w:r>
        <w:rPr>
          <w:rFonts w:hint="cs"/>
          <w:sz w:val="28"/>
          <w:szCs w:val="28"/>
          <w:rtl/>
        </w:rPr>
        <w:t xml:space="preserve">במסגרת הראיות לעונש הוגשו גיליון הרישום הפלילי של הנאשם (ת/3) וכן תמונת הנשק שנתפס (ת/4). </w:t>
      </w:r>
    </w:p>
    <w:p w14:paraId="5563D2CF" w14:textId="77777777" w:rsidR="00063868" w:rsidRDefault="00063868">
      <w:pPr>
        <w:spacing w:line="360" w:lineRule="auto"/>
        <w:jc w:val="both"/>
        <w:rPr>
          <w:sz w:val="28"/>
          <w:szCs w:val="28"/>
          <w:rtl/>
        </w:rPr>
      </w:pPr>
    </w:p>
    <w:p w14:paraId="719B2A62" w14:textId="77777777" w:rsidR="00063868" w:rsidRDefault="00302973">
      <w:pPr>
        <w:spacing w:line="360" w:lineRule="auto"/>
        <w:jc w:val="both"/>
        <w:rPr>
          <w:b/>
          <w:bCs/>
          <w:sz w:val="28"/>
          <w:szCs w:val="28"/>
          <w:rtl/>
        </w:rPr>
      </w:pPr>
      <w:r>
        <w:rPr>
          <w:rFonts w:hint="cs"/>
          <w:b/>
          <w:bCs/>
          <w:sz w:val="28"/>
          <w:szCs w:val="28"/>
          <w:rtl/>
        </w:rPr>
        <w:t>ראיות הנאשם לעונש</w:t>
      </w:r>
    </w:p>
    <w:p w14:paraId="68B5F3FA" w14:textId="77777777" w:rsidR="00063868" w:rsidRDefault="00302973">
      <w:pPr>
        <w:spacing w:line="360" w:lineRule="auto"/>
        <w:jc w:val="both"/>
        <w:rPr>
          <w:sz w:val="28"/>
          <w:szCs w:val="28"/>
          <w:rtl/>
        </w:rPr>
      </w:pPr>
      <w:r>
        <w:rPr>
          <w:rFonts w:hint="cs"/>
          <w:b/>
          <w:bCs/>
          <w:sz w:val="28"/>
          <w:szCs w:val="28"/>
          <w:rtl/>
        </w:rPr>
        <w:t>גב' רודאינה מחאג'נה</w:t>
      </w:r>
    </w:p>
    <w:p w14:paraId="275D99C2" w14:textId="77777777" w:rsidR="00063868" w:rsidRDefault="00302973">
      <w:pPr>
        <w:spacing w:line="360" w:lineRule="auto"/>
        <w:jc w:val="both"/>
        <w:rPr>
          <w:sz w:val="28"/>
          <w:szCs w:val="28"/>
          <w:rtl/>
        </w:rPr>
      </w:pPr>
      <w:r>
        <w:rPr>
          <w:rFonts w:hint="cs"/>
          <w:sz w:val="28"/>
          <w:szCs w:val="28"/>
          <w:rtl/>
        </w:rPr>
        <w:t>העדה הינה אשתו של הנאשם. העדה סיפרה כי בהיעדרו של הנאשם המצב בבית קשה היא מגדלת 4 ילדים, אינה עובדת ומצוייה בחובות. בתה סובלת מכוויות וצריכה לעבור ניתוחים פלסטיים ועל כן זקוקה לאביה לצורך טיפול בה ונסיעות לבית החולים. לדבריה, מערכת היחסים בינה לבין בעלה טובה ומאז שחרורו מהמאסר לפני מספר שנים, הוא שינה את דפוס התנהגותו.</w:t>
      </w:r>
    </w:p>
    <w:p w14:paraId="4CE07C72" w14:textId="77777777" w:rsidR="00063868" w:rsidRDefault="00063868">
      <w:pPr>
        <w:spacing w:line="360" w:lineRule="auto"/>
        <w:jc w:val="both"/>
        <w:rPr>
          <w:sz w:val="28"/>
          <w:szCs w:val="28"/>
          <w:rtl/>
        </w:rPr>
      </w:pPr>
    </w:p>
    <w:p w14:paraId="5B12FA81" w14:textId="77777777" w:rsidR="00063868" w:rsidRDefault="00063868">
      <w:pPr>
        <w:spacing w:line="360" w:lineRule="auto"/>
        <w:jc w:val="both"/>
        <w:rPr>
          <w:sz w:val="28"/>
          <w:szCs w:val="28"/>
          <w:rtl/>
        </w:rPr>
      </w:pPr>
    </w:p>
    <w:p w14:paraId="0220FF95" w14:textId="77777777" w:rsidR="00063868" w:rsidRDefault="00302973">
      <w:pPr>
        <w:spacing w:line="360" w:lineRule="auto"/>
        <w:jc w:val="both"/>
        <w:rPr>
          <w:b/>
          <w:bCs/>
          <w:sz w:val="28"/>
          <w:szCs w:val="28"/>
          <w:rtl/>
        </w:rPr>
      </w:pPr>
      <w:r>
        <w:rPr>
          <w:rFonts w:hint="cs"/>
          <w:b/>
          <w:bCs/>
          <w:sz w:val="28"/>
          <w:szCs w:val="28"/>
          <w:rtl/>
        </w:rPr>
        <w:t>גב' תמאם מחאג'נה</w:t>
      </w:r>
    </w:p>
    <w:p w14:paraId="46F9AD01" w14:textId="77777777" w:rsidR="00063868" w:rsidRDefault="00302973">
      <w:pPr>
        <w:spacing w:line="360" w:lineRule="auto"/>
        <w:jc w:val="both"/>
        <w:rPr>
          <w:sz w:val="28"/>
          <w:szCs w:val="28"/>
          <w:rtl/>
        </w:rPr>
      </w:pPr>
      <w:r>
        <w:rPr>
          <w:rFonts w:hint="cs"/>
          <w:sz w:val="28"/>
          <w:szCs w:val="28"/>
          <w:rtl/>
        </w:rPr>
        <w:t>העדה הינה אחות הנאשם וביקשה לשחרר את אחיה לביתו ולילדיו. לדבריה, בתו הקטנה, השרופה בגבה, זקוקה לטיפול ואישתו אינה יכולה לעשות כן, לבדה. עוד מסרה כי מאז שהנאשם השתחרר מן הכלא הוא "לא עשה בעיות".</w:t>
      </w:r>
    </w:p>
    <w:p w14:paraId="736EC9D7" w14:textId="77777777" w:rsidR="00063868" w:rsidRDefault="00063868">
      <w:pPr>
        <w:spacing w:line="360" w:lineRule="auto"/>
        <w:jc w:val="both"/>
        <w:rPr>
          <w:sz w:val="28"/>
          <w:szCs w:val="28"/>
          <w:rtl/>
        </w:rPr>
      </w:pPr>
    </w:p>
    <w:p w14:paraId="7C424313" w14:textId="77777777" w:rsidR="00063868" w:rsidRDefault="00302973">
      <w:pPr>
        <w:spacing w:line="360" w:lineRule="auto"/>
        <w:jc w:val="both"/>
        <w:rPr>
          <w:b/>
          <w:bCs/>
          <w:sz w:val="28"/>
          <w:szCs w:val="28"/>
          <w:rtl/>
        </w:rPr>
      </w:pPr>
      <w:r>
        <w:rPr>
          <w:rFonts w:hint="cs"/>
          <w:b/>
          <w:bCs/>
          <w:sz w:val="28"/>
          <w:szCs w:val="28"/>
          <w:rtl/>
        </w:rPr>
        <w:t>טיעוני ב"כ המאשימה לעונש</w:t>
      </w:r>
    </w:p>
    <w:p w14:paraId="1514276A" w14:textId="77777777" w:rsidR="00063868" w:rsidRDefault="00302973">
      <w:pPr>
        <w:spacing w:line="360" w:lineRule="auto"/>
        <w:jc w:val="both"/>
        <w:rPr>
          <w:sz w:val="28"/>
          <w:szCs w:val="28"/>
          <w:rtl/>
        </w:rPr>
      </w:pPr>
      <w:r>
        <w:rPr>
          <w:rFonts w:hint="cs"/>
          <w:sz w:val="28"/>
          <w:szCs w:val="28"/>
          <w:rtl/>
        </w:rPr>
        <w:t>ב"כ המאשימה הפנה בראשית טיעוניו לגיליון ההרשעות הקודמות של הנאשם המעיד לדבריו, על נאשם שהינו עבריין מועד ומסוכן שהורשע בעבירות שוד מזוין, החזקת נשק שלא כדין, יריות פציעה ותגרות, בגינן אף ריצה שני עונשי מאסר.</w:t>
      </w:r>
    </w:p>
    <w:p w14:paraId="4138DC8F" w14:textId="77777777" w:rsidR="00063868" w:rsidRDefault="00302973">
      <w:pPr>
        <w:spacing w:line="360" w:lineRule="auto"/>
        <w:jc w:val="both"/>
        <w:rPr>
          <w:sz w:val="28"/>
          <w:szCs w:val="28"/>
          <w:rtl/>
        </w:rPr>
      </w:pPr>
      <w:r>
        <w:rPr>
          <w:rFonts w:hint="cs"/>
          <w:sz w:val="28"/>
          <w:szCs w:val="28"/>
          <w:rtl/>
        </w:rPr>
        <w:t xml:space="preserve">לדעת ב"כ המאשימה  סוג הנשק אותו נשא הנאשם מחייב התייחסות חמורה וענישה מרתיעה והולמת שכן, לא מדובר באקדח אלא בתת מקלע עם מחסנית ובנוסף, זו אינה הפעם הראשונה בה הנאשם מחזיק נשק ומסתבך עם החוק.  </w:t>
      </w:r>
    </w:p>
    <w:p w14:paraId="3D7225A1" w14:textId="77777777" w:rsidR="00063868" w:rsidRDefault="00302973">
      <w:pPr>
        <w:spacing w:line="360" w:lineRule="auto"/>
        <w:jc w:val="both"/>
        <w:rPr>
          <w:sz w:val="28"/>
          <w:szCs w:val="28"/>
          <w:rtl/>
        </w:rPr>
      </w:pPr>
      <w:r>
        <w:rPr>
          <w:rFonts w:hint="cs"/>
          <w:sz w:val="28"/>
          <w:szCs w:val="28"/>
          <w:rtl/>
        </w:rPr>
        <w:t xml:space="preserve">באשר לנסיבות העבירה סבור ב"כ המאשימה כי נסיעה עם נשק ותחמושת ברכב, בעיר, בשעת לילה מאוחרת, מצביעה על מסוכנות, והשילוב בין עבר פלילי לנשק התקפי קטלני עלול לגרום נזק רב והינו חמור מאוד. </w:t>
      </w:r>
    </w:p>
    <w:p w14:paraId="5F1A567F" w14:textId="77777777" w:rsidR="00063868" w:rsidRDefault="00302973">
      <w:pPr>
        <w:spacing w:line="360" w:lineRule="auto"/>
        <w:jc w:val="both"/>
        <w:rPr>
          <w:sz w:val="28"/>
          <w:szCs w:val="28"/>
          <w:rtl/>
        </w:rPr>
      </w:pPr>
      <w:r>
        <w:rPr>
          <w:rFonts w:hint="cs"/>
          <w:sz w:val="28"/>
          <w:szCs w:val="28"/>
          <w:rtl/>
        </w:rPr>
        <w:t xml:space="preserve">לדבריו, עבירות אלה טומנות בחובן סכנה רבה לציבור,  הואיל ונשק זה עלול להתגלגל לידיים עויינות או חבלניות ולפיכך, על בית המשפט להילחם מלחמת חורמה בעבירות אלה באמצעות השתת עונשי מאסר חמורים. </w:t>
      </w:r>
    </w:p>
    <w:p w14:paraId="10752B25" w14:textId="77777777" w:rsidR="00063868" w:rsidRDefault="00302973">
      <w:pPr>
        <w:spacing w:line="360" w:lineRule="auto"/>
        <w:jc w:val="both"/>
        <w:rPr>
          <w:sz w:val="28"/>
          <w:szCs w:val="28"/>
          <w:rtl/>
        </w:rPr>
      </w:pPr>
      <w:r>
        <w:rPr>
          <w:rFonts w:hint="cs"/>
          <w:sz w:val="28"/>
          <w:szCs w:val="28"/>
          <w:rtl/>
        </w:rPr>
        <w:t xml:space="preserve">עוד הדגיש ב"כ המאשימה את תסקיר שירות המבחן השלילי המחזק את דבריו הנ"ל בקשר לאופיו של הנאשם. לטעמו, אמירותיו של קצין המבחן בתסקיר מהוות תמרור אזהרה לגבי מעשיו העתידיים של הנאשם. </w:t>
      </w:r>
    </w:p>
    <w:p w14:paraId="7A04D838" w14:textId="77777777" w:rsidR="00063868" w:rsidRDefault="00302973">
      <w:pPr>
        <w:spacing w:line="360" w:lineRule="auto"/>
        <w:jc w:val="both"/>
        <w:rPr>
          <w:sz w:val="28"/>
          <w:szCs w:val="28"/>
          <w:rtl/>
        </w:rPr>
      </w:pPr>
      <w:r>
        <w:rPr>
          <w:rFonts w:hint="cs"/>
          <w:sz w:val="28"/>
          <w:szCs w:val="28"/>
          <w:rtl/>
        </w:rPr>
        <w:t xml:space="preserve">לטענת ב"כ המאשימה, ועל אף שחס הוא על האישה והילדים, הצטברות חומרת העבירה, נסיבותיה, עברו הפלילי של הנאשם והתסקיר השלילי מחייבים שליחתו של הנאשם, למאסר בפועל לשנים ארוכות תוך שהפנה לפסיקה ענפה בנושא זה. </w:t>
      </w:r>
    </w:p>
    <w:p w14:paraId="26E7DBE0" w14:textId="77777777" w:rsidR="00063868" w:rsidRDefault="00063868">
      <w:pPr>
        <w:spacing w:line="360" w:lineRule="auto"/>
        <w:jc w:val="both"/>
        <w:rPr>
          <w:sz w:val="28"/>
          <w:szCs w:val="28"/>
          <w:rtl/>
        </w:rPr>
      </w:pPr>
    </w:p>
    <w:p w14:paraId="27EAD9D9" w14:textId="77777777" w:rsidR="00063868" w:rsidRDefault="00302973">
      <w:pPr>
        <w:spacing w:line="360" w:lineRule="auto"/>
        <w:jc w:val="both"/>
        <w:rPr>
          <w:b/>
          <w:bCs/>
          <w:sz w:val="28"/>
          <w:szCs w:val="28"/>
          <w:rtl/>
        </w:rPr>
      </w:pPr>
      <w:r>
        <w:rPr>
          <w:rFonts w:hint="cs"/>
          <w:b/>
          <w:bCs/>
          <w:sz w:val="28"/>
          <w:szCs w:val="28"/>
          <w:rtl/>
        </w:rPr>
        <w:t>טיעוני ב"כ הנאשם לעונש</w:t>
      </w:r>
    </w:p>
    <w:p w14:paraId="77B41985" w14:textId="77777777" w:rsidR="00063868" w:rsidRDefault="00302973">
      <w:pPr>
        <w:spacing w:line="360" w:lineRule="auto"/>
        <w:jc w:val="both"/>
        <w:rPr>
          <w:sz w:val="28"/>
          <w:szCs w:val="28"/>
          <w:rtl/>
        </w:rPr>
      </w:pPr>
      <w:r>
        <w:rPr>
          <w:rFonts w:hint="cs"/>
          <w:sz w:val="28"/>
          <w:szCs w:val="28"/>
          <w:rtl/>
        </w:rPr>
        <w:t xml:space="preserve">ב"כ הנאשם הדגיש לקולא את הודאת מרשו בתחילת ההליך במסגרת הליך גישור, דבר אשר חסך זמן שיפוטי רב, וכן את תיקון כתב האישום בכך שבוטלה העבירה של "החזקת נשק". </w:t>
      </w:r>
    </w:p>
    <w:p w14:paraId="5343EC4A" w14:textId="77777777" w:rsidR="00063868" w:rsidRDefault="00302973">
      <w:pPr>
        <w:spacing w:line="360" w:lineRule="auto"/>
        <w:jc w:val="both"/>
        <w:rPr>
          <w:sz w:val="28"/>
          <w:szCs w:val="28"/>
          <w:rtl/>
        </w:rPr>
      </w:pPr>
      <w:r>
        <w:rPr>
          <w:rFonts w:hint="cs"/>
          <w:sz w:val="28"/>
          <w:szCs w:val="28"/>
          <w:rtl/>
        </w:rPr>
        <w:t xml:space="preserve">ב"כ הנאשם ציין כי אף שמודע הוא לחומרת העבירה ולהתייחסות בית המשפט העליון לעבירות מסוג זה, הענישה היא אינדיווידואלית ובתי המשפט מתחשבים  בנסיבות האישיות של כל נאשם. אין הסנגור מתעלם מעברו הפלילי של הנאשם אך טען שמאז שחרורו מן המאסר האחרון, חל שינוי בהתנהגותו והוא החל בדרך חדשה. </w:t>
      </w:r>
    </w:p>
    <w:p w14:paraId="6FCCBF27" w14:textId="77777777" w:rsidR="00063868" w:rsidRDefault="00302973">
      <w:pPr>
        <w:spacing w:line="360" w:lineRule="auto"/>
        <w:jc w:val="both"/>
        <w:rPr>
          <w:sz w:val="28"/>
          <w:szCs w:val="28"/>
          <w:rtl/>
        </w:rPr>
      </w:pPr>
      <w:r>
        <w:rPr>
          <w:rFonts w:hint="cs"/>
          <w:sz w:val="28"/>
          <w:szCs w:val="28"/>
          <w:rtl/>
        </w:rPr>
        <w:t xml:space="preserve">הנאשם, עובד מזה מספר שנים, 6 ימים בשבוע, יוצא מביתו השכם בבוקר וחוזר מאוחר בערב. המקרה של בתו שנכוותה הביא אותו לחזור לדרך המוטב ולמחשבה כי עליו לטפל בביתו כדי שבני משפחתו יחיו חיים נורמאליים. </w:t>
      </w:r>
    </w:p>
    <w:p w14:paraId="1CCE2711" w14:textId="77777777" w:rsidR="00063868" w:rsidRDefault="00302973">
      <w:pPr>
        <w:spacing w:line="360" w:lineRule="auto"/>
        <w:jc w:val="both"/>
        <w:rPr>
          <w:sz w:val="28"/>
          <w:szCs w:val="28"/>
          <w:rtl/>
        </w:rPr>
      </w:pPr>
      <w:r>
        <w:rPr>
          <w:rFonts w:hint="cs"/>
          <w:sz w:val="28"/>
          <w:szCs w:val="28"/>
          <w:rtl/>
        </w:rPr>
        <w:t xml:space="preserve">לדברי ב"כ הנאשם, מרשו בן למשפחה נורמטיבית שאינה מעורבת בפלילים, אבי הנאשם ז"ל, היה איש מכובד ונהג לפתור סכסוכים. </w:t>
      </w:r>
    </w:p>
    <w:p w14:paraId="2BBD803C" w14:textId="77777777" w:rsidR="00063868" w:rsidRDefault="00302973">
      <w:pPr>
        <w:spacing w:line="360" w:lineRule="auto"/>
        <w:jc w:val="both"/>
        <w:rPr>
          <w:sz w:val="28"/>
          <w:szCs w:val="28"/>
          <w:rtl/>
        </w:rPr>
      </w:pPr>
      <w:r>
        <w:rPr>
          <w:rFonts w:hint="cs"/>
          <w:sz w:val="28"/>
          <w:szCs w:val="28"/>
          <w:rtl/>
        </w:rPr>
        <w:t xml:space="preserve">ב"כ הנאשם ביקש מבית המשפט לתת לנאשם ולבני ביתו הזדמנות להמשיך בחיים נורמאליים, להתחשב בחרטתו, בנסיבותיו האישיות, בבתו החולה הזקוקה לו לצורך טיפול וכן, בצורך לפרנס את משפחתו המצויה בחובות גדולים. </w:t>
      </w:r>
    </w:p>
    <w:p w14:paraId="1FED3519" w14:textId="77777777" w:rsidR="00063868" w:rsidRDefault="00302973">
      <w:pPr>
        <w:spacing w:line="360" w:lineRule="auto"/>
        <w:jc w:val="both"/>
        <w:rPr>
          <w:sz w:val="28"/>
          <w:szCs w:val="28"/>
          <w:rtl/>
        </w:rPr>
      </w:pPr>
      <w:r>
        <w:rPr>
          <w:rFonts w:hint="cs"/>
          <w:sz w:val="28"/>
          <w:szCs w:val="28"/>
          <w:rtl/>
        </w:rPr>
        <w:t xml:space="preserve">באשר לנסיבות ביצוע העבירה טען ב"כ הנאשם כי מדובר בהובלה ונשיאה של נשק וכי לא הייתה קשירת קשר ולא היה תכנון לביצוע עבירה בנשק. </w:t>
      </w:r>
    </w:p>
    <w:p w14:paraId="6A1AB581" w14:textId="77777777" w:rsidR="00063868" w:rsidRDefault="00302973">
      <w:pPr>
        <w:spacing w:line="360" w:lineRule="auto"/>
        <w:jc w:val="both"/>
        <w:rPr>
          <w:sz w:val="28"/>
          <w:szCs w:val="28"/>
          <w:rtl/>
        </w:rPr>
      </w:pPr>
      <w:r>
        <w:rPr>
          <w:rFonts w:hint="cs"/>
          <w:sz w:val="28"/>
          <w:szCs w:val="28"/>
          <w:rtl/>
        </w:rPr>
        <w:t xml:space="preserve">לאור האמור לעיל מבקש הוא להשית על מרשו עונש מתון ומאוזן ולהסתפק בתקופת המעצר כתקופת מאסרו תוך הפנייה לפסיקה ענפה בעבירות דומות. </w:t>
      </w:r>
    </w:p>
    <w:p w14:paraId="1DB20343" w14:textId="77777777" w:rsidR="00063868" w:rsidRDefault="00063868">
      <w:pPr>
        <w:spacing w:line="360" w:lineRule="auto"/>
        <w:jc w:val="both"/>
        <w:rPr>
          <w:sz w:val="28"/>
          <w:szCs w:val="28"/>
          <w:rtl/>
        </w:rPr>
      </w:pPr>
    </w:p>
    <w:p w14:paraId="5133DC4F" w14:textId="77777777" w:rsidR="00063868" w:rsidRDefault="00302973">
      <w:pPr>
        <w:spacing w:line="360" w:lineRule="auto"/>
        <w:jc w:val="both"/>
        <w:rPr>
          <w:b/>
          <w:bCs/>
          <w:sz w:val="28"/>
          <w:szCs w:val="28"/>
          <w:rtl/>
        </w:rPr>
      </w:pPr>
      <w:r>
        <w:rPr>
          <w:rFonts w:hint="cs"/>
          <w:b/>
          <w:bCs/>
          <w:sz w:val="28"/>
          <w:szCs w:val="28"/>
          <w:rtl/>
        </w:rPr>
        <w:t>דברי הנאשם</w:t>
      </w:r>
    </w:p>
    <w:p w14:paraId="4D979AAA" w14:textId="77777777" w:rsidR="00063868" w:rsidRDefault="00302973">
      <w:pPr>
        <w:spacing w:line="360" w:lineRule="auto"/>
        <w:jc w:val="both"/>
        <w:rPr>
          <w:sz w:val="28"/>
          <w:szCs w:val="28"/>
          <w:rtl/>
        </w:rPr>
      </w:pPr>
      <w:r>
        <w:rPr>
          <w:rFonts w:hint="cs"/>
          <w:sz w:val="28"/>
          <w:szCs w:val="28"/>
          <w:rtl/>
        </w:rPr>
        <w:t>הנאשם הביע צער וחרטה, הודה בהובלת הנשק וביקש מבית המשפט להתחשב במצבו המשפחתי ובבתו. לדבריו, בכל יום שעובר עליו, הוא חש כי חזר שנים לאחור וכי אין למשפחתו מה לאכול בבית. על כן, ביקש מבית המשפט לתת לו "צ'אנס" אחד תוך שהבטיח כי לא יחזור לבית המשפט, אי פעם.</w:t>
      </w:r>
    </w:p>
    <w:p w14:paraId="4C154F0A" w14:textId="77777777" w:rsidR="00063868" w:rsidRDefault="00063868">
      <w:pPr>
        <w:spacing w:line="360" w:lineRule="auto"/>
        <w:jc w:val="both"/>
        <w:rPr>
          <w:sz w:val="28"/>
          <w:szCs w:val="28"/>
          <w:rtl/>
        </w:rPr>
      </w:pPr>
    </w:p>
    <w:p w14:paraId="6885FFF5" w14:textId="77777777" w:rsidR="00063868" w:rsidRDefault="00302973">
      <w:pPr>
        <w:spacing w:line="360" w:lineRule="auto"/>
        <w:jc w:val="both"/>
        <w:rPr>
          <w:b/>
          <w:bCs/>
          <w:sz w:val="28"/>
          <w:szCs w:val="28"/>
          <w:rtl/>
        </w:rPr>
      </w:pPr>
      <w:r>
        <w:rPr>
          <w:rFonts w:hint="cs"/>
          <w:b/>
          <w:bCs/>
          <w:sz w:val="28"/>
          <w:szCs w:val="28"/>
          <w:rtl/>
        </w:rPr>
        <w:t>דיון</w:t>
      </w:r>
    </w:p>
    <w:p w14:paraId="77B94539" w14:textId="77777777" w:rsidR="00063868" w:rsidRDefault="00302973">
      <w:pPr>
        <w:spacing w:line="360" w:lineRule="auto"/>
        <w:jc w:val="both"/>
        <w:rPr>
          <w:sz w:val="28"/>
          <w:szCs w:val="28"/>
          <w:rtl/>
        </w:rPr>
      </w:pPr>
      <w:r>
        <w:rPr>
          <w:rFonts w:hint="cs"/>
          <w:sz w:val="28"/>
          <w:szCs w:val="28"/>
          <w:rtl/>
        </w:rPr>
        <w:t xml:space="preserve">רבות כבר נאמר בפסיקה על הסכנה הטמונה בעבירות הקשורות בנשק ונשיאתו, על חומרת עבירה זאת ונפיצותה ועל הסכנה הטמונה בעבירות אלה גם לחפים מפשע שעלולים להיקלע מול קו הירי לכשייעשה שימוש בנשק. </w:t>
      </w:r>
    </w:p>
    <w:p w14:paraId="19A19924" w14:textId="77777777" w:rsidR="00063868" w:rsidRDefault="00302973">
      <w:pPr>
        <w:spacing w:line="360" w:lineRule="auto"/>
        <w:jc w:val="both"/>
        <w:rPr>
          <w:sz w:val="28"/>
          <w:szCs w:val="28"/>
          <w:rtl/>
        </w:rPr>
      </w:pPr>
      <w:r>
        <w:rPr>
          <w:rFonts w:hint="cs"/>
          <w:sz w:val="28"/>
          <w:szCs w:val="28"/>
          <w:rtl/>
        </w:rPr>
        <w:t xml:space="preserve">בשל כך חזר בית המשפט העליון והדגיש את הצורך להחמיר בענישתם של עברייני נשק על מנת להרתיע עבריינים בכוח כאלה. </w:t>
      </w:r>
    </w:p>
    <w:p w14:paraId="677CB040" w14:textId="77777777" w:rsidR="00063868" w:rsidRDefault="00063868">
      <w:pPr>
        <w:spacing w:line="360" w:lineRule="auto"/>
        <w:jc w:val="both"/>
        <w:rPr>
          <w:sz w:val="28"/>
          <w:szCs w:val="28"/>
          <w:rtl/>
        </w:rPr>
      </w:pPr>
    </w:p>
    <w:p w14:paraId="35826D9A" w14:textId="77777777" w:rsidR="00063868" w:rsidRDefault="00302973">
      <w:pPr>
        <w:spacing w:line="360" w:lineRule="auto"/>
        <w:jc w:val="both"/>
        <w:rPr>
          <w:sz w:val="28"/>
          <w:szCs w:val="28"/>
          <w:rtl/>
        </w:rPr>
      </w:pPr>
      <w:r>
        <w:rPr>
          <w:rFonts w:ascii="Arial" w:hAnsi="Arial" w:hint="cs"/>
          <w:sz w:val="28"/>
          <w:szCs w:val="28"/>
          <w:rtl/>
        </w:rPr>
        <w:t>יפים לעניין זה הדברים שנאמרו ב</w:t>
      </w:r>
      <w:hyperlink r:id="rId14" w:history="1">
        <w:r w:rsidR="00A22D46" w:rsidRPr="00A22D46">
          <w:rPr>
            <w:rStyle w:val="Hyperlink"/>
            <w:rFonts w:ascii="Arial" w:hAnsi="Arial"/>
            <w:sz w:val="28"/>
            <w:szCs w:val="28"/>
            <w:rtl/>
          </w:rPr>
          <w:t>רע"פ 2718/04</w:t>
        </w:r>
      </w:hyperlink>
      <w:r>
        <w:rPr>
          <w:rFonts w:ascii="Arial" w:hAnsi="Arial" w:hint="cs"/>
          <w:sz w:val="28"/>
          <w:szCs w:val="28"/>
          <w:rtl/>
        </w:rPr>
        <w:t xml:space="preserve"> </w:t>
      </w:r>
      <w:r>
        <w:rPr>
          <w:rFonts w:ascii="Arial" w:hAnsi="Arial" w:hint="cs"/>
          <w:b/>
          <w:bCs/>
          <w:sz w:val="28"/>
          <w:szCs w:val="28"/>
          <w:rtl/>
        </w:rPr>
        <w:t>פואד אבו דאחל נ' מדינת ישראל</w:t>
      </w:r>
      <w:r>
        <w:rPr>
          <w:rFonts w:ascii="Arial" w:hAnsi="Arial" w:hint="cs"/>
          <w:sz w:val="28"/>
          <w:szCs w:val="28"/>
          <w:rtl/>
        </w:rPr>
        <w:t>. תק-על 2004(1), 3401)</w:t>
      </w:r>
      <w:r>
        <w:rPr>
          <w:rFonts w:hint="cs"/>
          <w:sz w:val="28"/>
          <w:szCs w:val="28"/>
          <w:rtl/>
        </w:rPr>
        <w:t>:</w:t>
      </w:r>
    </w:p>
    <w:p w14:paraId="67B38B6E" w14:textId="77777777" w:rsidR="00063868" w:rsidRDefault="00063868">
      <w:pPr>
        <w:spacing w:line="360" w:lineRule="auto"/>
        <w:jc w:val="both"/>
        <w:rPr>
          <w:sz w:val="28"/>
          <w:szCs w:val="28"/>
          <w:rtl/>
        </w:rPr>
      </w:pPr>
    </w:p>
    <w:p w14:paraId="6DF8D6AC" w14:textId="77777777" w:rsidR="00063868" w:rsidRDefault="00302973">
      <w:pPr>
        <w:spacing w:line="360" w:lineRule="auto"/>
        <w:ind w:left="720" w:right="540"/>
        <w:jc w:val="both"/>
        <w:textAlignment w:val="top"/>
        <w:rPr>
          <w:rFonts w:ascii="Arial" w:hAnsi="Arial"/>
          <w:sz w:val="28"/>
          <w:szCs w:val="28"/>
          <w:rtl/>
        </w:rPr>
      </w:pPr>
      <w:r>
        <w:rPr>
          <w:rFonts w:ascii="Arial" w:hAnsi="Arial" w:hint="cs"/>
          <w:b/>
          <w:bCs/>
          <w:sz w:val="28"/>
          <w:szCs w:val="28"/>
          <w:rtl/>
        </w:rPr>
        <w:t xml:space="preserve">"הסכנה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(ראו והשוו </w:t>
      </w:r>
      <w:hyperlink r:id="rId15" w:history="1">
        <w:r w:rsidR="00A22D46" w:rsidRPr="00A22D46">
          <w:rPr>
            <w:rStyle w:val="Hyperlink"/>
            <w:rFonts w:ascii="Arial" w:hAnsi="Arial"/>
            <w:b/>
            <w:bCs/>
            <w:sz w:val="28"/>
            <w:szCs w:val="28"/>
            <w:rtl/>
          </w:rPr>
          <w:t>ע"פ 5066/98</w:t>
        </w:r>
      </w:hyperlink>
      <w:r>
        <w:rPr>
          <w:rFonts w:ascii="Arial" w:hAnsi="Arial" w:hint="cs"/>
          <w:b/>
          <w:bCs/>
          <w:sz w:val="28"/>
          <w:szCs w:val="28"/>
          <w:rtl/>
        </w:rPr>
        <w:t xml:space="preserve"> מדינת ישראל נ' ניעמן דחלה ואח', תק-על 99(3), 1574)"</w:t>
      </w:r>
      <w:r>
        <w:rPr>
          <w:rFonts w:ascii="Arial" w:hAnsi="Arial" w:hint="cs"/>
          <w:sz w:val="28"/>
          <w:szCs w:val="28"/>
          <w:rtl/>
        </w:rPr>
        <w:t>.</w:t>
      </w:r>
    </w:p>
    <w:p w14:paraId="7E506AE8" w14:textId="77777777" w:rsidR="00063868" w:rsidRDefault="00063868">
      <w:pPr>
        <w:spacing w:line="360" w:lineRule="auto"/>
        <w:ind w:right="540"/>
        <w:jc w:val="both"/>
        <w:textAlignment w:val="top"/>
        <w:rPr>
          <w:rFonts w:ascii="Arial" w:hAnsi="Arial"/>
          <w:sz w:val="28"/>
          <w:szCs w:val="28"/>
          <w:rtl/>
        </w:rPr>
      </w:pPr>
    </w:p>
    <w:p w14:paraId="6E22522B" w14:textId="77777777" w:rsidR="00063868" w:rsidRDefault="00302973">
      <w:pPr>
        <w:spacing w:line="360" w:lineRule="auto"/>
        <w:ind w:left="60"/>
        <w:jc w:val="both"/>
        <w:textAlignment w:val="top"/>
        <w:rPr>
          <w:rFonts w:ascii="Arial" w:hAnsi="Arial"/>
          <w:sz w:val="28"/>
          <w:szCs w:val="28"/>
          <w:rtl/>
        </w:rPr>
      </w:pPr>
      <w:r>
        <w:rPr>
          <w:rFonts w:ascii="Arial" w:hAnsi="Arial" w:hint="cs"/>
          <w:sz w:val="28"/>
          <w:szCs w:val="28"/>
          <w:rtl/>
        </w:rPr>
        <w:t xml:space="preserve">וכן, האמור בע"פ ע"פ 972 ,910/85 </w:t>
      </w:r>
      <w:r>
        <w:rPr>
          <w:rFonts w:ascii="Arial" w:hAnsi="Arial" w:hint="cs"/>
          <w:b/>
          <w:bCs/>
          <w:sz w:val="28"/>
          <w:szCs w:val="28"/>
          <w:rtl/>
        </w:rPr>
        <w:t xml:space="preserve">אברהים קונדוס ואח' נ' מדינת ישראל </w:t>
      </w:r>
      <w:r>
        <w:rPr>
          <w:rFonts w:ascii="Arial" w:hAnsi="Arial" w:hint="cs"/>
          <w:sz w:val="28"/>
          <w:szCs w:val="28"/>
          <w:rtl/>
        </w:rPr>
        <w:t>.תק-על 86(2), 670:</w:t>
      </w:r>
    </w:p>
    <w:p w14:paraId="35B7409F" w14:textId="77777777" w:rsidR="00063868" w:rsidRDefault="00302973">
      <w:pPr>
        <w:spacing w:line="360" w:lineRule="auto"/>
        <w:ind w:left="720" w:right="540"/>
        <w:jc w:val="both"/>
        <w:textAlignment w:val="top"/>
        <w:rPr>
          <w:rFonts w:ascii="Arial" w:hAnsi="Arial"/>
          <w:sz w:val="28"/>
          <w:szCs w:val="28"/>
          <w:rtl/>
        </w:rPr>
      </w:pPr>
      <w:r>
        <w:rPr>
          <w:rFonts w:ascii="Arial" w:hAnsi="Arial" w:hint="cs"/>
          <w:sz w:val="28"/>
          <w:szCs w:val="28"/>
          <w:rtl/>
        </w:rPr>
        <w:br/>
      </w:r>
      <w:r>
        <w:rPr>
          <w:rFonts w:ascii="Arial" w:hAnsi="Arial" w:hint="cs"/>
          <w:b/>
          <w:bCs/>
          <w:sz w:val="28"/>
          <w:szCs w:val="28"/>
          <w:rtl/>
        </w:rPr>
        <w:t xml:space="preserve">"אין אנו יכולים להתעלם מהעובדה,שהחזקת נשק שלא כדין הינה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w:t>
      </w:r>
      <w:r>
        <w:rPr>
          <w:rFonts w:ascii="Arial" w:hAnsi="Arial" w:hint="cs"/>
          <w:b/>
          <w:bCs/>
          <w:sz w:val="28"/>
          <w:szCs w:val="28"/>
          <w:u w:val="single"/>
          <w:rtl/>
        </w:rPr>
        <w:t>אפילו אין הוא מתכוון אישית לבצע פשע מסוים ומוגדר בעזרת הנשק האמור</w:t>
      </w:r>
      <w:r>
        <w:rPr>
          <w:rFonts w:ascii="Arial" w:hAnsi="Arial" w:hint="cs"/>
          <w:b/>
          <w:bCs/>
          <w:sz w:val="28"/>
          <w:szCs w:val="28"/>
          <w:rtl/>
        </w:rPr>
        <w:t xml:space="preserve">". </w:t>
      </w:r>
      <w:r>
        <w:rPr>
          <w:rFonts w:ascii="Arial" w:hAnsi="Arial" w:hint="cs"/>
          <w:sz w:val="28"/>
          <w:szCs w:val="28"/>
          <w:rtl/>
        </w:rPr>
        <w:t xml:space="preserve">(ההדגשה שלי </w:t>
      </w:r>
      <w:r>
        <w:rPr>
          <w:rFonts w:ascii="Arial" w:hAnsi="Arial"/>
          <w:sz w:val="28"/>
          <w:szCs w:val="28"/>
          <w:rtl/>
        </w:rPr>
        <w:t>–</w:t>
      </w:r>
      <w:r>
        <w:rPr>
          <w:rFonts w:ascii="Arial" w:hAnsi="Arial" w:hint="cs"/>
          <w:sz w:val="28"/>
          <w:szCs w:val="28"/>
          <w:rtl/>
        </w:rPr>
        <w:t xml:space="preserve"> מ. גלעד)</w:t>
      </w:r>
    </w:p>
    <w:p w14:paraId="5236D71F" w14:textId="77777777" w:rsidR="00063868" w:rsidRDefault="00063868">
      <w:pPr>
        <w:spacing w:line="360" w:lineRule="auto"/>
        <w:ind w:right="540"/>
        <w:jc w:val="both"/>
        <w:textAlignment w:val="top"/>
        <w:rPr>
          <w:rFonts w:ascii="Arial" w:hAnsi="Arial"/>
          <w:sz w:val="28"/>
          <w:szCs w:val="28"/>
        </w:rPr>
      </w:pPr>
    </w:p>
    <w:p w14:paraId="1CE7A56B" w14:textId="77777777" w:rsidR="00063868" w:rsidRDefault="00302973">
      <w:pPr>
        <w:spacing w:line="360" w:lineRule="auto"/>
        <w:jc w:val="both"/>
        <w:textAlignment w:val="top"/>
        <w:rPr>
          <w:rFonts w:ascii="Arial" w:hAnsi="Arial"/>
          <w:sz w:val="28"/>
          <w:szCs w:val="28"/>
          <w:rtl/>
        </w:rPr>
      </w:pPr>
      <w:r>
        <w:rPr>
          <w:rFonts w:hint="cs"/>
          <w:sz w:val="28"/>
          <w:szCs w:val="28"/>
          <w:rtl/>
        </w:rPr>
        <w:t xml:space="preserve">אולם, כידוע, הענישה היא אינדיווידואלית ולעולם תלוית נסיבות המעשה והעושה. </w:t>
      </w:r>
      <w:r>
        <w:rPr>
          <w:rFonts w:ascii="Arial" w:hAnsi="Arial" w:hint="cs"/>
          <w:sz w:val="28"/>
          <w:szCs w:val="28"/>
          <w:rtl/>
        </w:rPr>
        <w:t xml:space="preserve">בענייננו, נסיבות ביצוע העבירה מלמדות על פוטנציאל המסוכנות שבה, מקום והנאשם היה שותף להובלת ונשיאת רובה – תת מקלע - מוכן לירי, כשמחסניתו במצב הכנס, באזור עירוני, בשעת לילה מאוחרת ועשה כן חרף הרשעתו בעבר בעבירה מסוג זה (הרשעה מס' 8 בת/3) וחרף העובדה כי ריצה שני מאסרים בפועל. </w:t>
      </w:r>
    </w:p>
    <w:p w14:paraId="7DC1B596" w14:textId="77777777" w:rsidR="00063868" w:rsidRDefault="00063868">
      <w:pPr>
        <w:spacing w:line="360" w:lineRule="auto"/>
        <w:ind w:right="540"/>
        <w:jc w:val="both"/>
        <w:textAlignment w:val="top"/>
        <w:rPr>
          <w:rFonts w:ascii="Arial" w:hAnsi="Arial"/>
          <w:sz w:val="28"/>
          <w:szCs w:val="28"/>
          <w:rtl/>
        </w:rPr>
      </w:pPr>
    </w:p>
    <w:p w14:paraId="0B6032C8" w14:textId="77777777" w:rsidR="00063868" w:rsidRDefault="00302973">
      <w:pPr>
        <w:spacing w:line="360" w:lineRule="auto"/>
        <w:jc w:val="both"/>
        <w:textAlignment w:val="top"/>
        <w:rPr>
          <w:rFonts w:ascii="Arial" w:hAnsi="Arial"/>
          <w:sz w:val="28"/>
          <w:szCs w:val="28"/>
          <w:rtl/>
        </w:rPr>
      </w:pPr>
      <w:r>
        <w:rPr>
          <w:rFonts w:ascii="Arial" w:hAnsi="Arial" w:hint="cs"/>
          <w:sz w:val="28"/>
          <w:szCs w:val="28"/>
          <w:rtl/>
        </w:rPr>
        <w:t xml:space="preserve">אף שנשיאת כל נשק שלא כחוק, הינה עבירה חמורה, הרי נשיאת תת מקלע חמורה יותר בשל היות נשק זה מסוכן יותר ובעל פוטנציאל פוגעני יותר מכלי נשק אחרים כמו אקדח. </w:t>
      </w:r>
    </w:p>
    <w:p w14:paraId="0488DCBB" w14:textId="77777777" w:rsidR="00063868" w:rsidRDefault="00063868">
      <w:pPr>
        <w:spacing w:line="360" w:lineRule="auto"/>
        <w:ind w:right="540"/>
        <w:jc w:val="both"/>
        <w:textAlignment w:val="top"/>
        <w:rPr>
          <w:rFonts w:ascii="Arial" w:hAnsi="Arial"/>
          <w:sz w:val="28"/>
          <w:szCs w:val="28"/>
          <w:rtl/>
        </w:rPr>
      </w:pPr>
    </w:p>
    <w:p w14:paraId="11889CA5" w14:textId="77777777" w:rsidR="00063868" w:rsidRDefault="00302973">
      <w:pPr>
        <w:spacing w:line="360" w:lineRule="auto"/>
        <w:jc w:val="both"/>
        <w:rPr>
          <w:sz w:val="28"/>
          <w:szCs w:val="28"/>
        </w:rPr>
      </w:pPr>
      <w:r>
        <w:rPr>
          <w:rFonts w:hint="cs"/>
          <w:sz w:val="28"/>
          <w:szCs w:val="28"/>
          <w:rtl/>
        </w:rPr>
        <w:t xml:space="preserve">נשיאתו של נשק שלא כדין, מגלמת כאמור סיכון פוטנציאלי לכל הציבור. הסיכוי במימוש פוטנציאל זה, הולך וגובר, כשהנשק מצוי ברכב של מי שכבר הורשע בעבר בעבירות אלימות בכלל והחזקת נשק בפרט. זאת בנוסף לסיכון שנשק זה, הנישא שלא כדין, עלול למצוא דרכו לידיים עוינות, הן במישור הפלילי והן במישור הטרור. </w:t>
      </w:r>
    </w:p>
    <w:p w14:paraId="40EE2DF3" w14:textId="77777777" w:rsidR="00063868" w:rsidRDefault="00063868">
      <w:pPr>
        <w:spacing w:line="360" w:lineRule="auto"/>
        <w:jc w:val="both"/>
        <w:rPr>
          <w:sz w:val="28"/>
          <w:szCs w:val="28"/>
          <w:rtl/>
        </w:rPr>
      </w:pPr>
    </w:p>
    <w:p w14:paraId="0C658C1C" w14:textId="77777777" w:rsidR="00063868" w:rsidRDefault="00302973">
      <w:pPr>
        <w:spacing w:line="360" w:lineRule="auto"/>
        <w:jc w:val="both"/>
        <w:rPr>
          <w:sz w:val="28"/>
          <w:szCs w:val="28"/>
          <w:rtl/>
        </w:rPr>
      </w:pPr>
      <w:r>
        <w:rPr>
          <w:rFonts w:hint="cs"/>
          <w:sz w:val="28"/>
          <w:szCs w:val="28"/>
          <w:rtl/>
        </w:rPr>
        <w:t>עברו הפלילי של הנאשם, מלמד על דפוס עברייני חוזר וחרף מאסריו הקודמים ותשע הרשעותיו, לא שינה את דרכו הקלוקלת.</w:t>
      </w:r>
    </w:p>
    <w:p w14:paraId="2EBCD6EE" w14:textId="77777777" w:rsidR="00063868" w:rsidRDefault="00063868">
      <w:pPr>
        <w:spacing w:line="360" w:lineRule="auto"/>
        <w:jc w:val="both"/>
        <w:rPr>
          <w:sz w:val="28"/>
          <w:szCs w:val="28"/>
          <w:rtl/>
        </w:rPr>
      </w:pPr>
    </w:p>
    <w:p w14:paraId="1D8E2A40" w14:textId="77777777" w:rsidR="00063868" w:rsidRDefault="00302973">
      <w:pPr>
        <w:spacing w:line="360" w:lineRule="auto"/>
        <w:jc w:val="both"/>
        <w:rPr>
          <w:sz w:val="28"/>
          <w:szCs w:val="28"/>
          <w:rtl/>
        </w:rPr>
      </w:pPr>
      <w:r>
        <w:rPr>
          <w:rFonts w:hint="cs"/>
          <w:sz w:val="28"/>
          <w:szCs w:val="28"/>
          <w:rtl/>
        </w:rPr>
        <w:t xml:space="preserve">נימוק נוסף לחומרה נעוץ בעובדה כי מטרת נשיאת הנשק ע"י הנאשם נותרה עלומה והיא בעצם סותרת את טענת סנגורו כי לאחר ששוחרר ממאסרו האחרון, החליט לחזור למוטב ולטפל במשפחתו. </w:t>
      </w:r>
    </w:p>
    <w:p w14:paraId="71F79F28" w14:textId="77777777" w:rsidR="00063868" w:rsidRDefault="00063868">
      <w:pPr>
        <w:spacing w:line="360" w:lineRule="auto"/>
        <w:jc w:val="both"/>
        <w:rPr>
          <w:sz w:val="28"/>
          <w:szCs w:val="28"/>
          <w:rtl/>
        </w:rPr>
      </w:pPr>
    </w:p>
    <w:p w14:paraId="43A1AD6E" w14:textId="77777777" w:rsidR="00063868" w:rsidRDefault="00302973">
      <w:pPr>
        <w:spacing w:line="360" w:lineRule="auto"/>
        <w:jc w:val="both"/>
        <w:rPr>
          <w:sz w:val="28"/>
          <w:szCs w:val="28"/>
          <w:rtl/>
        </w:rPr>
      </w:pPr>
      <w:r>
        <w:rPr>
          <w:rFonts w:hint="cs"/>
          <w:sz w:val="28"/>
          <w:szCs w:val="28"/>
          <w:rtl/>
        </w:rPr>
        <w:t xml:space="preserve">אף תסקיר שירות המבחן אינו מיטיב עם הנאשם, בלשון המעטה, ונמנע מכל המלצה בעניינו בהיותו בעל קווים אנטי סוציאליים המתקשה לדחות סיפוקים וליטול אחריות על עצמו ועל מעשיו. </w:t>
      </w:r>
    </w:p>
    <w:p w14:paraId="2C871E04" w14:textId="77777777" w:rsidR="00063868" w:rsidRDefault="00063868">
      <w:pPr>
        <w:spacing w:line="360" w:lineRule="auto"/>
        <w:jc w:val="both"/>
        <w:rPr>
          <w:sz w:val="28"/>
          <w:szCs w:val="28"/>
          <w:rtl/>
        </w:rPr>
      </w:pPr>
    </w:p>
    <w:p w14:paraId="56975D1D" w14:textId="77777777" w:rsidR="00063868" w:rsidRDefault="00302973">
      <w:pPr>
        <w:spacing w:line="360" w:lineRule="auto"/>
        <w:jc w:val="both"/>
        <w:textAlignment w:val="top"/>
        <w:rPr>
          <w:rFonts w:ascii="Arial" w:hAnsi="Arial"/>
          <w:sz w:val="28"/>
          <w:szCs w:val="28"/>
          <w:rtl/>
        </w:rPr>
      </w:pPr>
      <w:r>
        <w:rPr>
          <w:rFonts w:ascii="Arial" w:hAnsi="Arial" w:hint="cs"/>
          <w:sz w:val="28"/>
          <w:szCs w:val="28"/>
          <w:rtl/>
        </w:rPr>
        <w:t xml:space="preserve">מנגד, עומדות לזכות הנאשם הנסיבות לקולא עליהן הצביע הסניגור. </w:t>
      </w:r>
    </w:p>
    <w:p w14:paraId="07DBFD53" w14:textId="77777777" w:rsidR="00063868" w:rsidRDefault="00302973">
      <w:pPr>
        <w:spacing w:line="360" w:lineRule="auto"/>
        <w:textAlignment w:val="top"/>
        <w:rPr>
          <w:rFonts w:ascii="Arial" w:hAnsi="Arial"/>
          <w:b/>
          <w:bCs/>
          <w:sz w:val="28"/>
          <w:szCs w:val="28"/>
          <w:rtl/>
        </w:rPr>
      </w:pPr>
      <w:r>
        <w:rPr>
          <w:rFonts w:ascii="Arial" w:hAnsi="Arial" w:hint="cs"/>
          <w:sz w:val="28"/>
          <w:szCs w:val="28"/>
          <w:rtl/>
        </w:rPr>
        <w:br/>
        <w:t xml:space="preserve">ראשית, </w:t>
      </w:r>
      <w:r>
        <w:rPr>
          <w:rFonts w:ascii="Arial" w:hAnsi="Arial" w:hint="cs"/>
          <w:b/>
          <w:bCs/>
          <w:sz w:val="28"/>
          <w:szCs w:val="28"/>
          <w:rtl/>
        </w:rPr>
        <w:t>הודאתו המיידית בתחילת משפטו</w:t>
      </w:r>
      <w:r>
        <w:rPr>
          <w:rFonts w:ascii="Arial" w:hAnsi="Arial" w:hint="cs"/>
          <w:sz w:val="28"/>
          <w:szCs w:val="28"/>
          <w:rtl/>
        </w:rPr>
        <w:t xml:space="preserve">.  </w:t>
      </w:r>
      <w:r>
        <w:rPr>
          <w:rFonts w:ascii="Arial" w:hAnsi="Arial" w:hint="cs"/>
          <w:sz w:val="28"/>
          <w:szCs w:val="28"/>
          <w:rtl/>
        </w:rPr>
        <w:br/>
      </w:r>
      <w:r>
        <w:rPr>
          <w:rFonts w:ascii="Arial" w:hAnsi="Arial" w:hint="cs"/>
          <w:sz w:val="28"/>
          <w:szCs w:val="28"/>
          <w:rtl/>
        </w:rPr>
        <w:br/>
        <w:t xml:space="preserve">בנושא זה אפנה לנאמר בספרו של י.בזק "הענישה הפלילית" עמ' 206 (הוצאת דביר 1979): </w:t>
      </w:r>
      <w:r>
        <w:rPr>
          <w:rFonts w:ascii="Arial" w:hAnsi="Arial" w:hint="cs"/>
          <w:sz w:val="28"/>
          <w:szCs w:val="28"/>
          <w:rtl/>
        </w:rPr>
        <w:br/>
      </w:r>
    </w:p>
    <w:p w14:paraId="1D922030" w14:textId="77777777" w:rsidR="00063868" w:rsidRDefault="00302973">
      <w:pPr>
        <w:spacing w:line="360" w:lineRule="auto"/>
        <w:ind w:left="720" w:right="540"/>
        <w:jc w:val="both"/>
        <w:textAlignment w:val="top"/>
        <w:rPr>
          <w:rFonts w:ascii="Arial" w:hAnsi="Arial"/>
          <w:sz w:val="28"/>
          <w:szCs w:val="28"/>
          <w:rtl/>
        </w:rPr>
      </w:pPr>
      <w:r>
        <w:rPr>
          <w:rFonts w:ascii="Arial" w:hAnsi="Arial" w:hint="cs"/>
          <w:b/>
          <w:bCs/>
          <w:sz w:val="28"/>
          <w:szCs w:val="28"/>
          <w:rtl/>
        </w:rPr>
        <w:t>"בתי המשפט נוהגים להתחשב בעובדה שהנאשם הודה באשמה כגורם לקולא. הנימוק לכך כפול. קודם כל רואים את מי שמודה באשמה כמי שמתחרט על מעשיו ומוכן לתת את הדין על כך. מכאן מסיקים כי הסכנה שיחזור לסורו בעתיד פחותה. ואולם, נוסף על כך יש גם רצון לעודד על ידי כך נאשמים אחרים שינהגו בדרך זו ועל ידי כך לחסוך מזמנו של בית המשפט ולמנוע עינוי דין וסחבת במצבור המשפטים התלויים ועומדים</w:t>
      </w:r>
      <w:r>
        <w:rPr>
          <w:rFonts w:ascii="Arial" w:hAnsi="Arial" w:hint="cs"/>
          <w:sz w:val="28"/>
          <w:szCs w:val="28"/>
          <w:rtl/>
        </w:rPr>
        <w:t xml:space="preserve">". </w:t>
      </w:r>
    </w:p>
    <w:p w14:paraId="09E98C69" w14:textId="77777777" w:rsidR="00063868" w:rsidRDefault="00063868">
      <w:pPr>
        <w:spacing w:line="360" w:lineRule="auto"/>
        <w:jc w:val="both"/>
        <w:textAlignment w:val="top"/>
        <w:rPr>
          <w:rFonts w:ascii="Arial" w:hAnsi="Arial"/>
          <w:sz w:val="28"/>
          <w:szCs w:val="28"/>
          <w:rtl/>
        </w:rPr>
      </w:pPr>
    </w:p>
    <w:p w14:paraId="5FBC49BF" w14:textId="77777777" w:rsidR="00063868" w:rsidRDefault="00302973">
      <w:pPr>
        <w:spacing w:line="360" w:lineRule="auto"/>
        <w:jc w:val="both"/>
        <w:textAlignment w:val="top"/>
        <w:rPr>
          <w:rFonts w:ascii="Arial" w:hAnsi="Arial"/>
          <w:sz w:val="28"/>
          <w:szCs w:val="28"/>
          <w:rtl/>
        </w:rPr>
      </w:pPr>
      <w:r>
        <w:rPr>
          <w:rFonts w:ascii="Arial" w:hAnsi="Arial" w:hint="cs"/>
          <w:sz w:val="28"/>
          <w:szCs w:val="28"/>
          <w:rtl/>
        </w:rPr>
        <w:t>ראו גם דברי כב' השופט א. רובינשטיין ב</w:t>
      </w:r>
      <w:hyperlink r:id="rId16" w:history="1">
        <w:r w:rsidR="00A22D46" w:rsidRPr="00A22D46">
          <w:rPr>
            <w:rStyle w:val="Hyperlink"/>
            <w:rFonts w:ascii="Arial" w:hAnsi="Arial" w:hint="eastAsia"/>
            <w:sz w:val="28"/>
            <w:szCs w:val="28"/>
            <w:rtl/>
          </w:rPr>
          <w:t>ע</w:t>
        </w:r>
        <w:r w:rsidR="00A22D46" w:rsidRPr="00A22D46">
          <w:rPr>
            <w:rStyle w:val="Hyperlink"/>
            <w:rFonts w:ascii="Arial" w:hAnsi="Arial"/>
            <w:sz w:val="28"/>
            <w:szCs w:val="28"/>
            <w:rtl/>
          </w:rPr>
          <w:t>"פ 2163/05</w:t>
        </w:r>
      </w:hyperlink>
      <w:r>
        <w:rPr>
          <w:rFonts w:ascii="Arial" w:hAnsi="Arial" w:hint="cs"/>
          <w:sz w:val="28"/>
          <w:szCs w:val="28"/>
          <w:rtl/>
        </w:rPr>
        <w:t xml:space="preserve"> </w:t>
      </w:r>
      <w:r>
        <w:rPr>
          <w:rFonts w:ascii="Arial" w:hAnsi="Arial" w:hint="cs"/>
          <w:b/>
          <w:bCs/>
          <w:sz w:val="28"/>
          <w:szCs w:val="28"/>
          <w:rtl/>
        </w:rPr>
        <w:t>אלייב ואח' נ' מדינת ישראל</w:t>
      </w:r>
      <w:r>
        <w:rPr>
          <w:rFonts w:ascii="Arial" w:hAnsi="Arial" w:hint="cs"/>
          <w:sz w:val="28"/>
          <w:szCs w:val="28"/>
          <w:rtl/>
        </w:rPr>
        <w:t xml:space="preserve">, תק-על 2005 (4) 2908 בנושא זה, לפיהם, </w:t>
      </w:r>
      <w:r>
        <w:rPr>
          <w:rFonts w:ascii="Arial" w:hAnsi="Arial" w:hint="cs"/>
          <w:sz w:val="28"/>
          <w:szCs w:val="28"/>
          <w:u w:val="single"/>
          <w:rtl/>
        </w:rPr>
        <w:t>אלמלא ההודאה, היה העונש חמור באופן משמעותי מזה שהוטל בעקבות ההודאה</w:t>
      </w:r>
      <w:r>
        <w:rPr>
          <w:rFonts w:ascii="Arial" w:hAnsi="Arial" w:hint="cs"/>
          <w:sz w:val="28"/>
          <w:szCs w:val="28"/>
          <w:rtl/>
        </w:rPr>
        <w:t>.</w:t>
      </w:r>
    </w:p>
    <w:p w14:paraId="556607AA" w14:textId="77777777" w:rsidR="00063868" w:rsidRDefault="00063868">
      <w:pPr>
        <w:spacing w:line="360" w:lineRule="auto"/>
        <w:jc w:val="both"/>
        <w:rPr>
          <w:sz w:val="28"/>
          <w:szCs w:val="28"/>
          <w:rtl/>
        </w:rPr>
      </w:pPr>
    </w:p>
    <w:p w14:paraId="4640F872" w14:textId="77777777" w:rsidR="00063868" w:rsidRDefault="00302973">
      <w:pPr>
        <w:spacing w:line="360" w:lineRule="auto"/>
        <w:jc w:val="both"/>
        <w:rPr>
          <w:sz w:val="28"/>
          <w:szCs w:val="28"/>
          <w:rtl/>
        </w:rPr>
      </w:pPr>
      <w:r>
        <w:rPr>
          <w:rFonts w:hint="cs"/>
          <w:sz w:val="28"/>
          <w:szCs w:val="28"/>
          <w:rtl/>
        </w:rPr>
        <w:t xml:space="preserve">שנית, </w:t>
      </w:r>
      <w:r>
        <w:rPr>
          <w:rFonts w:hint="cs"/>
          <w:b/>
          <w:bCs/>
          <w:sz w:val="28"/>
          <w:szCs w:val="28"/>
          <w:rtl/>
        </w:rPr>
        <w:t>הודאתו של הנאשם באה בעקבות הליך של "גישור"</w:t>
      </w:r>
      <w:r>
        <w:rPr>
          <w:rFonts w:hint="cs"/>
          <w:sz w:val="28"/>
          <w:szCs w:val="28"/>
          <w:rtl/>
        </w:rPr>
        <w:t>. הליך זה שהינו הליך וולונטרי, מיועד ללבן מחלוקות בין הצדדים בטרם משפט, ולמנוע ניהול משפטים מיותר, תוך ניסיון להקל מעט מן העומס המוטל על בתי המשפט ולגרום לכך שמאמצי בית המשפט יופנו לאותם מקרים בהם יש צורך לשמוע את העדים וליתן הכרעת דין מנומקת. כשמועבר תיק לשופט מגשר, שכמובן אינו השופט היושב בדין, קורא הוא את כל תיק החקירה ומשקיע מזמנו, נסיונו ומקצועיותו, כדי לנסות ולהביא את הצדדים להסדר שייתר שמיעת ראיות. ודוק, לא הסדר לעניין העונש.</w:t>
      </w:r>
    </w:p>
    <w:p w14:paraId="458818A3" w14:textId="77777777" w:rsidR="00063868" w:rsidRDefault="00063868">
      <w:pPr>
        <w:spacing w:line="360" w:lineRule="auto"/>
        <w:jc w:val="both"/>
        <w:rPr>
          <w:sz w:val="28"/>
          <w:szCs w:val="28"/>
          <w:rtl/>
        </w:rPr>
      </w:pPr>
    </w:p>
    <w:p w14:paraId="1125FC49" w14:textId="77777777" w:rsidR="00063868" w:rsidRDefault="00302973">
      <w:pPr>
        <w:spacing w:line="360" w:lineRule="auto"/>
        <w:jc w:val="both"/>
        <w:textAlignment w:val="top"/>
        <w:rPr>
          <w:rFonts w:ascii="Arial" w:hAnsi="Arial"/>
          <w:sz w:val="28"/>
          <w:szCs w:val="28"/>
          <w:rtl/>
        </w:rPr>
      </w:pPr>
      <w:r>
        <w:rPr>
          <w:rFonts w:hint="cs"/>
          <w:sz w:val="28"/>
          <w:szCs w:val="28"/>
          <w:rtl/>
        </w:rPr>
        <w:t>אני סבור שיש חשיבות רבה להליך גישור שבעקבותיו מודה הנאשם. יש לראות בכך גורם לקולא שישוקלל במסגרת כלל שיקולי הענישה ויקבל את משקלו המתאים על פי נסיבותיו של כל מקרה.</w:t>
      </w:r>
    </w:p>
    <w:p w14:paraId="794C328A" w14:textId="77777777" w:rsidR="00063868" w:rsidRDefault="00063868">
      <w:pPr>
        <w:spacing w:line="360" w:lineRule="auto"/>
        <w:jc w:val="both"/>
        <w:rPr>
          <w:rFonts w:ascii="Arial" w:hAnsi="Arial"/>
          <w:sz w:val="28"/>
          <w:szCs w:val="28"/>
          <w:rtl/>
        </w:rPr>
      </w:pPr>
    </w:p>
    <w:p w14:paraId="7B3BD6E8" w14:textId="77777777" w:rsidR="00063868" w:rsidRDefault="00302973">
      <w:pPr>
        <w:spacing w:line="360" w:lineRule="auto"/>
        <w:jc w:val="both"/>
        <w:rPr>
          <w:sz w:val="28"/>
          <w:szCs w:val="28"/>
          <w:rtl/>
        </w:rPr>
      </w:pPr>
      <w:r>
        <w:rPr>
          <w:rFonts w:ascii="Arial" w:hAnsi="Arial" w:hint="cs"/>
          <w:sz w:val="28"/>
          <w:szCs w:val="28"/>
          <w:rtl/>
        </w:rPr>
        <w:t xml:space="preserve">שלישית, </w:t>
      </w:r>
      <w:r>
        <w:rPr>
          <w:rFonts w:ascii="Arial" w:hAnsi="Arial" w:hint="cs"/>
          <w:b/>
          <w:bCs/>
          <w:sz w:val="28"/>
          <w:szCs w:val="28"/>
          <w:rtl/>
        </w:rPr>
        <w:t>חסכון בזמן שיפוטי</w:t>
      </w:r>
      <w:r>
        <w:rPr>
          <w:rFonts w:ascii="Arial" w:hAnsi="Arial" w:hint="cs"/>
          <w:sz w:val="28"/>
          <w:szCs w:val="28"/>
          <w:rtl/>
        </w:rPr>
        <w:t>. בימים בהם העומס על בתי המשפט הוא עצום, ראוי שהנאשמים ידעו שיש משקל לחסכון בזמן שיפוטי, הנובע מהודאתם באותם המקרים בהם ביצעו עבירה.</w:t>
      </w:r>
    </w:p>
    <w:p w14:paraId="41B08F5F" w14:textId="77777777" w:rsidR="00063868" w:rsidRDefault="00063868">
      <w:pPr>
        <w:spacing w:line="360" w:lineRule="auto"/>
        <w:jc w:val="both"/>
        <w:rPr>
          <w:sz w:val="28"/>
          <w:szCs w:val="28"/>
          <w:rtl/>
        </w:rPr>
      </w:pPr>
    </w:p>
    <w:p w14:paraId="2D790A8D" w14:textId="77777777" w:rsidR="00063868" w:rsidRDefault="00302973">
      <w:pPr>
        <w:spacing w:line="360" w:lineRule="auto"/>
        <w:jc w:val="both"/>
        <w:rPr>
          <w:sz w:val="28"/>
          <w:szCs w:val="28"/>
          <w:rtl/>
        </w:rPr>
      </w:pPr>
      <w:r>
        <w:rPr>
          <w:rFonts w:hint="cs"/>
          <w:sz w:val="28"/>
          <w:szCs w:val="28"/>
          <w:rtl/>
        </w:rPr>
        <w:t xml:space="preserve">רביעית, </w:t>
      </w:r>
      <w:r>
        <w:rPr>
          <w:rFonts w:hint="cs"/>
          <w:b/>
          <w:bCs/>
          <w:sz w:val="28"/>
          <w:szCs w:val="28"/>
          <w:rtl/>
        </w:rPr>
        <w:t xml:space="preserve">נסיבותיו האישיות הכלכליות והמשפחתיות </w:t>
      </w:r>
      <w:r>
        <w:rPr>
          <w:rFonts w:hint="cs"/>
          <w:sz w:val="28"/>
          <w:szCs w:val="28"/>
          <w:rtl/>
        </w:rPr>
        <w:t xml:space="preserve">של הנאשם והיותו המפרנס היחיד למשפחה בת 6 נפשות ביניהם ילדה קטנה הסובלת מכוויות בגופה, דבר המצריך טיפול, סיוע ונסיעות לבית חולים אותן מתקשה האם לבצע, בהיותה מטפלת ב </w:t>
      </w:r>
      <w:r>
        <w:rPr>
          <w:sz w:val="28"/>
          <w:szCs w:val="28"/>
          <w:rtl/>
        </w:rPr>
        <w:t>–</w:t>
      </w:r>
      <w:r>
        <w:rPr>
          <w:rFonts w:hint="cs"/>
          <w:sz w:val="28"/>
          <w:szCs w:val="28"/>
          <w:rtl/>
        </w:rPr>
        <w:t xml:space="preserve"> 3 ילדים קטנים נוספים. </w:t>
      </w:r>
    </w:p>
    <w:p w14:paraId="1796914D" w14:textId="77777777" w:rsidR="00063868" w:rsidRDefault="00063868">
      <w:pPr>
        <w:spacing w:line="360" w:lineRule="auto"/>
        <w:jc w:val="both"/>
        <w:rPr>
          <w:sz w:val="28"/>
          <w:szCs w:val="28"/>
          <w:rtl/>
        </w:rPr>
      </w:pPr>
    </w:p>
    <w:p w14:paraId="0650F4CB" w14:textId="77777777" w:rsidR="00063868" w:rsidRDefault="00302973">
      <w:pPr>
        <w:spacing w:line="360" w:lineRule="auto"/>
        <w:jc w:val="both"/>
        <w:rPr>
          <w:b/>
          <w:bCs/>
          <w:sz w:val="28"/>
          <w:szCs w:val="28"/>
          <w:rtl/>
        </w:rPr>
      </w:pPr>
      <w:r>
        <w:rPr>
          <w:b/>
          <w:bCs/>
          <w:sz w:val="28"/>
          <w:szCs w:val="28"/>
          <w:rtl/>
        </w:rPr>
        <w:br w:type="page"/>
      </w:r>
      <w:r>
        <w:rPr>
          <w:rFonts w:hint="cs"/>
          <w:b/>
          <w:bCs/>
          <w:sz w:val="28"/>
          <w:szCs w:val="28"/>
          <w:rtl/>
        </w:rPr>
        <w:t>סוף דבר</w:t>
      </w:r>
    </w:p>
    <w:p w14:paraId="6ACBBD9A" w14:textId="77777777" w:rsidR="00063868" w:rsidRDefault="00302973">
      <w:pPr>
        <w:spacing w:line="360" w:lineRule="auto"/>
        <w:jc w:val="both"/>
        <w:textAlignment w:val="top"/>
        <w:rPr>
          <w:rFonts w:ascii="Arial" w:hAnsi="Arial"/>
          <w:sz w:val="28"/>
          <w:szCs w:val="28"/>
          <w:rtl/>
        </w:rPr>
      </w:pPr>
      <w:r>
        <w:rPr>
          <w:rFonts w:ascii="Arial" w:hAnsi="Arial" w:hint="cs"/>
          <w:sz w:val="28"/>
          <w:szCs w:val="28"/>
          <w:rtl/>
        </w:rPr>
        <w:t xml:space="preserve">לאור האמור לעיל ולאחר ששקלתי את כל השיקולים </w:t>
      </w:r>
      <w:r>
        <w:rPr>
          <w:rFonts w:ascii="Arial" w:hAnsi="Arial" w:hint="cs"/>
          <w:b/>
          <w:bCs/>
          <w:sz w:val="28"/>
          <w:szCs w:val="28"/>
          <w:rtl/>
        </w:rPr>
        <w:t>ובעיקר בשל הודאתו של הנאשם בתחילת משפטו, במסגרת הליך של גישור,</w:t>
      </w:r>
      <w:r>
        <w:rPr>
          <w:rFonts w:ascii="Arial" w:hAnsi="Arial" w:hint="cs"/>
          <w:sz w:val="28"/>
          <w:szCs w:val="28"/>
          <w:rtl/>
        </w:rPr>
        <w:t xml:space="preserve"> אני גוזר על הנאשם את העונשים הבאים:</w:t>
      </w:r>
    </w:p>
    <w:p w14:paraId="25359D15" w14:textId="77777777" w:rsidR="00063868" w:rsidRDefault="00063868">
      <w:pPr>
        <w:tabs>
          <w:tab w:val="left" w:pos="8306"/>
        </w:tabs>
        <w:spacing w:line="360" w:lineRule="auto"/>
        <w:jc w:val="both"/>
        <w:textAlignment w:val="top"/>
        <w:rPr>
          <w:rFonts w:ascii="Arial" w:hAnsi="Arial"/>
          <w:sz w:val="28"/>
          <w:szCs w:val="28"/>
          <w:rtl/>
        </w:rPr>
      </w:pPr>
    </w:p>
    <w:p w14:paraId="14D7E3E8" w14:textId="77777777" w:rsidR="00063868" w:rsidRDefault="00302973">
      <w:pPr>
        <w:numPr>
          <w:ilvl w:val="0"/>
          <w:numId w:val="1"/>
        </w:numPr>
        <w:tabs>
          <w:tab w:val="left" w:pos="8306"/>
        </w:tabs>
        <w:spacing w:line="360" w:lineRule="auto"/>
        <w:jc w:val="both"/>
        <w:textAlignment w:val="top"/>
        <w:rPr>
          <w:rFonts w:ascii="Arial" w:hAnsi="Arial"/>
          <w:sz w:val="28"/>
          <w:szCs w:val="28"/>
          <w:rtl/>
        </w:rPr>
      </w:pPr>
      <w:r>
        <w:rPr>
          <w:rFonts w:ascii="Arial" w:hAnsi="Arial" w:hint="cs"/>
          <w:sz w:val="28"/>
          <w:szCs w:val="28"/>
          <w:rtl/>
        </w:rPr>
        <w:t>20 חודשי מאסר בפועל בניכוי ימי מעצרו מיום 19.5.09.</w:t>
      </w:r>
    </w:p>
    <w:p w14:paraId="394EF461" w14:textId="77777777" w:rsidR="00063868" w:rsidRDefault="00302973">
      <w:pPr>
        <w:numPr>
          <w:ilvl w:val="0"/>
          <w:numId w:val="1"/>
        </w:numPr>
        <w:tabs>
          <w:tab w:val="left" w:pos="8306"/>
        </w:tabs>
        <w:spacing w:line="360" w:lineRule="auto"/>
        <w:jc w:val="both"/>
        <w:textAlignment w:val="top"/>
        <w:rPr>
          <w:rFonts w:ascii="Arial" w:hAnsi="Arial"/>
          <w:sz w:val="28"/>
          <w:szCs w:val="28"/>
        </w:rPr>
      </w:pPr>
      <w:r>
        <w:rPr>
          <w:rFonts w:ascii="Arial" w:hAnsi="Arial" w:hint="cs"/>
          <w:sz w:val="28"/>
          <w:szCs w:val="28"/>
          <w:rtl/>
        </w:rPr>
        <w:t xml:space="preserve">24 חודשי מאסר על תנאי למשך 3 שנים לבל יעבור עבירה בנשק לפי </w:t>
      </w:r>
      <w:hyperlink r:id="rId17" w:history="1">
        <w:r w:rsidR="00AE1C4F" w:rsidRPr="00AE1C4F">
          <w:rPr>
            <w:rFonts w:ascii="Arial" w:hAnsi="Arial"/>
            <w:color w:val="0000FF"/>
            <w:sz w:val="28"/>
            <w:szCs w:val="28"/>
            <w:u w:val="single"/>
            <w:rtl/>
          </w:rPr>
          <w:t>סעיף 144</w:t>
        </w:r>
      </w:hyperlink>
      <w:r>
        <w:rPr>
          <w:rFonts w:ascii="Arial" w:hAnsi="Arial" w:hint="cs"/>
          <w:sz w:val="28"/>
          <w:szCs w:val="28"/>
          <w:rtl/>
        </w:rPr>
        <w:t xml:space="preserve"> ל</w:t>
      </w:r>
      <w:hyperlink r:id="rId18" w:history="1">
        <w:r w:rsidR="00A22D46" w:rsidRPr="00A22D46">
          <w:rPr>
            <w:rStyle w:val="Hyperlink"/>
            <w:rFonts w:ascii="Arial" w:hAnsi="Arial"/>
            <w:sz w:val="28"/>
            <w:szCs w:val="28"/>
            <w:rtl/>
          </w:rPr>
          <w:t>חוק העונשין</w:t>
        </w:r>
      </w:hyperlink>
      <w:r>
        <w:rPr>
          <w:rFonts w:ascii="Arial" w:hAnsi="Arial" w:hint="cs"/>
          <w:sz w:val="28"/>
          <w:szCs w:val="28"/>
          <w:rtl/>
        </w:rPr>
        <w:t xml:space="preserve"> או כל עבירת אלימות מסוג פשע.</w:t>
      </w:r>
    </w:p>
    <w:p w14:paraId="2501F073" w14:textId="77777777" w:rsidR="00063868" w:rsidRDefault="00302973">
      <w:pPr>
        <w:tabs>
          <w:tab w:val="left" w:pos="8306"/>
        </w:tabs>
        <w:spacing w:line="360" w:lineRule="auto"/>
        <w:ind w:left="360"/>
        <w:jc w:val="both"/>
        <w:textAlignment w:val="top"/>
        <w:rPr>
          <w:rFonts w:ascii="Arial" w:hAnsi="Arial"/>
          <w:sz w:val="28"/>
          <w:szCs w:val="28"/>
        </w:rPr>
      </w:pPr>
      <w:r>
        <w:rPr>
          <w:rFonts w:ascii="Arial" w:hAnsi="Arial" w:hint="cs"/>
          <w:sz w:val="28"/>
          <w:szCs w:val="28"/>
          <w:rtl/>
        </w:rPr>
        <w:t xml:space="preserve"> </w:t>
      </w:r>
    </w:p>
    <w:p w14:paraId="567242FE" w14:textId="77777777" w:rsidR="00063868" w:rsidRDefault="00302973">
      <w:pPr>
        <w:tabs>
          <w:tab w:val="left" w:pos="8306"/>
        </w:tabs>
        <w:spacing w:line="360" w:lineRule="auto"/>
        <w:jc w:val="both"/>
        <w:textAlignment w:val="top"/>
        <w:rPr>
          <w:rFonts w:ascii="Arial" w:hAnsi="Arial"/>
          <w:sz w:val="28"/>
          <w:szCs w:val="28"/>
          <w:rtl/>
        </w:rPr>
      </w:pPr>
      <w:r>
        <w:rPr>
          <w:rFonts w:ascii="Arial" w:hAnsi="Arial" w:hint="cs"/>
          <w:sz w:val="28"/>
          <w:szCs w:val="28"/>
          <w:rtl/>
        </w:rPr>
        <w:t xml:space="preserve">בשל תקופת המאסר שנגזרה על הנאשם, והמצב הכלכלי שלו ושל משפחתו, לא מצאתי לנכון להשית עליו קנס. </w:t>
      </w:r>
    </w:p>
    <w:p w14:paraId="7880F498" w14:textId="77777777" w:rsidR="00063868" w:rsidRDefault="00063868">
      <w:pPr>
        <w:tabs>
          <w:tab w:val="left" w:pos="8306"/>
        </w:tabs>
        <w:spacing w:line="360" w:lineRule="auto"/>
        <w:jc w:val="both"/>
        <w:textAlignment w:val="top"/>
        <w:rPr>
          <w:rFonts w:ascii="Arial" w:hAnsi="Arial"/>
          <w:sz w:val="28"/>
          <w:szCs w:val="28"/>
          <w:rtl/>
        </w:rPr>
      </w:pPr>
    </w:p>
    <w:p w14:paraId="063461C2" w14:textId="77777777" w:rsidR="00063868" w:rsidRDefault="00302973">
      <w:pPr>
        <w:tabs>
          <w:tab w:val="left" w:pos="8306"/>
        </w:tabs>
        <w:spacing w:line="360" w:lineRule="auto"/>
        <w:jc w:val="both"/>
        <w:textAlignment w:val="top"/>
        <w:rPr>
          <w:rFonts w:ascii="Arial" w:hAnsi="Arial"/>
          <w:sz w:val="28"/>
          <w:szCs w:val="28"/>
          <w:rtl/>
        </w:rPr>
      </w:pPr>
      <w:r>
        <w:rPr>
          <w:rFonts w:ascii="Arial" w:hAnsi="Arial" w:hint="cs"/>
          <w:sz w:val="28"/>
          <w:szCs w:val="28"/>
          <w:rtl/>
        </w:rPr>
        <w:t xml:space="preserve">הודעה לצדדים זכות ערעור לבית המשפט העליון תוך 45 ימים. </w:t>
      </w:r>
    </w:p>
    <w:p w14:paraId="229710BE" w14:textId="77777777" w:rsidR="00063868" w:rsidRDefault="00063868">
      <w:pPr>
        <w:jc w:val="both"/>
        <w:rPr>
          <w:rFonts w:cs="FrankRuehl"/>
          <w:sz w:val="28"/>
          <w:szCs w:val="28"/>
          <w:rtl/>
        </w:rPr>
      </w:pPr>
    </w:p>
    <w:p w14:paraId="186A0485" w14:textId="77777777" w:rsidR="00063868" w:rsidRDefault="00063868">
      <w:pPr>
        <w:jc w:val="both"/>
        <w:rPr>
          <w:rFonts w:cs="FrankRuehl"/>
          <w:sz w:val="28"/>
          <w:szCs w:val="28"/>
          <w:rtl/>
        </w:rPr>
      </w:pPr>
    </w:p>
    <w:p w14:paraId="363C1E56" w14:textId="77777777" w:rsidR="00063868" w:rsidRDefault="00302973">
      <w:pPr>
        <w:jc w:val="both"/>
        <w:rPr>
          <w:rFonts w:cs="FrankRuehl"/>
          <w:sz w:val="28"/>
          <w:szCs w:val="28"/>
          <w:rtl/>
        </w:rPr>
      </w:pPr>
      <w:r>
        <w:rPr>
          <w:rFonts w:ascii="Arial" w:hAnsi="Arial"/>
          <w:sz w:val="28"/>
          <w:szCs w:val="28"/>
          <w:rtl/>
        </w:rPr>
        <w:t xml:space="preserve">ניתן היום, ל' בתשרי תש"ע, 18 אוקטובר 2009, בנוכחות הנאשם וב"כ הצדדים. </w:t>
      </w:r>
    </w:p>
    <w:p w14:paraId="3B648FAD" w14:textId="77777777" w:rsidR="00302973" w:rsidRPr="00302973" w:rsidRDefault="00302973">
      <w:pPr>
        <w:ind w:left="7200"/>
        <w:jc w:val="both"/>
        <w:rPr>
          <w:rFonts w:ascii="Arial" w:hAnsi="Arial" w:cs="FrankRuehl"/>
          <w:color w:val="FFFFFF"/>
          <w:sz w:val="2"/>
          <w:szCs w:val="2"/>
          <w:rtl/>
        </w:rPr>
      </w:pPr>
    </w:p>
    <w:p w14:paraId="1BE8AFCC" w14:textId="77777777" w:rsidR="00302973" w:rsidRPr="00302973" w:rsidRDefault="00302973">
      <w:pPr>
        <w:ind w:left="7200"/>
        <w:jc w:val="both"/>
        <w:rPr>
          <w:rFonts w:ascii="Arial" w:hAnsi="Arial" w:cs="FrankRuehl"/>
          <w:color w:val="FFFFFF"/>
          <w:sz w:val="2"/>
          <w:szCs w:val="2"/>
          <w:rtl/>
        </w:rPr>
      </w:pPr>
      <w:r w:rsidRPr="00302973">
        <w:rPr>
          <w:rFonts w:ascii="Arial" w:hAnsi="Arial" w:cs="FrankRuehl"/>
          <w:color w:val="FFFFFF"/>
          <w:sz w:val="2"/>
          <w:szCs w:val="2"/>
          <w:rtl/>
        </w:rPr>
        <w:t>5129371</w:t>
      </w:r>
    </w:p>
    <w:p w14:paraId="48ACF7AE" w14:textId="77777777" w:rsidR="00063868" w:rsidRDefault="00302973">
      <w:pPr>
        <w:ind w:left="7200"/>
        <w:jc w:val="both"/>
        <w:rPr>
          <w:rFonts w:ascii="Arial" w:hAnsi="Arial" w:cs="FrankRuehl"/>
          <w:sz w:val="28"/>
          <w:szCs w:val="28"/>
          <w:rtl/>
        </w:rPr>
      </w:pPr>
      <w:r w:rsidRPr="00302973">
        <w:rPr>
          <w:rFonts w:ascii="Arial" w:hAnsi="Arial" w:cs="FrankRuehl"/>
          <w:color w:val="FFFFFF"/>
          <w:sz w:val="2"/>
          <w:szCs w:val="2"/>
          <w:rtl/>
        </w:rPr>
        <w:t>54678313</w:t>
      </w:r>
    </w:p>
    <w:p w14:paraId="2EA6AE7F" w14:textId="77777777" w:rsidR="00302973" w:rsidRPr="00302973" w:rsidRDefault="00302973" w:rsidP="00302973">
      <w:pPr>
        <w:keepNext/>
        <w:rPr>
          <w:rFonts w:ascii="David" w:hAnsi="David"/>
          <w:color w:val="000000"/>
          <w:sz w:val="22"/>
          <w:szCs w:val="22"/>
          <w:rtl/>
        </w:rPr>
      </w:pPr>
    </w:p>
    <w:p w14:paraId="4B810146" w14:textId="77777777" w:rsidR="00302973" w:rsidRPr="00302973" w:rsidRDefault="00302973" w:rsidP="00302973">
      <w:pPr>
        <w:keepNext/>
        <w:rPr>
          <w:rFonts w:ascii="David" w:hAnsi="David"/>
          <w:color w:val="000000"/>
          <w:sz w:val="22"/>
          <w:szCs w:val="22"/>
          <w:rtl/>
        </w:rPr>
      </w:pPr>
      <w:r w:rsidRPr="00302973">
        <w:rPr>
          <w:rFonts w:ascii="David" w:hAnsi="David"/>
          <w:color w:val="000000"/>
          <w:sz w:val="22"/>
          <w:szCs w:val="22"/>
          <w:rtl/>
        </w:rPr>
        <w:t>משה גלעד 54678313</w:t>
      </w:r>
    </w:p>
    <w:p w14:paraId="2F1AAAAE" w14:textId="77777777" w:rsidR="00063868" w:rsidRDefault="00063868"/>
    <w:tbl>
      <w:tblPr>
        <w:bidiVisual/>
        <w:tblW w:w="0" w:type="auto"/>
        <w:tblInd w:w="5759" w:type="dxa"/>
        <w:tblLook w:val="01E0" w:firstRow="1" w:lastRow="1" w:firstColumn="1" w:lastColumn="1" w:noHBand="0" w:noVBand="0"/>
      </w:tblPr>
      <w:tblGrid>
        <w:gridCol w:w="2766"/>
      </w:tblGrid>
      <w:tr w:rsidR="00063868" w14:paraId="3E29160C" w14:textId="77777777" w:rsidTr="00C0076C">
        <w:tc>
          <w:tcPr>
            <w:tcW w:w="2766" w:type="dxa"/>
            <w:tcBorders>
              <w:top w:val="nil"/>
              <w:left w:val="nil"/>
              <w:bottom w:val="single" w:sz="4" w:space="0" w:color="auto"/>
              <w:right w:val="nil"/>
            </w:tcBorders>
            <w:shd w:val="clear" w:color="auto" w:fill="auto"/>
            <w:vAlign w:val="center"/>
          </w:tcPr>
          <w:p w14:paraId="2D129D4B" w14:textId="77777777" w:rsidR="00063868" w:rsidRPr="00C0076C" w:rsidRDefault="00063868" w:rsidP="00C0076C">
            <w:pPr>
              <w:jc w:val="center"/>
              <w:rPr>
                <w:rFonts w:ascii="Courier New" w:hAnsi="Courier New"/>
                <w:b/>
                <w:bCs/>
              </w:rPr>
            </w:pPr>
          </w:p>
        </w:tc>
      </w:tr>
      <w:tr w:rsidR="00063868" w14:paraId="265D8ECD" w14:textId="77777777" w:rsidTr="00C0076C">
        <w:tc>
          <w:tcPr>
            <w:tcW w:w="2766" w:type="dxa"/>
            <w:tcBorders>
              <w:top w:val="single" w:sz="4" w:space="0" w:color="auto"/>
              <w:left w:val="nil"/>
              <w:bottom w:val="nil"/>
              <w:right w:val="nil"/>
            </w:tcBorders>
            <w:shd w:val="clear" w:color="auto" w:fill="auto"/>
          </w:tcPr>
          <w:p w14:paraId="493F8EFE" w14:textId="77777777" w:rsidR="00063868" w:rsidRPr="00C0076C" w:rsidRDefault="00302973" w:rsidP="00C0076C">
            <w:pPr>
              <w:spacing w:line="360" w:lineRule="auto"/>
              <w:jc w:val="center"/>
              <w:rPr>
                <w:b/>
                <w:bCs/>
              </w:rPr>
            </w:pPr>
            <w:r w:rsidRPr="00C0076C">
              <w:rPr>
                <w:rFonts w:hint="cs"/>
                <w:b/>
                <w:bCs/>
                <w:rtl/>
              </w:rPr>
              <w:t xml:space="preserve">מ. גלעד, שופט </w:t>
            </w:r>
          </w:p>
        </w:tc>
      </w:tr>
    </w:tbl>
    <w:p w14:paraId="6E3C10DB" w14:textId="77777777" w:rsidR="00063868" w:rsidRDefault="00063868">
      <w:pPr>
        <w:rPr>
          <w:rtl/>
        </w:rPr>
      </w:pPr>
    </w:p>
    <w:p w14:paraId="115F9F37" w14:textId="77777777" w:rsidR="00063868" w:rsidRDefault="00302973">
      <w:pPr>
        <w:pStyle w:val="a3"/>
        <w:jc w:val="both"/>
        <w:rPr>
          <w:rtl/>
        </w:rPr>
      </w:pPr>
      <w:r>
        <w:rPr>
          <w:rFonts w:hint="cs"/>
          <w:rtl/>
        </w:rPr>
        <w:t>לטם ג.</w:t>
      </w:r>
    </w:p>
    <w:p w14:paraId="1C6BCBFC" w14:textId="77777777" w:rsidR="00302973" w:rsidRDefault="00302973" w:rsidP="00302973">
      <w:r w:rsidRPr="00302973">
        <w:rPr>
          <w:color w:val="000000"/>
          <w:rtl/>
        </w:rPr>
        <w:t>נוסח מסמך זה כפוף לשינויי ניסוח ועריכה</w:t>
      </w:r>
    </w:p>
    <w:p w14:paraId="6E7D5591" w14:textId="77777777" w:rsidR="00302973" w:rsidRDefault="00302973" w:rsidP="00302973">
      <w:pPr>
        <w:rPr>
          <w:rtl/>
        </w:rPr>
      </w:pPr>
    </w:p>
    <w:p w14:paraId="59487F67" w14:textId="77777777" w:rsidR="00302973" w:rsidRDefault="00302973" w:rsidP="00302973">
      <w:pPr>
        <w:jc w:val="center"/>
        <w:rPr>
          <w:color w:val="0000FF"/>
          <w:u w:val="single"/>
        </w:rPr>
      </w:pPr>
      <w:r w:rsidRPr="002068F2">
        <w:rPr>
          <w:color w:val="000000"/>
          <w:rtl/>
        </w:rPr>
        <w:t>הודעה למנויים על עריכה ושינויים במסמכי פסיקה, חקיקה ועוד באתר נבו - הקש כאן</w:t>
      </w:r>
    </w:p>
    <w:p w14:paraId="4D4C89A1" w14:textId="77777777" w:rsidR="00063868" w:rsidRPr="00302973" w:rsidRDefault="00063868" w:rsidP="00302973">
      <w:pPr>
        <w:jc w:val="center"/>
        <w:rPr>
          <w:color w:val="0000FF"/>
          <w:u w:val="single"/>
        </w:rPr>
      </w:pPr>
    </w:p>
    <w:sectPr w:rsidR="00063868" w:rsidRPr="00302973" w:rsidSect="00302973">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5730" w14:textId="77777777" w:rsidR="00C0076C" w:rsidRPr="00BA2DCF" w:rsidRDefault="00C0076C">
      <w:pPr>
        <w:rPr>
          <w:rFonts w:cs="Arial"/>
          <w:szCs w:val="20"/>
        </w:rPr>
      </w:pPr>
      <w:r>
        <w:separator/>
      </w:r>
    </w:p>
  </w:endnote>
  <w:endnote w:type="continuationSeparator" w:id="0">
    <w:p w14:paraId="673724C6" w14:textId="77777777" w:rsidR="00C0076C" w:rsidRPr="00BA2DCF" w:rsidRDefault="00C0076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9C0F" w14:textId="77777777" w:rsidR="00091D95" w:rsidRDefault="00091D95" w:rsidP="003029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9</w:t>
    </w:r>
    <w:r>
      <w:rPr>
        <w:rFonts w:ascii="FrankRuehl" w:hAnsi="FrankRuehl" w:cs="FrankRuehl"/>
        <w:rtl/>
      </w:rPr>
      <w:fldChar w:fldCharType="end"/>
    </w:r>
  </w:p>
  <w:p w14:paraId="0373EF2D" w14:textId="77777777" w:rsidR="00091D95" w:rsidRDefault="00091D95" w:rsidP="00302973">
    <w:pPr>
      <w:pStyle w:val="a4"/>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1AB516A" w14:textId="77777777" w:rsidR="00091D95" w:rsidRPr="00302973" w:rsidRDefault="00091D95" w:rsidP="00302973">
    <w:pPr>
      <w:pStyle w:val="a4"/>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Y:\kidud---------\2009\10\2009-10-19 - 4469 files\02\OutDoc-Ragil\956c70708f844759b2cf0eea507fa5e8.xml</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DB2B" w14:textId="77777777" w:rsidR="00091D95" w:rsidRDefault="00091D95" w:rsidP="003029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4EEA">
      <w:rPr>
        <w:rFonts w:ascii="FrankRuehl" w:hAnsi="FrankRuehl" w:cs="FrankRuehl"/>
        <w:rtl/>
      </w:rPr>
      <w:t>1</w:t>
    </w:r>
    <w:r>
      <w:rPr>
        <w:rFonts w:ascii="FrankRuehl" w:hAnsi="FrankRuehl" w:cs="FrankRuehl"/>
        <w:rtl/>
      </w:rPr>
      <w:fldChar w:fldCharType="end"/>
    </w:r>
  </w:p>
  <w:p w14:paraId="44480DDC" w14:textId="77777777" w:rsidR="00091D95" w:rsidRDefault="00091D95" w:rsidP="00302973">
    <w:pPr>
      <w:pStyle w:val="a4"/>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B4899E6" w14:textId="77777777" w:rsidR="00091D95" w:rsidRPr="00302973" w:rsidRDefault="00091D95" w:rsidP="00302973">
    <w:pPr>
      <w:pStyle w:val="a4"/>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Y:\kidud---------\2009\10\2009-10-19 - 4469 files\02\OutDoc-Ragil\956c70708f844759b2cf0eea507fa5e8.xml</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6BD5" w14:textId="77777777" w:rsidR="00C0076C" w:rsidRPr="00BA2DCF" w:rsidRDefault="00C0076C">
      <w:pPr>
        <w:rPr>
          <w:rFonts w:cs="Arial"/>
          <w:szCs w:val="20"/>
        </w:rPr>
      </w:pPr>
      <w:r>
        <w:separator/>
      </w:r>
    </w:p>
  </w:footnote>
  <w:footnote w:type="continuationSeparator" w:id="0">
    <w:p w14:paraId="7AD10739" w14:textId="77777777" w:rsidR="00C0076C" w:rsidRPr="00BA2DCF" w:rsidRDefault="00C0076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BC96" w14:textId="77777777" w:rsidR="00091D95" w:rsidRPr="00302973" w:rsidRDefault="00091D95" w:rsidP="003029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16192-05-09</w:t>
    </w:r>
    <w:r>
      <w:rPr>
        <w:rFonts w:ascii="David" w:hAnsi="David"/>
        <w:color w:val="000000"/>
        <w:sz w:val="22"/>
        <w:szCs w:val="22"/>
        <w:rtl/>
      </w:rPr>
      <w:tab/>
      <w:t xml:space="preserve"> מדינת ישראל נ' מוחמד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0CFC" w14:textId="77777777" w:rsidR="00091D95" w:rsidRPr="00302973" w:rsidRDefault="00091D95" w:rsidP="003029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16192-05-09</w:t>
    </w:r>
    <w:r>
      <w:rPr>
        <w:rFonts w:ascii="David" w:hAnsi="David"/>
        <w:color w:val="000000"/>
        <w:sz w:val="22"/>
        <w:szCs w:val="22"/>
        <w:rtl/>
      </w:rPr>
      <w:tab/>
      <w:t xml:space="preserve"> מדינת ישראל נ' מוחמד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765"/>
    <w:multiLevelType w:val="hybridMultilevel"/>
    <w:tmpl w:val="A5A8BA5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39305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3868"/>
    <w:rsid w:val="00063868"/>
    <w:rsid w:val="00091D95"/>
    <w:rsid w:val="002068F2"/>
    <w:rsid w:val="00302973"/>
    <w:rsid w:val="00443BE5"/>
    <w:rsid w:val="00630482"/>
    <w:rsid w:val="00960842"/>
    <w:rsid w:val="00A22D46"/>
    <w:rsid w:val="00A24AF7"/>
    <w:rsid w:val="00AE1C4F"/>
    <w:rsid w:val="00B212B7"/>
    <w:rsid w:val="00B54EEA"/>
    <w:rsid w:val="00BA3BA7"/>
    <w:rsid w:val="00C007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32BFD6F"/>
  <w15:chartTrackingRefBased/>
  <w15:docId w15:val="{969034C8-16E7-4045-A0A6-000061B5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386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63868"/>
    <w:pPr>
      <w:tabs>
        <w:tab w:val="center" w:pos="4153"/>
        <w:tab w:val="right" w:pos="8306"/>
      </w:tabs>
    </w:pPr>
  </w:style>
  <w:style w:type="paragraph" w:styleId="a4">
    <w:name w:val="footer"/>
    <w:basedOn w:val="a"/>
    <w:rsid w:val="00063868"/>
    <w:pPr>
      <w:tabs>
        <w:tab w:val="center" w:pos="4153"/>
        <w:tab w:val="right" w:pos="8306"/>
      </w:tabs>
    </w:pPr>
  </w:style>
  <w:style w:type="table" w:styleId="a5">
    <w:name w:val="Table Grid"/>
    <w:basedOn w:val="a1"/>
    <w:rsid w:val="0006386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63868"/>
    <w:rPr>
      <w:color w:val="0000FF"/>
      <w:u w:val="single"/>
    </w:rPr>
  </w:style>
  <w:style w:type="character" w:styleId="a6">
    <w:name w:val="page number"/>
    <w:basedOn w:val="a0"/>
    <w:rsid w:val="0006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9"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29" TargetMode="External"/><Relationship Id="rId17" Type="http://schemas.openxmlformats.org/officeDocument/2006/relationships/hyperlink" Target="http://www.nevo.co.il/law/70301/144" TargetMode="External"/><Relationship Id="rId2" Type="http://schemas.openxmlformats.org/officeDocument/2006/relationships/styles" Target="styles.xml"/><Relationship Id="rId16" Type="http://schemas.openxmlformats.org/officeDocument/2006/relationships/hyperlink" Target="http://www.nevo.co.il/case/581584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991408" TargetMode="External"/><Relationship Id="rId23"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5852404" TargetMode="External"/><Relationship Id="rId22"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1928</Words>
  <Characters>9643</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11548</CharactersWithSpaces>
  <SharedDoc>false</SharedDoc>
  <HLinks>
    <vt:vector size="72" baseType="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3407997</vt:i4>
      </vt:variant>
      <vt:variant>
        <vt:i4>27</vt:i4>
      </vt:variant>
      <vt:variant>
        <vt:i4>0</vt:i4>
      </vt:variant>
      <vt:variant>
        <vt:i4>5</vt:i4>
      </vt:variant>
      <vt:variant>
        <vt:lpwstr>http://www.nevo.co.il/case/5815848</vt:lpwstr>
      </vt:variant>
      <vt:variant>
        <vt:lpwstr/>
      </vt:variant>
      <vt:variant>
        <vt:i4>3145852</vt:i4>
      </vt:variant>
      <vt:variant>
        <vt:i4>24</vt:i4>
      </vt:variant>
      <vt:variant>
        <vt:i4>0</vt:i4>
      </vt:variant>
      <vt:variant>
        <vt:i4>5</vt:i4>
      </vt:variant>
      <vt:variant>
        <vt:lpwstr>http://www.nevo.co.il/case/5991408</vt:lpwstr>
      </vt:variant>
      <vt:variant>
        <vt:lpwstr/>
      </vt:variant>
      <vt:variant>
        <vt:i4>3145854</vt:i4>
      </vt:variant>
      <vt:variant>
        <vt:i4>21</vt:i4>
      </vt:variant>
      <vt:variant>
        <vt:i4>0</vt:i4>
      </vt:variant>
      <vt:variant>
        <vt:i4>5</vt:i4>
      </vt:variant>
      <vt:variant>
        <vt:lpwstr>http://www.nevo.co.il/case/5852404</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16192</vt:lpwstr>
  </property>
  <property fmtid="{D5CDD505-2E9C-101B-9397-08002B2CF9AE}" pid="6" name="NEWPARTB">
    <vt:lpwstr>05</vt:lpwstr>
  </property>
  <property fmtid="{D5CDD505-2E9C-101B-9397-08002B2CF9AE}" pid="7" name="NEWPARTC">
    <vt:lpwstr>09</vt:lpwstr>
  </property>
  <property fmtid="{D5CDD505-2E9C-101B-9397-08002B2CF9AE}" pid="8" name="APPELLANT">
    <vt:lpwstr>מדינת ישראל;פרקליטות מחוז חיפה</vt:lpwstr>
  </property>
  <property fmtid="{D5CDD505-2E9C-101B-9397-08002B2CF9AE}" pid="9" name="APPELLEE">
    <vt:lpwstr>מוחמד מחאג'נה</vt:lpwstr>
  </property>
  <property fmtid="{D5CDD505-2E9C-101B-9397-08002B2CF9AE}" pid="10" name="LAWYER">
    <vt:lpwstr>מוחמד מחאג'נה ;ר. סלאמה</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20091018</vt:lpwstr>
  </property>
  <property fmtid="{D5CDD505-2E9C-101B-9397-08002B2CF9AE}" pid="14" name="TYPE_N_DATE">
    <vt:lpwstr>39020091018</vt:lpwstr>
  </property>
  <property fmtid="{D5CDD505-2E9C-101B-9397-08002B2CF9AE}" pid="15" name="WORDNUMPAGES">
    <vt:lpwstr>9</vt:lpwstr>
  </property>
  <property fmtid="{D5CDD505-2E9C-101B-9397-08002B2CF9AE}" pid="16" name="TYPE_ABS_DATE">
    <vt:lpwstr>390020091018</vt:lpwstr>
  </property>
  <property fmtid="{D5CDD505-2E9C-101B-9397-08002B2CF9AE}" pid="17" name="RemarkFileName">
    <vt:lpwstr>mechozi me 09 05 16192 355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5852404;5991408;5815848</vt:lpwstr>
  </property>
  <property fmtid="{D5CDD505-2E9C-101B-9397-08002B2CF9AE}" pid="40" name="LAWLISTTMP1">
    <vt:lpwstr>70301/144.b;029;144</vt:lpwstr>
  </property>
</Properties>
</file>