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6"/>
        <w:gridCol w:w="3675"/>
      </w:tblGrid>
      <w:tr w:rsidR="007A3975" w:rsidRPr="00BD5CDF" w14:paraId="7F34EE35" w14:textId="77777777">
        <w:trPr>
          <w:trHeight w:hRule="exact" w:val="418"/>
          <w:jc w:val="center"/>
        </w:trPr>
        <w:tc>
          <w:tcPr>
            <w:tcW w:w="8721" w:type="dxa"/>
            <w:gridSpan w:val="2"/>
          </w:tcPr>
          <w:p w14:paraId="13495455" w14:textId="77777777" w:rsidR="007A3975" w:rsidRPr="00BD5CDF" w:rsidRDefault="00BD5CDF">
            <w:pPr>
              <w:pStyle w:val="a3"/>
              <w:jc w:val="center"/>
              <w:rPr>
                <w:rFonts w:ascii="Tahoma" w:hAnsi="Tahoma" w:cs="Tahoma"/>
                <w:color w:val="000080"/>
                <w:rtl/>
              </w:rPr>
            </w:pPr>
            <w:bookmarkStart w:id="0" w:name="LastJudge"/>
            <w:r w:rsidRPr="00BD5CDF">
              <w:rPr>
                <w:rFonts w:ascii="Tahoma" w:hAnsi="Tahoma" w:cs="Tahoma"/>
                <w:b/>
                <w:bCs/>
                <w:color w:val="000080"/>
                <w:rtl/>
              </w:rPr>
              <w:t>בית המשפט המחוזי בחיפה</w:t>
            </w:r>
          </w:p>
        </w:tc>
      </w:tr>
      <w:tr w:rsidR="007A3975" w:rsidRPr="00BD5CDF" w14:paraId="6A3B6DBB" w14:textId="77777777">
        <w:trPr>
          <w:trHeight w:val="337"/>
          <w:jc w:val="center"/>
        </w:trPr>
        <w:tc>
          <w:tcPr>
            <w:tcW w:w="5046" w:type="dxa"/>
          </w:tcPr>
          <w:p w14:paraId="2CA36356" w14:textId="77777777" w:rsidR="007A3975" w:rsidRPr="00BD5CDF" w:rsidRDefault="00BD5CDF">
            <w:pPr>
              <w:rPr>
                <w:rFonts w:cs="FrankRuehl"/>
                <w:sz w:val="28"/>
                <w:szCs w:val="28"/>
                <w:rtl/>
              </w:rPr>
            </w:pPr>
            <w:r w:rsidRPr="00BD5CDF">
              <w:rPr>
                <w:rFonts w:cs="FrankRuehl"/>
                <w:sz w:val="28"/>
                <w:szCs w:val="28"/>
                <w:rtl/>
              </w:rPr>
              <w:t>ת"פ</w:t>
            </w:r>
            <w:r w:rsidRPr="00BD5CDF">
              <w:rPr>
                <w:rFonts w:cs="FrankRuehl" w:hint="cs"/>
                <w:sz w:val="28"/>
                <w:szCs w:val="28"/>
                <w:rtl/>
              </w:rPr>
              <w:t xml:space="preserve"> </w:t>
            </w:r>
            <w:r w:rsidRPr="00BD5CDF">
              <w:rPr>
                <w:rFonts w:cs="FrankRuehl"/>
                <w:sz w:val="28"/>
                <w:szCs w:val="28"/>
                <w:rtl/>
              </w:rPr>
              <w:t>10774-06-09</w:t>
            </w:r>
            <w:r w:rsidRPr="00BD5CDF">
              <w:rPr>
                <w:rFonts w:cs="FrankRuehl" w:hint="cs"/>
                <w:sz w:val="28"/>
                <w:szCs w:val="28"/>
                <w:rtl/>
              </w:rPr>
              <w:t xml:space="preserve"> </w:t>
            </w:r>
            <w:r w:rsidRPr="00BD5CDF">
              <w:rPr>
                <w:rFonts w:cs="FrankRuehl"/>
                <w:sz w:val="28"/>
                <w:szCs w:val="28"/>
                <w:rtl/>
              </w:rPr>
              <w:t>מדינת ישראל נ' אגבריה</w:t>
            </w:r>
          </w:p>
          <w:p w14:paraId="1326AC4B" w14:textId="77777777" w:rsidR="007A3975" w:rsidRPr="00BD5CDF" w:rsidRDefault="007A3975">
            <w:pPr>
              <w:pStyle w:val="a3"/>
              <w:rPr>
                <w:rFonts w:cs="FrankRuehl"/>
                <w:sz w:val="28"/>
                <w:szCs w:val="28"/>
                <w:rtl/>
              </w:rPr>
            </w:pPr>
          </w:p>
        </w:tc>
        <w:tc>
          <w:tcPr>
            <w:tcW w:w="3675" w:type="dxa"/>
          </w:tcPr>
          <w:p w14:paraId="4DAC68C0" w14:textId="77777777" w:rsidR="007A3975" w:rsidRPr="00BD5CDF" w:rsidRDefault="00BD5CDF">
            <w:pPr>
              <w:pStyle w:val="a3"/>
              <w:jc w:val="right"/>
              <w:rPr>
                <w:rFonts w:cs="FrankRuehl"/>
                <w:sz w:val="28"/>
                <w:szCs w:val="28"/>
                <w:rtl/>
              </w:rPr>
            </w:pPr>
            <w:r w:rsidRPr="00BD5CDF">
              <w:rPr>
                <w:rFonts w:cs="FrankRuehl"/>
                <w:sz w:val="28"/>
                <w:szCs w:val="28"/>
                <w:rtl/>
              </w:rPr>
              <w:t>21 אוקטובר 2009</w:t>
            </w:r>
          </w:p>
        </w:tc>
      </w:tr>
    </w:tbl>
    <w:p w14:paraId="04ED92ED" w14:textId="77777777" w:rsidR="007A3975" w:rsidRPr="00BD5CDF" w:rsidRDefault="00BD5CDF">
      <w:pPr>
        <w:pStyle w:val="a3"/>
        <w:rPr>
          <w:rtl/>
        </w:rPr>
      </w:pPr>
      <w:r w:rsidRPr="00BD5CDF">
        <w:rPr>
          <w:rFonts w:hint="cs"/>
          <w:rtl/>
        </w:rPr>
        <w:t xml:space="preserve"> </w:t>
      </w:r>
    </w:p>
    <w:p w14:paraId="292A4878" w14:textId="77777777" w:rsidR="007A3975" w:rsidRPr="00BD5CDF" w:rsidRDefault="00BD5CDF">
      <w:pPr>
        <w:pStyle w:val="a3"/>
      </w:pPr>
      <w:r w:rsidRPr="00BD5CDF">
        <w:rPr>
          <w:rFonts w:cs="Times New Roman" w:hint="cs"/>
          <w:b/>
          <w:bCs/>
          <w:sz w:val="26"/>
          <w:szCs w:val="28"/>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7A3975" w:rsidRPr="00BD5CDF" w14:paraId="61E362A8" w14:textId="77777777" w:rsidTr="00571A4C">
        <w:trPr>
          <w:trHeight w:val="295"/>
          <w:jc w:val="center"/>
        </w:trPr>
        <w:tc>
          <w:tcPr>
            <w:tcW w:w="923" w:type="dxa"/>
            <w:tcBorders>
              <w:top w:val="nil"/>
              <w:left w:val="nil"/>
              <w:bottom w:val="nil"/>
              <w:right w:val="nil"/>
            </w:tcBorders>
            <w:shd w:val="clear" w:color="auto" w:fill="auto"/>
          </w:tcPr>
          <w:p w14:paraId="562AEA2D" w14:textId="77777777" w:rsidR="007A3975" w:rsidRPr="00571A4C" w:rsidRDefault="00BD5CDF" w:rsidP="00571A4C">
            <w:pPr>
              <w:spacing w:line="360" w:lineRule="auto"/>
              <w:jc w:val="both"/>
              <w:rPr>
                <w:rFonts w:ascii="Arial" w:hAnsi="Arial"/>
              </w:rPr>
            </w:pPr>
            <w:r w:rsidRPr="00571A4C">
              <w:rPr>
                <w:rFonts w:ascii="Arial" w:hAnsi="Arial" w:hint="cs"/>
                <w:rtl/>
              </w:rPr>
              <w:t>ב</w:t>
            </w:r>
            <w:r w:rsidRPr="00571A4C">
              <w:rPr>
                <w:rFonts w:ascii="Arial" w:hAnsi="Arial"/>
                <w:rtl/>
              </w:rPr>
              <w:t xml:space="preserve">פני </w:t>
            </w:r>
          </w:p>
        </w:tc>
        <w:tc>
          <w:tcPr>
            <w:tcW w:w="7897" w:type="dxa"/>
            <w:gridSpan w:val="2"/>
            <w:tcBorders>
              <w:top w:val="nil"/>
              <w:left w:val="nil"/>
              <w:bottom w:val="nil"/>
              <w:right w:val="nil"/>
            </w:tcBorders>
            <w:shd w:val="clear" w:color="auto" w:fill="auto"/>
          </w:tcPr>
          <w:p w14:paraId="47669E3C" w14:textId="77777777" w:rsidR="007A3975" w:rsidRPr="00571A4C" w:rsidRDefault="00BD5CDF" w:rsidP="00571A4C">
            <w:pPr>
              <w:spacing w:line="360" w:lineRule="auto"/>
              <w:rPr>
                <w:rFonts w:ascii="Arial" w:hAnsi="Arial"/>
                <w:b/>
                <w:bCs/>
                <w:rtl/>
              </w:rPr>
            </w:pPr>
            <w:r w:rsidRPr="00571A4C">
              <w:rPr>
                <w:rFonts w:ascii="Arial" w:hAnsi="Arial" w:hint="cs"/>
                <w:b/>
                <w:bCs/>
                <w:rtl/>
              </w:rPr>
              <w:t>כב' ה</w:t>
            </w:r>
            <w:r w:rsidRPr="00571A4C">
              <w:rPr>
                <w:rFonts w:ascii="Arial" w:hAnsi="Arial"/>
                <w:b/>
                <w:bCs/>
                <w:rtl/>
              </w:rPr>
              <w:t>שופט</w:t>
            </w:r>
            <w:r w:rsidRPr="00571A4C">
              <w:rPr>
                <w:rFonts w:ascii="Arial" w:hAnsi="Arial" w:hint="cs"/>
                <w:b/>
                <w:bCs/>
                <w:rtl/>
              </w:rPr>
              <w:t xml:space="preserve">  </w:t>
            </w:r>
            <w:r w:rsidRPr="00571A4C">
              <w:rPr>
                <w:rFonts w:ascii="Arial" w:hAnsi="Arial"/>
                <w:b/>
                <w:bCs/>
                <w:rtl/>
              </w:rPr>
              <w:t>רון שפירא</w:t>
            </w:r>
          </w:p>
          <w:p w14:paraId="46D12E20" w14:textId="77777777" w:rsidR="007A3975" w:rsidRPr="00571A4C" w:rsidRDefault="007A3975" w:rsidP="00571A4C">
            <w:pPr>
              <w:spacing w:line="360" w:lineRule="auto"/>
              <w:jc w:val="both"/>
              <w:rPr>
                <w:rFonts w:ascii="Arial" w:hAnsi="Arial"/>
              </w:rPr>
            </w:pPr>
          </w:p>
        </w:tc>
      </w:tr>
      <w:tr w:rsidR="007A3975" w:rsidRPr="00BD5CDF" w14:paraId="051E675C" w14:textId="77777777" w:rsidTr="00571A4C">
        <w:trPr>
          <w:trHeight w:val="355"/>
          <w:jc w:val="center"/>
        </w:trPr>
        <w:tc>
          <w:tcPr>
            <w:tcW w:w="923" w:type="dxa"/>
            <w:tcBorders>
              <w:top w:val="nil"/>
              <w:left w:val="nil"/>
              <w:bottom w:val="nil"/>
              <w:right w:val="nil"/>
            </w:tcBorders>
            <w:shd w:val="clear" w:color="auto" w:fill="auto"/>
          </w:tcPr>
          <w:p w14:paraId="6B4CA97C" w14:textId="77777777" w:rsidR="007A3975" w:rsidRPr="00571A4C" w:rsidRDefault="007A3975" w:rsidP="00571A4C">
            <w:pPr>
              <w:spacing w:line="360" w:lineRule="auto"/>
              <w:jc w:val="both"/>
              <w:rPr>
                <w:rFonts w:ascii="Arial" w:hAnsi="Arial"/>
                <w:rtl/>
              </w:rPr>
            </w:pPr>
          </w:p>
          <w:p w14:paraId="770EEDCF" w14:textId="77777777" w:rsidR="007A3975" w:rsidRPr="00571A4C" w:rsidRDefault="00BD5CDF" w:rsidP="00571A4C">
            <w:pPr>
              <w:spacing w:line="360" w:lineRule="auto"/>
              <w:jc w:val="both"/>
              <w:rPr>
                <w:rFonts w:ascii="Arial" w:hAnsi="Arial"/>
              </w:rPr>
            </w:pPr>
            <w:r w:rsidRPr="00571A4C">
              <w:rPr>
                <w:rFonts w:ascii="Arial" w:hAnsi="Arial" w:hint="cs"/>
                <w:rtl/>
              </w:rPr>
              <w:t>בעניין:</w:t>
            </w:r>
          </w:p>
        </w:tc>
        <w:tc>
          <w:tcPr>
            <w:tcW w:w="4126" w:type="dxa"/>
            <w:tcBorders>
              <w:top w:val="nil"/>
              <w:left w:val="nil"/>
              <w:bottom w:val="nil"/>
              <w:right w:val="nil"/>
            </w:tcBorders>
            <w:shd w:val="clear" w:color="auto" w:fill="auto"/>
          </w:tcPr>
          <w:p w14:paraId="12C61078" w14:textId="77777777" w:rsidR="007A3975" w:rsidRPr="00571A4C" w:rsidRDefault="007A3975" w:rsidP="00571A4C">
            <w:pPr>
              <w:spacing w:line="360" w:lineRule="auto"/>
              <w:jc w:val="both"/>
              <w:rPr>
                <w:rFonts w:ascii="Arial" w:hAnsi="Arial"/>
                <w:rtl/>
              </w:rPr>
            </w:pPr>
          </w:p>
          <w:p w14:paraId="53727F38" w14:textId="77777777" w:rsidR="007A3975" w:rsidRPr="00571A4C" w:rsidRDefault="00BD5CDF" w:rsidP="00571A4C">
            <w:pPr>
              <w:spacing w:line="360" w:lineRule="auto"/>
              <w:rPr>
                <w:b/>
                <w:bCs/>
                <w:sz w:val="28"/>
                <w:szCs w:val="28"/>
              </w:rPr>
            </w:pPr>
            <w:r w:rsidRPr="00571A4C">
              <w:rPr>
                <w:rFonts w:ascii="Arial" w:hAnsi="Arial" w:hint="cs"/>
                <w:b/>
                <w:bCs/>
                <w:sz w:val="28"/>
                <w:szCs w:val="28"/>
                <w:rtl/>
              </w:rPr>
              <w:t xml:space="preserve"> </w:t>
            </w:r>
            <w:r w:rsidRPr="00571A4C">
              <w:rPr>
                <w:rFonts w:ascii="Arial" w:hAnsi="Arial"/>
                <w:b/>
                <w:bCs/>
                <w:sz w:val="28"/>
                <w:szCs w:val="28"/>
                <w:rtl/>
              </w:rPr>
              <w:t>מדינת ישראל</w:t>
            </w:r>
          </w:p>
          <w:p w14:paraId="6A8766F3" w14:textId="77777777" w:rsidR="007A3975" w:rsidRPr="00571A4C" w:rsidRDefault="007A3975" w:rsidP="00571A4C">
            <w:pPr>
              <w:spacing w:line="360" w:lineRule="auto"/>
              <w:jc w:val="both"/>
              <w:rPr>
                <w:rFonts w:ascii="Arial" w:hAnsi="Arial"/>
              </w:rPr>
            </w:pPr>
          </w:p>
        </w:tc>
        <w:tc>
          <w:tcPr>
            <w:tcW w:w="3771" w:type="dxa"/>
            <w:tcBorders>
              <w:top w:val="nil"/>
              <w:left w:val="nil"/>
              <w:bottom w:val="nil"/>
              <w:right w:val="nil"/>
            </w:tcBorders>
            <w:shd w:val="clear" w:color="auto" w:fill="auto"/>
          </w:tcPr>
          <w:p w14:paraId="67856FC9" w14:textId="77777777" w:rsidR="007A3975" w:rsidRPr="00571A4C" w:rsidRDefault="007A3975" w:rsidP="00571A4C">
            <w:pPr>
              <w:spacing w:line="360" w:lineRule="auto"/>
              <w:jc w:val="both"/>
              <w:rPr>
                <w:rFonts w:ascii="Arial" w:hAnsi="Arial"/>
              </w:rPr>
            </w:pPr>
          </w:p>
        </w:tc>
      </w:tr>
      <w:tr w:rsidR="007A3975" w:rsidRPr="00BD5CDF" w14:paraId="08AA81BB" w14:textId="77777777" w:rsidTr="00571A4C">
        <w:trPr>
          <w:trHeight w:val="355"/>
          <w:jc w:val="center"/>
        </w:trPr>
        <w:tc>
          <w:tcPr>
            <w:tcW w:w="923" w:type="dxa"/>
            <w:tcBorders>
              <w:top w:val="nil"/>
              <w:left w:val="nil"/>
              <w:bottom w:val="nil"/>
              <w:right w:val="nil"/>
            </w:tcBorders>
            <w:shd w:val="clear" w:color="auto" w:fill="auto"/>
          </w:tcPr>
          <w:p w14:paraId="7A6FF921" w14:textId="77777777" w:rsidR="007A3975" w:rsidRPr="00571A4C" w:rsidRDefault="007A3975" w:rsidP="00571A4C">
            <w:pPr>
              <w:spacing w:line="360" w:lineRule="auto"/>
              <w:jc w:val="both"/>
              <w:rPr>
                <w:rFonts w:ascii="Arial" w:hAnsi="Arial"/>
                <w:rtl/>
              </w:rPr>
            </w:pPr>
            <w:bookmarkStart w:id="1" w:name="FirstAppellant" w:colFirst="0" w:colLast="1"/>
          </w:p>
        </w:tc>
        <w:tc>
          <w:tcPr>
            <w:tcW w:w="4126" w:type="dxa"/>
            <w:tcBorders>
              <w:top w:val="nil"/>
              <w:left w:val="nil"/>
              <w:bottom w:val="nil"/>
              <w:right w:val="nil"/>
            </w:tcBorders>
            <w:shd w:val="clear" w:color="auto" w:fill="auto"/>
          </w:tcPr>
          <w:p w14:paraId="34B5567C" w14:textId="77777777" w:rsidR="007A3975" w:rsidRPr="00BD5CDF" w:rsidRDefault="007A3975" w:rsidP="00571A4C">
            <w:pPr>
              <w:spacing w:line="360" w:lineRule="auto"/>
              <w:jc w:val="both"/>
              <w:rPr>
                <w:rtl/>
              </w:rPr>
            </w:pPr>
          </w:p>
        </w:tc>
        <w:tc>
          <w:tcPr>
            <w:tcW w:w="3771" w:type="dxa"/>
            <w:tcBorders>
              <w:top w:val="nil"/>
              <w:left w:val="nil"/>
              <w:bottom w:val="nil"/>
              <w:right w:val="nil"/>
            </w:tcBorders>
            <w:shd w:val="clear" w:color="auto" w:fill="auto"/>
          </w:tcPr>
          <w:p w14:paraId="2BC39150" w14:textId="77777777" w:rsidR="007A3975" w:rsidRPr="00571A4C" w:rsidRDefault="00BD5CDF" w:rsidP="00571A4C">
            <w:pPr>
              <w:spacing w:line="360" w:lineRule="auto"/>
              <w:jc w:val="right"/>
              <w:rPr>
                <w:rFonts w:ascii="Arial" w:hAnsi="Arial"/>
                <w:b/>
                <w:bCs/>
                <w:sz w:val="28"/>
                <w:szCs w:val="28"/>
                <w:rtl/>
              </w:rPr>
            </w:pPr>
            <w:r w:rsidRPr="00571A4C">
              <w:rPr>
                <w:rFonts w:ascii="Arial" w:hAnsi="Arial" w:hint="cs"/>
                <w:b/>
                <w:bCs/>
                <w:sz w:val="28"/>
                <w:szCs w:val="28"/>
                <w:rtl/>
              </w:rPr>
              <w:t>ה</w:t>
            </w:r>
            <w:r w:rsidRPr="00571A4C">
              <w:rPr>
                <w:rFonts w:ascii="Arial" w:hAnsi="Arial"/>
                <w:b/>
                <w:bCs/>
                <w:sz w:val="28"/>
                <w:szCs w:val="28"/>
                <w:rtl/>
              </w:rPr>
              <w:t>מאשימה</w:t>
            </w:r>
          </w:p>
        </w:tc>
      </w:tr>
      <w:tr w:rsidR="007A3975" w:rsidRPr="00BD5CDF" w14:paraId="36850172" w14:textId="77777777" w:rsidTr="00571A4C">
        <w:trPr>
          <w:trHeight w:val="355"/>
          <w:jc w:val="center"/>
        </w:trPr>
        <w:tc>
          <w:tcPr>
            <w:tcW w:w="923" w:type="dxa"/>
            <w:tcBorders>
              <w:top w:val="nil"/>
              <w:left w:val="nil"/>
              <w:bottom w:val="nil"/>
              <w:right w:val="nil"/>
            </w:tcBorders>
            <w:shd w:val="clear" w:color="auto" w:fill="auto"/>
          </w:tcPr>
          <w:p w14:paraId="103FAA58" w14:textId="77777777" w:rsidR="007A3975" w:rsidRPr="00571A4C" w:rsidRDefault="007A3975" w:rsidP="00571A4C">
            <w:pPr>
              <w:spacing w:line="360" w:lineRule="auto"/>
              <w:jc w:val="both"/>
              <w:rPr>
                <w:rFonts w:ascii="Arial" w:hAnsi="Arial"/>
                <w:rtl/>
              </w:rPr>
            </w:pPr>
          </w:p>
        </w:tc>
        <w:tc>
          <w:tcPr>
            <w:tcW w:w="7897" w:type="dxa"/>
            <w:gridSpan w:val="2"/>
            <w:tcBorders>
              <w:top w:val="nil"/>
              <w:left w:val="nil"/>
              <w:bottom w:val="nil"/>
              <w:right w:val="nil"/>
            </w:tcBorders>
            <w:shd w:val="clear" w:color="auto" w:fill="auto"/>
          </w:tcPr>
          <w:p w14:paraId="7576A96A" w14:textId="77777777" w:rsidR="007A3975" w:rsidRPr="00571A4C" w:rsidRDefault="007A3975" w:rsidP="00571A4C">
            <w:pPr>
              <w:spacing w:line="360" w:lineRule="auto"/>
              <w:jc w:val="center"/>
              <w:rPr>
                <w:rFonts w:ascii="Arial" w:hAnsi="Arial"/>
                <w:b/>
                <w:bCs/>
                <w:rtl/>
              </w:rPr>
            </w:pPr>
          </w:p>
          <w:p w14:paraId="644E313B" w14:textId="77777777" w:rsidR="007A3975" w:rsidRPr="00571A4C" w:rsidRDefault="00BD5CDF" w:rsidP="00571A4C">
            <w:pPr>
              <w:spacing w:line="360" w:lineRule="auto"/>
              <w:jc w:val="center"/>
              <w:rPr>
                <w:rFonts w:ascii="Arial" w:hAnsi="Arial"/>
                <w:b/>
                <w:bCs/>
                <w:rtl/>
              </w:rPr>
            </w:pPr>
            <w:r w:rsidRPr="00571A4C">
              <w:rPr>
                <w:rFonts w:ascii="Arial" w:hAnsi="Arial"/>
                <w:b/>
                <w:bCs/>
                <w:rtl/>
              </w:rPr>
              <w:t>נגד</w:t>
            </w:r>
          </w:p>
          <w:p w14:paraId="26C389AA" w14:textId="77777777" w:rsidR="007A3975" w:rsidRPr="00571A4C" w:rsidRDefault="007A3975" w:rsidP="00571A4C">
            <w:pPr>
              <w:spacing w:line="360" w:lineRule="auto"/>
              <w:jc w:val="both"/>
              <w:rPr>
                <w:rFonts w:ascii="Arial" w:hAnsi="Arial"/>
              </w:rPr>
            </w:pPr>
          </w:p>
        </w:tc>
      </w:tr>
      <w:bookmarkEnd w:id="1"/>
      <w:tr w:rsidR="007A3975" w:rsidRPr="00BD5CDF" w14:paraId="675EFD96" w14:textId="77777777" w:rsidTr="00571A4C">
        <w:trPr>
          <w:trHeight w:val="355"/>
          <w:jc w:val="center"/>
        </w:trPr>
        <w:tc>
          <w:tcPr>
            <w:tcW w:w="923" w:type="dxa"/>
            <w:tcBorders>
              <w:top w:val="nil"/>
              <w:left w:val="nil"/>
              <w:bottom w:val="nil"/>
              <w:right w:val="nil"/>
            </w:tcBorders>
            <w:shd w:val="clear" w:color="auto" w:fill="auto"/>
          </w:tcPr>
          <w:p w14:paraId="27953F38" w14:textId="77777777" w:rsidR="007A3975" w:rsidRPr="00571A4C" w:rsidRDefault="007A3975" w:rsidP="00571A4C">
            <w:pPr>
              <w:spacing w:line="360" w:lineRule="auto"/>
              <w:jc w:val="both"/>
              <w:rPr>
                <w:rFonts w:ascii="Arial" w:hAnsi="Arial"/>
                <w:rtl/>
              </w:rPr>
            </w:pPr>
          </w:p>
        </w:tc>
        <w:tc>
          <w:tcPr>
            <w:tcW w:w="4126" w:type="dxa"/>
            <w:tcBorders>
              <w:top w:val="nil"/>
              <w:left w:val="nil"/>
              <w:bottom w:val="nil"/>
              <w:right w:val="nil"/>
            </w:tcBorders>
            <w:shd w:val="clear" w:color="auto" w:fill="auto"/>
          </w:tcPr>
          <w:p w14:paraId="23A701CA" w14:textId="77777777" w:rsidR="007A3975" w:rsidRPr="00571A4C" w:rsidRDefault="00BD5CDF" w:rsidP="00571A4C">
            <w:pPr>
              <w:spacing w:line="360" w:lineRule="auto"/>
              <w:jc w:val="both"/>
              <w:rPr>
                <w:b/>
                <w:bCs/>
                <w:sz w:val="28"/>
                <w:szCs w:val="28"/>
                <w:rtl/>
              </w:rPr>
            </w:pPr>
            <w:r w:rsidRPr="00571A4C">
              <w:rPr>
                <w:rFonts w:ascii="Arial" w:hAnsi="Arial"/>
                <w:b/>
                <w:bCs/>
                <w:sz w:val="28"/>
                <w:szCs w:val="28"/>
                <w:rtl/>
              </w:rPr>
              <w:t>מוחמד אגבריה</w:t>
            </w:r>
            <w:r w:rsidRPr="00571A4C">
              <w:rPr>
                <w:rFonts w:ascii="Arial" w:hAnsi="Arial" w:hint="cs"/>
                <w:b/>
                <w:bCs/>
                <w:sz w:val="28"/>
                <w:szCs w:val="28"/>
                <w:rtl/>
              </w:rPr>
              <w:t xml:space="preserve"> ת.ז. </w:t>
            </w:r>
            <w:r w:rsidR="0086593D" w:rsidRPr="00571A4C">
              <w:rPr>
                <w:rFonts w:ascii="Arial" w:hAnsi="Arial"/>
                <w:b/>
                <w:bCs/>
                <w:sz w:val="28"/>
                <w:szCs w:val="28"/>
              </w:rPr>
              <w:t>xxxxxxxxxxxxx</w:t>
            </w:r>
          </w:p>
        </w:tc>
        <w:tc>
          <w:tcPr>
            <w:tcW w:w="3771" w:type="dxa"/>
            <w:tcBorders>
              <w:top w:val="nil"/>
              <w:left w:val="nil"/>
              <w:bottom w:val="nil"/>
              <w:right w:val="nil"/>
            </w:tcBorders>
            <w:shd w:val="clear" w:color="auto" w:fill="auto"/>
          </w:tcPr>
          <w:p w14:paraId="58FC6FEF" w14:textId="77777777" w:rsidR="007A3975" w:rsidRPr="00571A4C" w:rsidRDefault="00BD5CDF" w:rsidP="00571A4C">
            <w:pPr>
              <w:spacing w:line="360" w:lineRule="auto"/>
              <w:jc w:val="right"/>
              <w:rPr>
                <w:rFonts w:ascii="Arial" w:hAnsi="Arial"/>
              </w:rPr>
            </w:pPr>
            <w:r w:rsidRPr="00571A4C">
              <w:rPr>
                <w:rFonts w:ascii="Arial" w:hAnsi="Arial" w:hint="cs"/>
              </w:rPr>
              <w:t xml:space="preserve"> </w:t>
            </w:r>
          </w:p>
        </w:tc>
      </w:tr>
      <w:tr w:rsidR="007A3975" w:rsidRPr="00BD5CDF" w14:paraId="308FF51F" w14:textId="77777777" w:rsidTr="00571A4C">
        <w:trPr>
          <w:trHeight w:val="355"/>
          <w:jc w:val="center"/>
        </w:trPr>
        <w:tc>
          <w:tcPr>
            <w:tcW w:w="923" w:type="dxa"/>
            <w:tcBorders>
              <w:top w:val="nil"/>
              <w:left w:val="nil"/>
              <w:bottom w:val="nil"/>
              <w:right w:val="nil"/>
            </w:tcBorders>
            <w:shd w:val="clear" w:color="auto" w:fill="auto"/>
          </w:tcPr>
          <w:p w14:paraId="4233548F" w14:textId="77777777" w:rsidR="007A3975" w:rsidRPr="00571A4C" w:rsidRDefault="007A3975" w:rsidP="00571A4C">
            <w:pPr>
              <w:spacing w:line="360" w:lineRule="auto"/>
              <w:jc w:val="both"/>
              <w:rPr>
                <w:rFonts w:ascii="Arial" w:hAnsi="Arial"/>
                <w:rtl/>
              </w:rPr>
            </w:pPr>
          </w:p>
        </w:tc>
        <w:tc>
          <w:tcPr>
            <w:tcW w:w="4126" w:type="dxa"/>
            <w:tcBorders>
              <w:top w:val="nil"/>
              <w:left w:val="nil"/>
              <w:bottom w:val="nil"/>
              <w:right w:val="nil"/>
            </w:tcBorders>
            <w:shd w:val="clear" w:color="auto" w:fill="auto"/>
          </w:tcPr>
          <w:p w14:paraId="463FCF76" w14:textId="77777777" w:rsidR="007A3975" w:rsidRPr="00BD5CDF" w:rsidRDefault="007A3975" w:rsidP="00571A4C">
            <w:pPr>
              <w:spacing w:line="360" w:lineRule="auto"/>
              <w:jc w:val="both"/>
              <w:rPr>
                <w:rtl/>
              </w:rPr>
            </w:pPr>
          </w:p>
        </w:tc>
        <w:tc>
          <w:tcPr>
            <w:tcW w:w="3771" w:type="dxa"/>
            <w:tcBorders>
              <w:top w:val="nil"/>
              <w:left w:val="nil"/>
              <w:bottom w:val="nil"/>
              <w:right w:val="nil"/>
            </w:tcBorders>
            <w:shd w:val="clear" w:color="auto" w:fill="auto"/>
          </w:tcPr>
          <w:p w14:paraId="1906AFB8" w14:textId="77777777" w:rsidR="007A3975" w:rsidRPr="00571A4C" w:rsidRDefault="00BD5CDF" w:rsidP="00571A4C">
            <w:pPr>
              <w:spacing w:line="360" w:lineRule="auto"/>
              <w:jc w:val="right"/>
              <w:rPr>
                <w:rFonts w:ascii="Arial" w:hAnsi="Arial"/>
                <w:b/>
                <w:bCs/>
                <w:sz w:val="28"/>
                <w:szCs w:val="28"/>
              </w:rPr>
            </w:pPr>
            <w:r w:rsidRPr="00571A4C">
              <w:rPr>
                <w:rFonts w:ascii="Arial" w:hAnsi="Arial" w:hint="cs"/>
                <w:b/>
                <w:bCs/>
                <w:sz w:val="28"/>
                <w:szCs w:val="28"/>
                <w:rtl/>
              </w:rPr>
              <w:t>ה</w:t>
            </w:r>
            <w:r w:rsidRPr="00571A4C">
              <w:rPr>
                <w:rFonts w:ascii="Arial" w:hAnsi="Arial"/>
                <w:b/>
                <w:bCs/>
                <w:sz w:val="28"/>
                <w:szCs w:val="28"/>
                <w:rtl/>
              </w:rPr>
              <w:t>נאשם</w:t>
            </w:r>
          </w:p>
        </w:tc>
      </w:tr>
    </w:tbl>
    <w:p w14:paraId="1DBB607C" w14:textId="77777777" w:rsidR="00A5356F" w:rsidRDefault="00A5356F">
      <w:pPr>
        <w:spacing w:line="360" w:lineRule="auto"/>
        <w:rPr>
          <w:rtl/>
        </w:rPr>
      </w:pPr>
      <w:bookmarkStart w:id="2" w:name="LawTable"/>
      <w:bookmarkEnd w:id="2"/>
    </w:p>
    <w:p w14:paraId="38712DB2" w14:textId="77777777" w:rsidR="00A5356F" w:rsidRPr="00A5356F" w:rsidRDefault="00A5356F" w:rsidP="00A5356F">
      <w:pPr>
        <w:spacing w:after="120" w:line="240" w:lineRule="exact"/>
        <w:ind w:left="283" w:hanging="283"/>
        <w:jc w:val="both"/>
        <w:rPr>
          <w:rFonts w:ascii="FrankRuehl" w:hAnsi="FrankRuehl" w:cs="FrankRuehl"/>
          <w:rtl/>
        </w:rPr>
      </w:pPr>
    </w:p>
    <w:p w14:paraId="68F2C56D" w14:textId="77777777" w:rsidR="00A5356F" w:rsidRPr="00A5356F" w:rsidRDefault="00A5356F" w:rsidP="00A5356F">
      <w:pPr>
        <w:spacing w:after="120" w:line="240" w:lineRule="exact"/>
        <w:ind w:left="283" w:hanging="283"/>
        <w:jc w:val="both"/>
        <w:rPr>
          <w:rFonts w:ascii="FrankRuehl" w:hAnsi="FrankRuehl" w:cs="FrankRuehl"/>
          <w:rtl/>
        </w:rPr>
      </w:pPr>
      <w:r w:rsidRPr="00A5356F">
        <w:rPr>
          <w:rFonts w:ascii="FrankRuehl" w:hAnsi="FrankRuehl" w:cs="FrankRuehl"/>
          <w:rtl/>
        </w:rPr>
        <w:t xml:space="preserve">חקיקה שאוזכרה: </w:t>
      </w:r>
    </w:p>
    <w:p w14:paraId="448CD68A" w14:textId="77777777" w:rsidR="00A5356F" w:rsidRPr="00A5356F" w:rsidRDefault="00A5356F" w:rsidP="00A5356F">
      <w:pPr>
        <w:spacing w:after="120" w:line="240" w:lineRule="exact"/>
        <w:ind w:left="283" w:hanging="283"/>
        <w:jc w:val="both"/>
        <w:rPr>
          <w:rFonts w:ascii="FrankRuehl" w:hAnsi="FrankRuehl" w:cs="FrankRuehl"/>
          <w:rtl/>
        </w:rPr>
      </w:pPr>
      <w:hyperlink r:id="rId6" w:history="1">
        <w:r w:rsidRPr="00A5356F">
          <w:rPr>
            <w:rFonts w:ascii="FrankRuehl" w:hAnsi="FrankRuehl" w:cs="FrankRuehl"/>
            <w:color w:val="0000FF"/>
            <w:u w:val="single"/>
            <w:rtl/>
          </w:rPr>
          <w:t>חוק העונשין, תשל"ז-1977</w:t>
        </w:r>
      </w:hyperlink>
      <w:r w:rsidRPr="00A5356F">
        <w:rPr>
          <w:rFonts w:ascii="FrankRuehl" w:hAnsi="FrankRuehl" w:cs="FrankRuehl"/>
          <w:rtl/>
        </w:rPr>
        <w:t xml:space="preserve">: סע'  </w:t>
      </w:r>
      <w:hyperlink r:id="rId7" w:history="1">
        <w:r w:rsidRPr="00A5356F">
          <w:rPr>
            <w:rFonts w:ascii="FrankRuehl" w:hAnsi="FrankRuehl" w:cs="FrankRuehl"/>
            <w:color w:val="0000FF"/>
            <w:u w:val="single"/>
            <w:rtl/>
          </w:rPr>
          <w:t>(ב)</w:t>
        </w:r>
      </w:hyperlink>
      <w:r w:rsidRPr="00A5356F">
        <w:rPr>
          <w:rFonts w:ascii="FrankRuehl" w:hAnsi="FrankRuehl" w:cs="FrankRuehl"/>
          <w:rtl/>
        </w:rPr>
        <w:t xml:space="preserve">, </w:t>
      </w:r>
      <w:hyperlink r:id="rId8" w:history="1">
        <w:r w:rsidRPr="00A5356F">
          <w:rPr>
            <w:rFonts w:ascii="FrankRuehl" w:hAnsi="FrankRuehl" w:cs="FrankRuehl"/>
            <w:color w:val="0000FF"/>
            <w:u w:val="single"/>
            <w:rtl/>
          </w:rPr>
          <w:t>144(א)</w:t>
        </w:r>
      </w:hyperlink>
    </w:p>
    <w:p w14:paraId="6A0F5435" w14:textId="77777777" w:rsidR="00A5356F" w:rsidRPr="00A5356F" w:rsidRDefault="00A5356F" w:rsidP="00A5356F">
      <w:pPr>
        <w:spacing w:after="120" w:line="240" w:lineRule="exact"/>
        <w:ind w:left="283" w:hanging="283"/>
        <w:jc w:val="both"/>
        <w:rPr>
          <w:rFonts w:ascii="FrankRuehl" w:hAnsi="FrankRuehl" w:cs="FrankRuehl"/>
          <w:rtl/>
        </w:rPr>
      </w:pPr>
    </w:p>
    <w:p w14:paraId="691E5A8E" w14:textId="77777777" w:rsidR="00A5356F" w:rsidRPr="00A5356F" w:rsidRDefault="00A5356F">
      <w:pPr>
        <w:spacing w:line="360" w:lineRule="auto"/>
        <w:rPr>
          <w:rtl/>
        </w:rPr>
      </w:pPr>
      <w:bookmarkStart w:id="3" w:name="LawTable_End"/>
      <w:bookmarkEnd w:id="3"/>
    </w:p>
    <w:p w14:paraId="4C84E99A" w14:textId="77777777" w:rsidR="0086593D" w:rsidRPr="0086593D" w:rsidRDefault="0086593D">
      <w:pPr>
        <w:spacing w:line="360" w:lineRule="auto"/>
        <w:rPr>
          <w:rtl/>
        </w:rPr>
      </w:pPr>
    </w:p>
    <w:p w14:paraId="2202A7FE" w14:textId="77777777" w:rsidR="0086593D" w:rsidRPr="0086593D" w:rsidRDefault="0086593D">
      <w:pPr>
        <w:spacing w:line="360" w:lineRule="auto"/>
        <w:rPr>
          <w:rtl/>
        </w:rPr>
      </w:pPr>
    </w:p>
    <w:p w14:paraId="5AF37617" w14:textId="77777777" w:rsidR="007A3975" w:rsidRPr="0086593D" w:rsidRDefault="007A3975">
      <w:pPr>
        <w:spacing w:line="360" w:lineRule="auto"/>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A3975" w14:paraId="56EB1938" w14:textId="77777777" w:rsidTr="00571A4C">
        <w:trPr>
          <w:trHeight w:val="355"/>
          <w:jc w:val="center"/>
        </w:trPr>
        <w:tc>
          <w:tcPr>
            <w:tcW w:w="8820" w:type="dxa"/>
            <w:tcBorders>
              <w:top w:val="nil"/>
              <w:left w:val="nil"/>
              <w:bottom w:val="nil"/>
              <w:right w:val="nil"/>
            </w:tcBorders>
            <w:shd w:val="clear" w:color="auto" w:fill="auto"/>
          </w:tcPr>
          <w:p w14:paraId="490640BF" w14:textId="77777777" w:rsidR="00BD5CDF" w:rsidRPr="00571A4C" w:rsidRDefault="00BD5CDF" w:rsidP="00571A4C">
            <w:pPr>
              <w:spacing w:line="360" w:lineRule="auto"/>
              <w:jc w:val="center"/>
              <w:rPr>
                <w:rFonts w:ascii="Arial" w:hAnsi="Arial"/>
                <w:b/>
                <w:bCs/>
                <w:sz w:val="28"/>
                <w:szCs w:val="28"/>
                <w:u w:val="single"/>
                <w:rtl/>
              </w:rPr>
            </w:pPr>
            <w:bookmarkStart w:id="4" w:name="PsakDin"/>
            <w:bookmarkEnd w:id="0"/>
            <w:r w:rsidRPr="00571A4C">
              <w:rPr>
                <w:rFonts w:ascii="Arial" w:hAnsi="Arial"/>
                <w:b/>
                <w:bCs/>
                <w:sz w:val="28"/>
                <w:szCs w:val="28"/>
                <w:u w:val="single"/>
                <w:rtl/>
              </w:rPr>
              <w:t>גזר דין</w:t>
            </w:r>
          </w:p>
          <w:bookmarkEnd w:id="4"/>
          <w:p w14:paraId="0FEECAE9" w14:textId="77777777" w:rsidR="007A3975" w:rsidRPr="00571A4C" w:rsidRDefault="007A3975" w:rsidP="00571A4C">
            <w:pPr>
              <w:spacing w:line="360" w:lineRule="auto"/>
              <w:jc w:val="center"/>
              <w:rPr>
                <w:rFonts w:ascii="Arial" w:hAnsi="Arial"/>
                <w:bCs/>
                <w:sz w:val="28"/>
                <w:szCs w:val="28"/>
                <w:u w:val="single"/>
                <w:rtl/>
              </w:rPr>
            </w:pPr>
          </w:p>
        </w:tc>
      </w:tr>
    </w:tbl>
    <w:p w14:paraId="14336B9D" w14:textId="77777777" w:rsidR="007A3975" w:rsidRDefault="007A3975">
      <w:pPr>
        <w:spacing w:line="360" w:lineRule="auto"/>
        <w:rPr>
          <w:rFonts w:ascii="Arial" w:hAnsi="Arial"/>
          <w:rtl/>
        </w:rPr>
      </w:pPr>
    </w:p>
    <w:p w14:paraId="13B41997" w14:textId="77777777" w:rsidR="007A3975" w:rsidRDefault="00BD5CDF">
      <w:pPr>
        <w:spacing w:line="360" w:lineRule="auto"/>
        <w:ind w:left="720" w:hanging="720"/>
        <w:jc w:val="both"/>
        <w:rPr>
          <w:b/>
          <w:bCs/>
          <w:sz w:val="28"/>
          <w:szCs w:val="28"/>
          <w:rtl/>
        </w:rPr>
      </w:pPr>
      <w:r>
        <w:rPr>
          <w:b/>
          <w:bCs/>
          <w:sz w:val="28"/>
          <w:szCs w:val="28"/>
          <w:rtl/>
        </w:rPr>
        <w:t>1.</w:t>
      </w:r>
      <w:r>
        <w:rPr>
          <w:rFonts w:hint="cs"/>
          <w:sz w:val="28"/>
          <w:szCs w:val="28"/>
          <w:rtl/>
        </w:rPr>
        <w:tab/>
      </w:r>
      <w:r>
        <w:rPr>
          <w:b/>
          <w:bCs/>
          <w:sz w:val="28"/>
          <w:szCs w:val="28"/>
          <w:u w:val="single"/>
          <w:rtl/>
        </w:rPr>
        <w:t>העבירות בהן הורשע הנאשם:</w:t>
      </w:r>
      <w:r>
        <w:rPr>
          <w:b/>
          <w:bCs/>
          <w:sz w:val="28"/>
          <w:szCs w:val="28"/>
          <w:rtl/>
        </w:rPr>
        <w:t xml:space="preserve"> </w:t>
      </w:r>
    </w:p>
    <w:p w14:paraId="7F466821" w14:textId="77777777" w:rsidR="007A3975" w:rsidRDefault="007A3975">
      <w:pPr>
        <w:spacing w:line="360" w:lineRule="auto"/>
        <w:ind w:left="720" w:hanging="720"/>
        <w:jc w:val="both"/>
        <w:rPr>
          <w:b/>
          <w:bCs/>
          <w:sz w:val="28"/>
          <w:szCs w:val="28"/>
          <w:rtl/>
        </w:rPr>
      </w:pPr>
    </w:p>
    <w:p w14:paraId="4B15B59F" w14:textId="77777777" w:rsidR="007A3975" w:rsidRDefault="00BD5CDF">
      <w:pPr>
        <w:spacing w:line="360" w:lineRule="auto"/>
        <w:ind w:left="720" w:hanging="720"/>
        <w:jc w:val="both"/>
        <w:rPr>
          <w:sz w:val="28"/>
          <w:szCs w:val="28"/>
          <w:rtl/>
        </w:rPr>
      </w:pPr>
      <w:r>
        <w:rPr>
          <w:rFonts w:hint="cs"/>
          <w:b/>
          <w:bCs/>
          <w:sz w:val="28"/>
          <w:szCs w:val="28"/>
          <w:rtl/>
        </w:rPr>
        <w:tab/>
      </w:r>
      <w:r>
        <w:rPr>
          <w:rFonts w:hint="cs"/>
          <w:sz w:val="28"/>
          <w:szCs w:val="28"/>
          <w:rtl/>
        </w:rPr>
        <w:t xml:space="preserve">הנאשם הורשע על פי הודאתו בעבירות של החזקת ונשיאת נשק שלא כדין, עבירות לפי </w:t>
      </w:r>
      <w:hyperlink r:id="rId9" w:history="1">
        <w:r w:rsidR="00A5356F" w:rsidRPr="00A5356F">
          <w:rPr>
            <w:color w:val="0000FF"/>
            <w:sz w:val="28"/>
            <w:szCs w:val="28"/>
            <w:u w:val="single"/>
            <w:rtl/>
          </w:rPr>
          <w:t>סעיפים 144(א)</w:t>
        </w:r>
      </w:hyperlink>
      <w:r>
        <w:rPr>
          <w:rFonts w:hint="cs"/>
          <w:sz w:val="28"/>
          <w:szCs w:val="28"/>
          <w:rtl/>
        </w:rPr>
        <w:t xml:space="preserve"> + </w:t>
      </w:r>
      <w:hyperlink r:id="rId10" w:history="1">
        <w:r w:rsidR="00A5356F" w:rsidRPr="00A5356F">
          <w:rPr>
            <w:color w:val="0000FF"/>
            <w:sz w:val="28"/>
            <w:szCs w:val="28"/>
            <w:u w:val="single"/>
            <w:rtl/>
          </w:rPr>
          <w:t>(ב)</w:t>
        </w:r>
      </w:hyperlink>
      <w:r>
        <w:rPr>
          <w:rFonts w:hint="cs"/>
          <w:sz w:val="28"/>
          <w:szCs w:val="28"/>
          <w:rtl/>
        </w:rPr>
        <w:t xml:space="preserve"> ל</w:t>
      </w:r>
      <w:hyperlink r:id="rId11" w:history="1">
        <w:r w:rsidR="0086593D" w:rsidRPr="0086593D">
          <w:rPr>
            <w:rStyle w:val="Hyperlink"/>
            <w:sz w:val="28"/>
            <w:szCs w:val="28"/>
            <w:rtl/>
          </w:rPr>
          <w:t>חוק העונשין</w:t>
        </w:r>
      </w:hyperlink>
      <w:r>
        <w:rPr>
          <w:rFonts w:hint="cs"/>
          <w:sz w:val="28"/>
          <w:szCs w:val="28"/>
          <w:rtl/>
        </w:rPr>
        <w:t xml:space="preserve">. על פי עובדות כתב האישום </w:t>
      </w:r>
      <w:r>
        <w:rPr>
          <w:rFonts w:hint="cs"/>
          <w:sz w:val="28"/>
          <w:szCs w:val="28"/>
          <w:rtl/>
        </w:rPr>
        <w:lastRenderedPageBreak/>
        <w:t xml:space="preserve">החזיק הנאשם נשק, אקדח מסוג ברטה, בעת שנסע עם אחר ברכב באזור כפר מושרייפה.  הנאשם הודה במיוחס לו בכתב האישום ביום הגשת כתב האישום והורשע. </w:t>
      </w:r>
    </w:p>
    <w:p w14:paraId="1AE56384" w14:textId="77777777" w:rsidR="007A3975" w:rsidRDefault="007A3975">
      <w:pPr>
        <w:spacing w:line="360" w:lineRule="auto"/>
        <w:jc w:val="both"/>
        <w:rPr>
          <w:sz w:val="28"/>
          <w:szCs w:val="28"/>
          <w:rtl/>
        </w:rPr>
      </w:pPr>
    </w:p>
    <w:p w14:paraId="6D276EC1" w14:textId="77777777" w:rsidR="007A3975" w:rsidRDefault="00BD5CDF">
      <w:pPr>
        <w:spacing w:line="360" w:lineRule="auto"/>
        <w:ind w:left="720" w:hanging="720"/>
        <w:jc w:val="both"/>
        <w:rPr>
          <w:b/>
          <w:bCs/>
          <w:sz w:val="28"/>
          <w:szCs w:val="28"/>
          <w:u w:val="single"/>
          <w:rtl/>
        </w:rPr>
      </w:pPr>
      <w:r>
        <w:rPr>
          <w:b/>
          <w:bCs/>
          <w:sz w:val="28"/>
          <w:szCs w:val="28"/>
          <w:rtl/>
        </w:rPr>
        <w:t>2.</w:t>
      </w:r>
      <w:r>
        <w:rPr>
          <w:rFonts w:hint="cs"/>
          <w:b/>
          <w:bCs/>
          <w:sz w:val="28"/>
          <w:szCs w:val="28"/>
          <w:rtl/>
        </w:rPr>
        <w:tab/>
      </w:r>
      <w:r>
        <w:rPr>
          <w:rFonts w:hint="cs"/>
          <w:b/>
          <w:bCs/>
          <w:sz w:val="28"/>
          <w:szCs w:val="28"/>
          <w:u w:val="single"/>
          <w:rtl/>
        </w:rPr>
        <w:t>תסקיר המבחן ו</w:t>
      </w:r>
      <w:r>
        <w:rPr>
          <w:b/>
          <w:bCs/>
          <w:sz w:val="28"/>
          <w:szCs w:val="28"/>
          <w:u w:val="single"/>
          <w:rtl/>
        </w:rPr>
        <w:t>הטיעון לעונש:</w:t>
      </w:r>
    </w:p>
    <w:p w14:paraId="1CD0DDF9" w14:textId="77777777" w:rsidR="007A3975" w:rsidRDefault="007A3975">
      <w:pPr>
        <w:spacing w:line="360" w:lineRule="auto"/>
        <w:ind w:left="720" w:hanging="720"/>
        <w:jc w:val="both"/>
        <w:rPr>
          <w:b/>
          <w:bCs/>
          <w:sz w:val="28"/>
          <w:szCs w:val="28"/>
          <w:u w:val="single"/>
          <w:rtl/>
        </w:rPr>
      </w:pPr>
    </w:p>
    <w:p w14:paraId="13E056AD" w14:textId="77777777" w:rsidR="007A3975" w:rsidRDefault="00BD5CDF">
      <w:pPr>
        <w:spacing w:line="360" w:lineRule="auto"/>
        <w:ind w:left="720" w:hanging="720"/>
        <w:jc w:val="both"/>
        <w:rPr>
          <w:sz w:val="28"/>
          <w:szCs w:val="28"/>
          <w:rtl/>
        </w:rPr>
      </w:pPr>
      <w:r>
        <w:rPr>
          <w:rFonts w:hint="cs"/>
          <w:sz w:val="28"/>
          <w:szCs w:val="28"/>
          <w:rtl/>
        </w:rPr>
        <w:tab/>
        <w:t xml:space="preserve">הנאשם יליד 1986, ללא עבר פלילי. לדבריו ראה אנשים מטמינים דבר מה. הוא ניגש למקום ומצא את הנשק ולקח אותו, ללא כל כוונה לעשות בו שימוש. בשים לב לגילו ובהעדר עבר פלילי הורה בית המשפט על הגשת תסקיר בעניינו. </w:t>
      </w:r>
    </w:p>
    <w:p w14:paraId="2069EDB0" w14:textId="77777777" w:rsidR="007A3975" w:rsidRDefault="00BD5CDF">
      <w:pPr>
        <w:spacing w:line="360" w:lineRule="auto"/>
        <w:ind w:left="720" w:hanging="720"/>
        <w:jc w:val="both"/>
        <w:rPr>
          <w:sz w:val="28"/>
          <w:szCs w:val="28"/>
          <w:rtl/>
        </w:rPr>
      </w:pPr>
      <w:r>
        <w:rPr>
          <w:rFonts w:hint="cs"/>
          <w:sz w:val="28"/>
          <w:szCs w:val="28"/>
          <w:rtl/>
        </w:rPr>
        <w:tab/>
        <w:t xml:space="preserve">שירות המבחן הגיש תסקיר בו המליץ כי יגזר על הנאשם עונש של מאסר שניתן לרצותו בעבודות שירות.  שירות המבחן ציין כי מדובר בצעיר נורמטיבי, בן למשפחה נורמטיבית, ללא מעורבות בפלילים. שירות המבחן התרשם כי בנסיבות העניין גזירת עונש של מאסר עלולה לגרום להתדרדרות נפשית לנאשם. שירות המבחן סבר כי אין מקום להליך טיפולי מאחר והנאשם אינו זקוק לכך. הודגש כי הנאשם לקח אחריות ומביע חרטה. כמו כן הודגשה עמדת משפחתו שרואה בחומרה את הסתבכותו בפלילים. </w:t>
      </w:r>
    </w:p>
    <w:p w14:paraId="1AD02D51" w14:textId="77777777" w:rsidR="007A3975" w:rsidRDefault="007A3975">
      <w:pPr>
        <w:spacing w:line="360" w:lineRule="auto"/>
        <w:ind w:left="720" w:hanging="720"/>
        <w:jc w:val="both"/>
        <w:rPr>
          <w:sz w:val="28"/>
          <w:szCs w:val="28"/>
          <w:rtl/>
        </w:rPr>
      </w:pPr>
    </w:p>
    <w:p w14:paraId="3F672EA1" w14:textId="77777777" w:rsidR="007A3975" w:rsidRDefault="00BD5CDF">
      <w:pPr>
        <w:spacing w:line="360" w:lineRule="auto"/>
        <w:ind w:left="720" w:hanging="720"/>
        <w:jc w:val="both"/>
        <w:rPr>
          <w:sz w:val="28"/>
          <w:szCs w:val="28"/>
          <w:rtl/>
        </w:rPr>
      </w:pPr>
      <w:r>
        <w:rPr>
          <w:rFonts w:hint="cs"/>
          <w:sz w:val="28"/>
          <w:szCs w:val="28"/>
          <w:rtl/>
        </w:rPr>
        <w:tab/>
        <w:t xml:space="preserve">המאשימה עותרת לגזור על הנאשם עונש של מאסר משמעותי שיביא לידי ביטוי את חומרת העבירה. ב"כ המאשימה מציינת את הסכנה שבעבירות הנשק, העלול למצוא דרכו לגורמים עוינים או עברייניים ומבקשת כי בית המשפט יגזור את העונש באופן שיביא לידי ביטוי את ההרתעה וההגנה על שלום הציבור. </w:t>
      </w:r>
    </w:p>
    <w:p w14:paraId="7474A4C9" w14:textId="77777777" w:rsidR="007A3975" w:rsidRDefault="007A3975">
      <w:pPr>
        <w:spacing w:line="360" w:lineRule="auto"/>
        <w:ind w:left="720" w:hanging="720"/>
        <w:jc w:val="both"/>
        <w:rPr>
          <w:sz w:val="28"/>
          <w:szCs w:val="28"/>
          <w:rtl/>
        </w:rPr>
      </w:pPr>
    </w:p>
    <w:p w14:paraId="39E2AC1B" w14:textId="77777777" w:rsidR="007A3975" w:rsidRDefault="00BD5CDF">
      <w:pPr>
        <w:spacing w:line="360" w:lineRule="auto"/>
        <w:ind w:left="720" w:hanging="720"/>
        <w:jc w:val="both"/>
        <w:rPr>
          <w:sz w:val="28"/>
          <w:szCs w:val="28"/>
          <w:rtl/>
        </w:rPr>
      </w:pPr>
      <w:r>
        <w:rPr>
          <w:rFonts w:hint="cs"/>
          <w:sz w:val="28"/>
          <w:szCs w:val="28"/>
          <w:rtl/>
        </w:rPr>
        <w:tab/>
        <w:t xml:space="preserve">ב"כ הנאשם ציין כי הנאשם הודה מיד בישיבה הראשונה, ביום הגשת כתב האישום. הנאשם היה עצור לתקופה של 40 ימים ובהמשך שהה במעצר בית מלא, עד לאחרונה. משפחתו הפקידה בטוחות כספיות גבוהות ונרתמה כדי להחזירו אל דרך הישר. הסנגור ביקש לאמץ את המלצת שירות המבחן ולגזור על הנאשם עונש שלא יחזירו אל מאחורי הסורגים. </w:t>
      </w:r>
    </w:p>
    <w:p w14:paraId="47F14FAA" w14:textId="77777777" w:rsidR="007A3975" w:rsidRDefault="007A3975">
      <w:pPr>
        <w:spacing w:line="360" w:lineRule="auto"/>
        <w:ind w:left="720" w:hanging="720"/>
        <w:jc w:val="both"/>
        <w:rPr>
          <w:sz w:val="28"/>
          <w:szCs w:val="28"/>
          <w:rtl/>
        </w:rPr>
      </w:pPr>
    </w:p>
    <w:p w14:paraId="0F8A0E05" w14:textId="77777777" w:rsidR="007A3975" w:rsidRDefault="00BD5CDF">
      <w:pPr>
        <w:spacing w:line="360" w:lineRule="auto"/>
        <w:ind w:left="720" w:hanging="720"/>
        <w:jc w:val="both"/>
        <w:rPr>
          <w:sz w:val="28"/>
          <w:szCs w:val="28"/>
          <w:rtl/>
        </w:rPr>
      </w:pPr>
      <w:r>
        <w:rPr>
          <w:rFonts w:hint="cs"/>
          <w:sz w:val="28"/>
          <w:szCs w:val="28"/>
          <w:rtl/>
        </w:rPr>
        <w:tab/>
        <w:t xml:space="preserve">הנאשם ביקש כי בית המשפט יגזור עונש אותו יוכל לרצות בעבודות שירות. </w:t>
      </w:r>
    </w:p>
    <w:p w14:paraId="3E488073" w14:textId="77777777" w:rsidR="007A3975" w:rsidRDefault="00BD5CDF">
      <w:pPr>
        <w:spacing w:line="360" w:lineRule="auto"/>
        <w:ind w:left="567" w:hanging="567"/>
        <w:jc w:val="both"/>
        <w:rPr>
          <w:sz w:val="28"/>
          <w:szCs w:val="28"/>
          <w:rtl/>
        </w:rPr>
      </w:pPr>
      <w:r>
        <w:rPr>
          <w:sz w:val="28"/>
          <w:szCs w:val="28"/>
          <w:rtl/>
        </w:rPr>
        <w:lastRenderedPageBreak/>
        <w:tab/>
      </w:r>
    </w:p>
    <w:p w14:paraId="7E74A32D" w14:textId="77777777" w:rsidR="007A3975" w:rsidRDefault="00BD5CDF">
      <w:pPr>
        <w:spacing w:line="360" w:lineRule="auto"/>
        <w:ind w:left="720" w:hanging="720"/>
        <w:jc w:val="both"/>
        <w:rPr>
          <w:b/>
          <w:bCs/>
          <w:sz w:val="28"/>
          <w:szCs w:val="28"/>
          <w:rtl/>
        </w:rPr>
      </w:pPr>
      <w:r>
        <w:rPr>
          <w:b/>
          <w:bCs/>
          <w:sz w:val="28"/>
          <w:szCs w:val="28"/>
          <w:rtl/>
        </w:rPr>
        <w:t>3.</w:t>
      </w:r>
      <w:r>
        <w:rPr>
          <w:rFonts w:hint="cs"/>
          <w:b/>
          <w:bCs/>
          <w:sz w:val="28"/>
          <w:szCs w:val="28"/>
          <w:rtl/>
        </w:rPr>
        <w:tab/>
      </w:r>
      <w:r>
        <w:rPr>
          <w:b/>
          <w:bCs/>
          <w:sz w:val="28"/>
          <w:szCs w:val="28"/>
          <w:u w:val="single"/>
          <w:rtl/>
        </w:rPr>
        <w:t>שיקולי בית המשפט לעניין הענישה</w:t>
      </w:r>
      <w:r>
        <w:rPr>
          <w:b/>
          <w:bCs/>
          <w:sz w:val="28"/>
          <w:szCs w:val="28"/>
          <w:rtl/>
        </w:rPr>
        <w:t>:</w:t>
      </w:r>
    </w:p>
    <w:p w14:paraId="5BA4E8A9" w14:textId="77777777" w:rsidR="007A3975" w:rsidRDefault="007A3975">
      <w:pPr>
        <w:spacing w:line="360" w:lineRule="auto"/>
        <w:ind w:left="720" w:hanging="720"/>
        <w:jc w:val="both"/>
        <w:rPr>
          <w:b/>
          <w:bCs/>
          <w:sz w:val="28"/>
          <w:szCs w:val="28"/>
          <w:rtl/>
        </w:rPr>
      </w:pPr>
    </w:p>
    <w:p w14:paraId="607E8A36" w14:textId="77777777" w:rsidR="007A3975" w:rsidRDefault="00BD5CDF">
      <w:pPr>
        <w:spacing w:line="360" w:lineRule="auto"/>
        <w:ind w:left="720" w:hanging="720"/>
        <w:jc w:val="both"/>
        <w:rPr>
          <w:sz w:val="28"/>
          <w:szCs w:val="28"/>
          <w:rtl/>
        </w:rPr>
      </w:pPr>
      <w:r>
        <w:rPr>
          <w:rFonts w:hint="cs"/>
          <w:b/>
          <w:bCs/>
          <w:sz w:val="28"/>
          <w:szCs w:val="28"/>
          <w:rtl/>
        </w:rPr>
        <w:tab/>
      </w:r>
      <w:r>
        <w:rPr>
          <w:rFonts w:hint="cs"/>
          <w:sz w:val="28"/>
          <w:szCs w:val="28"/>
          <w:rtl/>
        </w:rPr>
        <w:t>הנאשם הורשע, כאמור, בעבירות בנשק, שהעונש המרבי הקבוע בחוק בגינן הוא 10 שנות מאסר. עונש זה מנחה את בית המשפט בבואו לגזור את הדין.  על זאת יש להוסיף את ההלכה הפסוקה בדבר  ה</w:t>
      </w:r>
      <w:r>
        <w:rPr>
          <w:sz w:val="28"/>
          <w:szCs w:val="28"/>
          <w:rtl/>
        </w:rPr>
        <w:t>סיכון הנגרם לחברה כתוצאה מהפצת נשק בצורה בלתי חוקית. בית המשפט העליון כבר פסק בעבר ב</w:t>
      </w:r>
      <w:r w:rsidRPr="00D9653A">
        <w:rPr>
          <w:color w:val="000000"/>
          <w:sz w:val="28"/>
          <w:szCs w:val="28"/>
          <w:rtl/>
        </w:rPr>
        <w:t>ע"פ 910/85</w:t>
      </w:r>
      <w:r>
        <w:rPr>
          <w:sz w:val="28"/>
          <w:szCs w:val="28"/>
          <w:rtl/>
        </w:rPr>
        <w:t xml:space="preserve">, </w:t>
      </w:r>
      <w:r>
        <w:rPr>
          <w:b/>
          <w:bCs/>
          <w:sz w:val="28"/>
          <w:szCs w:val="28"/>
          <w:u w:val="single"/>
          <w:rtl/>
        </w:rPr>
        <w:t>אברהים קונדוס ואח' נ. מדינת ישראל</w:t>
      </w:r>
      <w:r>
        <w:rPr>
          <w:sz w:val="28"/>
          <w:szCs w:val="28"/>
          <w:rtl/>
        </w:rPr>
        <w:t xml:space="preserve">, </w:t>
      </w:r>
      <w:r>
        <w:rPr>
          <w:rFonts w:hint="cs"/>
          <w:sz w:val="28"/>
          <w:szCs w:val="28"/>
          <w:rtl/>
        </w:rPr>
        <w:t>לא פורסם (1986)</w:t>
      </w:r>
      <w:r>
        <w:rPr>
          <w:sz w:val="28"/>
          <w:szCs w:val="28"/>
          <w:rtl/>
        </w:rPr>
        <w:t>, כי:</w:t>
      </w:r>
    </w:p>
    <w:p w14:paraId="71892C41" w14:textId="77777777" w:rsidR="007A3975" w:rsidRDefault="007A3975">
      <w:pPr>
        <w:spacing w:line="360" w:lineRule="auto"/>
        <w:ind w:left="567" w:hanging="567"/>
        <w:jc w:val="both"/>
        <w:rPr>
          <w:rtl/>
        </w:rPr>
      </w:pPr>
    </w:p>
    <w:p w14:paraId="3673B65F" w14:textId="77777777" w:rsidR="007A3975" w:rsidRDefault="00BD5CDF">
      <w:pPr>
        <w:pStyle w:val="a6"/>
        <w:spacing w:line="360" w:lineRule="auto"/>
        <w:rPr>
          <w:rtl/>
        </w:rPr>
      </w:pPr>
      <w:r>
        <w:rPr>
          <w:rtl/>
        </w:rPr>
        <w:t>"אין אנו יכולים להתעלם מהעובדה, שהחזקת נשק שלא כדין היא עבירה נפוצה, אשר מסכנת את בטחון הציבור במידה רצינית והדברים ידועים. חשוב שתחדור לתודעת כל תושבי המדינה הידיעה, שמי שביודעין מקבל לרשותו כלי נשק שלא כדין, צפוי בגין עבירה זו לעונש מכאיב, אפילו אין הוא מתכוון אישית לבצע פשע מסוים מוגדר בעזרת הנשק האמור."</w:t>
      </w:r>
    </w:p>
    <w:p w14:paraId="10281EA0" w14:textId="77777777" w:rsidR="007A3975" w:rsidRDefault="007A3975">
      <w:pPr>
        <w:spacing w:line="360" w:lineRule="auto"/>
        <w:jc w:val="both"/>
        <w:rPr>
          <w:rtl/>
        </w:rPr>
      </w:pPr>
    </w:p>
    <w:p w14:paraId="6E2B97DF" w14:textId="77777777" w:rsidR="007A3975" w:rsidRDefault="00BD5CDF">
      <w:pPr>
        <w:spacing w:line="360" w:lineRule="auto"/>
        <w:ind w:left="720"/>
        <w:jc w:val="both"/>
        <w:rPr>
          <w:sz w:val="28"/>
          <w:szCs w:val="28"/>
          <w:rtl/>
        </w:rPr>
      </w:pPr>
      <w:r>
        <w:rPr>
          <w:sz w:val="28"/>
          <w:szCs w:val="28"/>
          <w:rtl/>
        </w:rPr>
        <w:t>נכונים לענין זה דברים שנאמרו ב</w:t>
      </w:r>
      <w:hyperlink r:id="rId12" w:history="1">
        <w:r w:rsidR="0086593D" w:rsidRPr="0086593D">
          <w:rPr>
            <w:rStyle w:val="Hyperlink"/>
            <w:sz w:val="28"/>
            <w:szCs w:val="28"/>
            <w:rtl/>
          </w:rPr>
          <w:t>ע"פ 6941/01</w:t>
        </w:r>
      </w:hyperlink>
      <w:r>
        <w:rPr>
          <w:sz w:val="28"/>
          <w:szCs w:val="28"/>
          <w:rtl/>
        </w:rPr>
        <w:t xml:space="preserve">, </w:t>
      </w:r>
      <w:r>
        <w:rPr>
          <w:b/>
          <w:bCs/>
          <w:sz w:val="28"/>
          <w:szCs w:val="28"/>
          <w:u w:val="single"/>
          <w:rtl/>
        </w:rPr>
        <w:t>מדינת ישראל נ. חיים פינטו</w:t>
      </w:r>
      <w:r>
        <w:rPr>
          <w:sz w:val="28"/>
          <w:szCs w:val="28"/>
          <w:rtl/>
        </w:rPr>
        <w:t xml:space="preserve">, </w:t>
      </w:r>
      <w:r>
        <w:rPr>
          <w:rFonts w:hint="cs"/>
          <w:sz w:val="28"/>
          <w:szCs w:val="28"/>
          <w:rtl/>
        </w:rPr>
        <w:t>(2002)</w:t>
      </w:r>
      <w:r>
        <w:rPr>
          <w:sz w:val="28"/>
          <w:szCs w:val="28"/>
          <w:rtl/>
        </w:rPr>
        <w:t xml:space="preserve">: </w:t>
      </w:r>
    </w:p>
    <w:p w14:paraId="196E2540" w14:textId="77777777" w:rsidR="007A3975" w:rsidRDefault="007A3975">
      <w:pPr>
        <w:pStyle w:val="a6"/>
        <w:spacing w:line="360" w:lineRule="auto"/>
        <w:rPr>
          <w:rtl/>
        </w:rPr>
      </w:pPr>
    </w:p>
    <w:p w14:paraId="3197B6A2" w14:textId="77777777" w:rsidR="007A3975" w:rsidRDefault="00BD5CDF">
      <w:pPr>
        <w:pStyle w:val="a6"/>
        <w:spacing w:line="360" w:lineRule="auto"/>
        <w:rPr>
          <w:rtl/>
        </w:rPr>
      </w:pPr>
      <w:r>
        <w:rPr>
          <w:rtl/>
        </w:rPr>
        <w:t>"...ופעולות יזומות שנעשו ע"י המשיב לקראת מכירתו של נשק זה, יש בהן כדי להצביע על סכנה רבה, ואלמלא סוכלה פעולת המכירה עת נתפס הנשק ע"י סוכן, עלול היה הנשק להגיע לידיהם של אנשים המסכנים את בטחון הציבור, בין על דרך של פעולות חבלניות, או על דרך של מעשים פליליים המסכנים חיי אדם. בבואו להעניש על ביצוע עבירות מסוג זה, על בית המשפט לתת משקל הולם לאינטרס הציבור בהרתעה גם אל מול הנסיבות האישיות של העבריין."</w:t>
      </w:r>
    </w:p>
    <w:p w14:paraId="2446290A" w14:textId="77777777" w:rsidR="007A3975" w:rsidRDefault="007A3975">
      <w:pPr>
        <w:spacing w:line="360" w:lineRule="auto"/>
        <w:jc w:val="both"/>
        <w:rPr>
          <w:rtl/>
        </w:rPr>
      </w:pPr>
    </w:p>
    <w:p w14:paraId="32A12359" w14:textId="77777777" w:rsidR="007A3975" w:rsidRDefault="00BD5CDF">
      <w:pPr>
        <w:spacing w:line="360" w:lineRule="auto"/>
        <w:ind w:left="720"/>
        <w:jc w:val="both"/>
        <w:rPr>
          <w:sz w:val="28"/>
          <w:szCs w:val="28"/>
          <w:rtl/>
        </w:rPr>
      </w:pPr>
      <w:r>
        <w:rPr>
          <w:sz w:val="28"/>
          <w:szCs w:val="28"/>
          <w:rtl/>
        </w:rPr>
        <w:t>לא בכדי קבע המחוקק עונשים מרתיעים למבצעי עבירות של סחר בנשק בפרט ועבירות נשק בכלל. כוונת החקיקה הינה ברורה, להרתיע אנשים מלבצע עבירות אשר מעבר להיותן חמורות עלולות הן להוביל בהמשך לתוצאות חמורות אף יותר, וזאת אם יעשה בנשק שימוש על ידי גורמים פליליים ו/או שימוש כנגד בטחון המדינה. ראה:</w:t>
      </w:r>
    </w:p>
    <w:p w14:paraId="6AD5E871" w14:textId="77777777" w:rsidR="007A3975" w:rsidRDefault="007A3975">
      <w:pPr>
        <w:spacing w:line="360" w:lineRule="auto"/>
        <w:ind w:left="567"/>
        <w:jc w:val="both"/>
        <w:rPr>
          <w:sz w:val="28"/>
          <w:szCs w:val="28"/>
          <w:rtl/>
        </w:rPr>
      </w:pPr>
    </w:p>
    <w:p w14:paraId="2B433276" w14:textId="77777777" w:rsidR="007A3975" w:rsidRDefault="0086593D">
      <w:pPr>
        <w:spacing w:line="360" w:lineRule="auto"/>
        <w:ind w:firstLine="720"/>
        <w:rPr>
          <w:sz w:val="28"/>
          <w:szCs w:val="28"/>
          <w:rtl/>
        </w:rPr>
      </w:pPr>
      <w:hyperlink r:id="rId13" w:history="1">
        <w:r w:rsidRPr="0086593D">
          <w:rPr>
            <w:rStyle w:val="Hyperlink"/>
            <w:sz w:val="28"/>
            <w:szCs w:val="28"/>
            <w:rtl/>
          </w:rPr>
          <w:t>ע.פ. 4609/98</w:t>
        </w:r>
      </w:hyperlink>
      <w:r w:rsidR="00BD5CDF">
        <w:rPr>
          <w:sz w:val="28"/>
          <w:szCs w:val="28"/>
          <w:rtl/>
        </w:rPr>
        <w:t xml:space="preserve">, </w:t>
      </w:r>
      <w:r w:rsidR="00BD5CDF">
        <w:rPr>
          <w:b/>
          <w:bCs/>
          <w:sz w:val="28"/>
          <w:szCs w:val="28"/>
          <w:u w:val="single"/>
          <w:rtl/>
        </w:rPr>
        <w:t>טהה ואח' נ' מדינת ישראל</w:t>
      </w:r>
      <w:r w:rsidR="00BD5CDF">
        <w:rPr>
          <w:sz w:val="28"/>
          <w:szCs w:val="28"/>
          <w:rtl/>
        </w:rPr>
        <w:t>,</w:t>
      </w:r>
      <w:r w:rsidR="00BD5CDF">
        <w:rPr>
          <w:rFonts w:hint="cs"/>
          <w:sz w:val="28"/>
          <w:szCs w:val="28"/>
          <w:rtl/>
        </w:rPr>
        <w:t xml:space="preserve"> לא פורסם (1999)</w:t>
      </w:r>
      <w:r w:rsidR="00BD5CDF">
        <w:rPr>
          <w:sz w:val="28"/>
          <w:szCs w:val="28"/>
          <w:rtl/>
        </w:rPr>
        <w:t>;</w:t>
      </w:r>
    </w:p>
    <w:p w14:paraId="4BF392A3" w14:textId="77777777" w:rsidR="007A3975" w:rsidRDefault="0086593D">
      <w:pPr>
        <w:spacing w:line="360" w:lineRule="auto"/>
        <w:ind w:firstLine="720"/>
        <w:rPr>
          <w:sz w:val="28"/>
          <w:szCs w:val="28"/>
          <w:rtl/>
        </w:rPr>
      </w:pPr>
      <w:hyperlink r:id="rId14" w:history="1">
        <w:r w:rsidRPr="0086593D">
          <w:rPr>
            <w:rStyle w:val="Hyperlink"/>
            <w:sz w:val="28"/>
            <w:szCs w:val="28"/>
            <w:rtl/>
          </w:rPr>
          <w:t>ע.פ. 353/86</w:t>
        </w:r>
      </w:hyperlink>
      <w:r w:rsidR="00BD5CDF">
        <w:rPr>
          <w:sz w:val="28"/>
          <w:szCs w:val="28"/>
          <w:rtl/>
        </w:rPr>
        <w:t xml:space="preserve">, </w:t>
      </w:r>
      <w:r w:rsidR="00BD5CDF">
        <w:rPr>
          <w:b/>
          <w:bCs/>
          <w:sz w:val="28"/>
          <w:szCs w:val="28"/>
          <w:u w:val="single"/>
          <w:rtl/>
        </w:rPr>
        <w:t>מדינת ישראל נ' מחמוד</w:t>
      </w:r>
      <w:r w:rsidR="00BD5CDF">
        <w:rPr>
          <w:sz w:val="28"/>
          <w:szCs w:val="28"/>
          <w:rtl/>
        </w:rPr>
        <w:t xml:space="preserve">, </w:t>
      </w:r>
      <w:r w:rsidR="00BD5CDF">
        <w:rPr>
          <w:rFonts w:hint="cs"/>
          <w:sz w:val="28"/>
          <w:szCs w:val="28"/>
          <w:rtl/>
        </w:rPr>
        <w:t>לא פורסם (1986)</w:t>
      </w:r>
      <w:r w:rsidR="00BD5CDF">
        <w:rPr>
          <w:sz w:val="28"/>
          <w:szCs w:val="28"/>
          <w:rtl/>
        </w:rPr>
        <w:t>;</w:t>
      </w:r>
    </w:p>
    <w:p w14:paraId="5A4D52C7" w14:textId="77777777" w:rsidR="007A3975" w:rsidRDefault="00BD5CDF">
      <w:pPr>
        <w:spacing w:line="360" w:lineRule="auto"/>
        <w:ind w:firstLine="720"/>
        <w:rPr>
          <w:sz w:val="28"/>
          <w:szCs w:val="28"/>
          <w:rtl/>
        </w:rPr>
      </w:pPr>
      <w:r w:rsidRPr="00D9653A">
        <w:rPr>
          <w:color w:val="000000"/>
          <w:sz w:val="28"/>
          <w:szCs w:val="28"/>
          <w:rtl/>
        </w:rPr>
        <w:t>ע.פ. 7263/01</w:t>
      </w:r>
      <w:r>
        <w:rPr>
          <w:sz w:val="28"/>
          <w:szCs w:val="28"/>
          <w:rtl/>
        </w:rPr>
        <w:t xml:space="preserve">, </w:t>
      </w:r>
      <w:r>
        <w:rPr>
          <w:b/>
          <w:bCs/>
          <w:sz w:val="28"/>
          <w:szCs w:val="28"/>
          <w:u w:val="single"/>
          <w:rtl/>
        </w:rPr>
        <w:t>עוואד נ' מדינת ישראל</w:t>
      </w:r>
      <w:r>
        <w:rPr>
          <w:sz w:val="28"/>
          <w:szCs w:val="28"/>
          <w:rtl/>
        </w:rPr>
        <w:t xml:space="preserve">, </w:t>
      </w:r>
      <w:r>
        <w:rPr>
          <w:rFonts w:hint="cs"/>
          <w:sz w:val="28"/>
          <w:szCs w:val="28"/>
          <w:rtl/>
        </w:rPr>
        <w:t>לא פורסם (2002)</w:t>
      </w:r>
      <w:r>
        <w:rPr>
          <w:sz w:val="28"/>
          <w:szCs w:val="28"/>
          <w:rtl/>
        </w:rPr>
        <w:t>.</w:t>
      </w:r>
    </w:p>
    <w:p w14:paraId="636D74C8" w14:textId="77777777" w:rsidR="007A3975" w:rsidRDefault="007A3975">
      <w:pPr>
        <w:spacing w:line="360" w:lineRule="auto"/>
        <w:ind w:left="567"/>
        <w:jc w:val="both"/>
        <w:rPr>
          <w:sz w:val="28"/>
          <w:szCs w:val="28"/>
          <w:rtl/>
        </w:rPr>
      </w:pPr>
    </w:p>
    <w:p w14:paraId="79260A59" w14:textId="77777777" w:rsidR="007A3975" w:rsidRDefault="00BD5CDF">
      <w:pPr>
        <w:spacing w:line="360" w:lineRule="auto"/>
        <w:ind w:left="720"/>
        <w:jc w:val="both"/>
        <w:rPr>
          <w:sz w:val="28"/>
          <w:szCs w:val="28"/>
          <w:rtl/>
        </w:rPr>
      </w:pPr>
      <w:r>
        <w:rPr>
          <w:sz w:val="28"/>
          <w:szCs w:val="28"/>
          <w:rtl/>
        </w:rPr>
        <w:t>בבוא</w:t>
      </w:r>
      <w:r>
        <w:rPr>
          <w:rFonts w:hint="cs"/>
          <w:sz w:val="28"/>
          <w:szCs w:val="28"/>
          <w:rtl/>
        </w:rPr>
        <w:t xml:space="preserve"> בית המשפט</w:t>
      </w:r>
      <w:r>
        <w:rPr>
          <w:sz w:val="28"/>
          <w:szCs w:val="28"/>
          <w:rtl/>
        </w:rPr>
        <w:t xml:space="preserve"> לגזור את הדין עלינו להביא לידי ביטוי את כוונת החקיקה ומטרתה באופן שלא יהווה החוק סיסמא ריקה מתוכן. ראה:</w:t>
      </w:r>
    </w:p>
    <w:p w14:paraId="4367F58A" w14:textId="77777777" w:rsidR="007A3975" w:rsidRDefault="007A3975">
      <w:pPr>
        <w:spacing w:line="360" w:lineRule="auto"/>
        <w:ind w:left="567" w:hanging="567"/>
        <w:jc w:val="both"/>
        <w:rPr>
          <w:sz w:val="28"/>
          <w:szCs w:val="28"/>
          <w:rtl/>
        </w:rPr>
      </w:pPr>
    </w:p>
    <w:p w14:paraId="064376B1" w14:textId="77777777" w:rsidR="007A3975" w:rsidRDefault="0086593D">
      <w:pPr>
        <w:spacing w:line="360" w:lineRule="auto"/>
        <w:ind w:firstLine="720"/>
        <w:rPr>
          <w:sz w:val="28"/>
          <w:szCs w:val="28"/>
          <w:rtl/>
        </w:rPr>
      </w:pPr>
      <w:hyperlink r:id="rId15" w:history="1">
        <w:r w:rsidRPr="0086593D">
          <w:rPr>
            <w:rStyle w:val="Hyperlink"/>
            <w:sz w:val="28"/>
            <w:szCs w:val="28"/>
            <w:rtl/>
          </w:rPr>
          <w:t>ע"פ 2620/93, פלוני נ' מדינת ישראל, פ"ד מט</w:t>
        </w:r>
      </w:hyperlink>
      <w:r w:rsidR="00BD5CDF">
        <w:rPr>
          <w:sz w:val="28"/>
          <w:szCs w:val="28"/>
          <w:rtl/>
        </w:rPr>
        <w:t xml:space="preserve">(3), עמ' 1. </w:t>
      </w:r>
    </w:p>
    <w:p w14:paraId="652D29AF" w14:textId="77777777" w:rsidR="007A3975" w:rsidRDefault="007A3975">
      <w:pPr>
        <w:spacing w:line="360" w:lineRule="auto"/>
        <w:ind w:left="567" w:hanging="567"/>
        <w:jc w:val="both"/>
        <w:rPr>
          <w:sz w:val="28"/>
          <w:szCs w:val="28"/>
          <w:rtl/>
        </w:rPr>
      </w:pPr>
    </w:p>
    <w:p w14:paraId="10A5000F" w14:textId="77777777" w:rsidR="007A3975" w:rsidRDefault="00BD5CDF">
      <w:pPr>
        <w:spacing w:line="360" w:lineRule="auto"/>
        <w:ind w:left="720"/>
        <w:jc w:val="both"/>
        <w:rPr>
          <w:sz w:val="28"/>
          <w:szCs w:val="28"/>
          <w:rtl/>
        </w:rPr>
      </w:pPr>
      <w:r>
        <w:rPr>
          <w:sz w:val="28"/>
          <w:szCs w:val="28"/>
          <w:rtl/>
        </w:rPr>
        <w:t xml:space="preserve">בהתאם, המדיניות הראויה לענישה בעבירות נשק הינה להחמיר בעונש וזאת כדי להרתיע מבצעי עבירות מסוג זה מפני ביצוען ולהגן על הציבור. </w:t>
      </w:r>
    </w:p>
    <w:p w14:paraId="24FFFEFE" w14:textId="77777777" w:rsidR="007A3975" w:rsidRDefault="007A3975">
      <w:pPr>
        <w:spacing w:line="360" w:lineRule="auto"/>
        <w:ind w:left="720"/>
        <w:jc w:val="both"/>
        <w:rPr>
          <w:sz w:val="28"/>
          <w:szCs w:val="28"/>
          <w:rtl/>
        </w:rPr>
      </w:pPr>
    </w:p>
    <w:p w14:paraId="0BE60AF4" w14:textId="77777777" w:rsidR="007A3975" w:rsidRDefault="00BD5CDF">
      <w:pPr>
        <w:spacing w:line="360" w:lineRule="auto"/>
        <w:ind w:left="720"/>
        <w:jc w:val="both"/>
        <w:rPr>
          <w:sz w:val="28"/>
          <w:szCs w:val="28"/>
          <w:rtl/>
        </w:rPr>
      </w:pPr>
      <w:r>
        <w:rPr>
          <w:rFonts w:hint="cs"/>
          <w:sz w:val="28"/>
          <w:szCs w:val="28"/>
          <w:rtl/>
        </w:rPr>
        <w:t xml:space="preserve">עם זאת קיימים גם שיקולים נוספים המנחים את בית המשפט בבואו לגזור את הדין. לנאשם זה אין כל עבר פלילי וגם לא ידועה מעורבות אחרת בפלילים. הנאשם הודה ביום הגשת כתב האישום (וגם הודה בעת חקירתו מיד כשנעצר). סבור אני כי העובדה שנאשם מודה ביום הגשת כתב האישום מהווה שיקול להקלה משמעותית בדינו מאחר ויש בכך כדי להבהיר כי מי שלוקח אחריות על מעשיו ומודה מיד </w:t>
      </w:r>
      <w:r>
        <w:rPr>
          <w:sz w:val="28"/>
          <w:szCs w:val="28"/>
          <w:rtl/>
        </w:rPr>
        <w:t>–</w:t>
      </w:r>
      <w:r>
        <w:rPr>
          <w:rFonts w:hint="cs"/>
          <w:sz w:val="28"/>
          <w:szCs w:val="28"/>
          <w:rtl/>
        </w:rPr>
        <w:t xml:space="preserve"> יובא הדבר בחשבון במסגרת שיקולי הענישה. </w:t>
      </w:r>
    </w:p>
    <w:p w14:paraId="133EDA5B" w14:textId="77777777" w:rsidR="007A3975" w:rsidRDefault="007A3975">
      <w:pPr>
        <w:spacing w:line="360" w:lineRule="auto"/>
        <w:ind w:left="720"/>
        <w:jc w:val="both"/>
        <w:rPr>
          <w:sz w:val="28"/>
          <w:szCs w:val="28"/>
          <w:rtl/>
        </w:rPr>
      </w:pPr>
    </w:p>
    <w:p w14:paraId="6D4B92DF" w14:textId="77777777" w:rsidR="007A3975" w:rsidRDefault="00BD5CDF">
      <w:pPr>
        <w:spacing w:line="360" w:lineRule="auto"/>
        <w:ind w:left="720"/>
        <w:jc w:val="both"/>
        <w:rPr>
          <w:sz w:val="28"/>
          <w:szCs w:val="28"/>
          <w:rtl/>
        </w:rPr>
      </w:pPr>
      <w:r>
        <w:rPr>
          <w:rFonts w:hint="cs"/>
          <w:sz w:val="28"/>
          <w:szCs w:val="28"/>
          <w:rtl/>
        </w:rPr>
        <w:t xml:space="preserve">מעבר לכך </w:t>
      </w:r>
      <w:r>
        <w:rPr>
          <w:sz w:val="28"/>
          <w:szCs w:val="28"/>
          <w:rtl/>
        </w:rPr>
        <w:t>–</w:t>
      </w:r>
      <w:r>
        <w:rPr>
          <w:rFonts w:hint="cs"/>
          <w:sz w:val="28"/>
          <w:szCs w:val="28"/>
          <w:rtl/>
        </w:rPr>
        <w:t xml:space="preserve"> ההודאה המיידית מצביעה על חרטה אמיתית ועל העדר נורמות עברייניות.  גם עניין זה הובא על ידי בחשבון. </w:t>
      </w:r>
    </w:p>
    <w:p w14:paraId="074E6F99" w14:textId="77777777" w:rsidR="007A3975" w:rsidRDefault="007A3975">
      <w:pPr>
        <w:spacing w:line="360" w:lineRule="auto"/>
        <w:ind w:left="720"/>
        <w:jc w:val="both"/>
        <w:rPr>
          <w:sz w:val="28"/>
          <w:szCs w:val="28"/>
          <w:rtl/>
        </w:rPr>
      </w:pPr>
    </w:p>
    <w:p w14:paraId="671BFA5A" w14:textId="77777777" w:rsidR="007A3975" w:rsidRDefault="00BD5CDF">
      <w:pPr>
        <w:spacing w:line="360" w:lineRule="auto"/>
        <w:ind w:left="720"/>
        <w:jc w:val="both"/>
        <w:rPr>
          <w:sz w:val="28"/>
          <w:szCs w:val="28"/>
          <w:rtl/>
        </w:rPr>
      </w:pPr>
      <w:r>
        <w:rPr>
          <w:rFonts w:hint="cs"/>
          <w:sz w:val="28"/>
          <w:szCs w:val="28"/>
          <w:rtl/>
        </w:rPr>
        <w:t xml:space="preserve">על אלו יש להוסיף את המלצת שירות המבחן אשר בנסיבות אלו סבור אני כי ראוי לאמצה, על אף שאין ההמלצה מחייבת את בית המשפט. </w:t>
      </w:r>
    </w:p>
    <w:p w14:paraId="37602A42" w14:textId="77777777" w:rsidR="007A3975" w:rsidRDefault="007A3975">
      <w:pPr>
        <w:spacing w:line="360" w:lineRule="auto"/>
        <w:ind w:left="720"/>
        <w:jc w:val="both"/>
        <w:rPr>
          <w:sz w:val="28"/>
          <w:szCs w:val="28"/>
          <w:rtl/>
        </w:rPr>
      </w:pPr>
    </w:p>
    <w:p w14:paraId="7F41FE77" w14:textId="77777777" w:rsidR="007A3975" w:rsidRDefault="00BD5CDF">
      <w:pPr>
        <w:spacing w:line="360" w:lineRule="auto"/>
        <w:ind w:left="720"/>
        <w:jc w:val="both"/>
        <w:rPr>
          <w:sz w:val="28"/>
          <w:szCs w:val="28"/>
          <w:rtl/>
        </w:rPr>
      </w:pPr>
      <w:r>
        <w:rPr>
          <w:rFonts w:hint="cs"/>
          <w:sz w:val="28"/>
          <w:szCs w:val="28"/>
          <w:rtl/>
        </w:rPr>
        <w:t xml:space="preserve">עוד הבאתי בחשבון כי הנאשם היה עצור כ- 40 ימים, דבר שאינו פשוט למי שעולם העברינות זר לו, ובהמשך שהה במעצר בית מלא עד לאחרונה. </w:t>
      </w:r>
    </w:p>
    <w:p w14:paraId="21CC08ED" w14:textId="77777777" w:rsidR="007A3975" w:rsidRDefault="007A3975">
      <w:pPr>
        <w:spacing w:line="360" w:lineRule="auto"/>
        <w:ind w:left="720"/>
        <w:jc w:val="both"/>
        <w:rPr>
          <w:sz w:val="28"/>
          <w:szCs w:val="28"/>
          <w:rtl/>
        </w:rPr>
      </w:pPr>
    </w:p>
    <w:p w14:paraId="2B7F42F1" w14:textId="77777777" w:rsidR="007A3975" w:rsidRDefault="00BD5CDF">
      <w:pPr>
        <w:spacing w:line="360" w:lineRule="auto"/>
        <w:ind w:left="720"/>
        <w:jc w:val="both"/>
        <w:rPr>
          <w:sz w:val="28"/>
          <w:szCs w:val="28"/>
          <w:rtl/>
        </w:rPr>
      </w:pPr>
      <w:r>
        <w:rPr>
          <w:rFonts w:hint="cs"/>
          <w:sz w:val="28"/>
          <w:szCs w:val="28"/>
          <w:rtl/>
        </w:rPr>
        <w:t xml:space="preserve">בהביאי בחשבון כל אלו סבור אני כי במקרה זה, כחריג שאינו משקף את מדיניות הענישה, ניתן להקל בדינו באופן בו יגזר עליו מאסר לתקופה שניתן לרצותה בעבודות שירות, מאסר מותנה משמעותי וכן קנס כספי שיביא לידי ביטוי את חומרת המעשים שביצע הנאשם ויבהיר את המחיר הגבוה שישלם מי שמבצע עבירות מסוג זה. </w:t>
      </w:r>
    </w:p>
    <w:p w14:paraId="4C37DF08" w14:textId="77777777" w:rsidR="007A3975" w:rsidRDefault="007A3975">
      <w:pPr>
        <w:spacing w:line="360" w:lineRule="auto"/>
        <w:jc w:val="both"/>
        <w:rPr>
          <w:b/>
          <w:bCs/>
          <w:sz w:val="28"/>
          <w:szCs w:val="28"/>
          <w:rtl/>
        </w:rPr>
      </w:pPr>
    </w:p>
    <w:p w14:paraId="16741AB0" w14:textId="77777777" w:rsidR="007A3975" w:rsidRDefault="00BD5CDF">
      <w:pPr>
        <w:spacing w:line="360" w:lineRule="auto"/>
        <w:ind w:left="720" w:hanging="720"/>
        <w:jc w:val="both"/>
        <w:rPr>
          <w:b/>
          <w:bCs/>
          <w:sz w:val="28"/>
          <w:szCs w:val="28"/>
          <w:rtl/>
        </w:rPr>
      </w:pPr>
      <w:r>
        <w:rPr>
          <w:b/>
          <w:bCs/>
          <w:sz w:val="28"/>
          <w:szCs w:val="28"/>
          <w:rtl/>
        </w:rPr>
        <w:t>4.</w:t>
      </w:r>
      <w:r>
        <w:rPr>
          <w:rFonts w:hint="cs"/>
          <w:b/>
          <w:bCs/>
          <w:sz w:val="28"/>
          <w:szCs w:val="28"/>
          <w:rtl/>
        </w:rPr>
        <w:tab/>
      </w:r>
      <w:r>
        <w:rPr>
          <w:b/>
          <w:bCs/>
          <w:sz w:val="28"/>
          <w:szCs w:val="28"/>
          <w:u w:val="single"/>
          <w:rtl/>
        </w:rPr>
        <w:t>סיכום הענישה וגזר הדין</w:t>
      </w:r>
      <w:r>
        <w:rPr>
          <w:b/>
          <w:bCs/>
          <w:sz w:val="28"/>
          <w:szCs w:val="28"/>
          <w:rtl/>
        </w:rPr>
        <w:t>:</w:t>
      </w:r>
    </w:p>
    <w:p w14:paraId="7F30912C" w14:textId="77777777" w:rsidR="007A3975" w:rsidRDefault="007A3975">
      <w:pPr>
        <w:spacing w:line="360" w:lineRule="auto"/>
        <w:rPr>
          <w:rFonts w:ascii="Arial" w:hAnsi="Arial"/>
          <w:rtl/>
        </w:rPr>
      </w:pPr>
    </w:p>
    <w:p w14:paraId="053E50E1" w14:textId="77777777" w:rsidR="007A3975" w:rsidRDefault="00BD5CDF">
      <w:pPr>
        <w:spacing w:line="360" w:lineRule="auto"/>
        <w:ind w:left="720"/>
        <w:rPr>
          <w:sz w:val="28"/>
          <w:szCs w:val="28"/>
          <w:rtl/>
        </w:rPr>
      </w:pPr>
      <w:r>
        <w:rPr>
          <w:rFonts w:hint="cs"/>
          <w:sz w:val="28"/>
          <w:szCs w:val="28"/>
          <w:rtl/>
        </w:rPr>
        <w:t>אשר על כן, ולאחר ששקלתי את טיעוני הצדדים, את האמור בתסקיר המבחן ואת האמור</w:t>
      </w:r>
      <w:r>
        <w:rPr>
          <w:rFonts w:hint="cs"/>
          <w:rtl/>
        </w:rPr>
        <w:t xml:space="preserve"> </w:t>
      </w:r>
      <w:r>
        <w:rPr>
          <w:rFonts w:hint="cs"/>
          <w:sz w:val="28"/>
          <w:szCs w:val="28"/>
          <w:rtl/>
        </w:rPr>
        <w:t>לעיל, אני גוזר את דינו של הנאשם כדלקמן:</w:t>
      </w:r>
    </w:p>
    <w:p w14:paraId="42B18002" w14:textId="77777777" w:rsidR="007A3975" w:rsidRDefault="007A3975">
      <w:pPr>
        <w:spacing w:line="360" w:lineRule="auto"/>
        <w:ind w:left="720"/>
        <w:rPr>
          <w:sz w:val="28"/>
          <w:szCs w:val="28"/>
          <w:rtl/>
        </w:rPr>
      </w:pPr>
    </w:p>
    <w:p w14:paraId="2E88B660" w14:textId="77777777" w:rsidR="007A3975" w:rsidRDefault="00BD5CDF">
      <w:pPr>
        <w:spacing w:line="360" w:lineRule="auto"/>
        <w:ind w:left="720"/>
        <w:rPr>
          <w:sz w:val="28"/>
          <w:szCs w:val="28"/>
          <w:rtl/>
        </w:rPr>
      </w:pPr>
      <w:r>
        <w:rPr>
          <w:rFonts w:hint="cs"/>
          <w:sz w:val="28"/>
          <w:szCs w:val="28"/>
          <w:rtl/>
        </w:rPr>
        <w:t xml:space="preserve">אני גוזר על הנאשם לרצות 18 חודשי מאסר  מהם 6 חודשי מאסר בפועל ו- 12 חודשי מאסר מותנה. התנאי הוא שהנאשם לא יעבור את העבירות בהן הורשע וכן כל עבירה בנשק בתוך 3 שנים מהיום ויורשע בגינן. </w:t>
      </w:r>
    </w:p>
    <w:p w14:paraId="4DC95F0F" w14:textId="77777777" w:rsidR="007A3975" w:rsidRDefault="007A3975">
      <w:pPr>
        <w:spacing w:line="360" w:lineRule="auto"/>
        <w:ind w:left="720"/>
        <w:rPr>
          <w:sz w:val="28"/>
          <w:szCs w:val="28"/>
          <w:rtl/>
        </w:rPr>
      </w:pPr>
    </w:p>
    <w:p w14:paraId="4150A8A7" w14:textId="77777777" w:rsidR="007A3975" w:rsidRDefault="00BD5CDF">
      <w:pPr>
        <w:spacing w:line="360" w:lineRule="auto"/>
        <w:ind w:left="720"/>
        <w:jc w:val="both"/>
        <w:rPr>
          <w:b/>
          <w:bCs/>
          <w:sz w:val="28"/>
          <w:szCs w:val="28"/>
          <w:u w:val="single"/>
          <w:rtl/>
        </w:rPr>
      </w:pPr>
      <w:r>
        <w:rPr>
          <w:rFonts w:hint="cs"/>
          <w:sz w:val="28"/>
          <w:szCs w:val="28"/>
          <w:rtl/>
        </w:rPr>
        <w:t xml:space="preserve">סה"כ ירצה הנאשם 6 חודשי מאסר בפועל. </w:t>
      </w:r>
      <w:r>
        <w:rPr>
          <w:rFonts w:hint="cs"/>
          <w:b/>
          <w:bCs/>
          <w:sz w:val="28"/>
          <w:szCs w:val="28"/>
          <w:u w:val="single"/>
          <w:rtl/>
        </w:rPr>
        <w:t xml:space="preserve">החלטתי שלא לנכות מתקופת מאסרו את ימי מעצרו. </w:t>
      </w:r>
    </w:p>
    <w:p w14:paraId="4E62DF37" w14:textId="77777777" w:rsidR="007A3975" w:rsidRDefault="007A3975">
      <w:pPr>
        <w:spacing w:line="360" w:lineRule="auto"/>
        <w:ind w:left="720"/>
        <w:jc w:val="both"/>
        <w:rPr>
          <w:sz w:val="28"/>
          <w:szCs w:val="28"/>
          <w:rtl/>
        </w:rPr>
      </w:pPr>
    </w:p>
    <w:p w14:paraId="421A24EF" w14:textId="77777777" w:rsidR="007A3975" w:rsidRDefault="00BD5CDF">
      <w:pPr>
        <w:spacing w:line="360" w:lineRule="auto"/>
        <w:ind w:left="720"/>
        <w:jc w:val="both"/>
        <w:rPr>
          <w:sz w:val="28"/>
          <w:szCs w:val="28"/>
          <w:rtl/>
        </w:rPr>
      </w:pPr>
      <w:r>
        <w:rPr>
          <w:rFonts w:hint="cs"/>
          <w:sz w:val="28"/>
          <w:szCs w:val="28"/>
          <w:rtl/>
        </w:rPr>
        <w:t xml:space="preserve">אני מתיר לנאשם לרצות את מאסרו בעבודות שירות, בכפוף לחוות דעתו של הממונה על עבודות השירות שתוגש לבית המשפט עד ליום    29/11/09.  </w:t>
      </w:r>
    </w:p>
    <w:p w14:paraId="0007CA82" w14:textId="77777777" w:rsidR="007A3975" w:rsidRDefault="007A3975">
      <w:pPr>
        <w:spacing w:line="360" w:lineRule="auto"/>
        <w:ind w:left="720"/>
        <w:jc w:val="both"/>
        <w:rPr>
          <w:sz w:val="28"/>
          <w:szCs w:val="28"/>
          <w:rtl/>
        </w:rPr>
      </w:pPr>
    </w:p>
    <w:p w14:paraId="45F07CFF" w14:textId="77777777" w:rsidR="007A3975" w:rsidRDefault="00BD5CDF">
      <w:pPr>
        <w:spacing w:line="360" w:lineRule="auto"/>
        <w:ind w:left="720"/>
        <w:jc w:val="both"/>
        <w:rPr>
          <w:sz w:val="28"/>
          <w:szCs w:val="28"/>
          <w:rtl/>
        </w:rPr>
      </w:pPr>
      <w:r>
        <w:rPr>
          <w:rFonts w:hint="cs"/>
          <w:b/>
          <w:bCs/>
          <w:sz w:val="28"/>
          <w:szCs w:val="28"/>
          <w:u w:val="single"/>
          <w:rtl/>
        </w:rPr>
        <w:t>לתשומת לב הממונה על עבודות השירות</w:t>
      </w:r>
      <w:r>
        <w:rPr>
          <w:rFonts w:hint="cs"/>
          <w:sz w:val="28"/>
          <w:szCs w:val="28"/>
          <w:rtl/>
        </w:rPr>
        <w:t xml:space="preserve">: כתובתו של הנאשם כפר מושרייפה טל' 050-9528481. הנאשם מיוצג ע"י עו"ד פיאד אגבריה טל' 04-6318086 פקס' 04-6110665.  על הסנגור לפנות במקביל לממונה על עבודות השירות כדי לתאם את זימונו של הנאשם לראיון. </w:t>
      </w:r>
    </w:p>
    <w:p w14:paraId="35F81D14" w14:textId="77777777" w:rsidR="007A3975" w:rsidRDefault="007A3975">
      <w:pPr>
        <w:spacing w:line="360" w:lineRule="auto"/>
        <w:ind w:left="720"/>
        <w:jc w:val="both"/>
        <w:rPr>
          <w:sz w:val="28"/>
          <w:szCs w:val="28"/>
          <w:rtl/>
        </w:rPr>
      </w:pPr>
    </w:p>
    <w:p w14:paraId="0A805299" w14:textId="77777777" w:rsidR="007A3975" w:rsidRDefault="00BD5CDF">
      <w:pPr>
        <w:spacing w:line="360" w:lineRule="auto"/>
        <w:ind w:left="720"/>
        <w:jc w:val="both"/>
        <w:rPr>
          <w:sz w:val="28"/>
          <w:szCs w:val="28"/>
          <w:rtl/>
        </w:rPr>
      </w:pPr>
      <w:r>
        <w:rPr>
          <w:rFonts w:hint="cs"/>
          <w:sz w:val="28"/>
          <w:szCs w:val="28"/>
          <w:rtl/>
        </w:rPr>
        <w:t xml:space="preserve">אני גוזר על הנאשם לשלם קנס כספי בסכום של 20,000 ₪. הסכום ישולם בדרך של חילוט הפקדון שהפקיד הנאשם להבטחת תנאי שחרורו בסכום של 10,000 ₪, בתאם להחלטה מיום 20/7/09 בתיק </w:t>
      </w:r>
      <w:hyperlink r:id="rId16" w:history="1">
        <w:r w:rsidR="0086593D" w:rsidRPr="0086593D">
          <w:rPr>
            <w:rStyle w:val="Hyperlink"/>
            <w:sz w:val="28"/>
            <w:szCs w:val="28"/>
            <w:rtl/>
          </w:rPr>
          <w:t>מ"ת 10792-06-09</w:t>
        </w:r>
      </w:hyperlink>
      <w:r w:rsidRPr="00D9653A">
        <w:rPr>
          <w:color w:val="000000"/>
          <w:sz w:val="28"/>
          <w:szCs w:val="28"/>
          <w:rtl/>
        </w:rPr>
        <w:t>. יתרת הקנ</w:t>
      </w:r>
      <w:r>
        <w:rPr>
          <w:rFonts w:hint="cs"/>
          <w:sz w:val="28"/>
          <w:szCs w:val="28"/>
          <w:rtl/>
        </w:rPr>
        <w:t xml:space="preserve">ס בסכום של 10,000 ₪ תשולם בחמישה תשלומים שווים ורצופים שהראשון שבהם ישולם ביום 1/12/09 והיתרה בכל 1 לחודש שאחריו. אם לא ישולם תשלום במועדו תעמוד יתרת הקנס לפרעון מידי ויהיה על הנאשם לרצות  שלושה (3) חודשי מאסר תמורת הקנס. </w:t>
      </w:r>
    </w:p>
    <w:p w14:paraId="77ED723F" w14:textId="77777777" w:rsidR="007A3975" w:rsidRDefault="007A3975">
      <w:pPr>
        <w:spacing w:line="360" w:lineRule="auto"/>
        <w:ind w:left="720"/>
        <w:jc w:val="both"/>
        <w:rPr>
          <w:sz w:val="28"/>
          <w:szCs w:val="28"/>
          <w:rtl/>
        </w:rPr>
      </w:pPr>
    </w:p>
    <w:p w14:paraId="6B44E3B4" w14:textId="77777777" w:rsidR="007A3975" w:rsidRDefault="00BD5CDF">
      <w:pPr>
        <w:spacing w:line="360" w:lineRule="auto"/>
        <w:ind w:left="720"/>
        <w:jc w:val="both"/>
        <w:rPr>
          <w:sz w:val="28"/>
          <w:szCs w:val="28"/>
          <w:rtl/>
        </w:rPr>
      </w:pPr>
      <w:r>
        <w:rPr>
          <w:rFonts w:hint="cs"/>
          <w:sz w:val="28"/>
          <w:szCs w:val="28"/>
          <w:rtl/>
        </w:rPr>
        <w:t xml:space="preserve">אני קובע המשך דיון לצורך קבלת חוות דעתו של הממונה על עבודות השירות ליום  30/11/09 שעה 11:00. </w:t>
      </w:r>
    </w:p>
    <w:p w14:paraId="4CE0644E" w14:textId="77777777" w:rsidR="007A3975" w:rsidRDefault="007A3975">
      <w:pPr>
        <w:spacing w:line="360" w:lineRule="auto"/>
        <w:ind w:left="720"/>
        <w:jc w:val="both"/>
        <w:rPr>
          <w:sz w:val="28"/>
          <w:szCs w:val="28"/>
          <w:rtl/>
        </w:rPr>
      </w:pPr>
    </w:p>
    <w:p w14:paraId="5774DE2D" w14:textId="77777777" w:rsidR="007A3975" w:rsidRDefault="00BD5CDF">
      <w:pPr>
        <w:spacing w:line="360" w:lineRule="auto"/>
        <w:ind w:left="720"/>
        <w:jc w:val="both"/>
        <w:rPr>
          <w:sz w:val="28"/>
          <w:szCs w:val="28"/>
          <w:rtl/>
        </w:rPr>
      </w:pPr>
      <w:r>
        <w:rPr>
          <w:rFonts w:hint="cs"/>
          <w:sz w:val="28"/>
          <w:szCs w:val="28"/>
          <w:rtl/>
        </w:rPr>
        <w:t xml:space="preserve">בכל הנוגע לבטוחות שהפקידו הערבים בהתאם להחלטה מיום 20/7/09 בב"ש 10792-0609: אני מורה כי בטוחות אלו יוחזרו לערבים רק לאחר שיושלם הדיון בעניינו של הנאשם והנאשם יחל לרצות את עונשו. כמו כן ישאר בשלב זה הצו לעיכוב יציאת הנאשם מהארץ בתוקפו. </w:t>
      </w:r>
    </w:p>
    <w:p w14:paraId="397C3605" w14:textId="77777777" w:rsidR="007A3975" w:rsidRDefault="007A3975">
      <w:pPr>
        <w:spacing w:line="360" w:lineRule="auto"/>
        <w:ind w:left="720"/>
        <w:jc w:val="both"/>
        <w:rPr>
          <w:sz w:val="28"/>
          <w:szCs w:val="28"/>
          <w:rtl/>
        </w:rPr>
      </w:pPr>
    </w:p>
    <w:p w14:paraId="6D313734" w14:textId="77777777" w:rsidR="007A3975" w:rsidRDefault="00BD5CDF">
      <w:pPr>
        <w:spacing w:line="360" w:lineRule="auto"/>
        <w:ind w:left="720"/>
        <w:jc w:val="both"/>
        <w:rPr>
          <w:sz w:val="28"/>
          <w:szCs w:val="28"/>
          <w:rtl/>
        </w:rPr>
      </w:pPr>
      <w:r>
        <w:rPr>
          <w:rFonts w:hint="cs"/>
          <w:sz w:val="28"/>
          <w:szCs w:val="28"/>
          <w:rtl/>
        </w:rPr>
        <w:t xml:space="preserve">עד להשלמת הדיון ישארו בעינם גם כל תנאי השחרור שנקבעו, לרבות ההיתר שניתן לנאשם לעבוד באיטליז המשפחתי במשך השעות שאושרו לעבודתו ובאותם סדרי הפיקוח שנקבעו. </w:t>
      </w:r>
    </w:p>
    <w:p w14:paraId="141FBA7B" w14:textId="77777777" w:rsidR="007A3975" w:rsidRDefault="007A3975">
      <w:pPr>
        <w:spacing w:line="360" w:lineRule="auto"/>
        <w:ind w:left="720"/>
        <w:jc w:val="both"/>
        <w:rPr>
          <w:sz w:val="28"/>
          <w:szCs w:val="28"/>
          <w:rtl/>
        </w:rPr>
      </w:pPr>
    </w:p>
    <w:p w14:paraId="2041CC70" w14:textId="77777777" w:rsidR="007A3975" w:rsidRDefault="00BD5CDF">
      <w:pPr>
        <w:spacing w:line="360" w:lineRule="auto"/>
        <w:ind w:left="720"/>
        <w:jc w:val="both"/>
        <w:rPr>
          <w:sz w:val="28"/>
          <w:szCs w:val="28"/>
          <w:rtl/>
        </w:rPr>
      </w:pPr>
      <w:r>
        <w:rPr>
          <w:rFonts w:hint="cs"/>
          <w:sz w:val="28"/>
          <w:szCs w:val="28"/>
          <w:rtl/>
        </w:rPr>
        <w:t xml:space="preserve">הובהר לנאשם כי עליו להתיצב לדיון במועד שנקבע וכן כי עליו להתיצב אצל הממונה על עבודות שירות כאשר יזומן. </w:t>
      </w:r>
    </w:p>
    <w:p w14:paraId="174CB0AB" w14:textId="77777777" w:rsidR="007A3975" w:rsidRDefault="007A3975">
      <w:pPr>
        <w:spacing w:line="360" w:lineRule="auto"/>
        <w:ind w:left="720"/>
        <w:jc w:val="both"/>
        <w:rPr>
          <w:sz w:val="28"/>
          <w:szCs w:val="28"/>
          <w:rtl/>
        </w:rPr>
      </w:pPr>
    </w:p>
    <w:p w14:paraId="74224AA3" w14:textId="77777777" w:rsidR="007A3975" w:rsidRDefault="00BD5CDF">
      <w:pPr>
        <w:spacing w:line="360" w:lineRule="auto"/>
        <w:ind w:left="720"/>
        <w:jc w:val="both"/>
        <w:rPr>
          <w:sz w:val="28"/>
          <w:szCs w:val="28"/>
          <w:rtl/>
        </w:rPr>
      </w:pPr>
      <w:r>
        <w:rPr>
          <w:rFonts w:hint="cs"/>
          <w:sz w:val="28"/>
          <w:szCs w:val="28"/>
          <w:rtl/>
        </w:rPr>
        <w:t xml:space="preserve">עוד הובהר לנאשם  כי  תהיה לו הזכות לערער על גזר הדין לבית המשפט העליון ואולם זאת רק לאחר שיושלם הדיון בחוות דעתו של הממונה על עבודות השירות ובתוך 45 ימים מהיום שתינתן ההחלטה הסופית בעניין זה.  </w:t>
      </w:r>
    </w:p>
    <w:p w14:paraId="62964A18" w14:textId="77777777" w:rsidR="007A3975" w:rsidRDefault="007A3975">
      <w:pPr>
        <w:spacing w:line="360" w:lineRule="auto"/>
        <w:ind w:left="720"/>
        <w:jc w:val="both"/>
        <w:rPr>
          <w:sz w:val="28"/>
          <w:szCs w:val="28"/>
          <w:rtl/>
        </w:rPr>
      </w:pPr>
    </w:p>
    <w:p w14:paraId="3AA576BA" w14:textId="77777777" w:rsidR="007A3975" w:rsidRDefault="00BD5CDF">
      <w:pPr>
        <w:spacing w:line="360" w:lineRule="auto"/>
        <w:ind w:left="720"/>
        <w:jc w:val="both"/>
        <w:rPr>
          <w:b/>
          <w:bCs/>
          <w:sz w:val="28"/>
          <w:szCs w:val="28"/>
          <w:rtl/>
        </w:rPr>
      </w:pPr>
      <w:r>
        <w:rPr>
          <w:rFonts w:hint="cs"/>
          <w:b/>
          <w:bCs/>
          <w:sz w:val="28"/>
          <w:szCs w:val="28"/>
          <w:rtl/>
        </w:rPr>
        <w:t xml:space="preserve">המזכירות תשלח עותק מגזר הדין לשירות המבחן ולממונה על עבודות השירות.  </w:t>
      </w:r>
    </w:p>
    <w:p w14:paraId="78C888A5" w14:textId="77777777" w:rsidR="00BD5CDF" w:rsidRPr="00BD5CDF" w:rsidRDefault="00BD5CDF">
      <w:pPr>
        <w:spacing w:line="360" w:lineRule="auto"/>
        <w:rPr>
          <w:color w:val="FFFFFF"/>
          <w:sz w:val="2"/>
          <w:szCs w:val="2"/>
          <w:rtl/>
        </w:rPr>
      </w:pPr>
    </w:p>
    <w:p w14:paraId="402F224B" w14:textId="77777777" w:rsidR="00BD5CDF" w:rsidRPr="00BD5CDF" w:rsidRDefault="00BD5CDF">
      <w:pPr>
        <w:spacing w:line="360" w:lineRule="auto"/>
        <w:rPr>
          <w:color w:val="FFFFFF"/>
          <w:sz w:val="2"/>
          <w:szCs w:val="2"/>
          <w:rtl/>
        </w:rPr>
      </w:pPr>
      <w:r w:rsidRPr="00BD5CDF">
        <w:rPr>
          <w:color w:val="FFFFFF"/>
          <w:sz w:val="2"/>
          <w:szCs w:val="2"/>
          <w:rtl/>
        </w:rPr>
        <w:t>5129371</w:t>
      </w:r>
    </w:p>
    <w:p w14:paraId="6B4376ED" w14:textId="77777777" w:rsidR="007A3975" w:rsidRDefault="00BD5CDF">
      <w:pPr>
        <w:spacing w:line="360" w:lineRule="auto"/>
        <w:rPr>
          <w:sz w:val="28"/>
          <w:szCs w:val="28"/>
          <w:rtl/>
        </w:rPr>
      </w:pPr>
      <w:r w:rsidRPr="00BD5CDF">
        <w:rPr>
          <w:color w:val="FFFFFF"/>
          <w:sz w:val="2"/>
          <w:szCs w:val="2"/>
          <w:rtl/>
        </w:rPr>
        <w:t>54678313</w:t>
      </w:r>
    </w:p>
    <w:p w14:paraId="16366094" w14:textId="77777777" w:rsidR="007A3975" w:rsidRDefault="00BD5CDF">
      <w:pPr>
        <w:spacing w:line="360" w:lineRule="auto"/>
        <w:ind w:left="720"/>
        <w:jc w:val="both"/>
        <w:rPr>
          <w:rFonts w:ascii="Arial" w:hAnsi="Arial"/>
          <w:sz w:val="28"/>
          <w:szCs w:val="28"/>
        </w:rPr>
      </w:pPr>
      <w:r>
        <w:rPr>
          <w:rFonts w:ascii="Arial" w:hAnsi="Arial"/>
          <w:sz w:val="28"/>
          <w:szCs w:val="28"/>
          <w:rtl/>
        </w:rPr>
        <w:t xml:space="preserve">ניתן היום,  ג' חשון תש"ע, 21 אוקטובר 2009, במעמד הנאשם, ב"כ הנאשם </w:t>
      </w:r>
      <w:r>
        <w:rPr>
          <w:rFonts w:ascii="Arial" w:hAnsi="Arial" w:hint="cs"/>
          <w:sz w:val="28"/>
          <w:szCs w:val="28"/>
          <w:rtl/>
        </w:rPr>
        <w:t>וב"כ המאשימה.</w:t>
      </w:r>
    </w:p>
    <w:p w14:paraId="3F23D89F" w14:textId="77777777" w:rsidR="007A3975" w:rsidRDefault="007A3975">
      <w:pPr>
        <w:spacing w:line="360" w:lineRule="auto"/>
        <w:rPr>
          <w:sz w:val="28"/>
          <w:szCs w:val="28"/>
          <w:rtl/>
        </w:rPr>
      </w:pPr>
    </w:p>
    <w:p w14:paraId="5D3A10D8" w14:textId="77777777" w:rsidR="007A3975" w:rsidRDefault="00BD5CDF">
      <w:pPr>
        <w:tabs>
          <w:tab w:val="left" w:pos="2553"/>
        </w:tabs>
        <w:spacing w:line="360" w:lineRule="auto"/>
        <w:rPr>
          <w:sz w:val="28"/>
          <w:szCs w:val="28"/>
          <w:rtl/>
        </w:rPr>
      </w:pPr>
      <w:r>
        <w:rPr>
          <w:sz w:val="28"/>
          <w:szCs w:val="28"/>
          <w:rtl/>
        </w:rPr>
        <w:t xml:space="preserve">             </w:t>
      </w:r>
    </w:p>
    <w:p w14:paraId="17A51A71" w14:textId="77777777" w:rsidR="00BD5CDF" w:rsidRPr="00BD5CDF" w:rsidRDefault="00BD5CDF" w:rsidP="00BD5CDF">
      <w:pPr>
        <w:keepNext/>
        <w:spacing w:line="360" w:lineRule="auto"/>
        <w:rPr>
          <w:rFonts w:ascii="David" w:hAnsi="David" w:hint="cs"/>
          <w:color w:val="000000"/>
          <w:sz w:val="22"/>
          <w:szCs w:val="22"/>
          <w:rtl/>
        </w:rPr>
      </w:pPr>
    </w:p>
    <w:p w14:paraId="33F43113" w14:textId="77777777" w:rsidR="00BD5CDF" w:rsidRPr="00BD5CDF" w:rsidRDefault="00BD5CDF" w:rsidP="00BD5CDF">
      <w:pPr>
        <w:keepNext/>
        <w:spacing w:line="360" w:lineRule="auto"/>
        <w:rPr>
          <w:rFonts w:ascii="David" w:hAnsi="David"/>
          <w:color w:val="000000"/>
          <w:sz w:val="22"/>
          <w:szCs w:val="22"/>
          <w:rtl/>
        </w:rPr>
      </w:pPr>
      <w:r w:rsidRPr="00BD5CDF">
        <w:rPr>
          <w:rFonts w:ascii="David" w:hAnsi="David"/>
          <w:color w:val="000000"/>
          <w:sz w:val="22"/>
          <w:szCs w:val="22"/>
          <w:rtl/>
        </w:rPr>
        <w:t>רון שפירא 54678313</w:t>
      </w:r>
    </w:p>
    <w:p w14:paraId="3A0B7F71" w14:textId="77777777" w:rsidR="007A3975" w:rsidRDefault="00BD5CDF">
      <w:pPr>
        <w:spacing w:line="360" w:lineRule="auto"/>
        <w:jc w:val="center"/>
        <w:rPr>
          <w:rFonts w:ascii="Arial" w:hAnsi="Arial"/>
          <w:sz w:val="28"/>
          <w:szCs w:val="28"/>
          <w:rtl/>
        </w:rPr>
      </w:pPr>
      <w:r>
        <w:rPr>
          <w:rFonts w:ascii="Arial" w:hAnsi="Arial" w:hint="cs"/>
          <w:sz w:val="28"/>
          <w:szCs w:val="28"/>
          <w:rtl/>
        </w:rPr>
        <w:t xml:space="preserve">             </w:t>
      </w:r>
    </w:p>
    <w:p w14:paraId="6624EE36" w14:textId="77777777" w:rsidR="00BD5CDF" w:rsidRDefault="00BD5CDF" w:rsidP="00BD5CDF">
      <w:r w:rsidRPr="00BD5CDF">
        <w:rPr>
          <w:color w:val="000000"/>
          <w:rtl/>
        </w:rPr>
        <w:t>נוסח מסמך זה כפוף לשינויי ניסוח ועריכה</w:t>
      </w:r>
    </w:p>
    <w:p w14:paraId="31D3777E" w14:textId="77777777" w:rsidR="00BD5CDF" w:rsidRDefault="00BD5CDF" w:rsidP="00BD5CDF">
      <w:pPr>
        <w:rPr>
          <w:rtl/>
        </w:rPr>
      </w:pPr>
    </w:p>
    <w:p w14:paraId="189BE981" w14:textId="77777777" w:rsidR="00BD5CDF" w:rsidRDefault="00BD5CDF" w:rsidP="00BD5CDF">
      <w:pPr>
        <w:jc w:val="center"/>
        <w:rPr>
          <w:color w:val="0000FF"/>
          <w:u w:val="single"/>
        </w:rPr>
      </w:pPr>
      <w:r w:rsidRPr="00D9653A">
        <w:rPr>
          <w:color w:val="000000"/>
          <w:rtl/>
        </w:rPr>
        <w:t>הודעה למנויים על עריכה ושינויים במסמכי פסיקה, חקיקה ועוד באתר נבו - הקש כאן</w:t>
      </w:r>
    </w:p>
    <w:p w14:paraId="3059AD57" w14:textId="77777777" w:rsidR="007A3975" w:rsidRPr="00BD5CDF" w:rsidRDefault="007A3975" w:rsidP="00BD5CDF">
      <w:pPr>
        <w:jc w:val="center"/>
        <w:rPr>
          <w:color w:val="0000FF"/>
          <w:u w:val="single"/>
        </w:rPr>
      </w:pPr>
    </w:p>
    <w:sectPr w:rsidR="007A3975" w:rsidRPr="00BD5CDF" w:rsidSect="00BD5CDF">
      <w:headerReference w:type="even" r:id="rId17"/>
      <w:headerReference w:type="default" r:id="rId18"/>
      <w:footerReference w:type="even" r:id="rId19"/>
      <w:footerReference w:type="default" r:id="rId2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AF5F2" w14:textId="77777777" w:rsidR="00571A4C" w:rsidRPr="0019185C" w:rsidRDefault="00571A4C">
      <w:pPr>
        <w:rPr>
          <w:rFonts w:cs="Arial"/>
          <w:szCs w:val="20"/>
        </w:rPr>
      </w:pPr>
      <w:r>
        <w:separator/>
      </w:r>
    </w:p>
  </w:endnote>
  <w:endnote w:type="continuationSeparator" w:id="0">
    <w:p w14:paraId="1557730C" w14:textId="77777777" w:rsidR="00571A4C" w:rsidRPr="0019185C" w:rsidRDefault="00571A4C">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88D63" w14:textId="77777777" w:rsidR="000B27B2" w:rsidRDefault="000B27B2" w:rsidP="00BD5CD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5</w:t>
    </w:r>
    <w:r>
      <w:rPr>
        <w:rFonts w:ascii="FrankRuehl" w:hAnsi="FrankRuehl" w:cs="FrankRuehl"/>
        <w:rtl/>
      </w:rPr>
      <w:fldChar w:fldCharType="end"/>
    </w:r>
  </w:p>
  <w:p w14:paraId="3E84E79B" w14:textId="77777777" w:rsidR="000B27B2" w:rsidRDefault="000B27B2" w:rsidP="00BD5CDF">
    <w:pPr>
      <w:pStyle w:val="a4"/>
      <w:pBdr>
        <w:top w:val="single" w:sz="4" w:space="1" w:color="auto"/>
        <w:between w:val="single" w:sz="4" w:space="0" w:color="auto"/>
      </w:pBdr>
      <w:spacing w:after="60"/>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0BB5FA95" w14:textId="77777777" w:rsidR="000B27B2" w:rsidRPr="00BD5CDF" w:rsidRDefault="000B27B2" w:rsidP="00BD5CDF">
    <w:pPr>
      <w:pStyle w:val="a4"/>
      <w:pBdr>
        <w:top w:val="single" w:sz="4" w:space="1" w:color="auto"/>
        <w:between w:val="single" w:sz="4" w:space="0" w:color="auto"/>
      </w:pBdr>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color w:val="000000"/>
        <w:sz w:val="14"/>
        <w:szCs w:val="14"/>
      </w:rPr>
      <w:t>Y:\kidud---------\2009\10\2009-10-21 - 3429 files\OutDoc-Ragil\OutDoc-Ragil\f6fe81b2a57e4062881fb0b5d70685fe.xml</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BB461" w14:textId="77777777" w:rsidR="000B27B2" w:rsidRDefault="000B27B2" w:rsidP="00BD5CD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C38D7">
      <w:rPr>
        <w:rFonts w:ascii="FrankRuehl" w:hAnsi="FrankRuehl" w:cs="FrankRuehl"/>
        <w:rtl/>
      </w:rPr>
      <w:t>1</w:t>
    </w:r>
    <w:r>
      <w:rPr>
        <w:rFonts w:ascii="FrankRuehl" w:hAnsi="FrankRuehl" w:cs="FrankRuehl"/>
        <w:rtl/>
      </w:rPr>
      <w:fldChar w:fldCharType="end"/>
    </w:r>
  </w:p>
  <w:p w14:paraId="0B33CAFA" w14:textId="77777777" w:rsidR="000B27B2" w:rsidRDefault="000B27B2" w:rsidP="00BD5CDF">
    <w:pPr>
      <w:pStyle w:val="a4"/>
      <w:pBdr>
        <w:top w:val="single" w:sz="4" w:space="1" w:color="auto"/>
        <w:between w:val="single" w:sz="4" w:space="0" w:color="auto"/>
      </w:pBdr>
      <w:spacing w:after="60"/>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5CFE9536" w14:textId="77777777" w:rsidR="000B27B2" w:rsidRPr="00BD5CDF" w:rsidRDefault="000B27B2" w:rsidP="00BD5CDF">
    <w:pPr>
      <w:pStyle w:val="a4"/>
      <w:pBdr>
        <w:top w:val="single" w:sz="4" w:space="1" w:color="auto"/>
        <w:between w:val="single" w:sz="4" w:space="0" w:color="auto"/>
      </w:pBdr>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color w:val="000000"/>
        <w:sz w:val="14"/>
        <w:szCs w:val="14"/>
      </w:rPr>
      <w:t>Y:\kidud---------\2009\10\2009-10-21 - 3429 files\OutDoc-Ragil\OutDoc-Ragil\f6fe81b2a57e4062881fb0b5d70685fe.xml</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FE130" w14:textId="77777777" w:rsidR="00571A4C" w:rsidRPr="0019185C" w:rsidRDefault="00571A4C">
      <w:pPr>
        <w:rPr>
          <w:rFonts w:cs="Arial"/>
          <w:szCs w:val="20"/>
        </w:rPr>
      </w:pPr>
      <w:r>
        <w:separator/>
      </w:r>
    </w:p>
  </w:footnote>
  <w:footnote w:type="continuationSeparator" w:id="0">
    <w:p w14:paraId="2CABB399" w14:textId="77777777" w:rsidR="00571A4C" w:rsidRPr="0019185C" w:rsidRDefault="00571A4C">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CA572" w14:textId="77777777" w:rsidR="000B27B2" w:rsidRPr="00BD5CDF" w:rsidRDefault="000B27B2" w:rsidP="00BD5CD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10774-06-09</w:t>
    </w:r>
    <w:r>
      <w:rPr>
        <w:rFonts w:ascii="David" w:hAnsi="David"/>
        <w:color w:val="000000"/>
        <w:sz w:val="22"/>
        <w:szCs w:val="22"/>
        <w:rtl/>
      </w:rPr>
      <w:tab/>
      <w:t xml:space="preserve"> מדינת ישראל נ' מוחמד אגבריה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B52B8" w14:textId="77777777" w:rsidR="000B27B2" w:rsidRPr="00BD5CDF" w:rsidRDefault="000B27B2" w:rsidP="00BD5CD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10774-06-09</w:t>
    </w:r>
    <w:r>
      <w:rPr>
        <w:rFonts w:ascii="David" w:hAnsi="David"/>
        <w:color w:val="000000"/>
        <w:sz w:val="22"/>
        <w:szCs w:val="22"/>
        <w:rtl/>
      </w:rPr>
      <w:tab/>
      <w:t xml:space="preserve"> מדינת ישראל נ' מוחמד אגבריה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A3975"/>
    <w:rsid w:val="000B27B2"/>
    <w:rsid w:val="003163C2"/>
    <w:rsid w:val="003C38D7"/>
    <w:rsid w:val="00571A4C"/>
    <w:rsid w:val="006F2D29"/>
    <w:rsid w:val="00713C8B"/>
    <w:rsid w:val="007A3975"/>
    <w:rsid w:val="0086593D"/>
    <w:rsid w:val="00A14E29"/>
    <w:rsid w:val="00A5356F"/>
    <w:rsid w:val="00A755D6"/>
    <w:rsid w:val="00B45F88"/>
    <w:rsid w:val="00BD5CDF"/>
    <w:rsid w:val="00D965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ADB89A7"/>
  <w15:chartTrackingRefBased/>
  <w15:docId w15:val="{AECA5F88-21D2-4ACE-9DF8-7FE85504E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A3975"/>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7A3975"/>
    <w:pPr>
      <w:tabs>
        <w:tab w:val="center" w:pos="4153"/>
        <w:tab w:val="right" w:pos="8306"/>
      </w:tabs>
    </w:pPr>
  </w:style>
  <w:style w:type="paragraph" w:styleId="a4">
    <w:name w:val="footer"/>
    <w:basedOn w:val="a"/>
    <w:rsid w:val="007A3975"/>
    <w:pPr>
      <w:tabs>
        <w:tab w:val="center" w:pos="4153"/>
        <w:tab w:val="right" w:pos="8306"/>
      </w:tabs>
    </w:pPr>
  </w:style>
  <w:style w:type="table" w:styleId="a5">
    <w:name w:val="Table Grid"/>
    <w:basedOn w:val="a1"/>
    <w:rsid w:val="007A3975"/>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Quote"/>
    <w:basedOn w:val="a"/>
    <w:qFormat/>
    <w:rsid w:val="007A3975"/>
    <w:pPr>
      <w:overflowPunct w:val="0"/>
      <w:autoSpaceDE w:val="0"/>
      <w:autoSpaceDN w:val="0"/>
      <w:adjustRightInd w:val="0"/>
      <w:ind w:left="1418" w:right="1418"/>
      <w:jc w:val="both"/>
      <w:textAlignment w:val="baseline"/>
    </w:pPr>
    <w:rPr>
      <w:b/>
      <w:bCs/>
      <w:noProof w:val="0"/>
      <w:snapToGrid w:val="0"/>
      <w:sz w:val="28"/>
      <w:szCs w:val="28"/>
      <w:lang w:eastAsia="he-IL"/>
    </w:rPr>
  </w:style>
  <w:style w:type="character" w:styleId="a7">
    <w:name w:val="page number"/>
    <w:basedOn w:val="a0"/>
    <w:rsid w:val="00BD5CDF"/>
  </w:style>
  <w:style w:type="character" w:styleId="Hyperlink">
    <w:name w:val="Hyperlink"/>
    <w:rsid w:val="00BD5C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case/5707014"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nevo.co.il/law/70301/.b" TargetMode="External"/><Relationship Id="rId12" Type="http://schemas.openxmlformats.org/officeDocument/2006/relationships/hyperlink" Target="http://www.nevo.co.il/case/6091216"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case/4687682"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hyperlink" Target="http://www.nevo.co.il/case/6207967" TargetMode="External"/><Relationship Id="rId10" Type="http://schemas.openxmlformats.org/officeDocument/2006/relationships/hyperlink" Target="http://www.nevo.co.il/law/70301/.b"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case/17920107" TargetMode="External"/><Relationship Id="rId22"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1283</Words>
  <Characters>6417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7685</CharactersWithSpaces>
  <SharedDoc>false</SharedDoc>
  <HLinks>
    <vt:vector size="66" baseType="variant">
      <vt:variant>
        <vt:i4>3670141</vt:i4>
      </vt:variant>
      <vt:variant>
        <vt:i4>30</vt:i4>
      </vt:variant>
      <vt:variant>
        <vt:i4>0</vt:i4>
      </vt:variant>
      <vt:variant>
        <vt:i4>5</vt:i4>
      </vt:variant>
      <vt:variant>
        <vt:lpwstr>http://www.nevo.co.il/case/4687682</vt:lpwstr>
      </vt:variant>
      <vt:variant>
        <vt:lpwstr/>
      </vt:variant>
      <vt:variant>
        <vt:i4>3670135</vt:i4>
      </vt:variant>
      <vt:variant>
        <vt:i4>27</vt:i4>
      </vt:variant>
      <vt:variant>
        <vt:i4>0</vt:i4>
      </vt:variant>
      <vt:variant>
        <vt:i4>5</vt:i4>
      </vt:variant>
      <vt:variant>
        <vt:lpwstr>http://www.nevo.co.il/case/6207967</vt:lpwstr>
      </vt:variant>
      <vt:variant>
        <vt:lpwstr/>
      </vt:variant>
      <vt:variant>
        <vt:i4>3670128</vt:i4>
      </vt:variant>
      <vt:variant>
        <vt:i4>24</vt:i4>
      </vt:variant>
      <vt:variant>
        <vt:i4>0</vt:i4>
      </vt:variant>
      <vt:variant>
        <vt:i4>5</vt:i4>
      </vt:variant>
      <vt:variant>
        <vt:lpwstr>http://www.nevo.co.il/case/17920107</vt:lpwstr>
      </vt:variant>
      <vt:variant>
        <vt:lpwstr/>
      </vt:variant>
      <vt:variant>
        <vt:i4>3211381</vt:i4>
      </vt:variant>
      <vt:variant>
        <vt:i4>21</vt:i4>
      </vt:variant>
      <vt:variant>
        <vt:i4>0</vt:i4>
      </vt:variant>
      <vt:variant>
        <vt:i4>5</vt:i4>
      </vt:variant>
      <vt:variant>
        <vt:lpwstr>http://www.nevo.co.il/case/5707014</vt:lpwstr>
      </vt:variant>
      <vt:variant>
        <vt:lpwstr/>
      </vt:variant>
      <vt:variant>
        <vt:i4>3866740</vt:i4>
      </vt:variant>
      <vt:variant>
        <vt:i4>18</vt:i4>
      </vt:variant>
      <vt:variant>
        <vt:i4>0</vt:i4>
      </vt:variant>
      <vt:variant>
        <vt:i4>5</vt:i4>
      </vt:variant>
      <vt:variant>
        <vt:lpwstr>http://www.nevo.co.il/case/6091216</vt:lpwstr>
      </vt:variant>
      <vt:variant>
        <vt:lpwstr/>
      </vt:variant>
      <vt:variant>
        <vt:i4>7995492</vt:i4>
      </vt:variant>
      <vt:variant>
        <vt:i4>15</vt:i4>
      </vt:variant>
      <vt:variant>
        <vt:i4>0</vt:i4>
      </vt:variant>
      <vt:variant>
        <vt:i4>5</vt:i4>
      </vt:variant>
      <vt:variant>
        <vt:lpwstr>http://www.nevo.co.il/law/70301</vt:lpwstr>
      </vt:variant>
      <vt:variant>
        <vt:lpwstr/>
      </vt:variant>
      <vt:variant>
        <vt:i4>3604603</vt:i4>
      </vt:variant>
      <vt:variant>
        <vt:i4>12</vt:i4>
      </vt:variant>
      <vt:variant>
        <vt:i4>0</vt:i4>
      </vt:variant>
      <vt:variant>
        <vt:i4>5</vt:i4>
      </vt:variant>
      <vt:variant>
        <vt:lpwstr>http://www.nevo.co.il/law/70301/.b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3604603</vt:i4>
      </vt:variant>
      <vt:variant>
        <vt:i4>3</vt:i4>
      </vt:variant>
      <vt:variant>
        <vt:i4>0</vt:i4>
      </vt:variant>
      <vt:variant>
        <vt:i4>5</vt:i4>
      </vt:variant>
      <vt:variant>
        <vt:lpwstr>http://www.nevo.co.il/law/70301/.b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2024-01-07T12:19:00Z</dcterms:created>
  <dcterms:modified xsi:type="dcterms:W3CDTF">2024-01-07T12:19:00Z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10774</vt:lpwstr>
  </property>
  <property fmtid="{D5CDD505-2E9C-101B-9397-08002B2CF9AE}" pid="6" name="NEWPARTB">
    <vt:lpwstr>06</vt:lpwstr>
  </property>
  <property fmtid="{D5CDD505-2E9C-101B-9397-08002B2CF9AE}" pid="7" name="NEWPARTC">
    <vt:lpwstr>09</vt:lpwstr>
  </property>
  <property fmtid="{D5CDD505-2E9C-101B-9397-08002B2CF9AE}" pid="8" name="APPELLANT">
    <vt:lpwstr>מדינת ישראל</vt:lpwstr>
  </property>
  <property fmtid="{D5CDD505-2E9C-101B-9397-08002B2CF9AE}" pid="9" name="APPELLEE">
    <vt:lpwstr>מוחמד אגבריה</vt:lpwstr>
  </property>
  <property fmtid="{D5CDD505-2E9C-101B-9397-08002B2CF9AE}" pid="10" name="JUDGE">
    <vt:lpwstr>רון שפירא</vt:lpwstr>
  </property>
  <property fmtid="{D5CDD505-2E9C-101B-9397-08002B2CF9AE}" pid="11" name="CITY">
    <vt:lpwstr>חי'</vt:lpwstr>
  </property>
  <property fmtid="{D5CDD505-2E9C-101B-9397-08002B2CF9AE}" pid="12" name="DATE">
    <vt:lpwstr>20091021</vt:lpwstr>
  </property>
  <property fmtid="{D5CDD505-2E9C-101B-9397-08002B2CF9AE}" pid="13" name="TYPE_N_DATE">
    <vt:lpwstr>39020091021</vt:lpwstr>
  </property>
  <property fmtid="{D5CDD505-2E9C-101B-9397-08002B2CF9AE}" pid="14" name="WORDNUMPAGES">
    <vt:lpwstr>7</vt:lpwstr>
  </property>
  <property fmtid="{D5CDD505-2E9C-101B-9397-08002B2CF9AE}" pid="15" name="TYPE_ABS_DATE">
    <vt:lpwstr>390020091021</vt:lpwstr>
  </property>
  <property fmtid="{D5CDD505-2E9C-101B-9397-08002B2CF9AE}" pid="16" name="RemarkFileName">
    <vt:lpwstr>mechozi me 09 06 10774 130 htm</vt:lpwstr>
  </property>
  <property fmtid="{D5CDD505-2E9C-101B-9397-08002B2CF9AE}" pid="17" name="LAWYER">
    <vt:lpwstr/>
  </property>
  <property fmtid="{D5CDD505-2E9C-101B-9397-08002B2CF9AE}" pid="18" name="PROCESS">
    <vt:lpwstr/>
  </property>
  <property fmtid="{D5CDD505-2E9C-101B-9397-08002B2CF9AE}" pid="19" name="PROCNUM">
    <vt:lpwstr/>
  </property>
  <property fmtid="{D5CDD505-2E9C-101B-9397-08002B2CF9AE}" pid="20" name="PROCYEAR">
    <vt:lpwstr/>
  </property>
  <property fmtid="{D5CDD505-2E9C-101B-9397-08002B2CF9AE}" pid="21" name="VOLUME">
    <vt:lpwstr/>
  </property>
  <property fmtid="{D5CDD505-2E9C-101B-9397-08002B2CF9AE}" pid="22" name="PART">
    <vt:lpwstr/>
  </property>
  <property fmtid="{D5CDD505-2E9C-101B-9397-08002B2CF9AE}" pid="23" name="PAGE">
    <vt:lpwstr/>
  </property>
  <property fmtid="{D5CDD505-2E9C-101B-9397-08002B2CF9AE}" pid="24" name="PADIMAIL">
    <vt:lpwstr/>
  </property>
  <property fmtid="{D5CDD505-2E9C-101B-9397-08002B2CF9AE}" pid="25" name="DELEMATA">
    <vt:lpwstr/>
  </property>
  <property fmtid="{D5CDD505-2E9C-101B-9397-08002B2CF9AE}" pid="26" name="LINKK1">
    <vt:lpwstr/>
  </property>
  <property fmtid="{D5CDD505-2E9C-101B-9397-08002B2CF9AE}" pid="27" name="LINKK2">
    <vt:lpwstr/>
  </property>
  <property fmtid="{D5CDD505-2E9C-101B-9397-08002B2CF9AE}" pid="28" name="LINKK3">
    <vt:lpwstr/>
  </property>
  <property fmtid="{D5CDD505-2E9C-101B-9397-08002B2CF9AE}" pid="29" name="LINKK4">
    <vt:lpwstr/>
  </property>
  <property fmtid="{D5CDD505-2E9C-101B-9397-08002B2CF9AE}" pid="30" name="LINKK5">
    <vt:lpwstr/>
  </property>
  <property fmtid="{D5CDD505-2E9C-101B-9397-08002B2CF9AE}" pid="31" name="LINKK6">
    <vt:lpwstr/>
  </property>
  <property fmtid="{D5CDD505-2E9C-101B-9397-08002B2CF9AE}" pid="32" name="LINKK7">
    <vt:lpwstr/>
  </property>
  <property fmtid="{D5CDD505-2E9C-101B-9397-08002B2CF9AE}" pid="33" name="LINKK8">
    <vt:lpwstr/>
  </property>
  <property fmtid="{D5CDD505-2E9C-101B-9397-08002B2CF9AE}" pid="34" name="LINKK9">
    <vt:lpwstr/>
  </property>
  <property fmtid="{D5CDD505-2E9C-101B-9397-08002B2CF9AE}" pid="35" name="LINKK10">
    <vt:lpwstr/>
  </property>
  <property fmtid="{D5CDD505-2E9C-101B-9397-08002B2CF9AE}" pid="36" name="LINKK11">
    <vt:lpwstr/>
  </property>
  <property fmtid="{D5CDD505-2E9C-101B-9397-08002B2CF9AE}" pid="37" name="LINKK12">
    <vt:lpwstr/>
  </property>
  <property fmtid="{D5CDD505-2E9C-101B-9397-08002B2CF9AE}" pid="38" name="CASESLISTTMP1">
    <vt:lpwstr>6091216;5707014;17920107;6207967;4687682</vt:lpwstr>
  </property>
  <property fmtid="{D5CDD505-2E9C-101B-9397-08002B2CF9AE}" pid="39" name="CASENOTES1">
    <vt:lpwstr>ProcID=25;179&amp;PartA=10792&amp;PartC=06</vt:lpwstr>
  </property>
  <property fmtid="{D5CDD505-2E9C-101B-9397-08002B2CF9AE}" pid="40" name="CASENOTES2">
    <vt:lpwstr>ProcID=133;209&amp;PartA=910&amp;PartC=85</vt:lpwstr>
  </property>
  <property fmtid="{D5CDD505-2E9C-101B-9397-08002B2CF9AE}" pid="41" name="CASENOTES3">
    <vt:lpwstr>ProcID=133;209&amp;PartA=7263&amp;PartC=01</vt:lpwstr>
  </property>
  <property fmtid="{D5CDD505-2E9C-101B-9397-08002B2CF9AE}" pid="42" name="LAWLISTTMP1">
    <vt:lpwstr>70301/144.a;.b</vt:lpwstr>
  </property>
</Properties>
</file>